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611505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31"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9"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71"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4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November 3, 2022</w:t>
      </w:r>
    </w:p>
    <w:p>
      <w:pPr>
        <w:spacing w:after="0" w:line="187"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California Resources Corporation</w:t>
      </w:r>
    </w:p>
    <w:p>
      <w:pPr>
        <w:spacing w:after="0" w:line="4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100"/>
          </w:cols>
          <w:pgMar w:left="320" w:top="1413" w:right="479" w:bottom="1440" w:gutter="0" w:footer="0" w:header="0"/>
        </w:sectPr>
      </w:pPr>
    </w:p>
    <w:p>
      <w:pPr>
        <w:spacing w:after="0" w:line="115"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9"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(State or Other Jurisdiction of</w:t>
      </w:r>
    </w:p>
    <w:p>
      <w:pPr>
        <w:ind w:left="134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001-36478</w:t>
      </w:r>
    </w:p>
    <w:p>
      <w:pPr>
        <w:spacing w:after="0" w:line="29"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color w:val="auto"/>
        </w:rPr>
        <w:t>(Commission</w:t>
      </w:r>
    </w:p>
    <w:p>
      <w:pPr>
        <w:jc w:val="center"/>
        <w:ind w:right="188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46-5670947</w:t>
      </w:r>
    </w:p>
    <w:p>
      <w:pPr>
        <w:spacing w:after="0" w:line="29"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04" w:lineRule="exact"/>
        <w:rPr>
          <w:sz w:val="24"/>
          <w:szCs w:val="24"/>
          <w:color w:val="auto"/>
        </w:rPr>
      </w:pPr>
    </w:p>
    <w:p>
      <w:pPr>
        <w:sectPr>
          <w:pgSz w:w="11900" w:h="16838" w:orient="portrait"/>
          <w:cols w:equalWidth="0" w:num="3">
            <w:col w:w="4380" w:space="720"/>
            <w:col w:w="2860" w:space="720"/>
            <w:col w:w="2420"/>
          </w:cols>
          <w:pgMar w:left="320" w:top="1413" w:right="479" w:bottom="1440" w:gutter="0" w:footer="0" w:header="0"/>
          <w:type w:val="continuous"/>
        </w:sect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1 World Trade Center</w:t>
      </w:r>
    </w:p>
    <w:p>
      <w:pPr>
        <w:spacing w:after="0" w:line="31"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Suite 1500</w:t>
      </w:r>
    </w:p>
    <w:p>
      <w:pPr>
        <w:spacing w:after="0" w:line="23"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Long Beach</w:t>
      </w:r>
    </w:p>
    <w:p>
      <w:pPr>
        <w:spacing w:after="0" w:line="23"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California</w:t>
      </w:r>
    </w:p>
    <w:p>
      <w:pPr>
        <w:spacing w:after="0" w:line="23"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8"/>
          <w:szCs w:val="18"/>
          <w:b w:val="1"/>
          <w:bCs w:val="1"/>
          <w:color w:val="auto"/>
        </w:rPr>
        <w:t>90831</w:t>
      </w:r>
    </w:p>
    <w:p>
      <w:pPr>
        <w:spacing w:after="0" w:line="31"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7"/>
          <w:szCs w:val="17"/>
          <w:color w:val="auto"/>
        </w:rPr>
        <w:t>(Zip Code)</w:t>
      </w:r>
    </w:p>
    <w:p>
      <w:pPr>
        <w:spacing w:after="0" w:line="173" w:lineRule="exact"/>
        <w:rPr>
          <w:sz w:val="24"/>
          <w:szCs w:val="24"/>
          <w:color w:val="auto"/>
        </w:rPr>
      </w:pPr>
    </w:p>
    <w:p>
      <w:pPr>
        <w:sectPr>
          <w:pgSz w:w="11900" w:h="16838" w:orient="portrait"/>
          <w:cols w:equalWidth="0" w:num="2">
            <w:col w:w="7300" w:space="720"/>
            <w:col w:w="3080"/>
          </w:cols>
          <w:pgMar w:left="320" w:top="1413" w:right="479" w:bottom="1440" w:gutter="0" w:footer="0" w:header="0"/>
          <w:type w:val="continuous"/>
        </w:sect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(888) 848-4754</w:t>
      </w:r>
    </w:p>
    <w:p>
      <w:pPr>
        <w:spacing w:after="0" w:line="17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27200 Tourney Road, Suite 200, Santa Clarita, California 91355</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9"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53"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0"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26"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0"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100"/>
          </w:cols>
          <w:pgMar w:left="320" w:top="1413" w:right="479" w:bottom="1440" w:gutter="0" w:footer="0" w:header="0"/>
          <w:type w:val="continuous"/>
        </w:sectPr>
      </w:pPr>
    </w:p>
    <w:p>
      <w:pPr>
        <w:spacing w:after="0" w:line="12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Common Stock</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43"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CRC</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New York Stock Exchange</w:t>
      </w:r>
    </w:p>
    <w:p>
      <w:pPr>
        <w:spacing w:after="0" w:line="166" w:lineRule="exact"/>
        <w:rPr>
          <w:sz w:val="24"/>
          <w:szCs w:val="24"/>
          <w:color w:val="auto"/>
        </w:rPr>
      </w:pPr>
    </w:p>
    <w:p>
      <w:pPr>
        <w:sectPr>
          <w:pgSz w:w="11900" w:h="16838" w:orient="portrait"/>
          <w:cols w:equalWidth="0" w:num="3">
            <w:col w:w="3480" w:space="720"/>
            <w:col w:w="2260" w:space="720"/>
            <w:col w:w="3920"/>
          </w:cols>
          <w:pgMar w:left="320" w:top="1413" w:right="47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72"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9"/>
          <w:szCs w:val="19"/>
          <w:color w:val="auto"/>
        </w:rPr>
        <w:t>☐</w:t>
      </w:r>
    </w:p>
    <w:p>
      <w:pPr>
        <w:spacing w:after="0" w:line="222" w:lineRule="exact"/>
        <w:rPr>
          <w:sz w:val="24"/>
          <w:szCs w:val="24"/>
          <w:color w:val="auto"/>
        </w:rPr>
      </w:pPr>
    </w:p>
    <w:p>
      <w:pPr>
        <w:ind w:right="20"/>
        <w:spacing w:after="0" w:line="24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777240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1413" w:right="479" w:bottom="1440" w:gutter="0" w:footer="0" w:header="0"/>
          <w:type w:val="continuous"/>
        </w:sectPr>
      </w:pPr>
    </w:p>
    <w:bookmarkStart w:id="1" w:name="page2"/>
    <w:bookmarkEnd w:id="1"/>
    <w:p>
      <w:pPr>
        <w:spacing w:after="0" w:line="32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November 3, 2022, California Resources Corporation (the “Company”) issued a press release announcing its financial condition and results of operations for the three and nine months ended September 30, 2022. A copy of the press release is furnished as Exhibit 99.1 to this report on Form 8-K, and is incorporated herein by reference.</w:t>
      </w:r>
    </w:p>
    <w:p>
      <w:pPr>
        <w:spacing w:after="0" w:line="13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report and the exhibit hereto shall not be deemed to be “filed” for purposes of Section 18 of the Securities Exchange Act of 1934, as amended, (the “Exchange Act”), and shall not be incorporated by reference into any filings made by the Company under the Securities Act of 1933, as amended (the “Securities Act”), or the Exchange Act, except as may be expressly set forth by specific reference in such filing.</w:t>
      </w:r>
    </w:p>
    <w:p>
      <w:pPr>
        <w:spacing w:after="0" w:line="13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Statements contained in the exhibit to this report that state the Company’s or its management’s expectations or predictions of the future are forward-looking statements intended to be covered by the safe harbor provisions of the Securities Act and the Exchange Act. It is important to note that the Company’s actual results could differ materially from those projected in such forward-looking statements. Factors that could affect these results include those mentioned in the documents that the Company has filed with the Securities and Exchange Commission (the “SEC”).</w:t>
      </w:r>
    </w:p>
    <w:p>
      <w:pPr>
        <w:spacing w:after="0" w:line="153"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Company undertakes no duty or obligation to publicly update or revise the information contained in this report, although the Company may do so from time to time as management believes is warranted. Any such updating may be made through the filing of other reports or documents with the SEC, through press releases or through other public disclosure including disclosure in the Investor Relations portion of the Company’s website.</w:t>
      </w:r>
    </w:p>
    <w:p>
      <w:pPr>
        <w:spacing w:after="0" w:line="30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280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378"/>
        </w:trPr>
        <w:tc>
          <w:tcPr>
            <w:tcW w:w="21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2800" w:type="dxa"/>
            <w:vAlign w:val="bottom"/>
          </w:tcPr>
          <w:p>
            <w:pPr>
              <w:spacing w:after="0"/>
              <w:rPr>
                <w:sz w:val="24"/>
                <w:szCs w:val="24"/>
                <w:color w:val="auto"/>
              </w:rPr>
            </w:pPr>
          </w:p>
        </w:tc>
        <w:tc>
          <w:tcPr>
            <w:tcW w:w="2160" w:type="dxa"/>
            <w:vAlign w:val="bottom"/>
          </w:tcPr>
          <w:p>
            <w:pPr>
              <w:ind w:left="1280"/>
              <w:spacing w:after="0"/>
              <w:rPr>
                <w:sz w:val="20"/>
                <w:szCs w:val="20"/>
                <w:color w:val="auto"/>
              </w:rPr>
            </w:pPr>
            <w:r>
              <w:rPr>
                <w:rFonts w:ascii="Times New Roman" w:cs="Times New Roman" w:eastAsia="Times New Roman" w:hAnsi="Times New Roman"/>
                <w:sz w:val="18"/>
                <w:szCs w:val="18"/>
                <w:b w:val="1"/>
                <w:bCs w:val="1"/>
                <w:color w:val="auto"/>
                <w:w w:val="96"/>
              </w:rPr>
              <w:t>Description</w:t>
            </w:r>
          </w:p>
        </w:tc>
      </w:tr>
      <w:tr>
        <w:trPr>
          <w:trHeight w:val="230"/>
        </w:trPr>
        <w:tc>
          <w:tcPr>
            <w:tcW w:w="218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99.1</w:t>
            </w:r>
          </w:p>
        </w:tc>
        <w:tc>
          <w:tcPr>
            <w:tcW w:w="28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dated November 3, 2022.</w:t>
            </w:r>
          </w:p>
        </w:tc>
        <w:tc>
          <w:tcPr>
            <w:tcW w:w="2160" w:type="dxa"/>
            <w:vAlign w:val="bottom"/>
          </w:tcPr>
          <w:p>
            <w:pPr>
              <w:spacing w:after="0"/>
              <w:rPr>
                <w:sz w:val="19"/>
                <w:szCs w:val="19"/>
                <w:color w:val="auto"/>
              </w:rPr>
            </w:pPr>
          </w:p>
        </w:tc>
      </w:tr>
    </w:tbl>
    <w:p>
      <w:pPr>
        <w:spacing w:after="0" w:line="63" w:lineRule="exact"/>
        <w:rPr>
          <w:sz w:val="20"/>
          <w:szCs w:val="20"/>
          <w:color w:val="auto"/>
        </w:rPr>
      </w:pPr>
    </w:p>
    <w:p>
      <w:pPr>
        <w:ind w:left="2180" w:hanging="1349"/>
        <w:spacing w:after="0"/>
        <w:tabs>
          <w:tab w:leader="none" w:pos="21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0"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 Michael L. Preston</w:t>
      </w:r>
    </w:p>
    <w:p>
      <w:pPr>
        <w:spacing w:after="0" w:line="27" w:lineRule="exact"/>
        <w:rPr>
          <w:sz w:val="20"/>
          <w:szCs w:val="20"/>
          <w:color w:val="auto"/>
        </w:rPr>
      </w:pPr>
    </w:p>
    <w:tbl>
      <w:tblPr>
        <w:tblLayout w:type="fixed"/>
        <w:tblInd w:w="4800" w:type="dxa"/>
        <w:tblCellMar>
          <w:top w:w="0" w:type="dxa"/>
          <w:left w:w="0" w:type="dxa"/>
          <w:bottom w:w="0" w:type="dxa"/>
          <w:right w:w="0" w:type="dxa"/>
        </w:tblCellMar>
      </w:tblPr>
      <w:tr>
        <w:trPr>
          <w:trHeight w:val="218"/>
        </w:trPr>
        <w:tc>
          <w:tcPr>
            <w:tcW w:w="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70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Michael L. Preston</w:t>
            </w:r>
          </w:p>
        </w:tc>
      </w:tr>
      <w:tr>
        <w:trPr>
          <w:trHeight w:val="216"/>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Executive Vice President, Chief Administrative Officer and General</w:t>
            </w:r>
          </w:p>
        </w:tc>
      </w:tr>
      <w:tr>
        <w:trPr>
          <w:trHeight w:val="234"/>
        </w:trPr>
        <w:tc>
          <w:tcPr>
            <w:tcW w:w="740" w:type="dxa"/>
            <w:vAlign w:val="bottom"/>
          </w:tcPr>
          <w:p>
            <w:pPr>
              <w:spacing w:after="0"/>
              <w:rPr>
                <w:sz w:val="20"/>
                <w:szCs w:val="20"/>
                <w:color w:val="auto"/>
              </w:rPr>
            </w:pPr>
          </w:p>
        </w:tc>
        <w:tc>
          <w:tcPr>
            <w:tcW w:w="5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3, 2022</w:t>
      </w:r>
    </w:p>
    <w:p>
      <w:pPr>
        <w:sectPr>
          <w:pgSz w:w="11900" w:h="16838" w:orient="portrait"/>
          <w:cols w:equalWidth="0" w:num="1">
            <w:col w:w="11240"/>
          </w:cols>
          <w:pgMar w:left="320" w:top="1413"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5694680</wp:posOffset>
            </wp:positionH>
            <wp:positionV relativeFrom="page">
              <wp:posOffset>732155</wp:posOffset>
            </wp:positionV>
            <wp:extent cx="1645920" cy="4800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645920" cy="480060"/>
                    </a:xfrm>
                    <a:prstGeom prst="rect">
                      <a:avLst/>
                    </a:prstGeom>
                    <a:noFill/>
                  </pic:spPr>
                </pic:pic>
              </a:graphicData>
            </a:graphic>
          </wp:anchor>
        </w:drawing>
      </w:r>
    </w:p>
    <w:p>
      <w:pPr>
        <w:spacing w:after="0" w:line="3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NEWS RELEASE</w:t>
      </w:r>
    </w:p>
    <w:p>
      <w:pPr>
        <w:spacing w:after="0" w:line="247" w:lineRule="exact"/>
        <w:rPr>
          <w:sz w:val="20"/>
          <w:szCs w:val="20"/>
          <w:color w:val="auto"/>
        </w:rPr>
      </w:pPr>
    </w:p>
    <w:p>
      <w:pPr>
        <w:jc w:val="center"/>
        <w:spacing w:after="0" w:line="285" w:lineRule="auto"/>
        <w:rPr>
          <w:sz w:val="20"/>
          <w:szCs w:val="20"/>
          <w:color w:val="auto"/>
        </w:rPr>
      </w:pPr>
      <w:r>
        <w:rPr>
          <w:rFonts w:ascii="Arial" w:cs="Arial" w:eastAsia="Arial" w:hAnsi="Arial"/>
          <w:sz w:val="22"/>
          <w:szCs w:val="22"/>
          <w:b w:val="1"/>
          <w:bCs w:val="1"/>
          <w:u w:val="single" w:color="auto"/>
          <w:color w:val="auto"/>
        </w:rPr>
        <w:t>California Resources Corporation Reports Strong Third Quarter 2022 Results, Announces 66% Increase in Quarterly Dividend and $200 Million Increase in Share Repurchase Program</w:t>
      </w:r>
    </w:p>
    <w:p>
      <w:pPr>
        <w:spacing w:after="0" w:line="387"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22"/>
          <w:szCs w:val="22"/>
          <w:color w:val="auto"/>
        </w:rPr>
        <w:t>Long Beach, November 3, 2022 - California Resources Corporation (NYSE: CRC), an independent oil and natural gas company committed to energy transition in the sector, today reported third quarter 2022 operational and financial results.</w:t>
      </w:r>
    </w:p>
    <w:p>
      <w:pPr>
        <w:spacing w:after="0" w:line="197"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"CRC's strong financial performance, coupled with our consistent operational execution, allowed us to increase our fixed dividend by 66% and our Share Repurchase Program by an additional $200 million. Our disciplined capital allocation and shareholder return strategy demonstrate our continued commitment to our stakeholders. With these changes, CRC is on track to deliver nearly $1 billion in cumulative shareholder returns by year end 2023," said Mac McFarland, CRC’s President and Chief Executive Officer.</w:t>
      </w:r>
    </w:p>
    <w:p>
      <w:pPr>
        <w:spacing w:after="0" w:line="190"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McFarland continued, "On the carbon management side, we continue to work with emitters, advance our permits, progress our Carbon TerraVault JV partnership and remain optimistic on our carbon management goals. CRC's carbon management strategy and energy transition efforts continue to be a unique differentiator and support our corporate objectives while delivering on our financial goals and sustainability targets."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Primary Highlights</w:t>
      </w:r>
    </w:p>
    <w:p>
      <w:pPr>
        <w:spacing w:after="0" w:line="26" w:lineRule="exact"/>
        <w:rPr>
          <w:sz w:val="20"/>
          <w:szCs w:val="20"/>
          <w:color w:val="auto"/>
        </w:rPr>
      </w:pPr>
    </w:p>
    <w:p>
      <w:pPr>
        <w:jc w:val="both"/>
        <w:ind w:left="340" w:hanging="211"/>
        <w:spacing w:after="0" w:line="247" w:lineRule="auto"/>
        <w:tabs>
          <w:tab w:leader="none" w:pos="335" w:val="left"/>
        </w:tabs>
        <w:numPr>
          <w:ilvl w:val="0"/>
          <w:numId w:val="3"/>
        </w:numPr>
        <w:rPr>
          <w:rFonts w:ascii="Arial" w:cs="Arial" w:eastAsia="Arial" w:hAnsi="Arial"/>
          <w:sz w:val="22"/>
          <w:szCs w:val="22"/>
          <w:color w:val="auto"/>
        </w:rPr>
      </w:pPr>
      <w:r>
        <w:rPr>
          <w:rFonts w:ascii="Arial" w:cs="Arial" w:eastAsia="Arial" w:hAnsi="Arial"/>
          <w:sz w:val="22"/>
          <w:szCs w:val="22"/>
          <w:color w:val="auto"/>
        </w:rPr>
        <w:t>Declared a quarterly dividend of $0.2825 per share of common stock, totaling ~$20 million payable on December 16, 2022 to shareholders of record on December 1, 2022, with subsequent quarterly dividends subject to final determination and Board approval</w:t>
      </w:r>
    </w:p>
    <w:p>
      <w:pPr>
        <w:spacing w:after="0" w:line="1" w:lineRule="exact"/>
        <w:rPr>
          <w:rFonts w:ascii="Arial" w:cs="Arial" w:eastAsia="Arial" w:hAnsi="Arial"/>
          <w:sz w:val="22"/>
          <w:szCs w:val="22"/>
          <w:color w:val="auto"/>
        </w:rPr>
      </w:pPr>
    </w:p>
    <w:p>
      <w:pPr>
        <w:ind w:left="340" w:hanging="211"/>
        <w:spacing w:after="0" w:line="243" w:lineRule="auto"/>
        <w:tabs>
          <w:tab w:leader="none" w:pos="335" w:val="left"/>
        </w:tabs>
        <w:numPr>
          <w:ilvl w:val="0"/>
          <w:numId w:val="3"/>
        </w:numPr>
        <w:rPr>
          <w:rFonts w:ascii="Arial" w:cs="Arial" w:eastAsia="Arial" w:hAnsi="Arial"/>
          <w:sz w:val="22"/>
          <w:szCs w:val="22"/>
          <w:color w:val="auto"/>
        </w:rPr>
      </w:pPr>
      <w:r>
        <w:rPr>
          <w:rFonts w:ascii="Arial" w:cs="Arial" w:eastAsia="Arial" w:hAnsi="Arial"/>
          <w:sz w:val="22"/>
          <w:szCs w:val="22"/>
          <w:color w:val="auto"/>
        </w:rPr>
        <w:t>Increased the Share Repurchase Program by $200 million to $850 million from $650 million and extended the term of the program through December 31, 2023</w:t>
      </w:r>
    </w:p>
    <w:p>
      <w:pPr>
        <w:jc w:val="both"/>
        <w:ind w:left="340" w:hanging="211"/>
        <w:spacing w:after="0" w:line="247" w:lineRule="auto"/>
        <w:tabs>
          <w:tab w:leader="none" w:pos="335" w:val="left"/>
        </w:tabs>
        <w:numPr>
          <w:ilvl w:val="0"/>
          <w:numId w:val="3"/>
        </w:numPr>
        <w:rPr>
          <w:rFonts w:ascii="Arial" w:cs="Arial" w:eastAsia="Arial" w:hAnsi="Arial"/>
          <w:sz w:val="22"/>
          <w:szCs w:val="22"/>
          <w:color w:val="auto"/>
        </w:rPr>
      </w:pPr>
      <w:r>
        <w:rPr>
          <w:rFonts w:ascii="Arial" w:cs="Arial" w:eastAsia="Arial" w:hAnsi="Arial"/>
          <w:sz w:val="22"/>
          <w:szCs w:val="22"/>
          <w:color w:val="auto"/>
        </w:rPr>
        <w:t>Repurchased 1,921,181 common shares for $80 million during the third quarter of 2022; repurchased an aggregate 10,617,862 shares for $424 million since the inception of the Share Repurchase Program through October 31, 2022</w:t>
      </w:r>
    </w:p>
    <w:p>
      <w:pPr>
        <w:spacing w:after="0" w:line="1" w:lineRule="exact"/>
        <w:rPr>
          <w:rFonts w:ascii="Arial" w:cs="Arial" w:eastAsia="Arial" w:hAnsi="Arial"/>
          <w:sz w:val="22"/>
          <w:szCs w:val="22"/>
          <w:color w:val="auto"/>
        </w:rPr>
      </w:pPr>
    </w:p>
    <w:p>
      <w:pPr>
        <w:ind w:left="340" w:hanging="211"/>
        <w:spacing w:after="0" w:line="214" w:lineRule="auto"/>
        <w:tabs>
          <w:tab w:leader="none" w:pos="335" w:val="left"/>
        </w:tabs>
        <w:numPr>
          <w:ilvl w:val="0"/>
          <w:numId w:val="3"/>
        </w:numPr>
        <w:rPr>
          <w:rFonts w:ascii="Arial" w:cs="Arial" w:eastAsia="Arial" w:hAnsi="Arial"/>
          <w:sz w:val="22"/>
          <w:szCs w:val="22"/>
          <w:color w:val="auto"/>
        </w:rPr>
      </w:pPr>
      <w:r>
        <w:rPr>
          <w:rFonts w:ascii="Arial" w:cs="Arial" w:eastAsia="Arial" w:hAnsi="Arial"/>
          <w:sz w:val="22"/>
          <w:szCs w:val="22"/>
          <w:color w:val="auto"/>
        </w:rPr>
        <w:t>Returned $286 million to shareholders throughout the first three quarters of 2022, ~5% more than the free cash flow</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generated during the same period</w:t>
      </w:r>
    </w:p>
    <w:p>
      <w:pPr>
        <w:ind w:left="320" w:hanging="191"/>
        <w:spacing w:after="0"/>
        <w:tabs>
          <w:tab w:leader="none" w:pos="320" w:val="left"/>
        </w:tabs>
        <w:numPr>
          <w:ilvl w:val="0"/>
          <w:numId w:val="3"/>
        </w:numPr>
        <w:rPr>
          <w:rFonts w:ascii="Arial" w:cs="Arial" w:eastAsia="Arial" w:hAnsi="Arial"/>
          <w:sz w:val="22"/>
          <w:szCs w:val="22"/>
          <w:color w:val="auto"/>
        </w:rPr>
      </w:pPr>
      <w:r>
        <w:rPr>
          <w:rFonts w:ascii="Arial" w:cs="Arial" w:eastAsia="Arial" w:hAnsi="Arial"/>
          <w:sz w:val="22"/>
          <w:szCs w:val="22"/>
          <w:color w:val="auto"/>
        </w:rPr>
        <w:t>Presented three new reservoirs to Carbon TerraVault JV</w:t>
      </w:r>
    </w:p>
    <w:p>
      <w:pPr>
        <w:spacing w:after="0" w:line="10" w:lineRule="exact"/>
        <w:rPr>
          <w:rFonts w:ascii="Arial" w:cs="Arial" w:eastAsia="Arial" w:hAnsi="Arial"/>
          <w:sz w:val="22"/>
          <w:szCs w:val="22"/>
          <w:color w:val="auto"/>
        </w:rPr>
      </w:pPr>
    </w:p>
    <w:p>
      <w:pPr>
        <w:ind w:left="320" w:hanging="191"/>
        <w:spacing w:after="0"/>
        <w:tabs>
          <w:tab w:leader="none" w:pos="320" w:val="left"/>
        </w:tabs>
        <w:numPr>
          <w:ilvl w:val="0"/>
          <w:numId w:val="3"/>
        </w:numPr>
        <w:rPr>
          <w:rFonts w:ascii="Arial" w:cs="Arial" w:eastAsia="Arial" w:hAnsi="Arial"/>
          <w:sz w:val="22"/>
          <w:szCs w:val="22"/>
          <w:color w:val="auto"/>
        </w:rPr>
      </w:pPr>
      <w:r>
        <w:rPr>
          <w:rFonts w:ascii="Arial" w:cs="Arial" w:eastAsia="Arial" w:hAnsi="Arial"/>
          <w:sz w:val="22"/>
          <w:szCs w:val="22"/>
          <w:color w:val="auto"/>
        </w:rPr>
        <w:t>Favorable ruling in Kern County EIR Litigation</w:t>
      </w:r>
    </w:p>
    <w:p>
      <w:pPr>
        <w:spacing w:after="0" w:line="10" w:lineRule="exact"/>
        <w:rPr>
          <w:rFonts w:ascii="Arial" w:cs="Arial" w:eastAsia="Arial" w:hAnsi="Arial"/>
          <w:sz w:val="22"/>
          <w:szCs w:val="22"/>
          <w:color w:val="auto"/>
        </w:rPr>
      </w:pPr>
    </w:p>
    <w:p>
      <w:pPr>
        <w:ind w:left="320" w:hanging="191"/>
        <w:spacing w:after="0"/>
        <w:tabs>
          <w:tab w:leader="none" w:pos="320" w:val="left"/>
        </w:tabs>
        <w:numPr>
          <w:ilvl w:val="0"/>
          <w:numId w:val="3"/>
        </w:numPr>
        <w:rPr>
          <w:rFonts w:ascii="Arial" w:cs="Arial" w:eastAsia="Arial" w:hAnsi="Arial"/>
          <w:sz w:val="22"/>
          <w:szCs w:val="22"/>
          <w:color w:val="auto"/>
        </w:rPr>
      </w:pPr>
      <w:r>
        <w:rPr>
          <w:rFonts w:ascii="Arial" w:cs="Arial" w:eastAsia="Arial" w:hAnsi="Arial"/>
          <w:sz w:val="22"/>
          <w:szCs w:val="22"/>
          <w:color w:val="auto"/>
        </w:rPr>
        <w:t>Shifted a rig to the Huntington Beach field for a 6 to 8 well program prioritizing available permits on hand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u w:val="single" w:color="auto"/>
          <w:color w:val="auto"/>
        </w:rPr>
        <w:t>Third Quarter 2022 Highlights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Financial</w:t>
      </w:r>
    </w:p>
    <w:p>
      <w:pPr>
        <w:spacing w:after="0" w:line="39" w:lineRule="exact"/>
        <w:rPr>
          <w:sz w:val="20"/>
          <w:szCs w:val="20"/>
          <w:color w:val="auto"/>
        </w:rPr>
      </w:pPr>
    </w:p>
    <w:p>
      <w:pPr>
        <w:jc w:val="both"/>
        <w:ind w:left="340" w:hanging="211"/>
        <w:spacing w:after="0" w:line="223" w:lineRule="auto"/>
        <w:tabs>
          <w:tab w:leader="none" w:pos="335" w:val="left"/>
        </w:tabs>
        <w:numPr>
          <w:ilvl w:val="0"/>
          <w:numId w:val="4"/>
        </w:numPr>
        <w:rPr>
          <w:rFonts w:ascii="Arial" w:cs="Arial" w:eastAsia="Arial" w:hAnsi="Arial"/>
          <w:sz w:val="22"/>
          <w:szCs w:val="22"/>
          <w:color w:val="auto"/>
        </w:rPr>
      </w:pPr>
      <w:r>
        <w:rPr>
          <w:rFonts w:ascii="Arial" w:cs="Arial" w:eastAsia="Arial" w:hAnsi="Arial"/>
          <w:sz w:val="22"/>
          <w:szCs w:val="22"/>
          <w:color w:val="auto"/>
        </w:rPr>
        <w:t>Reported net income of $426 million, or $5.58 per diluted share. When adjusted for items analysts typically exclude from estimates including mark-to-market adjustments and gains on asset divestitures, the Company’s adjusted net income</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was $111 million, or $1.45 per diluted share</w:t>
      </w:r>
    </w:p>
    <w:p>
      <w:pPr>
        <w:ind w:left="340" w:hanging="211"/>
        <w:spacing w:after="0" w:line="196" w:lineRule="auto"/>
        <w:tabs>
          <w:tab w:leader="none" w:pos="335" w:val="left"/>
        </w:tabs>
        <w:numPr>
          <w:ilvl w:val="0"/>
          <w:numId w:val="4"/>
        </w:numPr>
        <w:rPr>
          <w:rFonts w:ascii="Arial" w:cs="Arial" w:eastAsia="Arial" w:hAnsi="Arial"/>
          <w:sz w:val="22"/>
          <w:szCs w:val="22"/>
          <w:color w:val="auto"/>
        </w:rPr>
      </w:pPr>
      <w:r>
        <w:rPr>
          <w:rFonts w:ascii="Arial" w:cs="Arial" w:eastAsia="Arial" w:hAnsi="Arial"/>
          <w:sz w:val="22"/>
          <w:szCs w:val="22"/>
          <w:color w:val="auto"/>
        </w:rPr>
        <w:t>Generated net cash provided by operating activities of $235 million, adjusted EBITDAX</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of $234 million and free cash flow</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of $128 million</w:t>
      </w:r>
    </w:p>
    <w:p>
      <w:pPr>
        <w:ind w:left="320" w:hanging="191"/>
        <w:spacing w:after="0" w:line="191" w:lineRule="auto"/>
        <w:tabs>
          <w:tab w:leader="none" w:pos="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Ended the quarter with $358 million of cash on hand, an undrawn credit facility and $819 million of liquidity</w:t>
      </w:r>
      <w:r>
        <w:rPr>
          <w:rFonts w:ascii="Arial" w:cs="Arial" w:eastAsia="Arial" w:hAnsi="Arial"/>
          <w:sz w:val="28"/>
          <w:szCs w:val="28"/>
          <w:color w:val="auto"/>
          <w:vertAlign w:val="superscript"/>
        </w:rPr>
        <w:t>2</w:t>
      </w:r>
    </w:p>
    <w:p>
      <w:pPr>
        <w:ind w:left="340" w:hanging="211"/>
        <w:spacing w:after="0" w:line="253" w:lineRule="auto"/>
        <w:tabs>
          <w:tab w:leader="none" w:pos="335" w:val="left"/>
        </w:tabs>
        <w:numPr>
          <w:ilvl w:val="0"/>
          <w:numId w:val="4"/>
        </w:numPr>
        <w:rPr>
          <w:rFonts w:ascii="Arial" w:cs="Arial" w:eastAsia="Arial" w:hAnsi="Arial"/>
          <w:sz w:val="22"/>
          <w:szCs w:val="22"/>
          <w:color w:val="auto"/>
        </w:rPr>
      </w:pPr>
      <w:r>
        <w:rPr>
          <w:rFonts w:ascii="Arial" w:cs="Arial" w:eastAsia="Arial" w:hAnsi="Arial"/>
          <w:sz w:val="22"/>
          <w:szCs w:val="22"/>
          <w:color w:val="auto"/>
        </w:rPr>
        <w:t>Increased available credit under our Reserve Based Lending Credit Facility by $50 million in the quarter and $110 million year to date, bringing our aggregate commitments to over $600 million</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Operations</w:t>
      </w:r>
    </w:p>
    <w:p>
      <w:pPr>
        <w:spacing w:after="0" w:line="39" w:lineRule="exact"/>
        <w:rPr>
          <w:sz w:val="20"/>
          <w:szCs w:val="20"/>
          <w:color w:val="auto"/>
        </w:rPr>
      </w:pPr>
    </w:p>
    <w:p>
      <w:pPr>
        <w:ind w:left="340" w:hanging="211"/>
        <w:spacing w:after="0" w:line="243" w:lineRule="auto"/>
        <w:tabs>
          <w:tab w:leader="none" w:pos="335" w:val="left"/>
        </w:tabs>
        <w:numPr>
          <w:ilvl w:val="0"/>
          <w:numId w:val="5"/>
        </w:numPr>
        <w:rPr>
          <w:rFonts w:ascii="Arial" w:cs="Arial" w:eastAsia="Arial" w:hAnsi="Arial"/>
          <w:sz w:val="22"/>
          <w:szCs w:val="22"/>
          <w:color w:val="auto"/>
        </w:rPr>
      </w:pPr>
      <w:r>
        <w:rPr>
          <w:rFonts w:ascii="Arial" w:cs="Arial" w:eastAsia="Arial" w:hAnsi="Arial"/>
          <w:sz w:val="22"/>
          <w:szCs w:val="22"/>
          <w:color w:val="auto"/>
        </w:rPr>
        <w:t>Produced an average of 92,000 net barrels of oil equivalent per day (Boe/d), including 55,000 barrels of oil per day (Bo/d), with E&amp;P capital expenditures of $100 million during the quarter</w:t>
      </w:r>
    </w:p>
    <w:p>
      <w:pPr>
        <w:ind w:left="340" w:hanging="211"/>
        <w:spacing w:after="0" w:line="243" w:lineRule="auto"/>
        <w:tabs>
          <w:tab w:leader="none" w:pos="335" w:val="left"/>
        </w:tabs>
        <w:numPr>
          <w:ilvl w:val="0"/>
          <w:numId w:val="5"/>
        </w:numPr>
        <w:rPr>
          <w:rFonts w:ascii="Arial" w:cs="Arial" w:eastAsia="Arial" w:hAnsi="Arial"/>
          <w:sz w:val="22"/>
          <w:szCs w:val="22"/>
          <w:color w:val="auto"/>
        </w:rPr>
      </w:pPr>
      <w:r>
        <w:rPr>
          <w:rFonts w:ascii="Arial" w:cs="Arial" w:eastAsia="Arial" w:hAnsi="Arial"/>
          <w:sz w:val="22"/>
          <w:szCs w:val="22"/>
          <w:color w:val="auto"/>
        </w:rPr>
        <w:t>Operated three drilling rigs in the San Joaquin Basin and two drilling rigs in the Los Angeles Basin; drilled 36 wells (42 online in 3Q22)</w:t>
      </w:r>
    </w:p>
    <w:p>
      <w:pPr>
        <w:ind w:left="320" w:hanging="191"/>
        <w:spacing w:after="0"/>
        <w:tabs>
          <w:tab w:leader="none" w:pos="320" w:val="left"/>
        </w:tabs>
        <w:numPr>
          <w:ilvl w:val="0"/>
          <w:numId w:val="5"/>
        </w:numPr>
        <w:rPr>
          <w:rFonts w:ascii="Arial" w:cs="Arial" w:eastAsia="Arial" w:hAnsi="Arial"/>
          <w:sz w:val="22"/>
          <w:szCs w:val="22"/>
          <w:color w:val="auto"/>
        </w:rPr>
      </w:pPr>
      <w:r>
        <w:rPr>
          <w:rFonts w:ascii="Arial" w:cs="Arial" w:eastAsia="Arial" w:hAnsi="Arial"/>
          <w:sz w:val="22"/>
          <w:szCs w:val="22"/>
          <w:color w:val="auto"/>
        </w:rPr>
        <w:t>Operated 33 maintenance rigs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2022 Guidance and Capital Program Update</w:t>
      </w:r>
      <w:r>
        <w:rPr>
          <w:rFonts w:ascii="Arial" w:cs="Arial" w:eastAsia="Arial" w:hAnsi="Arial"/>
          <w:sz w:val="28"/>
          <w:szCs w:val="28"/>
          <w:b w:val="1"/>
          <w:bCs w:val="1"/>
          <w:color w:val="auto"/>
          <w:vertAlign w:val="superscript"/>
        </w:rPr>
        <w:t>3</w:t>
      </w:r>
    </w:p>
    <w:p>
      <w:pPr>
        <w:spacing w:after="0" w:line="171"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22"/>
          <w:szCs w:val="22"/>
          <w:color w:val="auto"/>
        </w:rPr>
        <w:t>CRC's capital program is dynamic in response to oil market volatility while focusing on oil production and strong liquidity and maximizing free cash flow. During the third quarter of 2022, CRC successfully managed the current market inflationary pressures and is narrowing its 2022 total capital program to the range of $380 to $400 million. CRC entered the fourth quarter of 2022 with four drilling rigs and expects to average three drilling rigs for the remainder of the year in its Elk Hills, Buena Vista, Wilmington and Huntington Beach fields as CRC repositions for its 2023 program.</w:t>
      </w:r>
    </w:p>
    <w:p>
      <w:pPr>
        <w:spacing w:after="0" w:line="195"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22"/>
          <w:szCs w:val="22"/>
          <w:color w:val="auto"/>
        </w:rPr>
        <w:t>This level of expected spending is consistent with CRC's strategy of investing up to 50% of its operating cash flow back into CRC's oil and gas operations. Following entry into the Carbon TerraVault JV with Brookfield, CRC anticipates that a portion of the operating cash flow previously designated for advancing decarbonization and other emission reducing projects may become available for other corporate purposes, such as shareholder returns and other strategic opportunities (</w:t>
      </w:r>
      <w:r>
        <w:rPr>
          <w:rFonts w:ascii="Arial" w:cs="Arial" w:eastAsia="Arial" w:hAnsi="Arial"/>
          <w:sz w:val="22"/>
          <w:szCs w:val="22"/>
          <w:i w:val="1"/>
          <w:iCs w:val="1"/>
          <w:color w:val="auto"/>
        </w:rPr>
        <w:t>see the summary of our Business Strategy in Part I, Item 1 &amp; 2 – Business and</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Properties </w:t>
      </w:r>
      <w:r>
        <w:rPr>
          <w:rFonts w:ascii="Arial" w:cs="Arial" w:eastAsia="Arial" w:hAnsi="Arial"/>
          <w:sz w:val="22"/>
          <w:szCs w:val="22"/>
          <w:color w:val="auto"/>
        </w:rPr>
        <w:t>in CRC's 2021 Annual Report and</w:t>
      </w:r>
      <w:r>
        <w:rPr>
          <w:rFonts w:ascii="Arial" w:cs="Arial" w:eastAsia="Arial" w:hAnsi="Arial"/>
          <w:sz w:val="22"/>
          <w:szCs w:val="22"/>
          <w:i w:val="1"/>
          <w:iCs w:val="1"/>
          <w:color w:val="auto"/>
        </w:rPr>
        <w:t xml:space="preserve"> see Part I, Item 2 – Management’s Discussion and Analysis of Financial Condition and Results of Operations, Carbon TerraVault Joint Venture </w:t>
      </w:r>
      <w:r>
        <w:rPr>
          <w:rFonts w:ascii="Arial" w:cs="Arial" w:eastAsia="Arial" w:hAnsi="Arial"/>
          <w:sz w:val="22"/>
          <w:szCs w:val="22"/>
          <w:color w:val="auto"/>
        </w:rPr>
        <w:t>in the Form 10-Q for the quarter ended</w:t>
      </w:r>
      <w:r>
        <w:rPr>
          <w:rFonts w:ascii="Arial" w:cs="Arial" w:eastAsia="Arial" w:hAnsi="Arial"/>
          <w:sz w:val="22"/>
          <w:szCs w:val="22"/>
          <w:i w:val="1"/>
          <w:iCs w:val="1"/>
          <w:color w:val="auto"/>
        </w:rPr>
        <w:t xml:space="preserve"> </w:t>
      </w:r>
      <w:r>
        <w:rPr>
          <w:rFonts w:ascii="Arial" w:cs="Arial" w:eastAsia="Arial" w:hAnsi="Arial"/>
          <w:sz w:val="22"/>
          <w:szCs w:val="22"/>
          <w:color w:val="auto"/>
        </w:rPr>
        <w:t>September 30, 2022 for additional details on Carbon TerraVault JV).</w:t>
      </w:r>
    </w:p>
    <w:p>
      <w:pPr>
        <w:spacing w:after="0" w:line="205"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22"/>
          <w:szCs w:val="22"/>
          <w:color w:val="auto"/>
        </w:rPr>
        <w:t>The delay in the Kern County EIR litigation (</w:t>
      </w:r>
      <w:r>
        <w:rPr>
          <w:rFonts w:ascii="Arial" w:cs="Arial" w:eastAsia="Arial" w:hAnsi="Arial"/>
          <w:sz w:val="22"/>
          <w:szCs w:val="22"/>
          <w:i w:val="1"/>
          <w:iCs w:val="1"/>
          <w:color w:val="auto"/>
        </w:rPr>
        <w:t>see Part I, Item 2 – Management’s Discussion and Analysis of</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Financial Condition and Results of Operations, Regulatory Update </w:t>
      </w:r>
      <w:r>
        <w:rPr>
          <w:rFonts w:ascii="Arial" w:cs="Arial" w:eastAsia="Arial" w:hAnsi="Arial"/>
          <w:sz w:val="22"/>
          <w:szCs w:val="22"/>
          <w:color w:val="auto"/>
        </w:rPr>
        <w:t>in the Form 10-Q for the quarter ended September</w:t>
      </w:r>
      <w:r>
        <w:rPr>
          <w:rFonts w:ascii="Arial" w:cs="Arial" w:eastAsia="Arial" w:hAnsi="Arial"/>
          <w:sz w:val="22"/>
          <w:szCs w:val="22"/>
          <w:i w:val="1"/>
          <w:iCs w:val="1"/>
          <w:color w:val="auto"/>
        </w:rPr>
        <w:t xml:space="preserve"> </w:t>
      </w:r>
      <w:r>
        <w:rPr>
          <w:rFonts w:ascii="Arial" w:cs="Arial" w:eastAsia="Arial" w:hAnsi="Arial"/>
          <w:sz w:val="22"/>
          <w:szCs w:val="22"/>
          <w:color w:val="auto"/>
        </w:rPr>
        <w:t>30, 2022 for additional details on Kern County EIR) led to a change in CRC's drilling program which favors a higher natural gas to oil ratio. Therefore, CRC's 2022 oil production guidance is expected to be negatively impacted by approximately 1 MBo/d from this change. CRC's 2022 total production guidance remains consistent with previous expectations in the range of 91 to 94 MBoe/d.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240"/>
          </w:cols>
          <w:pgMar w:left="320" w:top="881" w:right="339" w:bottom="1440" w:gutter="0" w:footer="0" w:header="0"/>
        </w:sectPr>
      </w:pPr>
    </w:p>
    <w:bookmarkStart w:id="5" w:name="page6"/>
    <w:bookmarkEnd w:id="5"/>
    <w:p>
      <w:pPr>
        <w:ind w:firstLine="324"/>
        <w:spacing w:after="0" w:line="259" w:lineRule="auto"/>
        <w:rPr>
          <w:sz w:val="20"/>
          <w:szCs w:val="20"/>
          <w:color w:val="auto"/>
        </w:rPr>
      </w:pPr>
      <w:r>
        <w:rPr>
          <w:rFonts w:ascii="Arial" w:cs="Arial" w:eastAsia="Arial" w:hAnsi="Arial"/>
          <w:sz w:val="22"/>
          <w:szCs w:val="22"/>
          <w:color w:val="auto"/>
        </w:rPr>
        <w:t>CRC is raising its operating cost guidance to $760 to $790 million from $725 to $755 million primarily due to higher natural gas and electricity prices as well as some inflation and the change in well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0637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2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CRC GUIDANCE</w:t>
            </w:r>
            <w:r>
              <w:rPr>
                <w:rFonts w:ascii="Arial" w:cs="Arial" w:eastAsia="Arial" w:hAnsi="Arial"/>
                <w:sz w:val="18"/>
                <w:szCs w:val="18"/>
                <w:b w:val="1"/>
                <w:bCs w:val="1"/>
                <w:color w:val="auto"/>
                <w:vertAlign w:val="superscript"/>
              </w:rPr>
              <w:t>3</w:t>
            </w:r>
          </w:p>
        </w:tc>
        <w:tc>
          <w:tcPr>
            <w:tcW w:w="2580" w:type="dxa"/>
            <w:vAlign w:val="bottom"/>
            <w:tcBorders>
              <w:top w:val="single" w:sz="8" w:color="auto"/>
            </w:tcBorders>
            <w:gridSpan w:val="3"/>
          </w:tcPr>
          <w:p>
            <w:pPr>
              <w:jc w:val="center"/>
              <w:ind w:left="648"/>
              <w:spacing w:after="0"/>
              <w:rPr>
                <w:sz w:val="20"/>
                <w:szCs w:val="20"/>
                <w:color w:val="auto"/>
              </w:rPr>
            </w:pPr>
            <w:r>
              <w:rPr>
                <w:rFonts w:ascii="Arial" w:cs="Arial" w:eastAsia="Arial" w:hAnsi="Arial"/>
                <w:sz w:val="14"/>
                <w:szCs w:val="14"/>
                <w:b w:val="1"/>
                <w:bCs w:val="1"/>
                <w:color w:val="auto"/>
              </w:rPr>
              <w:t>Total</w:t>
            </w:r>
          </w:p>
        </w:tc>
        <w:tc>
          <w:tcPr>
            <w:tcW w:w="1720" w:type="dxa"/>
            <w:vAlign w:val="bottom"/>
            <w:tcBorders>
              <w:top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rPr>
              <w:t>CMB</w:t>
            </w:r>
          </w:p>
        </w:tc>
        <w:tc>
          <w:tcPr>
            <w:tcW w:w="1620" w:type="dxa"/>
            <w:vAlign w:val="bottom"/>
            <w:tcBorders>
              <w:top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E&amp;P, Corp. &amp; Other</w:t>
            </w:r>
          </w:p>
        </w:tc>
        <w:tc>
          <w:tcPr>
            <w:tcW w:w="0" w:type="dxa"/>
            <w:vAlign w:val="bottom"/>
          </w:tcPr>
          <w:p>
            <w:pPr>
              <w:spacing w:after="0"/>
              <w:rPr>
                <w:sz w:val="1"/>
                <w:szCs w:val="1"/>
                <w:color w:val="auto"/>
              </w:rPr>
            </w:pPr>
          </w:p>
        </w:tc>
      </w:tr>
      <w:tr>
        <w:trPr>
          <w:trHeight w:val="189"/>
        </w:trPr>
        <w:tc>
          <w:tcPr>
            <w:tcW w:w="5220" w:type="dxa"/>
            <w:vAlign w:val="bottom"/>
            <w:vMerge w:val="continue"/>
          </w:tcPr>
          <w:p>
            <w:pPr>
              <w:spacing w:after="0"/>
              <w:rPr>
                <w:sz w:val="16"/>
                <w:szCs w:val="16"/>
                <w:color w:val="auto"/>
              </w:rPr>
            </w:pPr>
          </w:p>
        </w:tc>
        <w:tc>
          <w:tcPr>
            <w:tcW w:w="2580" w:type="dxa"/>
            <w:vAlign w:val="bottom"/>
            <w:gridSpan w:val="3"/>
          </w:tcPr>
          <w:p>
            <w:pPr>
              <w:jc w:val="center"/>
              <w:ind w:left="688"/>
              <w:spacing w:after="0"/>
              <w:rPr>
                <w:sz w:val="20"/>
                <w:szCs w:val="20"/>
                <w:color w:val="auto"/>
              </w:rPr>
            </w:pPr>
            <w:r>
              <w:rPr>
                <w:rFonts w:ascii="Arial" w:cs="Arial" w:eastAsia="Arial" w:hAnsi="Arial"/>
                <w:sz w:val="14"/>
                <w:szCs w:val="14"/>
                <w:b w:val="1"/>
                <w:bCs w:val="1"/>
                <w:color w:val="auto"/>
              </w:rPr>
              <w:t>2022E</w:t>
            </w:r>
          </w:p>
        </w:tc>
        <w:tc>
          <w:tcPr>
            <w:tcW w:w="17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8"/>
              </w:rPr>
              <w:t>2022E</w:t>
            </w:r>
          </w:p>
        </w:tc>
        <w:tc>
          <w:tcPr>
            <w:tcW w:w="1620" w:type="dxa"/>
            <w:vAlign w:val="bottom"/>
            <w:gridSpan w:val="2"/>
          </w:tcPr>
          <w:p>
            <w:pPr>
              <w:jc w:val="center"/>
              <w:spacing w:after="0"/>
              <w:rPr>
                <w:sz w:val="20"/>
                <w:szCs w:val="20"/>
                <w:color w:val="auto"/>
              </w:rPr>
            </w:pPr>
            <w:r>
              <w:rPr>
                <w:rFonts w:ascii="Arial" w:cs="Arial" w:eastAsia="Arial" w:hAnsi="Arial"/>
                <w:sz w:val="14"/>
                <w:szCs w:val="14"/>
                <w:b w:val="1"/>
                <w:bCs w:val="1"/>
                <w:color w:val="auto"/>
              </w:rPr>
              <w:t>2022E</w:t>
            </w:r>
          </w:p>
        </w:tc>
        <w:tc>
          <w:tcPr>
            <w:tcW w:w="0" w:type="dxa"/>
            <w:vAlign w:val="bottom"/>
          </w:tcPr>
          <w:p>
            <w:pPr>
              <w:spacing w:after="0"/>
              <w:rPr>
                <w:sz w:val="1"/>
                <w:szCs w:val="1"/>
                <w:color w:val="auto"/>
              </w:rPr>
            </w:pPr>
          </w:p>
        </w:tc>
      </w:tr>
      <w:tr>
        <w:trPr>
          <w:trHeight w:val="192"/>
        </w:trPr>
        <w:tc>
          <w:tcPr>
            <w:tcW w:w="5220" w:type="dxa"/>
            <w:vAlign w:val="bottom"/>
            <w:tcBorders>
              <w:top w:val="single" w:sz="8" w:color="auto"/>
            </w:tcBorders>
          </w:tcPr>
          <w:p>
            <w:pPr>
              <w:ind w:left="140"/>
              <w:spacing w:after="0"/>
              <w:rPr>
                <w:sz w:val="20"/>
                <w:szCs w:val="20"/>
                <w:color w:val="auto"/>
              </w:rPr>
            </w:pPr>
            <w:r>
              <w:rPr>
                <w:rFonts w:ascii="Arial" w:cs="Arial" w:eastAsia="Arial" w:hAnsi="Arial"/>
                <w:sz w:val="14"/>
                <w:szCs w:val="14"/>
                <w:color w:val="auto"/>
              </w:rPr>
              <w:t>Net Total Production (MBoe/d)</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94</w:t>
            </w:r>
          </w:p>
        </w:tc>
        <w:tc>
          <w:tcPr>
            <w:tcW w:w="8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- 91</w:t>
            </w:r>
          </w:p>
        </w:tc>
        <w:tc>
          <w:tcPr>
            <w:tcW w:w="12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94</w:t>
            </w:r>
          </w:p>
        </w:tc>
        <w:tc>
          <w:tcPr>
            <w:tcW w:w="8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- 91</w:t>
            </w:r>
          </w:p>
        </w:tc>
        <w:tc>
          <w:tcPr>
            <w:tcW w:w="0" w:type="dxa"/>
            <w:vAlign w:val="bottom"/>
          </w:tcPr>
          <w:p>
            <w:pPr>
              <w:spacing w:after="0"/>
              <w:rPr>
                <w:sz w:val="1"/>
                <w:szCs w:val="1"/>
                <w:color w:val="auto"/>
              </w:rPr>
            </w:pPr>
          </w:p>
        </w:tc>
      </w:tr>
      <w:tr>
        <w:trPr>
          <w:trHeight w:val="207"/>
        </w:trPr>
        <w:tc>
          <w:tcPr>
            <w:tcW w:w="5220" w:type="dxa"/>
            <w:vAlign w:val="bottom"/>
            <w:shd w:val="clear" w:color="auto" w:fill="DBDBDB"/>
          </w:tcPr>
          <w:p>
            <w:pPr>
              <w:ind w:left="140"/>
              <w:spacing w:after="0"/>
              <w:rPr>
                <w:sz w:val="20"/>
                <w:szCs w:val="20"/>
                <w:color w:val="auto"/>
              </w:rPr>
            </w:pPr>
            <w:r>
              <w:rPr>
                <w:rFonts w:ascii="Arial" w:cs="Arial" w:eastAsia="Arial" w:hAnsi="Arial"/>
                <w:sz w:val="14"/>
                <w:szCs w:val="14"/>
                <w:color w:val="auto"/>
              </w:rPr>
              <w:t>Net Oil Production (MBbl/d)</w:t>
            </w:r>
          </w:p>
        </w:tc>
        <w:tc>
          <w:tcPr>
            <w:tcW w:w="1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58</w:t>
            </w:r>
          </w:p>
        </w:tc>
        <w:tc>
          <w:tcPr>
            <w:tcW w:w="840" w:type="dxa"/>
            <w:vAlign w:val="bottom"/>
            <w:shd w:val="clear" w:color="auto" w:fill="DBDBDB"/>
          </w:tcPr>
          <w:p>
            <w:pPr>
              <w:ind w:left="20"/>
              <w:spacing w:after="0"/>
              <w:rPr>
                <w:sz w:val="20"/>
                <w:szCs w:val="20"/>
                <w:color w:val="auto"/>
              </w:rPr>
            </w:pPr>
            <w:r>
              <w:rPr>
                <w:rFonts w:ascii="Arial" w:cs="Arial" w:eastAsia="Arial" w:hAnsi="Arial"/>
                <w:sz w:val="14"/>
                <w:szCs w:val="14"/>
                <w:color w:val="auto"/>
              </w:rPr>
              <w:t>- 53</w:t>
            </w:r>
          </w:p>
        </w:tc>
        <w:tc>
          <w:tcPr>
            <w:tcW w:w="12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58</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- 53</w:t>
            </w:r>
          </w:p>
        </w:tc>
        <w:tc>
          <w:tcPr>
            <w:tcW w:w="0" w:type="dxa"/>
            <w:vAlign w:val="bottom"/>
          </w:tcPr>
          <w:p>
            <w:pPr>
              <w:spacing w:after="0"/>
              <w:rPr>
                <w:sz w:val="1"/>
                <w:szCs w:val="1"/>
                <w:color w:val="auto"/>
              </w:rPr>
            </w:pPr>
          </w:p>
        </w:tc>
      </w:tr>
      <w:tr>
        <w:trPr>
          <w:trHeight w:val="198"/>
        </w:trPr>
        <w:tc>
          <w:tcPr>
            <w:tcW w:w="5220" w:type="dxa"/>
            <w:vAlign w:val="bottom"/>
          </w:tcPr>
          <w:p>
            <w:pPr>
              <w:ind w:left="140"/>
              <w:spacing w:after="0"/>
              <w:rPr>
                <w:sz w:val="20"/>
                <w:szCs w:val="20"/>
                <w:color w:val="auto"/>
              </w:rPr>
            </w:pPr>
            <w:r>
              <w:rPr>
                <w:rFonts w:ascii="Arial" w:cs="Arial" w:eastAsia="Arial" w:hAnsi="Arial"/>
                <w:sz w:val="14"/>
                <w:szCs w:val="14"/>
                <w:color w:val="auto"/>
              </w:rPr>
              <w:t>Operating Costs ($ millions)</w:t>
            </w:r>
          </w:p>
        </w:tc>
        <w:tc>
          <w:tcPr>
            <w:tcW w:w="1620" w:type="dxa"/>
            <w:vAlign w:val="bottom"/>
          </w:tcPr>
          <w:p>
            <w:pPr>
              <w:jc w:val="right"/>
              <w:spacing w:after="0"/>
              <w:rPr>
                <w:sz w:val="20"/>
                <w:szCs w:val="20"/>
                <w:color w:val="auto"/>
              </w:rPr>
            </w:pPr>
            <w:r>
              <w:rPr>
                <w:rFonts w:ascii="Arial" w:cs="Arial" w:eastAsia="Arial" w:hAnsi="Arial"/>
                <w:sz w:val="14"/>
                <w:szCs w:val="14"/>
                <w:color w:val="auto"/>
              </w:rPr>
              <w:t>$760</w:t>
            </w:r>
          </w:p>
        </w:tc>
        <w:tc>
          <w:tcPr>
            <w:tcW w:w="840" w:type="dxa"/>
            <w:vAlign w:val="bottom"/>
          </w:tcPr>
          <w:p>
            <w:pPr>
              <w:ind w:left="20"/>
              <w:spacing w:after="0"/>
              <w:rPr>
                <w:sz w:val="20"/>
                <w:szCs w:val="20"/>
                <w:color w:val="auto"/>
              </w:rPr>
            </w:pPr>
            <w:r>
              <w:rPr>
                <w:rFonts w:ascii="Arial" w:cs="Arial" w:eastAsia="Arial" w:hAnsi="Arial"/>
                <w:sz w:val="14"/>
                <w:szCs w:val="14"/>
                <w:color w:val="auto"/>
              </w:rPr>
              <w:t>- $790</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$760</w:t>
            </w:r>
          </w:p>
        </w:tc>
        <w:tc>
          <w:tcPr>
            <w:tcW w:w="860" w:type="dxa"/>
            <w:vAlign w:val="bottom"/>
          </w:tcPr>
          <w:p>
            <w:pPr>
              <w:ind w:left="20"/>
              <w:spacing w:after="0"/>
              <w:rPr>
                <w:sz w:val="20"/>
                <w:szCs w:val="20"/>
                <w:color w:val="auto"/>
              </w:rPr>
            </w:pPr>
            <w:r>
              <w:rPr>
                <w:rFonts w:ascii="Arial" w:cs="Arial" w:eastAsia="Arial" w:hAnsi="Arial"/>
                <w:sz w:val="14"/>
                <w:szCs w:val="14"/>
                <w:color w:val="auto"/>
              </w:rPr>
              <w:t>- $790</w:t>
            </w:r>
          </w:p>
        </w:tc>
        <w:tc>
          <w:tcPr>
            <w:tcW w:w="0" w:type="dxa"/>
            <w:vAlign w:val="bottom"/>
          </w:tcPr>
          <w:p>
            <w:pPr>
              <w:spacing w:after="0"/>
              <w:rPr>
                <w:sz w:val="1"/>
                <w:szCs w:val="1"/>
                <w:color w:val="auto"/>
              </w:rPr>
            </w:pPr>
          </w:p>
        </w:tc>
      </w:tr>
      <w:tr>
        <w:trPr>
          <w:trHeight w:val="207"/>
        </w:trPr>
        <w:tc>
          <w:tcPr>
            <w:tcW w:w="5220" w:type="dxa"/>
            <w:vAlign w:val="bottom"/>
            <w:shd w:val="clear" w:color="auto" w:fill="DBDBDB"/>
          </w:tcPr>
          <w:p>
            <w:pPr>
              <w:ind w:left="140"/>
              <w:spacing w:after="0"/>
              <w:rPr>
                <w:sz w:val="20"/>
                <w:szCs w:val="20"/>
                <w:color w:val="auto"/>
              </w:rPr>
            </w:pPr>
            <w:r>
              <w:rPr>
                <w:rFonts w:ascii="Arial" w:cs="Arial" w:eastAsia="Arial" w:hAnsi="Arial"/>
                <w:sz w:val="14"/>
                <w:szCs w:val="14"/>
                <w:color w:val="auto"/>
              </w:rPr>
              <w:t>CMB Expenses</w:t>
            </w:r>
            <w:r>
              <w:rPr>
                <w:rFonts w:ascii="Arial" w:cs="Arial" w:eastAsia="Arial" w:hAnsi="Arial"/>
                <w:sz w:val="18"/>
                <w:szCs w:val="18"/>
                <w:color w:val="auto"/>
                <w:vertAlign w:val="superscript"/>
              </w:rPr>
              <w:t>4</w:t>
            </w:r>
            <w:r>
              <w:rPr>
                <w:rFonts w:ascii="Arial" w:cs="Arial" w:eastAsia="Arial" w:hAnsi="Arial"/>
                <w:sz w:val="14"/>
                <w:szCs w:val="14"/>
                <w:color w:val="auto"/>
              </w:rPr>
              <w:t xml:space="preserve"> ($ millions)</w:t>
            </w:r>
          </w:p>
        </w:tc>
        <w:tc>
          <w:tcPr>
            <w:tcW w:w="1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w:t>
            </w:r>
          </w:p>
        </w:tc>
        <w:tc>
          <w:tcPr>
            <w:tcW w:w="840" w:type="dxa"/>
            <w:vAlign w:val="bottom"/>
            <w:shd w:val="clear" w:color="auto" w:fill="DBDBDB"/>
          </w:tcPr>
          <w:p>
            <w:pPr>
              <w:ind w:left="20"/>
              <w:spacing w:after="0"/>
              <w:rPr>
                <w:sz w:val="20"/>
                <w:szCs w:val="20"/>
                <w:color w:val="auto"/>
              </w:rPr>
            </w:pPr>
            <w:r>
              <w:rPr>
                <w:rFonts w:ascii="Arial" w:cs="Arial" w:eastAsia="Arial" w:hAnsi="Arial"/>
                <w:sz w:val="14"/>
                <w:szCs w:val="14"/>
                <w:color w:val="auto"/>
              </w:rPr>
              <w:t>- $20</w:t>
            </w:r>
          </w:p>
        </w:tc>
        <w:tc>
          <w:tcPr>
            <w:tcW w:w="120" w:type="dxa"/>
            <w:vAlign w:val="bottom"/>
            <w:shd w:val="clear" w:color="auto" w:fill="DBDBDB"/>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w:t>
            </w:r>
          </w:p>
        </w:tc>
        <w:tc>
          <w:tcPr>
            <w:tcW w:w="840" w:type="dxa"/>
            <w:vAlign w:val="bottom"/>
            <w:shd w:val="clear" w:color="auto" w:fill="DBDBDB"/>
          </w:tcPr>
          <w:p>
            <w:pPr>
              <w:ind w:left="20"/>
              <w:spacing w:after="0"/>
              <w:rPr>
                <w:sz w:val="20"/>
                <w:szCs w:val="20"/>
                <w:color w:val="auto"/>
              </w:rPr>
            </w:pPr>
            <w:r>
              <w:rPr>
                <w:rFonts w:ascii="Arial" w:cs="Arial" w:eastAsia="Arial" w:hAnsi="Arial"/>
                <w:sz w:val="14"/>
                <w:szCs w:val="14"/>
                <w:color w:val="auto"/>
              </w:rPr>
              <w:t>- $20</w:t>
            </w:r>
          </w:p>
        </w:tc>
        <w:tc>
          <w:tcPr>
            <w:tcW w:w="12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8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20" w:type="dxa"/>
            <w:vAlign w:val="bottom"/>
          </w:tcPr>
          <w:p>
            <w:pPr>
              <w:ind w:left="140"/>
              <w:spacing w:after="0" w:line="202" w:lineRule="exact"/>
              <w:rPr>
                <w:sz w:val="20"/>
                <w:szCs w:val="20"/>
                <w:color w:val="auto"/>
              </w:rPr>
            </w:pPr>
            <w:r>
              <w:rPr>
                <w:rFonts w:ascii="Arial" w:cs="Arial" w:eastAsia="Arial" w:hAnsi="Arial"/>
                <w:sz w:val="14"/>
                <w:szCs w:val="14"/>
                <w:color w:val="auto"/>
              </w:rPr>
              <w:t>Adjusted General and Administrative Expenses</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 millions)</w:t>
            </w:r>
          </w:p>
        </w:tc>
        <w:tc>
          <w:tcPr>
            <w:tcW w:w="1620" w:type="dxa"/>
            <w:vAlign w:val="bottom"/>
          </w:tcPr>
          <w:p>
            <w:pPr>
              <w:jc w:val="right"/>
              <w:spacing w:after="0"/>
              <w:rPr>
                <w:sz w:val="20"/>
                <w:szCs w:val="20"/>
                <w:color w:val="auto"/>
              </w:rPr>
            </w:pPr>
            <w:r>
              <w:rPr>
                <w:rFonts w:ascii="Arial" w:cs="Arial" w:eastAsia="Arial" w:hAnsi="Arial"/>
                <w:sz w:val="14"/>
                <w:szCs w:val="14"/>
                <w:color w:val="auto"/>
              </w:rPr>
              <w:t>$195</w:t>
            </w:r>
          </w:p>
        </w:tc>
        <w:tc>
          <w:tcPr>
            <w:tcW w:w="840" w:type="dxa"/>
            <w:vAlign w:val="bottom"/>
          </w:tcPr>
          <w:p>
            <w:pPr>
              <w:ind w:left="20"/>
              <w:spacing w:after="0"/>
              <w:rPr>
                <w:sz w:val="20"/>
                <w:szCs w:val="20"/>
                <w:color w:val="auto"/>
              </w:rPr>
            </w:pPr>
            <w:r>
              <w:rPr>
                <w:rFonts w:ascii="Arial" w:cs="Arial" w:eastAsia="Arial" w:hAnsi="Arial"/>
                <w:sz w:val="14"/>
                <w:szCs w:val="14"/>
                <w:color w:val="auto"/>
              </w:rPr>
              <w:t>- $210</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w:t>
            </w:r>
          </w:p>
        </w:tc>
        <w:tc>
          <w:tcPr>
            <w:tcW w:w="840" w:type="dxa"/>
            <w:vAlign w:val="bottom"/>
          </w:tcPr>
          <w:p>
            <w:pPr>
              <w:ind w:left="20"/>
              <w:spacing w:after="0"/>
              <w:rPr>
                <w:sz w:val="20"/>
                <w:szCs w:val="20"/>
                <w:color w:val="auto"/>
              </w:rPr>
            </w:pPr>
            <w:r>
              <w:rPr>
                <w:rFonts w:ascii="Arial" w:cs="Arial" w:eastAsia="Arial" w:hAnsi="Arial"/>
                <w:sz w:val="14"/>
                <w:szCs w:val="14"/>
                <w:color w:val="auto"/>
              </w:rPr>
              <w:t>- $15</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$185</w:t>
            </w:r>
          </w:p>
        </w:tc>
        <w:tc>
          <w:tcPr>
            <w:tcW w:w="860" w:type="dxa"/>
            <w:vAlign w:val="bottom"/>
          </w:tcPr>
          <w:p>
            <w:pPr>
              <w:ind w:left="20"/>
              <w:spacing w:after="0"/>
              <w:rPr>
                <w:sz w:val="20"/>
                <w:szCs w:val="20"/>
                <w:color w:val="auto"/>
              </w:rPr>
            </w:pPr>
            <w:r>
              <w:rPr>
                <w:rFonts w:ascii="Arial" w:cs="Arial" w:eastAsia="Arial" w:hAnsi="Arial"/>
                <w:sz w:val="14"/>
                <w:szCs w:val="14"/>
                <w:color w:val="auto"/>
              </w:rPr>
              <w:t>- $195</w:t>
            </w:r>
          </w:p>
        </w:tc>
        <w:tc>
          <w:tcPr>
            <w:tcW w:w="0" w:type="dxa"/>
            <w:vAlign w:val="bottom"/>
          </w:tcPr>
          <w:p>
            <w:pPr>
              <w:spacing w:after="0"/>
              <w:rPr>
                <w:sz w:val="1"/>
                <w:szCs w:val="1"/>
                <w:color w:val="auto"/>
              </w:rPr>
            </w:pPr>
          </w:p>
        </w:tc>
      </w:tr>
      <w:tr>
        <w:trPr>
          <w:trHeight w:val="203"/>
        </w:trPr>
        <w:tc>
          <w:tcPr>
            <w:tcW w:w="5220" w:type="dxa"/>
            <w:vAlign w:val="bottom"/>
            <w:shd w:val="clear" w:color="auto" w:fill="DBDBDB"/>
          </w:tcPr>
          <w:p>
            <w:pPr>
              <w:ind w:left="140"/>
              <w:spacing w:after="0"/>
              <w:rPr>
                <w:sz w:val="20"/>
                <w:szCs w:val="20"/>
                <w:color w:val="auto"/>
              </w:rPr>
            </w:pPr>
            <w:r>
              <w:rPr>
                <w:rFonts w:ascii="Arial" w:cs="Arial" w:eastAsia="Arial" w:hAnsi="Arial"/>
                <w:sz w:val="14"/>
                <w:szCs w:val="14"/>
                <w:color w:val="auto"/>
              </w:rPr>
              <w:t>Total Capital ($ millions)</w:t>
            </w:r>
          </w:p>
        </w:tc>
        <w:tc>
          <w:tcPr>
            <w:tcW w:w="1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$380</w:t>
            </w:r>
          </w:p>
        </w:tc>
        <w:tc>
          <w:tcPr>
            <w:tcW w:w="840" w:type="dxa"/>
            <w:vAlign w:val="bottom"/>
            <w:shd w:val="clear" w:color="auto" w:fill="DBDBDB"/>
          </w:tcPr>
          <w:p>
            <w:pPr>
              <w:ind w:left="20"/>
              <w:spacing w:after="0"/>
              <w:rPr>
                <w:sz w:val="20"/>
                <w:szCs w:val="20"/>
                <w:color w:val="auto"/>
              </w:rPr>
            </w:pPr>
            <w:r>
              <w:rPr>
                <w:rFonts w:ascii="Arial" w:cs="Arial" w:eastAsia="Arial" w:hAnsi="Arial"/>
                <w:sz w:val="14"/>
                <w:szCs w:val="14"/>
                <w:color w:val="auto"/>
              </w:rPr>
              <w:t>- $400</w:t>
            </w:r>
          </w:p>
        </w:tc>
        <w:tc>
          <w:tcPr>
            <w:tcW w:w="120" w:type="dxa"/>
            <w:vAlign w:val="bottom"/>
            <w:shd w:val="clear" w:color="auto" w:fill="DBDBDB"/>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$20</w:t>
            </w:r>
          </w:p>
        </w:tc>
        <w:tc>
          <w:tcPr>
            <w:tcW w:w="840" w:type="dxa"/>
            <w:vAlign w:val="bottom"/>
            <w:shd w:val="clear" w:color="auto" w:fill="DBDBDB"/>
          </w:tcPr>
          <w:p>
            <w:pPr>
              <w:ind w:left="20"/>
              <w:spacing w:after="0"/>
              <w:rPr>
                <w:sz w:val="20"/>
                <w:szCs w:val="20"/>
                <w:color w:val="auto"/>
              </w:rPr>
            </w:pPr>
            <w:r>
              <w:rPr>
                <w:rFonts w:ascii="Arial" w:cs="Arial" w:eastAsia="Arial" w:hAnsi="Arial"/>
                <w:sz w:val="14"/>
                <w:szCs w:val="14"/>
                <w:color w:val="auto"/>
              </w:rPr>
              <w:t>- $30</w:t>
            </w:r>
          </w:p>
        </w:tc>
        <w:tc>
          <w:tcPr>
            <w:tcW w:w="120" w:type="dxa"/>
            <w:vAlign w:val="bottom"/>
            <w:shd w:val="clear" w:color="auto" w:fill="DBDBDB"/>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$360</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$370</w:t>
            </w:r>
          </w:p>
        </w:tc>
        <w:tc>
          <w:tcPr>
            <w:tcW w:w="0" w:type="dxa"/>
            <w:vAlign w:val="bottom"/>
          </w:tcPr>
          <w:p>
            <w:pPr>
              <w:spacing w:after="0"/>
              <w:rPr>
                <w:sz w:val="1"/>
                <w:szCs w:val="1"/>
                <w:color w:val="auto"/>
              </w:rPr>
            </w:pPr>
          </w:p>
        </w:tc>
      </w:tr>
      <w:tr>
        <w:trPr>
          <w:trHeight w:val="198"/>
        </w:trPr>
        <w:tc>
          <w:tcPr>
            <w:tcW w:w="5220" w:type="dxa"/>
            <w:vAlign w:val="bottom"/>
          </w:tcPr>
          <w:p>
            <w:pPr>
              <w:ind w:left="260"/>
              <w:spacing w:after="0"/>
              <w:rPr>
                <w:sz w:val="20"/>
                <w:szCs w:val="20"/>
                <w:color w:val="auto"/>
              </w:rPr>
            </w:pPr>
            <w:r>
              <w:rPr>
                <w:rFonts w:ascii="Arial" w:cs="Arial" w:eastAsia="Arial" w:hAnsi="Arial"/>
                <w:sz w:val="14"/>
                <w:szCs w:val="14"/>
                <w:i w:val="1"/>
                <w:iCs w:val="1"/>
                <w:color w:val="auto"/>
              </w:rPr>
              <w:t>Drilling &amp; Completions</w:t>
            </w:r>
          </w:p>
        </w:tc>
        <w:tc>
          <w:tcPr>
            <w:tcW w:w="1620" w:type="dxa"/>
            <w:vAlign w:val="bottom"/>
          </w:tcPr>
          <w:p>
            <w:pPr>
              <w:jc w:val="right"/>
              <w:spacing w:after="0"/>
              <w:rPr>
                <w:sz w:val="20"/>
                <w:szCs w:val="20"/>
                <w:color w:val="auto"/>
              </w:rPr>
            </w:pPr>
            <w:r>
              <w:rPr>
                <w:rFonts w:ascii="Arial" w:cs="Arial" w:eastAsia="Arial" w:hAnsi="Arial"/>
                <w:sz w:val="14"/>
                <w:szCs w:val="14"/>
                <w:i w:val="1"/>
                <w:iCs w:val="1"/>
                <w:color w:val="auto"/>
              </w:rPr>
              <w:t>$232</w:t>
            </w:r>
          </w:p>
        </w:tc>
        <w:tc>
          <w:tcPr>
            <w:tcW w:w="840" w:type="dxa"/>
            <w:vAlign w:val="bottom"/>
          </w:tcPr>
          <w:p>
            <w:pPr>
              <w:ind w:left="20"/>
              <w:spacing w:after="0"/>
              <w:rPr>
                <w:sz w:val="20"/>
                <w:szCs w:val="20"/>
                <w:color w:val="auto"/>
              </w:rPr>
            </w:pPr>
            <w:r>
              <w:rPr>
                <w:rFonts w:ascii="Arial" w:cs="Arial" w:eastAsia="Arial" w:hAnsi="Arial"/>
                <w:sz w:val="14"/>
                <w:szCs w:val="14"/>
                <w:i w:val="1"/>
                <w:iCs w:val="1"/>
                <w:color w:val="auto"/>
              </w:rPr>
              <w:t>- $235</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i w:val="1"/>
                <w:iCs w:val="1"/>
                <w:color w:val="auto"/>
              </w:rPr>
              <w:t>$232</w:t>
            </w:r>
          </w:p>
        </w:tc>
        <w:tc>
          <w:tcPr>
            <w:tcW w:w="860" w:type="dxa"/>
            <w:vAlign w:val="bottom"/>
          </w:tcPr>
          <w:p>
            <w:pPr>
              <w:ind w:left="20"/>
              <w:spacing w:after="0"/>
              <w:rPr>
                <w:sz w:val="20"/>
                <w:szCs w:val="20"/>
                <w:color w:val="auto"/>
              </w:rPr>
            </w:pPr>
            <w:r>
              <w:rPr>
                <w:rFonts w:ascii="Arial" w:cs="Arial" w:eastAsia="Arial" w:hAnsi="Arial"/>
                <w:sz w:val="14"/>
                <w:szCs w:val="14"/>
                <w:i w:val="1"/>
                <w:iCs w:val="1"/>
                <w:color w:val="auto"/>
              </w:rPr>
              <w:t>- $235</w:t>
            </w:r>
          </w:p>
        </w:tc>
        <w:tc>
          <w:tcPr>
            <w:tcW w:w="0" w:type="dxa"/>
            <w:vAlign w:val="bottom"/>
          </w:tcPr>
          <w:p>
            <w:pPr>
              <w:spacing w:after="0"/>
              <w:rPr>
                <w:sz w:val="1"/>
                <w:szCs w:val="1"/>
                <w:color w:val="auto"/>
              </w:rPr>
            </w:pPr>
          </w:p>
        </w:tc>
      </w:tr>
      <w:tr>
        <w:trPr>
          <w:trHeight w:val="207"/>
        </w:trPr>
        <w:tc>
          <w:tcPr>
            <w:tcW w:w="5220" w:type="dxa"/>
            <w:vAlign w:val="bottom"/>
            <w:shd w:val="clear" w:color="auto" w:fill="DBDBDB"/>
          </w:tcPr>
          <w:p>
            <w:pPr>
              <w:ind w:left="260"/>
              <w:spacing w:after="0"/>
              <w:rPr>
                <w:sz w:val="20"/>
                <w:szCs w:val="20"/>
                <w:color w:val="auto"/>
              </w:rPr>
            </w:pPr>
            <w:r>
              <w:rPr>
                <w:rFonts w:ascii="Arial" w:cs="Arial" w:eastAsia="Arial" w:hAnsi="Arial"/>
                <w:sz w:val="14"/>
                <w:szCs w:val="14"/>
                <w:i w:val="1"/>
                <w:iCs w:val="1"/>
                <w:color w:val="auto"/>
              </w:rPr>
              <w:t>Workovers</w:t>
            </w:r>
          </w:p>
        </w:tc>
        <w:tc>
          <w:tcPr>
            <w:tcW w:w="1620" w:type="dxa"/>
            <w:vAlign w:val="bottom"/>
            <w:shd w:val="clear" w:color="auto" w:fill="DBDBDB"/>
          </w:tcPr>
          <w:p>
            <w:pPr>
              <w:jc w:val="right"/>
              <w:spacing w:after="0"/>
              <w:rPr>
                <w:sz w:val="20"/>
                <w:szCs w:val="20"/>
                <w:color w:val="auto"/>
              </w:rPr>
            </w:pPr>
            <w:r>
              <w:rPr>
                <w:rFonts w:ascii="Arial" w:cs="Arial" w:eastAsia="Arial" w:hAnsi="Arial"/>
                <w:sz w:val="14"/>
                <w:szCs w:val="14"/>
                <w:i w:val="1"/>
                <w:iCs w:val="1"/>
                <w:color w:val="auto"/>
              </w:rPr>
              <w:t>$36</w:t>
            </w:r>
          </w:p>
        </w:tc>
        <w:tc>
          <w:tcPr>
            <w:tcW w:w="840" w:type="dxa"/>
            <w:vAlign w:val="bottom"/>
            <w:shd w:val="clear" w:color="auto" w:fill="DBDBDB"/>
          </w:tcPr>
          <w:p>
            <w:pPr>
              <w:ind w:left="20"/>
              <w:spacing w:after="0"/>
              <w:rPr>
                <w:sz w:val="20"/>
                <w:szCs w:val="20"/>
                <w:color w:val="auto"/>
              </w:rPr>
            </w:pPr>
            <w:r>
              <w:rPr>
                <w:rFonts w:ascii="Arial" w:cs="Arial" w:eastAsia="Arial" w:hAnsi="Arial"/>
                <w:sz w:val="14"/>
                <w:szCs w:val="14"/>
                <w:i w:val="1"/>
                <w:iCs w:val="1"/>
                <w:color w:val="auto"/>
              </w:rPr>
              <w:t>- $38</w:t>
            </w:r>
          </w:p>
        </w:tc>
        <w:tc>
          <w:tcPr>
            <w:tcW w:w="12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i w:val="1"/>
                <w:iCs w:val="1"/>
                <w:color w:val="auto"/>
              </w:rPr>
              <w:t>$36</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i w:val="1"/>
                <w:iCs w:val="1"/>
                <w:color w:val="auto"/>
              </w:rPr>
              <w:t>- $38</w:t>
            </w:r>
          </w:p>
        </w:tc>
        <w:tc>
          <w:tcPr>
            <w:tcW w:w="0" w:type="dxa"/>
            <w:vAlign w:val="bottom"/>
          </w:tcPr>
          <w:p>
            <w:pPr>
              <w:spacing w:after="0"/>
              <w:rPr>
                <w:sz w:val="1"/>
                <w:szCs w:val="1"/>
                <w:color w:val="auto"/>
              </w:rPr>
            </w:pPr>
          </w:p>
        </w:tc>
      </w:tr>
      <w:tr>
        <w:trPr>
          <w:trHeight w:val="198"/>
        </w:trPr>
        <w:tc>
          <w:tcPr>
            <w:tcW w:w="5220" w:type="dxa"/>
            <w:vAlign w:val="bottom"/>
          </w:tcPr>
          <w:p>
            <w:pPr>
              <w:ind w:left="260"/>
              <w:spacing w:after="0"/>
              <w:rPr>
                <w:sz w:val="20"/>
                <w:szCs w:val="20"/>
                <w:color w:val="auto"/>
              </w:rPr>
            </w:pPr>
            <w:r>
              <w:rPr>
                <w:rFonts w:ascii="Arial" w:cs="Arial" w:eastAsia="Arial" w:hAnsi="Arial"/>
                <w:sz w:val="14"/>
                <w:szCs w:val="14"/>
                <w:i w:val="1"/>
                <w:iCs w:val="1"/>
                <w:color w:val="auto"/>
              </w:rPr>
              <w:t>Facilities</w:t>
            </w:r>
          </w:p>
        </w:tc>
        <w:tc>
          <w:tcPr>
            <w:tcW w:w="1620" w:type="dxa"/>
            <w:vAlign w:val="bottom"/>
          </w:tcPr>
          <w:p>
            <w:pPr>
              <w:jc w:val="right"/>
              <w:spacing w:after="0"/>
              <w:rPr>
                <w:sz w:val="20"/>
                <w:szCs w:val="20"/>
                <w:color w:val="auto"/>
              </w:rPr>
            </w:pPr>
            <w:r>
              <w:rPr>
                <w:rFonts w:ascii="Arial" w:cs="Arial" w:eastAsia="Arial" w:hAnsi="Arial"/>
                <w:sz w:val="14"/>
                <w:szCs w:val="14"/>
                <w:i w:val="1"/>
                <w:iCs w:val="1"/>
                <w:color w:val="auto"/>
              </w:rPr>
              <w:t>$63</w:t>
            </w:r>
          </w:p>
        </w:tc>
        <w:tc>
          <w:tcPr>
            <w:tcW w:w="840" w:type="dxa"/>
            <w:vAlign w:val="bottom"/>
          </w:tcPr>
          <w:p>
            <w:pPr>
              <w:ind w:left="20"/>
              <w:spacing w:after="0"/>
              <w:rPr>
                <w:sz w:val="20"/>
                <w:szCs w:val="20"/>
                <w:color w:val="auto"/>
              </w:rPr>
            </w:pPr>
            <w:r>
              <w:rPr>
                <w:rFonts w:ascii="Arial" w:cs="Arial" w:eastAsia="Arial" w:hAnsi="Arial"/>
                <w:sz w:val="14"/>
                <w:szCs w:val="14"/>
                <w:i w:val="1"/>
                <w:iCs w:val="1"/>
                <w:color w:val="auto"/>
              </w:rPr>
              <w:t>- $65</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i w:val="1"/>
                <w:iCs w:val="1"/>
                <w:color w:val="auto"/>
              </w:rPr>
              <w:t>$63</w:t>
            </w:r>
          </w:p>
        </w:tc>
        <w:tc>
          <w:tcPr>
            <w:tcW w:w="860" w:type="dxa"/>
            <w:vAlign w:val="bottom"/>
          </w:tcPr>
          <w:p>
            <w:pPr>
              <w:ind w:left="20"/>
              <w:spacing w:after="0"/>
              <w:rPr>
                <w:sz w:val="20"/>
                <w:szCs w:val="20"/>
                <w:color w:val="auto"/>
              </w:rPr>
            </w:pPr>
            <w:r>
              <w:rPr>
                <w:rFonts w:ascii="Arial" w:cs="Arial" w:eastAsia="Arial" w:hAnsi="Arial"/>
                <w:sz w:val="14"/>
                <w:szCs w:val="14"/>
                <w:i w:val="1"/>
                <w:iCs w:val="1"/>
                <w:color w:val="auto"/>
              </w:rPr>
              <w:t>- $65</w:t>
            </w:r>
          </w:p>
        </w:tc>
        <w:tc>
          <w:tcPr>
            <w:tcW w:w="0" w:type="dxa"/>
            <w:vAlign w:val="bottom"/>
          </w:tcPr>
          <w:p>
            <w:pPr>
              <w:spacing w:after="0"/>
              <w:rPr>
                <w:sz w:val="1"/>
                <w:szCs w:val="1"/>
                <w:color w:val="auto"/>
              </w:rPr>
            </w:pPr>
          </w:p>
        </w:tc>
      </w:tr>
      <w:tr>
        <w:trPr>
          <w:trHeight w:val="207"/>
        </w:trPr>
        <w:tc>
          <w:tcPr>
            <w:tcW w:w="5220" w:type="dxa"/>
            <w:vAlign w:val="bottom"/>
            <w:shd w:val="clear" w:color="auto" w:fill="DBDBDB"/>
          </w:tcPr>
          <w:p>
            <w:pPr>
              <w:ind w:left="260"/>
              <w:spacing w:after="0"/>
              <w:rPr>
                <w:sz w:val="20"/>
                <w:szCs w:val="20"/>
                <w:color w:val="auto"/>
              </w:rPr>
            </w:pPr>
            <w:r>
              <w:rPr>
                <w:rFonts w:ascii="Arial" w:cs="Arial" w:eastAsia="Arial" w:hAnsi="Arial"/>
                <w:sz w:val="14"/>
                <w:szCs w:val="14"/>
                <w:i w:val="1"/>
                <w:iCs w:val="1"/>
                <w:color w:val="auto"/>
              </w:rPr>
              <w:t>Corporate &amp; Other</w:t>
            </w:r>
          </w:p>
        </w:tc>
        <w:tc>
          <w:tcPr>
            <w:tcW w:w="1620" w:type="dxa"/>
            <w:vAlign w:val="bottom"/>
            <w:shd w:val="clear" w:color="auto" w:fill="DBDBDB"/>
          </w:tcPr>
          <w:p>
            <w:pPr>
              <w:jc w:val="right"/>
              <w:spacing w:after="0"/>
              <w:rPr>
                <w:sz w:val="20"/>
                <w:szCs w:val="20"/>
                <w:color w:val="auto"/>
              </w:rPr>
            </w:pPr>
            <w:r>
              <w:rPr>
                <w:rFonts w:ascii="Arial" w:cs="Arial" w:eastAsia="Arial" w:hAnsi="Arial"/>
                <w:sz w:val="14"/>
                <w:szCs w:val="14"/>
                <w:i w:val="1"/>
                <w:iCs w:val="1"/>
                <w:color w:val="auto"/>
              </w:rPr>
              <w:t>$29</w:t>
            </w:r>
          </w:p>
        </w:tc>
        <w:tc>
          <w:tcPr>
            <w:tcW w:w="840" w:type="dxa"/>
            <w:vAlign w:val="bottom"/>
            <w:shd w:val="clear" w:color="auto" w:fill="DBDBDB"/>
          </w:tcPr>
          <w:p>
            <w:pPr>
              <w:ind w:left="20"/>
              <w:spacing w:after="0"/>
              <w:rPr>
                <w:sz w:val="20"/>
                <w:szCs w:val="20"/>
                <w:color w:val="auto"/>
              </w:rPr>
            </w:pPr>
            <w:r>
              <w:rPr>
                <w:rFonts w:ascii="Arial" w:cs="Arial" w:eastAsia="Arial" w:hAnsi="Arial"/>
                <w:sz w:val="14"/>
                <w:szCs w:val="14"/>
                <w:i w:val="1"/>
                <w:iCs w:val="1"/>
                <w:color w:val="auto"/>
              </w:rPr>
              <w:t>- $32</w:t>
            </w:r>
          </w:p>
        </w:tc>
        <w:tc>
          <w:tcPr>
            <w:tcW w:w="120" w:type="dxa"/>
            <w:vAlign w:val="bottom"/>
            <w:shd w:val="clear" w:color="auto" w:fill="DBDBDB"/>
          </w:tcPr>
          <w:p>
            <w:pPr>
              <w:spacing w:after="0"/>
              <w:rPr>
                <w:sz w:val="17"/>
                <w:szCs w:val="17"/>
                <w:color w:val="auto"/>
              </w:rPr>
            </w:pPr>
          </w:p>
        </w:tc>
        <w:tc>
          <w:tcPr>
            <w:tcW w:w="76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i w:val="1"/>
                <w:iCs w:val="1"/>
                <w:color w:val="auto"/>
              </w:rPr>
              <w:t>$29</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i w:val="1"/>
                <w:iCs w:val="1"/>
                <w:color w:val="auto"/>
              </w:rPr>
              <w:t>- $32</w:t>
            </w:r>
          </w:p>
        </w:tc>
        <w:tc>
          <w:tcPr>
            <w:tcW w:w="0" w:type="dxa"/>
            <w:vAlign w:val="bottom"/>
          </w:tcPr>
          <w:p>
            <w:pPr>
              <w:spacing w:after="0"/>
              <w:rPr>
                <w:sz w:val="1"/>
                <w:szCs w:val="1"/>
                <w:color w:val="auto"/>
              </w:rPr>
            </w:pPr>
          </w:p>
        </w:tc>
      </w:tr>
      <w:tr>
        <w:trPr>
          <w:trHeight w:val="198"/>
        </w:trPr>
        <w:tc>
          <w:tcPr>
            <w:tcW w:w="5220" w:type="dxa"/>
            <w:vAlign w:val="bottom"/>
          </w:tcPr>
          <w:p>
            <w:pPr>
              <w:ind w:left="260"/>
              <w:spacing w:after="0"/>
              <w:rPr>
                <w:sz w:val="20"/>
                <w:szCs w:val="20"/>
                <w:color w:val="auto"/>
              </w:rPr>
            </w:pPr>
            <w:r>
              <w:rPr>
                <w:rFonts w:ascii="Arial" w:cs="Arial" w:eastAsia="Arial" w:hAnsi="Arial"/>
                <w:sz w:val="14"/>
                <w:szCs w:val="14"/>
                <w:i w:val="1"/>
                <w:iCs w:val="1"/>
                <w:color w:val="auto"/>
              </w:rPr>
              <w:t>CMB</w:t>
            </w:r>
          </w:p>
        </w:tc>
        <w:tc>
          <w:tcPr>
            <w:tcW w:w="1620" w:type="dxa"/>
            <w:vAlign w:val="bottom"/>
          </w:tcPr>
          <w:p>
            <w:pPr>
              <w:jc w:val="right"/>
              <w:spacing w:after="0"/>
              <w:rPr>
                <w:sz w:val="20"/>
                <w:szCs w:val="20"/>
                <w:color w:val="auto"/>
              </w:rPr>
            </w:pPr>
            <w:r>
              <w:rPr>
                <w:rFonts w:ascii="Arial" w:cs="Arial" w:eastAsia="Arial" w:hAnsi="Arial"/>
                <w:sz w:val="14"/>
                <w:szCs w:val="14"/>
                <w:i w:val="1"/>
                <w:iCs w:val="1"/>
                <w:color w:val="auto"/>
              </w:rPr>
              <w:t>$20</w:t>
            </w:r>
          </w:p>
        </w:tc>
        <w:tc>
          <w:tcPr>
            <w:tcW w:w="840" w:type="dxa"/>
            <w:vAlign w:val="bottom"/>
          </w:tcPr>
          <w:p>
            <w:pPr>
              <w:ind w:left="20"/>
              <w:spacing w:after="0"/>
              <w:rPr>
                <w:sz w:val="20"/>
                <w:szCs w:val="20"/>
                <w:color w:val="auto"/>
              </w:rPr>
            </w:pPr>
            <w:r>
              <w:rPr>
                <w:rFonts w:ascii="Arial" w:cs="Arial" w:eastAsia="Arial" w:hAnsi="Arial"/>
                <w:sz w:val="14"/>
                <w:szCs w:val="14"/>
                <w:i w:val="1"/>
                <w:iCs w:val="1"/>
                <w:color w:val="auto"/>
              </w:rPr>
              <w:t>- $30</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i w:val="1"/>
                <w:iCs w:val="1"/>
                <w:color w:val="auto"/>
              </w:rPr>
              <w:t>$20</w:t>
            </w:r>
          </w:p>
        </w:tc>
        <w:tc>
          <w:tcPr>
            <w:tcW w:w="840" w:type="dxa"/>
            <w:vAlign w:val="bottom"/>
          </w:tcPr>
          <w:p>
            <w:pPr>
              <w:ind w:left="20"/>
              <w:spacing w:after="0"/>
              <w:rPr>
                <w:sz w:val="20"/>
                <w:szCs w:val="20"/>
                <w:color w:val="auto"/>
              </w:rPr>
            </w:pPr>
            <w:r>
              <w:rPr>
                <w:rFonts w:ascii="Arial" w:cs="Arial" w:eastAsia="Arial" w:hAnsi="Arial"/>
                <w:sz w:val="14"/>
                <w:szCs w:val="14"/>
                <w:i w:val="1"/>
                <w:iCs w:val="1"/>
                <w:color w:val="auto"/>
              </w:rPr>
              <w:t>- $30</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220" w:type="dxa"/>
            <w:vAlign w:val="bottom"/>
            <w:shd w:val="clear" w:color="auto" w:fill="DBDBDB"/>
          </w:tcPr>
          <w:p>
            <w:pPr>
              <w:ind w:left="140"/>
              <w:spacing w:after="0"/>
              <w:rPr>
                <w:sz w:val="20"/>
                <w:szCs w:val="20"/>
                <w:color w:val="auto"/>
              </w:rPr>
            </w:pPr>
            <w:r>
              <w:rPr>
                <w:rFonts w:ascii="Arial" w:cs="Arial" w:eastAsia="Arial" w:hAnsi="Arial"/>
                <w:sz w:val="14"/>
                <w:szCs w:val="14"/>
                <w:color w:val="auto"/>
              </w:rPr>
              <w:t>Adjusted EBITDAX</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 millions)</w:t>
            </w:r>
          </w:p>
        </w:tc>
        <w:tc>
          <w:tcPr>
            <w:tcW w:w="1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$835</w:t>
            </w:r>
          </w:p>
        </w:tc>
        <w:tc>
          <w:tcPr>
            <w:tcW w:w="840" w:type="dxa"/>
            <w:vAlign w:val="bottom"/>
            <w:shd w:val="clear" w:color="auto" w:fill="DBDBDB"/>
          </w:tcPr>
          <w:p>
            <w:pPr>
              <w:ind w:left="20"/>
              <w:spacing w:after="0"/>
              <w:rPr>
                <w:sz w:val="20"/>
                <w:szCs w:val="20"/>
                <w:color w:val="auto"/>
              </w:rPr>
            </w:pPr>
            <w:r>
              <w:rPr>
                <w:rFonts w:ascii="Arial" w:cs="Arial" w:eastAsia="Arial" w:hAnsi="Arial"/>
                <w:sz w:val="14"/>
                <w:szCs w:val="14"/>
                <w:color w:val="auto"/>
              </w:rPr>
              <w:t>- $890</w:t>
            </w:r>
          </w:p>
        </w:tc>
        <w:tc>
          <w:tcPr>
            <w:tcW w:w="120" w:type="dxa"/>
            <w:vAlign w:val="bottom"/>
            <w:shd w:val="clear" w:color="auto" w:fill="DBDBDB"/>
          </w:tcPr>
          <w:p>
            <w:pPr>
              <w:spacing w:after="0"/>
              <w:rPr>
                <w:sz w:val="17"/>
                <w:szCs w:val="17"/>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($20)</w:t>
            </w:r>
          </w:p>
        </w:tc>
        <w:tc>
          <w:tcPr>
            <w:tcW w:w="840" w:type="dxa"/>
            <w:vAlign w:val="bottom"/>
            <w:shd w:val="clear" w:color="auto" w:fill="DBDBDB"/>
          </w:tcPr>
          <w:p>
            <w:pPr>
              <w:ind w:left="20"/>
              <w:spacing w:after="0"/>
              <w:rPr>
                <w:sz w:val="20"/>
                <w:szCs w:val="20"/>
                <w:color w:val="auto"/>
              </w:rPr>
            </w:pPr>
            <w:r>
              <w:rPr>
                <w:rFonts w:ascii="Arial" w:cs="Arial" w:eastAsia="Arial" w:hAnsi="Arial"/>
                <w:sz w:val="14"/>
                <w:szCs w:val="14"/>
                <w:color w:val="auto"/>
              </w:rPr>
              <w:t>- ($35)</w:t>
            </w:r>
          </w:p>
        </w:tc>
        <w:tc>
          <w:tcPr>
            <w:tcW w:w="120" w:type="dxa"/>
            <w:vAlign w:val="bottom"/>
            <w:shd w:val="clear" w:color="auto" w:fill="DBDBDB"/>
          </w:tcPr>
          <w:p>
            <w:pPr>
              <w:spacing w:after="0"/>
              <w:rPr>
                <w:sz w:val="17"/>
                <w:szCs w:val="17"/>
                <w:color w:val="auto"/>
              </w:rPr>
            </w:pPr>
          </w:p>
        </w:tc>
        <w:tc>
          <w:tcPr>
            <w:tcW w:w="1620" w:type="dxa"/>
            <w:vAlign w:val="bottom"/>
            <w:gridSpan w:val="2"/>
            <w:shd w:val="clear" w:color="auto" w:fill="DBDBDB"/>
          </w:tcPr>
          <w:p>
            <w:pPr>
              <w:jc w:val="right"/>
              <w:ind w:right="348"/>
              <w:spacing w:after="0"/>
              <w:rPr>
                <w:sz w:val="20"/>
                <w:szCs w:val="20"/>
                <w:color w:val="auto"/>
              </w:rPr>
            </w:pPr>
            <w:r>
              <w:rPr>
                <w:rFonts w:ascii="Arial" w:cs="Arial" w:eastAsia="Arial" w:hAnsi="Arial"/>
                <w:sz w:val="14"/>
                <w:szCs w:val="14"/>
                <w:color w:val="auto"/>
              </w:rPr>
              <w:t>$870 -- $910</w:t>
            </w:r>
          </w:p>
        </w:tc>
        <w:tc>
          <w:tcPr>
            <w:tcW w:w="0" w:type="dxa"/>
            <w:vAlign w:val="bottom"/>
          </w:tcPr>
          <w:p>
            <w:pPr>
              <w:spacing w:after="0"/>
              <w:rPr>
                <w:sz w:val="1"/>
                <w:szCs w:val="1"/>
                <w:color w:val="auto"/>
              </w:rPr>
            </w:pPr>
          </w:p>
        </w:tc>
      </w:tr>
      <w:tr>
        <w:trPr>
          <w:trHeight w:val="252"/>
        </w:trPr>
        <w:tc>
          <w:tcPr>
            <w:tcW w:w="5220" w:type="dxa"/>
            <w:vAlign w:val="bottom"/>
          </w:tcPr>
          <w:p>
            <w:pPr>
              <w:ind w:left="140"/>
              <w:spacing w:after="0"/>
              <w:rPr>
                <w:sz w:val="20"/>
                <w:szCs w:val="20"/>
                <w:color w:val="auto"/>
              </w:rPr>
            </w:pPr>
            <w:r>
              <w:rPr>
                <w:rFonts w:ascii="Arial" w:cs="Arial" w:eastAsia="Arial" w:hAnsi="Arial"/>
                <w:sz w:val="14"/>
                <w:szCs w:val="14"/>
                <w:color w:val="auto"/>
              </w:rPr>
              <w:t>Free Cash Flow</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 millions)</w:t>
            </w:r>
          </w:p>
        </w:tc>
        <w:tc>
          <w:tcPr>
            <w:tcW w:w="1620" w:type="dxa"/>
            <w:vAlign w:val="bottom"/>
          </w:tcPr>
          <w:p>
            <w:pPr>
              <w:jc w:val="right"/>
              <w:spacing w:after="0"/>
              <w:rPr>
                <w:sz w:val="20"/>
                <w:szCs w:val="20"/>
                <w:color w:val="auto"/>
              </w:rPr>
            </w:pPr>
            <w:r>
              <w:rPr>
                <w:rFonts w:ascii="Arial" w:cs="Arial" w:eastAsia="Arial" w:hAnsi="Arial"/>
                <w:sz w:val="14"/>
                <w:szCs w:val="14"/>
                <w:color w:val="auto"/>
              </w:rPr>
              <w:t>$325</w:t>
            </w:r>
          </w:p>
        </w:tc>
        <w:tc>
          <w:tcPr>
            <w:tcW w:w="840" w:type="dxa"/>
            <w:vAlign w:val="bottom"/>
          </w:tcPr>
          <w:p>
            <w:pPr>
              <w:ind w:left="20"/>
              <w:spacing w:after="0"/>
              <w:rPr>
                <w:sz w:val="20"/>
                <w:szCs w:val="20"/>
                <w:color w:val="auto"/>
              </w:rPr>
            </w:pPr>
            <w:r>
              <w:rPr>
                <w:rFonts w:ascii="Arial" w:cs="Arial" w:eastAsia="Arial" w:hAnsi="Arial"/>
                <w:sz w:val="14"/>
                <w:szCs w:val="14"/>
                <w:color w:val="auto"/>
              </w:rPr>
              <w:t>- $370</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($40)</w:t>
            </w:r>
          </w:p>
        </w:tc>
        <w:tc>
          <w:tcPr>
            <w:tcW w:w="840" w:type="dxa"/>
            <w:vAlign w:val="bottom"/>
          </w:tcPr>
          <w:p>
            <w:pPr>
              <w:ind w:left="20"/>
              <w:spacing w:after="0"/>
              <w:rPr>
                <w:sz w:val="20"/>
                <w:szCs w:val="20"/>
                <w:color w:val="auto"/>
              </w:rPr>
            </w:pPr>
            <w:r>
              <w:rPr>
                <w:rFonts w:ascii="Arial" w:cs="Arial" w:eastAsia="Arial" w:hAnsi="Arial"/>
                <w:sz w:val="14"/>
                <w:szCs w:val="14"/>
                <w:color w:val="auto"/>
              </w:rPr>
              <w:t>- ($65)</w:t>
            </w:r>
          </w:p>
        </w:tc>
        <w:tc>
          <w:tcPr>
            <w:tcW w:w="1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$390</w:t>
            </w:r>
          </w:p>
        </w:tc>
        <w:tc>
          <w:tcPr>
            <w:tcW w:w="860" w:type="dxa"/>
            <w:vAlign w:val="bottom"/>
          </w:tcPr>
          <w:p>
            <w:pPr>
              <w:ind w:left="20"/>
              <w:spacing w:after="0"/>
              <w:rPr>
                <w:sz w:val="20"/>
                <w:szCs w:val="20"/>
                <w:color w:val="auto"/>
              </w:rPr>
            </w:pPr>
            <w:r>
              <w:rPr>
                <w:rFonts w:ascii="Arial" w:cs="Arial" w:eastAsia="Arial" w:hAnsi="Arial"/>
                <w:sz w:val="14"/>
                <w:szCs w:val="14"/>
                <w:color w:val="auto"/>
              </w:rPr>
              <w:t>- $410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240"/>
          </w:cols>
          <w:pgMar w:left="320" w:top="1126"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u w:val="single" w:color="auto"/>
          <w:color w:val="auto"/>
        </w:rPr>
        <w:t>Supply Chain and Cost Inflation</w:t>
      </w:r>
    </w:p>
    <w:p>
      <w:pPr>
        <w:spacing w:after="0" w:line="249"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22"/>
          <w:szCs w:val="22"/>
          <w:color w:val="auto"/>
        </w:rPr>
        <w:t>Operating and capital costs in the oil and natural gas industry are heavily influenced by commodity prices which are typically cyclical in nature. Typically, suppliers will negotiate increases for drilling and completion, oilfield services, equipment and materials as prices for energy-related commodities and raw materials (such as steel, metals and chemicals) increase. Recent worldwide and U.S. supply chain issues, together with rising commodity prices and tight labor markets in the U.S., have created cost inflation during 2022. Cost inflation may continue into 2023 if rising energy prices result in factory constraints, placing certain items such as directional drilling components and materials that have a high energy input intensity in short supply. CRC has taken measures to limit the effects of the inflationary market by entering into contracts for materials and services with terms of one to three years. CRC has also taken steps to build its on-hand supply stock for items frequently used in its operations to address possible supply chain disruptions. Despite these efforts, CRC has experienced significant increased costs thus far in 2022 and anticipates additional increases in the cost of goods and services and wages in the company's operations during the remainder of 2022. These increases will factor into CRC's operating and capital costs and could also negatively impact its results of operations and cash flows in 2023 and beyond.</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Third Quarter 2022 E&amp;P Operational Results</w:t>
      </w:r>
    </w:p>
    <w:p>
      <w:pPr>
        <w:spacing w:after="0" w:line="24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22"/>
          <w:szCs w:val="22"/>
          <w:color w:val="auto"/>
        </w:rPr>
        <w:t>In November 2020, the SEC amended Regulation S-K to, among other things, provide companies with the option to discuss material changes to results of operations between the current and immediately preceding quarter. CRC has elected to discuss its results of operations on a sequential-quarter basis. CRC believes this approach provides more meaningful and useful information to measure its performance from the immediately preceding quarter. In accordance with this final rule, CRC is not required to include a comparison of the current quarter and the same prior-year quarter.</w:t>
      </w:r>
    </w:p>
    <w:p>
      <w:pPr>
        <w:spacing w:after="0" w:line="21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22"/>
          <w:szCs w:val="22"/>
          <w:color w:val="auto"/>
        </w:rPr>
        <w:t>Total daily net production for the three months ended September 30, 2022, compared to the three months ended June 30, 2022 increased by approximately 1 MBoe/d, or 1%. This increase is predominately a result of CRC's production-sharing contracts (PSCs), which positively impacted its net oil production in the three months ended September 30, 2022 by approximately 2 MBoe/d, compared to the three months ended June 30, 2022. This increase was partially offset by natural decline.</w:t>
      </w:r>
    </w:p>
    <w:p>
      <w:pPr>
        <w:spacing w:after="0" w:line="193"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22"/>
          <w:szCs w:val="22"/>
          <w:color w:val="auto"/>
        </w:rPr>
        <w:t>During the third quarter of 2022, CRC operated an average of three drilling rigs in the San Joaquin Basin and two drilling rigs in the Los Angeles Basin. During the quarter, CRC drilled 36 net wells and brought online 42 wells. See Attachment 3 for further information on CRC's production results by basin and Attachment 5 for further information on CRC's drilling activity.</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240"/>
          </w:cols>
          <w:pgMar w:left="320" w:top="1137"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u w:val="single" w:color="auto"/>
          <w:color w:val="auto"/>
        </w:rPr>
        <w:t>Third Quarter 2022 Financial Results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Borders>
              <w:top w:val="single" w:sz="8" w:color="DBDBDB"/>
            </w:tcBorders>
            <w:shd w:val="clear" w:color="auto" w:fill="DBDBDB"/>
          </w:tcPr>
          <w:p>
            <w:pPr>
              <w:spacing w:after="0"/>
              <w:rPr>
                <w:sz w:val="18"/>
                <w:szCs w:val="18"/>
                <w:color w:val="auto"/>
              </w:rPr>
            </w:pPr>
          </w:p>
        </w:tc>
        <w:tc>
          <w:tcPr>
            <w:tcW w:w="1800" w:type="dxa"/>
            <w:vAlign w:val="bottom"/>
            <w:tcBorders>
              <w:top w:val="single" w:sz="8" w:color="DBDBDB"/>
            </w:tcBorders>
            <w:shd w:val="clear" w:color="auto" w:fill="DBDBDB"/>
          </w:tcPr>
          <w:p>
            <w:pPr>
              <w:spacing w:after="0"/>
              <w:rPr>
                <w:sz w:val="18"/>
                <w:szCs w:val="18"/>
                <w:color w:val="auto"/>
              </w:rPr>
            </w:pPr>
          </w:p>
        </w:tc>
        <w:tc>
          <w:tcPr>
            <w:tcW w:w="6900" w:type="dxa"/>
            <w:vAlign w:val="bottom"/>
            <w:tcBorders>
              <w:top w:val="single" w:sz="8" w:color="DBDBDB"/>
            </w:tcBorders>
            <w:shd w:val="clear" w:color="auto" w:fill="DBDBDB"/>
          </w:tcPr>
          <w:p>
            <w:pPr>
              <w:spacing w:after="0"/>
              <w:rPr>
                <w:sz w:val="18"/>
                <w:szCs w:val="18"/>
                <w:color w:val="auto"/>
              </w:rPr>
            </w:pPr>
          </w:p>
        </w:tc>
        <w:tc>
          <w:tcPr>
            <w:tcW w:w="160" w:type="dxa"/>
            <w:vAlign w:val="bottom"/>
            <w:tcBorders>
              <w:top w:val="single" w:sz="8" w:color="auto"/>
            </w:tcBorders>
            <w:shd w:val="clear" w:color="auto" w:fill="DBDBDB"/>
          </w:tcPr>
          <w:p>
            <w:pPr>
              <w:spacing w:after="0"/>
              <w:rPr>
                <w:sz w:val="18"/>
                <w:szCs w:val="18"/>
                <w:color w:val="auto"/>
              </w:rPr>
            </w:pPr>
          </w:p>
        </w:tc>
        <w:tc>
          <w:tcPr>
            <w:tcW w:w="1000" w:type="dxa"/>
            <w:vAlign w:val="bottom"/>
            <w:tcBorders>
              <w:top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b w:val="1"/>
                <w:bCs w:val="1"/>
                <w:color w:val="auto"/>
              </w:rPr>
              <w:t>3rd Quarter</w:t>
            </w:r>
          </w:p>
        </w:tc>
        <w:tc>
          <w:tcPr>
            <w:tcW w:w="120" w:type="dxa"/>
            <w:vAlign w:val="bottom"/>
            <w:tcBorders>
              <w:top w:val="single" w:sz="8" w:color="DBDBDB"/>
              <w:right w:val="single" w:sz="8" w:color="auto"/>
            </w:tcBorders>
            <w:shd w:val="clear" w:color="auto" w:fill="DBDBDB"/>
          </w:tcPr>
          <w:p>
            <w:pPr>
              <w:spacing w:after="0"/>
              <w:rPr>
                <w:sz w:val="18"/>
                <w:szCs w:val="18"/>
                <w:color w:val="auto"/>
              </w:rPr>
            </w:pPr>
          </w:p>
        </w:tc>
        <w:tc>
          <w:tcPr>
            <w:tcW w:w="80" w:type="dxa"/>
            <w:vAlign w:val="bottom"/>
            <w:tcBorders>
              <w:top w:val="single" w:sz="8" w:color="DBDBDB"/>
            </w:tcBorders>
            <w:shd w:val="clear" w:color="auto" w:fill="DBDBDB"/>
          </w:tcPr>
          <w:p>
            <w:pPr>
              <w:spacing w:after="0"/>
              <w:rPr>
                <w:sz w:val="18"/>
                <w:szCs w:val="18"/>
                <w:color w:val="auto"/>
              </w:rPr>
            </w:pPr>
          </w:p>
        </w:tc>
        <w:tc>
          <w:tcPr>
            <w:tcW w:w="140" w:type="dxa"/>
            <w:vAlign w:val="bottom"/>
            <w:tcBorders>
              <w:top w:val="single" w:sz="8" w:color="auto"/>
            </w:tcBorders>
            <w:shd w:val="clear" w:color="auto" w:fill="DBDBDB"/>
          </w:tcPr>
          <w:p>
            <w:pPr>
              <w:spacing w:after="0"/>
              <w:rPr>
                <w:sz w:val="18"/>
                <w:szCs w:val="18"/>
                <w:color w:val="auto"/>
              </w:rPr>
            </w:pPr>
          </w:p>
        </w:tc>
        <w:tc>
          <w:tcPr>
            <w:tcW w:w="1020" w:type="dxa"/>
            <w:vAlign w:val="bottom"/>
            <w:tcBorders>
              <w:top w:val="single" w:sz="8" w:color="auto"/>
            </w:tcBorders>
            <w:shd w:val="clear" w:color="auto" w:fill="DBDBDB"/>
          </w:tcPr>
          <w:p>
            <w:pPr>
              <w:jc w:val="right"/>
              <w:ind w:right="128"/>
              <w:spacing w:after="0"/>
              <w:rPr>
                <w:sz w:val="20"/>
                <w:szCs w:val="20"/>
                <w:color w:val="auto"/>
              </w:rPr>
            </w:pPr>
            <w:r>
              <w:rPr>
                <w:rFonts w:ascii="Arial" w:cs="Arial" w:eastAsia="Arial" w:hAnsi="Arial"/>
                <w:sz w:val="14"/>
                <w:szCs w:val="14"/>
                <w:color w:val="auto"/>
              </w:rPr>
              <w:t>2nd Quarter</w:t>
            </w:r>
          </w:p>
        </w:tc>
        <w:tc>
          <w:tcPr>
            <w:tcW w:w="0" w:type="dxa"/>
            <w:vAlign w:val="bottom"/>
          </w:tcPr>
          <w:p>
            <w:pPr>
              <w:spacing w:after="0"/>
              <w:rPr>
                <w:sz w:val="1"/>
                <w:szCs w:val="1"/>
                <w:color w:val="auto"/>
              </w:rPr>
            </w:pPr>
          </w:p>
        </w:tc>
      </w:tr>
      <w:tr>
        <w:trPr>
          <w:trHeight w:val="203"/>
        </w:trPr>
        <w:tc>
          <w:tcPr>
            <w:tcW w:w="20" w:type="dxa"/>
            <w:vAlign w:val="bottom"/>
            <w:tcBorders>
              <w:bottom w:val="single" w:sz="8" w:color="auto"/>
            </w:tcBorders>
            <w:shd w:val="clear" w:color="auto" w:fill="DBDBDB"/>
          </w:tcPr>
          <w:p>
            <w:pPr>
              <w:spacing w:after="0"/>
              <w:rPr>
                <w:sz w:val="17"/>
                <w:szCs w:val="17"/>
                <w:color w:val="auto"/>
              </w:rPr>
            </w:pPr>
          </w:p>
        </w:tc>
        <w:tc>
          <w:tcPr>
            <w:tcW w:w="8700" w:type="dxa"/>
            <w:vAlign w:val="bottom"/>
            <w:tcBorders>
              <w:bottom w:val="single" w:sz="8" w:color="auto"/>
            </w:tcBorders>
            <w:gridSpan w:val="2"/>
            <w:shd w:val="clear" w:color="auto" w:fill="DBDBDB"/>
          </w:tcPr>
          <w:p>
            <w:pPr>
              <w:spacing w:after="0"/>
              <w:rPr>
                <w:sz w:val="20"/>
                <w:szCs w:val="20"/>
                <w:color w:val="auto"/>
              </w:rPr>
            </w:pPr>
            <w:r>
              <w:rPr>
                <w:rFonts w:ascii="Arial" w:cs="Arial" w:eastAsia="Arial" w:hAnsi="Arial"/>
                <w:sz w:val="14"/>
                <w:szCs w:val="14"/>
                <w:color w:val="auto"/>
              </w:rPr>
              <w:t>($ and shares in millions, except per share amounts)</w:t>
            </w:r>
          </w:p>
        </w:tc>
        <w:tc>
          <w:tcPr>
            <w:tcW w:w="16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right w:val="single" w:sz="8" w:color="auto"/>
            </w:tcBorders>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tcBorders>
              <w:bottom w:val="single" w:sz="8" w:color="auto"/>
            </w:tcBorders>
            <w:shd w:val="clear" w:color="auto" w:fill="DBDBDB"/>
          </w:tcPr>
          <w:p>
            <w:pPr>
              <w:spacing w:after="0"/>
              <w:rPr>
                <w:sz w:val="17"/>
                <w:szCs w:val="17"/>
                <w:color w:val="auto"/>
              </w:rPr>
            </w:pPr>
          </w:p>
        </w:tc>
        <w:tc>
          <w:tcPr>
            <w:tcW w:w="1020" w:type="dxa"/>
            <w:vAlign w:val="bottom"/>
            <w:tcBorders>
              <w:bottom w:val="single" w:sz="8" w:color="auto"/>
            </w:tcBorders>
            <w:shd w:val="clear" w:color="auto" w:fill="DBDBDB"/>
          </w:tcPr>
          <w:p>
            <w:pPr>
              <w:jc w:val="right"/>
              <w:ind w:right="348"/>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700" w:type="dxa"/>
            <w:vAlign w:val="bottom"/>
            <w:gridSpan w:val="2"/>
          </w:tcPr>
          <w:p>
            <w:pPr>
              <w:spacing w:after="0"/>
              <w:rPr>
                <w:sz w:val="20"/>
                <w:szCs w:val="20"/>
                <w:color w:val="auto"/>
              </w:rPr>
            </w:pPr>
            <w:r>
              <w:rPr>
                <w:rFonts w:ascii="Arial" w:cs="Arial" w:eastAsia="Arial" w:hAnsi="Arial"/>
                <w:sz w:val="14"/>
                <w:szCs w:val="14"/>
                <w:b w:val="1"/>
                <w:bCs w:val="1"/>
                <w:color w:val="auto"/>
              </w:rPr>
              <w:t>Statements of Operations:</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Borders>
              <w:bottom w:val="single" w:sz="8" w:color="DBDBDB"/>
            </w:tcBorders>
          </w:tcPr>
          <w:p>
            <w:pPr>
              <w:spacing w:after="0"/>
              <w:rPr>
                <w:sz w:val="19"/>
                <w:szCs w:val="19"/>
                <w:color w:val="auto"/>
              </w:rPr>
            </w:pPr>
          </w:p>
        </w:tc>
        <w:tc>
          <w:tcPr>
            <w:tcW w:w="1800" w:type="dxa"/>
            <w:vAlign w:val="bottom"/>
            <w:tcBorders>
              <w:top w:val="single" w:sz="8" w:color="auto"/>
              <w:bottom w:val="single" w:sz="8" w:color="DBDBDB"/>
            </w:tcBorders>
          </w:tcPr>
          <w:p>
            <w:pPr>
              <w:spacing w:after="0"/>
              <w:rPr>
                <w:sz w:val="20"/>
                <w:szCs w:val="20"/>
                <w:color w:val="auto"/>
              </w:rPr>
            </w:pPr>
            <w:r>
              <w:rPr>
                <w:rFonts w:ascii="Arial" w:cs="Arial" w:eastAsia="Arial" w:hAnsi="Arial"/>
                <w:sz w:val="14"/>
                <w:szCs w:val="14"/>
                <w:b w:val="1"/>
                <w:bCs w:val="1"/>
                <w:color w:val="auto"/>
              </w:rPr>
              <w:t>Revenues</w:t>
            </w:r>
          </w:p>
        </w:tc>
        <w:tc>
          <w:tcPr>
            <w:tcW w:w="6900" w:type="dxa"/>
            <w:vAlign w:val="bottom"/>
            <w:tcBorders>
              <w:bottom w:val="single" w:sz="8" w:color="DBDBDB"/>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DBDBDB"/>
              <w:right w:val="single" w:sz="8" w:color="auto"/>
            </w:tcBorders>
          </w:tcPr>
          <w:p>
            <w:pPr>
              <w:spacing w:after="0"/>
              <w:rPr>
                <w:sz w:val="19"/>
                <w:szCs w:val="19"/>
                <w:color w:val="auto"/>
              </w:rPr>
            </w:pPr>
          </w:p>
        </w:tc>
        <w:tc>
          <w:tcPr>
            <w:tcW w:w="80" w:type="dxa"/>
            <w:vAlign w:val="bottom"/>
            <w:tcBorders>
              <w:bottom w:val="single" w:sz="8" w:color="DBDBDB"/>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shd w:val="clear" w:color="auto" w:fill="DBDBDB"/>
          </w:tcPr>
          <w:p>
            <w:pPr>
              <w:spacing w:after="0"/>
              <w:rPr>
                <w:sz w:val="17"/>
                <w:szCs w:val="17"/>
                <w:color w:val="auto"/>
              </w:rPr>
            </w:pPr>
          </w:p>
        </w:tc>
        <w:tc>
          <w:tcPr>
            <w:tcW w:w="8700" w:type="dxa"/>
            <w:vAlign w:val="bottom"/>
            <w:gridSpan w:val="2"/>
            <w:shd w:val="clear" w:color="auto" w:fill="DBDBDB"/>
          </w:tcPr>
          <w:p>
            <w:pPr>
              <w:ind w:left="200"/>
              <w:spacing w:after="0"/>
              <w:rPr>
                <w:sz w:val="20"/>
                <w:szCs w:val="20"/>
                <w:color w:val="auto"/>
              </w:rPr>
            </w:pPr>
            <w:r>
              <w:rPr>
                <w:rFonts w:ascii="Arial" w:cs="Arial" w:eastAsia="Arial" w:hAnsi="Arial"/>
                <w:sz w:val="14"/>
                <w:szCs w:val="14"/>
                <w:color w:val="auto"/>
              </w:rPr>
              <w:t>Total operating revenues</w:t>
            </w: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1,125</w:t>
            </w:r>
          </w:p>
        </w:tc>
        <w:tc>
          <w:tcPr>
            <w:tcW w:w="120" w:type="dxa"/>
            <w:vAlign w:val="bottom"/>
            <w:tcBorders>
              <w:right w:val="single" w:sz="8" w:color="auto"/>
            </w:tcBorders>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747</w:t>
            </w:r>
          </w:p>
        </w:tc>
        <w:tc>
          <w:tcPr>
            <w:tcW w:w="0" w:type="dxa"/>
            <w:vAlign w:val="bottom"/>
          </w:tcPr>
          <w:p>
            <w:pPr>
              <w:spacing w:after="0"/>
              <w:rPr>
                <w:sz w:val="1"/>
                <w:szCs w:val="1"/>
                <w:color w:val="auto"/>
              </w:rPr>
            </w:pPr>
          </w:p>
        </w:tc>
      </w:tr>
      <w:tr>
        <w:trPr>
          <w:trHeight w:val="289"/>
        </w:trPr>
        <w:tc>
          <w:tcPr>
            <w:tcW w:w="20" w:type="dxa"/>
            <w:vAlign w:val="bottom"/>
            <w:tcBorders>
              <w:bottom w:val="single" w:sz="8" w:color="DBDBDB"/>
            </w:tcBorders>
          </w:tcPr>
          <w:p>
            <w:pPr>
              <w:spacing w:after="0"/>
              <w:rPr>
                <w:sz w:val="24"/>
                <w:szCs w:val="24"/>
                <w:color w:val="auto"/>
              </w:rPr>
            </w:pPr>
          </w:p>
        </w:tc>
        <w:tc>
          <w:tcPr>
            <w:tcW w:w="8700" w:type="dxa"/>
            <w:vAlign w:val="bottom"/>
            <w:tcBorders>
              <w:bottom w:val="single" w:sz="8" w:color="DBDBDB"/>
            </w:tcBorders>
            <w:gridSpan w:val="2"/>
          </w:tcPr>
          <w:p>
            <w:pPr>
              <w:spacing w:after="0"/>
              <w:rPr>
                <w:sz w:val="20"/>
                <w:szCs w:val="20"/>
                <w:color w:val="auto"/>
              </w:rPr>
            </w:pPr>
            <w:r>
              <w:rPr>
                <w:rFonts w:ascii="Arial" w:cs="Arial" w:eastAsia="Arial" w:hAnsi="Arial"/>
                <w:sz w:val="14"/>
                <w:szCs w:val="14"/>
                <w:b w:val="1"/>
                <w:bCs w:val="1"/>
                <w:color w:val="auto"/>
              </w:rPr>
              <w:t>Operating Expenses</w:t>
            </w: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DBDBDB"/>
              <w:right w:val="single" w:sz="8" w:color="auto"/>
            </w:tcBorders>
          </w:tcPr>
          <w:p>
            <w:pPr>
              <w:spacing w:after="0"/>
              <w:rPr>
                <w:sz w:val="24"/>
                <w:szCs w:val="24"/>
                <w:color w:val="auto"/>
              </w:rPr>
            </w:pPr>
          </w:p>
        </w:tc>
        <w:tc>
          <w:tcPr>
            <w:tcW w:w="80" w:type="dxa"/>
            <w:vAlign w:val="bottom"/>
            <w:tcBorders>
              <w:bottom w:val="single" w:sz="8" w:color="DBDBDB"/>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shd w:val="clear" w:color="auto" w:fill="DBDBDB"/>
          </w:tcPr>
          <w:p>
            <w:pPr>
              <w:spacing w:after="0"/>
              <w:rPr>
                <w:sz w:val="17"/>
                <w:szCs w:val="17"/>
                <w:color w:val="auto"/>
              </w:rPr>
            </w:pPr>
          </w:p>
        </w:tc>
        <w:tc>
          <w:tcPr>
            <w:tcW w:w="8700" w:type="dxa"/>
            <w:vAlign w:val="bottom"/>
            <w:gridSpan w:val="2"/>
            <w:shd w:val="clear" w:color="auto" w:fill="DBDBDB"/>
          </w:tcPr>
          <w:p>
            <w:pPr>
              <w:ind w:left="200"/>
              <w:spacing w:after="0"/>
              <w:rPr>
                <w:sz w:val="20"/>
                <w:szCs w:val="20"/>
                <w:color w:val="auto"/>
              </w:rPr>
            </w:pPr>
            <w:r>
              <w:rPr>
                <w:rFonts w:ascii="Arial" w:cs="Arial" w:eastAsia="Arial" w:hAnsi="Arial"/>
                <w:sz w:val="14"/>
                <w:szCs w:val="14"/>
                <w:color w:val="auto"/>
              </w:rPr>
              <w:t>Total operating expenses</w:t>
            </w:r>
          </w:p>
        </w:tc>
        <w:tc>
          <w:tcPr>
            <w:tcW w:w="16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536</w:t>
            </w:r>
          </w:p>
        </w:tc>
        <w:tc>
          <w:tcPr>
            <w:tcW w:w="120" w:type="dxa"/>
            <w:vAlign w:val="bottom"/>
            <w:tcBorders>
              <w:right w:val="single" w:sz="8" w:color="auto"/>
            </w:tcBorders>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tcBorders>
              <w:bottom w:val="single" w:sz="8" w:color="auto"/>
            </w:tcBorders>
            <w:shd w:val="clear" w:color="auto" w:fill="DBDBDB"/>
          </w:tcPr>
          <w:p>
            <w:pPr>
              <w:spacing w:after="0"/>
              <w:rPr>
                <w:sz w:val="17"/>
                <w:szCs w:val="17"/>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473</w:t>
            </w:r>
          </w:p>
        </w:tc>
        <w:tc>
          <w:tcPr>
            <w:tcW w:w="0" w:type="dxa"/>
            <w:vAlign w:val="bottom"/>
          </w:tcPr>
          <w:p>
            <w:pPr>
              <w:spacing w:after="0"/>
              <w:rPr>
                <w:sz w:val="1"/>
                <w:szCs w:val="1"/>
                <w:color w:val="auto"/>
              </w:rPr>
            </w:pPr>
          </w:p>
        </w:tc>
      </w:tr>
      <w:tr>
        <w:trPr>
          <w:trHeight w:val="195"/>
        </w:trPr>
        <w:tc>
          <w:tcPr>
            <w:tcW w:w="20" w:type="dxa"/>
            <w:vAlign w:val="bottom"/>
            <w:tcBorders>
              <w:bottom w:val="single" w:sz="8" w:color="DBDBDB"/>
            </w:tcBorders>
          </w:tcPr>
          <w:p>
            <w:pPr>
              <w:spacing w:after="0"/>
              <w:rPr>
                <w:sz w:val="16"/>
                <w:szCs w:val="16"/>
                <w:color w:val="auto"/>
              </w:rPr>
            </w:pPr>
          </w:p>
        </w:tc>
        <w:tc>
          <w:tcPr>
            <w:tcW w:w="8700" w:type="dxa"/>
            <w:vAlign w:val="bottom"/>
            <w:tcBorders>
              <w:bottom w:val="single" w:sz="8" w:color="DBDBDB"/>
            </w:tcBorders>
            <w:gridSpan w:val="2"/>
          </w:tcPr>
          <w:p>
            <w:pPr>
              <w:spacing w:after="0"/>
              <w:rPr>
                <w:sz w:val="20"/>
                <w:szCs w:val="20"/>
                <w:color w:val="auto"/>
              </w:rPr>
            </w:pPr>
            <w:r>
              <w:rPr>
                <w:rFonts w:ascii="Arial" w:cs="Arial" w:eastAsia="Arial" w:hAnsi="Arial"/>
                <w:sz w:val="14"/>
                <w:szCs w:val="14"/>
                <w:color w:val="auto"/>
              </w:rPr>
              <w:t>Gain on asset divestitures</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120" w:type="dxa"/>
            <w:vAlign w:val="bottom"/>
            <w:tcBorders>
              <w:bottom w:val="single" w:sz="8" w:color="DBDBDB"/>
              <w:right w:val="single" w:sz="8" w:color="auto"/>
            </w:tcBorders>
          </w:tcPr>
          <w:p>
            <w:pPr>
              <w:spacing w:after="0"/>
              <w:rPr>
                <w:sz w:val="16"/>
                <w:szCs w:val="16"/>
                <w:color w:val="auto"/>
              </w:rPr>
            </w:pPr>
          </w:p>
        </w:tc>
        <w:tc>
          <w:tcPr>
            <w:tcW w:w="80" w:type="dxa"/>
            <w:vAlign w:val="bottom"/>
            <w:tcBorders>
              <w:bottom w:val="single" w:sz="8" w:color="DBDBDB"/>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22"/>
        </w:trPr>
        <w:tc>
          <w:tcPr>
            <w:tcW w:w="20" w:type="dxa"/>
            <w:vAlign w:val="bottom"/>
            <w:tcBorders>
              <w:bottom w:val="single" w:sz="8" w:color="DBDBDB"/>
            </w:tcBorders>
            <w:shd w:val="clear" w:color="auto" w:fill="DBDBDB"/>
          </w:tcPr>
          <w:p>
            <w:pPr>
              <w:spacing w:after="0"/>
              <w:rPr>
                <w:sz w:val="18"/>
                <w:szCs w:val="18"/>
                <w:color w:val="auto"/>
              </w:rPr>
            </w:pPr>
          </w:p>
        </w:tc>
        <w:tc>
          <w:tcPr>
            <w:tcW w:w="8700" w:type="dxa"/>
            <w:vAlign w:val="bottom"/>
            <w:tcBorders>
              <w:bottom w:val="single" w:sz="8" w:color="DBDBDB"/>
            </w:tcBorders>
            <w:gridSpan w:val="2"/>
            <w:shd w:val="clear" w:color="auto" w:fill="DBDBDB"/>
          </w:tcPr>
          <w:p>
            <w:pPr>
              <w:spacing w:after="0"/>
              <w:rPr>
                <w:sz w:val="20"/>
                <w:szCs w:val="20"/>
                <w:color w:val="auto"/>
              </w:rPr>
            </w:pPr>
            <w:r>
              <w:rPr>
                <w:rFonts w:ascii="Arial" w:cs="Arial" w:eastAsia="Arial" w:hAnsi="Arial"/>
                <w:sz w:val="14"/>
                <w:szCs w:val="14"/>
                <w:b w:val="1"/>
                <w:bCs w:val="1"/>
                <w:color w:val="auto"/>
              </w:rPr>
              <w:t>Operating Income</w:t>
            </w: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591</w:t>
            </w:r>
          </w:p>
        </w:tc>
        <w:tc>
          <w:tcPr>
            <w:tcW w:w="120" w:type="dxa"/>
            <w:vAlign w:val="bottom"/>
            <w:tcBorders>
              <w:bottom w:val="single" w:sz="8" w:color="DBDBDB"/>
              <w:right w:val="single" w:sz="8" w:color="auto"/>
            </w:tcBorders>
            <w:shd w:val="clear" w:color="auto" w:fill="DBDBDB"/>
          </w:tcPr>
          <w:p>
            <w:pPr>
              <w:spacing w:after="0"/>
              <w:rPr>
                <w:sz w:val="18"/>
                <w:szCs w:val="18"/>
                <w:color w:val="auto"/>
              </w:rPr>
            </w:pPr>
          </w:p>
        </w:tc>
        <w:tc>
          <w:tcPr>
            <w:tcW w:w="80" w:type="dxa"/>
            <w:vAlign w:val="bottom"/>
            <w:tcBorders>
              <w:bottom w:val="single" w:sz="8" w:color="DBDBDB"/>
            </w:tcBorders>
            <w:shd w:val="clear" w:color="auto" w:fill="DBDBDB"/>
          </w:tcPr>
          <w:p>
            <w:pPr>
              <w:spacing w:after="0"/>
              <w:rPr>
                <w:sz w:val="18"/>
                <w:szCs w:val="18"/>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20"/>
        </w:trPr>
        <w:tc>
          <w:tcPr>
            <w:tcW w:w="20" w:type="dxa"/>
            <w:vAlign w:val="bottom"/>
            <w:tcBorders>
              <w:top w:val="single" w:sz="8" w:color="DBDBDB"/>
            </w:tcBorders>
          </w:tcPr>
          <w:p>
            <w:pPr>
              <w:spacing w:after="0" w:line="20" w:lineRule="exact"/>
              <w:rPr>
                <w:sz w:val="1"/>
                <w:szCs w:val="1"/>
                <w:color w:val="auto"/>
              </w:rPr>
            </w:pPr>
          </w:p>
        </w:tc>
        <w:tc>
          <w:tcPr>
            <w:tcW w:w="8700" w:type="dxa"/>
            <w:vAlign w:val="bottom"/>
            <w:tcBorders>
              <w:top w:val="single" w:sz="8" w:color="DBDBDB"/>
              <w:bottom w:val="single" w:sz="8" w:color="DBDBDB"/>
            </w:tcBorders>
            <w:gridSpan w:val="2"/>
            <w:vMerge w:val="restart"/>
          </w:tcPr>
          <w:p>
            <w:pPr>
              <w:spacing w:after="0"/>
              <w:rPr>
                <w:sz w:val="20"/>
                <w:szCs w:val="20"/>
                <w:color w:val="auto"/>
              </w:rPr>
            </w:pPr>
            <w:r>
              <w:rPr>
                <w:rFonts w:ascii="Arial" w:cs="Arial" w:eastAsia="Arial" w:hAnsi="Arial"/>
                <w:sz w:val="14"/>
                <w:szCs w:val="14"/>
                <w:b w:val="1"/>
                <w:bCs w:val="1"/>
                <w:color w:val="auto"/>
              </w:rPr>
              <w:t>Net Income</w:t>
            </w: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right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8700" w:type="dxa"/>
            <w:vAlign w:val="bottom"/>
            <w:gridSpan w:val="2"/>
            <w:vMerge w:val="continue"/>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426</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6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DBDBDB"/>
          </w:tcPr>
          <w:p>
            <w:pPr>
              <w:spacing w:after="0"/>
              <w:rPr>
                <w:sz w:val="17"/>
                <w:szCs w:val="17"/>
                <w:color w:val="auto"/>
              </w:rPr>
            </w:pPr>
          </w:p>
        </w:tc>
        <w:tc>
          <w:tcPr>
            <w:tcW w:w="8700" w:type="dxa"/>
            <w:vAlign w:val="bottom"/>
            <w:gridSpan w:val="2"/>
            <w:shd w:val="clear" w:color="auto" w:fill="DBDBDB"/>
          </w:tcPr>
          <w:p>
            <w:pPr>
              <w:spacing w:after="0"/>
              <w:rPr>
                <w:sz w:val="20"/>
                <w:szCs w:val="20"/>
                <w:color w:val="auto"/>
              </w:rPr>
            </w:pPr>
            <w:r>
              <w:rPr>
                <w:rFonts w:ascii="Arial" w:cs="Arial" w:eastAsia="Arial" w:hAnsi="Arial"/>
                <w:sz w:val="14"/>
                <w:szCs w:val="14"/>
                <w:color w:val="auto"/>
              </w:rPr>
              <w:t>Net income per share - basic</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5.75</w:t>
            </w:r>
          </w:p>
        </w:tc>
        <w:tc>
          <w:tcPr>
            <w:tcW w:w="120" w:type="dxa"/>
            <w:vAlign w:val="bottom"/>
            <w:tcBorders>
              <w:right w:val="single" w:sz="8" w:color="auto"/>
            </w:tcBorders>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2.48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700" w:type="dxa"/>
            <w:vAlign w:val="bottom"/>
            <w:gridSpan w:val="2"/>
          </w:tcPr>
          <w:p>
            <w:pPr>
              <w:spacing w:after="0"/>
              <w:rPr>
                <w:sz w:val="20"/>
                <w:szCs w:val="20"/>
                <w:color w:val="auto"/>
              </w:rPr>
            </w:pPr>
            <w:r>
              <w:rPr>
                <w:rFonts w:ascii="Arial" w:cs="Arial" w:eastAsia="Arial" w:hAnsi="Arial"/>
                <w:sz w:val="14"/>
                <w:szCs w:val="14"/>
                <w:color w:val="auto"/>
              </w:rPr>
              <w:t>Net income per share - diluted</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5.58</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2.41</w:t>
            </w:r>
          </w:p>
        </w:tc>
        <w:tc>
          <w:tcPr>
            <w:tcW w:w="0" w:type="dxa"/>
            <w:vAlign w:val="bottom"/>
          </w:tcPr>
          <w:p>
            <w:pPr>
              <w:spacing w:after="0"/>
              <w:rPr>
                <w:sz w:val="1"/>
                <w:szCs w:val="1"/>
                <w:color w:val="auto"/>
              </w:rPr>
            </w:pPr>
          </w:p>
        </w:tc>
      </w:tr>
      <w:tr>
        <w:trPr>
          <w:trHeight w:val="204"/>
        </w:trPr>
        <w:tc>
          <w:tcPr>
            <w:tcW w:w="20" w:type="dxa"/>
            <w:vAlign w:val="bottom"/>
            <w:shd w:val="clear" w:color="auto" w:fill="DBDBDB"/>
          </w:tcPr>
          <w:p>
            <w:pPr>
              <w:spacing w:after="0"/>
              <w:rPr>
                <w:sz w:val="17"/>
                <w:szCs w:val="17"/>
                <w:color w:val="auto"/>
              </w:rPr>
            </w:pPr>
          </w:p>
        </w:tc>
        <w:tc>
          <w:tcPr>
            <w:tcW w:w="8700" w:type="dxa"/>
            <w:vAlign w:val="bottom"/>
            <w:gridSpan w:val="2"/>
            <w:shd w:val="clear" w:color="auto" w:fill="DBDBDB"/>
          </w:tcPr>
          <w:p>
            <w:pPr>
              <w:spacing w:after="0" w:line="203" w:lineRule="exact"/>
              <w:rPr>
                <w:sz w:val="20"/>
                <w:szCs w:val="20"/>
                <w:color w:val="auto"/>
              </w:rPr>
            </w:pPr>
            <w:r>
              <w:rPr>
                <w:rFonts w:ascii="Arial" w:cs="Arial" w:eastAsia="Arial" w:hAnsi="Arial"/>
                <w:sz w:val="14"/>
                <w:szCs w:val="14"/>
                <w:color w:val="auto"/>
              </w:rPr>
              <w:t>Adjusted net income</w:t>
            </w:r>
            <w:r>
              <w:rPr>
                <w:rFonts w:ascii="Arial" w:cs="Arial" w:eastAsia="Arial" w:hAnsi="Arial"/>
                <w:sz w:val="18"/>
                <w:szCs w:val="18"/>
                <w:color w:val="auto"/>
                <w:vertAlign w:val="superscript"/>
              </w:rPr>
              <w:t>1</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111</w:t>
            </w:r>
          </w:p>
        </w:tc>
        <w:tc>
          <w:tcPr>
            <w:tcW w:w="120" w:type="dxa"/>
            <w:vAlign w:val="bottom"/>
            <w:tcBorders>
              <w:right w:val="single" w:sz="8" w:color="auto"/>
            </w:tcBorders>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00" w:type="dxa"/>
            <w:vAlign w:val="bottom"/>
            <w:gridSpan w:val="2"/>
          </w:tcPr>
          <w:p>
            <w:pPr>
              <w:spacing w:after="0" w:line="202" w:lineRule="exact"/>
              <w:rPr>
                <w:sz w:val="20"/>
                <w:szCs w:val="20"/>
                <w:color w:val="auto"/>
              </w:rPr>
            </w:pPr>
            <w:r>
              <w:rPr>
                <w:rFonts w:ascii="Arial" w:cs="Arial" w:eastAsia="Arial" w:hAnsi="Arial"/>
                <w:sz w:val="14"/>
                <w:szCs w:val="14"/>
                <w:color w:val="auto"/>
              </w:rPr>
              <w:t>Adjusted net income</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per share - diluted</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1.45</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203"/>
        </w:trPr>
        <w:tc>
          <w:tcPr>
            <w:tcW w:w="20" w:type="dxa"/>
            <w:vAlign w:val="bottom"/>
            <w:shd w:val="clear" w:color="auto" w:fill="DBDBDB"/>
          </w:tcPr>
          <w:p>
            <w:pPr>
              <w:spacing w:after="0"/>
              <w:rPr>
                <w:sz w:val="17"/>
                <w:szCs w:val="17"/>
                <w:color w:val="auto"/>
              </w:rPr>
            </w:pPr>
          </w:p>
        </w:tc>
        <w:tc>
          <w:tcPr>
            <w:tcW w:w="8700" w:type="dxa"/>
            <w:vAlign w:val="bottom"/>
            <w:gridSpan w:val="2"/>
            <w:shd w:val="clear" w:color="auto" w:fill="DBDBDB"/>
          </w:tcPr>
          <w:p>
            <w:pPr>
              <w:spacing w:after="0"/>
              <w:rPr>
                <w:sz w:val="20"/>
                <w:szCs w:val="20"/>
                <w:color w:val="auto"/>
              </w:rPr>
            </w:pPr>
            <w:r>
              <w:rPr>
                <w:rFonts w:ascii="Arial" w:cs="Arial" w:eastAsia="Arial" w:hAnsi="Arial"/>
                <w:sz w:val="14"/>
                <w:szCs w:val="14"/>
                <w:color w:val="auto"/>
              </w:rPr>
              <w:t>Weighted-average common shares outstanding - basic</w:t>
            </w:r>
          </w:p>
        </w:tc>
        <w:tc>
          <w:tcPr>
            <w:tcW w:w="160" w:type="dxa"/>
            <w:vAlign w:val="bottom"/>
            <w:shd w:val="clear" w:color="auto" w:fill="DBDBDB"/>
          </w:tcPr>
          <w:p>
            <w:pPr>
              <w:spacing w:after="0"/>
              <w:rPr>
                <w:sz w:val="17"/>
                <w:szCs w:val="17"/>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74.1</w:t>
            </w:r>
          </w:p>
        </w:tc>
        <w:tc>
          <w:tcPr>
            <w:tcW w:w="120" w:type="dxa"/>
            <w:vAlign w:val="bottom"/>
            <w:tcBorders>
              <w:right w:val="single" w:sz="8" w:color="auto"/>
            </w:tcBorders>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76.7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00" w:type="dxa"/>
            <w:vAlign w:val="bottom"/>
            <w:gridSpan w:val="2"/>
          </w:tcPr>
          <w:p>
            <w:pPr>
              <w:spacing w:after="0"/>
              <w:rPr>
                <w:sz w:val="20"/>
                <w:szCs w:val="20"/>
                <w:color w:val="auto"/>
              </w:rPr>
            </w:pPr>
            <w:r>
              <w:rPr>
                <w:rFonts w:ascii="Arial" w:cs="Arial" w:eastAsia="Arial" w:hAnsi="Arial"/>
                <w:sz w:val="14"/>
                <w:szCs w:val="14"/>
                <w:color w:val="auto"/>
              </w:rPr>
              <w:t>Weighted-average common shares outstanding - diluted</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76.3</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78.8</w:t>
            </w:r>
          </w:p>
        </w:tc>
        <w:tc>
          <w:tcPr>
            <w:tcW w:w="0" w:type="dxa"/>
            <w:vAlign w:val="bottom"/>
          </w:tcPr>
          <w:p>
            <w:pPr>
              <w:spacing w:after="0"/>
              <w:rPr>
                <w:sz w:val="1"/>
                <w:szCs w:val="1"/>
                <w:color w:val="auto"/>
              </w:rPr>
            </w:pPr>
          </w:p>
        </w:tc>
      </w:tr>
      <w:tr>
        <w:trPr>
          <w:trHeight w:val="203"/>
        </w:trPr>
        <w:tc>
          <w:tcPr>
            <w:tcW w:w="20" w:type="dxa"/>
            <w:vAlign w:val="bottom"/>
            <w:shd w:val="clear" w:color="auto" w:fill="DBDBDB"/>
          </w:tcPr>
          <w:p>
            <w:pPr>
              <w:spacing w:after="0"/>
              <w:rPr>
                <w:sz w:val="17"/>
                <w:szCs w:val="17"/>
                <w:color w:val="auto"/>
              </w:rPr>
            </w:pPr>
          </w:p>
        </w:tc>
        <w:tc>
          <w:tcPr>
            <w:tcW w:w="8700" w:type="dxa"/>
            <w:vAlign w:val="bottom"/>
            <w:gridSpan w:val="2"/>
            <w:shd w:val="clear" w:color="auto" w:fill="DBDBDB"/>
          </w:tcPr>
          <w:p>
            <w:pPr>
              <w:spacing w:after="0" w:line="203" w:lineRule="exact"/>
              <w:rPr>
                <w:sz w:val="20"/>
                <w:szCs w:val="20"/>
                <w:color w:val="auto"/>
              </w:rPr>
            </w:pPr>
            <w:r>
              <w:rPr>
                <w:rFonts w:ascii="Arial" w:cs="Arial" w:eastAsia="Arial" w:hAnsi="Arial"/>
                <w:sz w:val="14"/>
                <w:szCs w:val="14"/>
                <w:color w:val="auto"/>
              </w:rPr>
              <w:t>Adjusted EBITDAX</w:t>
            </w:r>
            <w:r>
              <w:rPr>
                <w:rFonts w:ascii="Arial" w:cs="Arial" w:eastAsia="Arial" w:hAnsi="Arial"/>
                <w:sz w:val="18"/>
                <w:szCs w:val="18"/>
                <w:color w:val="auto"/>
                <w:vertAlign w:val="superscript"/>
              </w:rPr>
              <w:t>1</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234</w:t>
            </w:r>
          </w:p>
        </w:tc>
        <w:tc>
          <w:tcPr>
            <w:tcW w:w="120" w:type="dxa"/>
            <w:vAlign w:val="bottom"/>
            <w:tcBorders>
              <w:right w:val="single" w:sz="8" w:color="auto"/>
            </w:tcBorders>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Review of Third Quarter 2022 Financial Results</w:t>
      </w:r>
    </w:p>
    <w:p>
      <w:pPr>
        <w:spacing w:after="0" w:line="235"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Realized oil prices, excluding the effects of cash settlements on CRC's commodity derivative contracts, decreased by $14.36 per barrel from $112.32 per barrel in the second quarter of 2022 to $97.96 per barrel in the third quarter of 2022. Realized oil prices were lower in the third quarter of 2022 compared to the second quarter of 2022 due to slowing global economic activity and ongoing releases from the U.S. Strategic Petroleum Reserve.</w:t>
      </w:r>
    </w:p>
    <w:p>
      <w:pPr>
        <w:spacing w:after="0" w:line="203"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22"/>
          <w:szCs w:val="22"/>
          <w:color w:val="auto"/>
        </w:rPr>
        <w:t>Realized oil prices, including the effects of cash settlements on CRC's commodity derivative contracts, decreased by $0.72 from $63.17 in the second quarter of 2022 to $62.45 in the third quarter of 2022. See Attachment 4 for further information on prices.</w:t>
      </w:r>
    </w:p>
    <w:p>
      <w:pPr>
        <w:spacing w:after="0" w:line="203" w:lineRule="exact"/>
        <w:rPr>
          <w:sz w:val="20"/>
          <w:szCs w:val="20"/>
          <w:color w:val="auto"/>
        </w:rPr>
      </w:pPr>
    </w:p>
    <w:p>
      <w:pPr>
        <w:jc w:val="both"/>
        <w:ind w:firstLine="324"/>
        <w:spacing w:after="0" w:line="233" w:lineRule="auto"/>
        <w:rPr>
          <w:sz w:val="20"/>
          <w:szCs w:val="20"/>
          <w:color w:val="auto"/>
        </w:rPr>
      </w:pPr>
      <w:r>
        <w:rPr>
          <w:rFonts w:ascii="Arial" w:cs="Arial" w:eastAsia="Arial" w:hAnsi="Arial"/>
          <w:sz w:val="22"/>
          <w:szCs w:val="22"/>
          <w:color w:val="auto"/>
        </w:rPr>
        <w:t>Adjusted EBITDAX</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for the third quarter of 2022 was $234 million. See table below for the Company's net cash provided by operating activities, capital investments and free cash flow</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during the same periods.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240"/>
          </w:cols>
          <w:pgMar w:left="320" w:top="894" w:right="339" w:bottom="1440" w:gutter="0" w:footer="0" w:header="0"/>
        </w:sectPr>
      </w:pPr>
    </w:p>
    <w:bookmarkStart w:id="8" w:name="page9"/>
    <w:bookmarkEnd w:id="8"/>
    <w:p>
      <w:pPr>
        <w:ind w:left="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594360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t>FREE CASH FLOW</w:t>
      </w:r>
      <w:r>
        <w:rPr>
          <w:rFonts w:ascii="Arial" w:cs="Arial" w:eastAsia="Arial" w:hAnsi="Arial"/>
          <w:sz w:val="18"/>
          <w:szCs w:val="18"/>
          <w:b w:val="1"/>
          <w:bCs w:val="1"/>
          <w:color w:val="auto"/>
          <w:vertAlign w:val="superscript"/>
        </w:rPr>
        <w:t>1</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14"/>
          <w:szCs w:val="14"/>
          <w:color w:val="auto"/>
        </w:rPr>
        <w:t>Management uses free cash flow, which is defined by us as net cash provided by operating activities less capital investments, as a measure of liquidity. The following table</w:t>
      </w:r>
    </w:p>
    <w:p>
      <w:pPr>
        <w:spacing w:after="0" w:line="2" w:lineRule="exact"/>
        <w:rPr>
          <w:sz w:val="20"/>
          <w:szCs w:val="20"/>
          <w:color w:val="auto"/>
        </w:rPr>
      </w:pPr>
    </w:p>
    <w:p>
      <w:pPr>
        <w:ind w:left="20" w:right="40"/>
        <w:spacing w:after="0" w:line="211" w:lineRule="auto"/>
        <w:rPr>
          <w:sz w:val="20"/>
          <w:szCs w:val="20"/>
          <w:color w:val="auto"/>
        </w:rPr>
      </w:pPr>
      <w:r>
        <w:rPr>
          <w:rFonts w:ascii="Arial" w:cs="Arial" w:eastAsia="Arial" w:hAnsi="Arial"/>
          <w:sz w:val="14"/>
          <w:szCs w:val="14"/>
          <w:color w:val="auto"/>
        </w:rPr>
        <w:t>presents a reconciliation of our net cash provided by operating activities to free cash flow. We supplemented our non-GAAP measure of free cash flow with free cash flow of our exploration and production and corporate items (Free Cash Flow for E&amp;P, Corporate &amp; Other) which we believe is a useful measure for investors to understand the results of</w:t>
      </w:r>
    </w:p>
    <w:p>
      <w:pPr>
        <w:ind w:left="20" w:right="540"/>
        <w:spacing w:after="0" w:line="244" w:lineRule="auto"/>
        <w:rPr>
          <w:sz w:val="20"/>
          <w:szCs w:val="20"/>
          <w:color w:val="auto"/>
        </w:rPr>
      </w:pPr>
      <w:r>
        <w:rPr>
          <w:rFonts w:ascii="Arial" w:cs="Arial" w:eastAsia="Arial" w:hAnsi="Arial"/>
          <w:sz w:val="14"/>
          <w:szCs w:val="14"/>
          <w:color w:val="auto"/>
        </w:rPr>
        <w:t>our core oil and gas business. We define Free Cash Flow for E&amp;P, Corporate &amp; Other as consolidated free cash flow less results attributable to our carbon management business (CMB).</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440" w:type="dxa"/>
            <w:vAlign w:val="bottom"/>
            <w:tcBorders>
              <w:top w:val="single" w:sz="8" w:color="DBDBDB"/>
            </w:tcBorders>
            <w:shd w:val="clear" w:color="auto" w:fill="DBDBDB"/>
          </w:tcPr>
          <w:p>
            <w:pPr>
              <w:spacing w:after="0"/>
              <w:rPr>
                <w:sz w:val="18"/>
                <w:szCs w:val="18"/>
                <w:color w:val="auto"/>
              </w:rPr>
            </w:pPr>
          </w:p>
        </w:tc>
        <w:tc>
          <w:tcPr>
            <w:tcW w:w="140" w:type="dxa"/>
            <w:vAlign w:val="bottom"/>
            <w:tcBorders>
              <w:top w:val="single" w:sz="8" w:color="DBDBDB"/>
            </w:tcBorders>
            <w:shd w:val="clear" w:color="auto" w:fill="DBDBDB"/>
          </w:tcPr>
          <w:p>
            <w:pPr>
              <w:spacing w:after="0"/>
              <w:rPr>
                <w:sz w:val="18"/>
                <w:szCs w:val="18"/>
                <w:color w:val="auto"/>
              </w:rPr>
            </w:pPr>
          </w:p>
        </w:tc>
        <w:tc>
          <w:tcPr>
            <w:tcW w:w="160" w:type="dxa"/>
            <w:vAlign w:val="bottom"/>
            <w:tcBorders>
              <w:top w:val="single" w:sz="8" w:color="auto"/>
            </w:tcBorders>
            <w:shd w:val="clear" w:color="auto" w:fill="DBDBDB"/>
          </w:tcPr>
          <w:p>
            <w:pPr>
              <w:spacing w:after="0"/>
              <w:rPr>
                <w:sz w:val="18"/>
                <w:szCs w:val="18"/>
                <w:color w:val="auto"/>
              </w:rPr>
            </w:pPr>
          </w:p>
        </w:tc>
        <w:tc>
          <w:tcPr>
            <w:tcW w:w="1060" w:type="dxa"/>
            <w:vAlign w:val="bottom"/>
            <w:tcBorders>
              <w:top w:val="single" w:sz="8" w:color="auto"/>
            </w:tcBorders>
            <w:shd w:val="clear" w:color="auto" w:fill="DBDBDB"/>
          </w:tcPr>
          <w:p>
            <w:pPr>
              <w:jc w:val="right"/>
              <w:ind w:right="148"/>
              <w:spacing w:after="0"/>
              <w:rPr>
                <w:sz w:val="20"/>
                <w:szCs w:val="20"/>
                <w:color w:val="auto"/>
              </w:rPr>
            </w:pPr>
            <w:r>
              <w:rPr>
                <w:rFonts w:ascii="Arial" w:cs="Arial" w:eastAsia="Arial" w:hAnsi="Arial"/>
                <w:sz w:val="14"/>
                <w:szCs w:val="14"/>
                <w:b w:val="1"/>
                <w:bCs w:val="1"/>
                <w:color w:val="auto"/>
              </w:rPr>
              <w:t>3rd Quarter</w:t>
            </w:r>
          </w:p>
        </w:tc>
        <w:tc>
          <w:tcPr>
            <w:tcW w:w="120" w:type="dxa"/>
            <w:vAlign w:val="bottom"/>
            <w:tcBorders>
              <w:top w:val="single" w:sz="8" w:color="DBDBDB"/>
              <w:right w:val="single" w:sz="8" w:color="auto"/>
            </w:tcBorders>
            <w:shd w:val="clear" w:color="auto" w:fill="DBDBDB"/>
          </w:tcPr>
          <w:p>
            <w:pPr>
              <w:spacing w:after="0"/>
              <w:rPr>
                <w:sz w:val="18"/>
                <w:szCs w:val="18"/>
                <w:color w:val="auto"/>
              </w:rPr>
            </w:pPr>
          </w:p>
        </w:tc>
        <w:tc>
          <w:tcPr>
            <w:tcW w:w="80" w:type="dxa"/>
            <w:vAlign w:val="bottom"/>
            <w:tcBorders>
              <w:top w:val="single" w:sz="8" w:color="DBDBDB"/>
            </w:tcBorders>
            <w:shd w:val="clear" w:color="auto" w:fill="DBDBDB"/>
          </w:tcPr>
          <w:p>
            <w:pPr>
              <w:spacing w:after="0"/>
              <w:rPr>
                <w:sz w:val="18"/>
                <w:szCs w:val="18"/>
                <w:color w:val="auto"/>
              </w:rPr>
            </w:pPr>
          </w:p>
        </w:tc>
        <w:tc>
          <w:tcPr>
            <w:tcW w:w="160" w:type="dxa"/>
            <w:vAlign w:val="bottom"/>
            <w:tcBorders>
              <w:top w:val="single" w:sz="8" w:color="auto"/>
            </w:tcBorders>
            <w:shd w:val="clear" w:color="auto" w:fill="DBDBDB"/>
          </w:tcPr>
          <w:p>
            <w:pPr>
              <w:spacing w:after="0"/>
              <w:rPr>
                <w:sz w:val="18"/>
                <w:szCs w:val="18"/>
                <w:color w:val="auto"/>
              </w:rPr>
            </w:pPr>
          </w:p>
        </w:tc>
        <w:tc>
          <w:tcPr>
            <w:tcW w:w="1080" w:type="dxa"/>
            <w:vAlign w:val="bottom"/>
            <w:tcBorders>
              <w:top w:val="single" w:sz="8" w:color="auto"/>
            </w:tcBorders>
            <w:shd w:val="clear" w:color="auto" w:fill="DBDBDB"/>
          </w:tcPr>
          <w:p>
            <w:pPr>
              <w:jc w:val="right"/>
              <w:ind w:right="168"/>
              <w:spacing w:after="0"/>
              <w:rPr>
                <w:sz w:val="20"/>
                <w:szCs w:val="20"/>
                <w:color w:val="auto"/>
              </w:rPr>
            </w:pPr>
            <w:r>
              <w:rPr>
                <w:rFonts w:ascii="Arial" w:cs="Arial" w:eastAsia="Arial" w:hAnsi="Arial"/>
                <w:sz w:val="14"/>
                <w:szCs w:val="14"/>
                <w:color w:val="auto"/>
              </w:rPr>
              <w:t>2nd Quarter</w:t>
            </w:r>
          </w:p>
        </w:tc>
      </w:tr>
      <w:tr>
        <w:trPr>
          <w:trHeight w:val="203"/>
        </w:trPr>
        <w:tc>
          <w:tcPr>
            <w:tcW w:w="844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4"/>
                <w:szCs w:val="14"/>
                <w:color w:val="auto"/>
              </w:rPr>
              <w:t>($ millions)</w:t>
            </w:r>
          </w:p>
        </w:tc>
        <w:tc>
          <w:tcPr>
            <w:tcW w:w="140" w:type="dxa"/>
            <w:vAlign w:val="bottom"/>
            <w:tcBorders>
              <w:bottom w:val="single" w:sz="8" w:color="auto"/>
            </w:tcBorders>
            <w:shd w:val="clear" w:color="auto" w:fill="DBDBDB"/>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1060" w:type="dxa"/>
            <w:vAlign w:val="bottom"/>
            <w:tcBorders>
              <w:bottom w:val="single" w:sz="8" w:color="auto"/>
            </w:tcBorders>
            <w:shd w:val="clear" w:color="auto" w:fill="DBDBDB"/>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right w:val="single" w:sz="8" w:color="auto"/>
            </w:tcBorders>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1080" w:type="dxa"/>
            <w:vAlign w:val="bottom"/>
            <w:tcBorders>
              <w:bottom w:val="single" w:sz="8" w:color="auto"/>
            </w:tcBorders>
            <w:shd w:val="clear" w:color="auto" w:fill="DBDBDB"/>
          </w:tcPr>
          <w:p>
            <w:pPr>
              <w:jc w:val="right"/>
              <w:ind w:right="388"/>
              <w:spacing w:after="0"/>
              <w:rPr>
                <w:sz w:val="20"/>
                <w:szCs w:val="20"/>
                <w:color w:val="auto"/>
              </w:rPr>
            </w:pPr>
            <w:r>
              <w:rPr>
                <w:rFonts w:ascii="Arial" w:cs="Arial" w:eastAsia="Arial" w:hAnsi="Arial"/>
                <w:sz w:val="14"/>
                <w:szCs w:val="14"/>
                <w:color w:val="auto"/>
              </w:rPr>
              <w:t>2022</w:t>
            </w:r>
          </w:p>
        </w:tc>
      </w:tr>
      <w:tr>
        <w:trPr>
          <w:trHeight w:val="399"/>
        </w:trPr>
        <w:tc>
          <w:tcPr>
            <w:tcW w:w="8440" w:type="dxa"/>
            <w:vAlign w:val="bottom"/>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235</w:t>
            </w: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181</w:t>
            </w:r>
          </w:p>
        </w:tc>
      </w:tr>
      <w:tr>
        <w:trPr>
          <w:trHeight w:val="203"/>
        </w:trPr>
        <w:tc>
          <w:tcPr>
            <w:tcW w:w="8440" w:type="dxa"/>
            <w:vAlign w:val="bottom"/>
            <w:shd w:val="clear" w:color="auto" w:fill="DBDBDB"/>
          </w:tcPr>
          <w:p>
            <w:pPr>
              <w:ind w:left="100"/>
              <w:spacing w:after="0"/>
              <w:rPr>
                <w:sz w:val="20"/>
                <w:szCs w:val="20"/>
                <w:color w:val="auto"/>
              </w:rPr>
            </w:pPr>
            <w:r>
              <w:rPr>
                <w:rFonts w:ascii="Arial" w:cs="Arial" w:eastAsia="Arial" w:hAnsi="Arial"/>
                <w:sz w:val="14"/>
                <w:szCs w:val="14"/>
                <w:color w:val="auto"/>
              </w:rPr>
              <w:t>Capital investments</w:t>
            </w:r>
          </w:p>
        </w:tc>
        <w:tc>
          <w:tcPr>
            <w:tcW w:w="140" w:type="dxa"/>
            <w:vAlign w:val="bottom"/>
            <w:shd w:val="clear" w:color="auto" w:fill="DBDBDB"/>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(107)</w:t>
            </w:r>
          </w:p>
        </w:tc>
        <w:tc>
          <w:tcPr>
            <w:tcW w:w="120" w:type="dxa"/>
            <w:vAlign w:val="bottom"/>
            <w:tcBorders>
              <w:right w:val="single" w:sz="8" w:color="auto"/>
            </w:tcBorders>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(98)</w:t>
            </w:r>
          </w:p>
        </w:tc>
      </w:tr>
      <w:tr>
        <w:trPr>
          <w:trHeight w:val="196"/>
        </w:trPr>
        <w:tc>
          <w:tcPr>
            <w:tcW w:w="8440" w:type="dxa"/>
            <w:vAlign w:val="bottom"/>
          </w:tcPr>
          <w:p>
            <w:pPr>
              <w:ind w:left="20"/>
              <w:spacing w:after="0" w:line="196" w:lineRule="exact"/>
              <w:rPr>
                <w:sz w:val="20"/>
                <w:szCs w:val="20"/>
                <w:color w:val="auto"/>
              </w:rPr>
            </w:pPr>
            <w:r>
              <w:rPr>
                <w:rFonts w:ascii="Arial" w:cs="Arial" w:eastAsia="Arial" w:hAnsi="Arial"/>
                <w:sz w:val="14"/>
                <w:szCs w:val="14"/>
                <w:color w:val="auto"/>
              </w:rPr>
              <w:t>Free cash flow</w:t>
            </w:r>
            <w:r>
              <w:rPr>
                <w:rFonts w:ascii="Arial" w:cs="Arial" w:eastAsia="Arial" w:hAnsi="Arial"/>
                <w:sz w:val="18"/>
                <w:szCs w:val="18"/>
                <w:color w:val="auto"/>
                <w:vertAlign w:val="superscript"/>
              </w:rPr>
              <w:t>1</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128</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83</w:t>
            </w:r>
          </w:p>
        </w:tc>
      </w:tr>
      <w:tr>
        <w:trPr>
          <w:trHeight w:val="461"/>
        </w:trPr>
        <w:tc>
          <w:tcPr>
            <w:tcW w:w="8440" w:type="dxa"/>
            <w:vAlign w:val="bottom"/>
          </w:tcPr>
          <w:p>
            <w:pPr>
              <w:ind w:left="20"/>
              <w:spacing w:after="0"/>
              <w:rPr>
                <w:sz w:val="20"/>
                <w:szCs w:val="20"/>
                <w:color w:val="auto"/>
              </w:rPr>
            </w:pPr>
            <w:r>
              <w:rPr>
                <w:rFonts w:ascii="Arial" w:cs="Arial" w:eastAsia="Arial" w:hAnsi="Arial"/>
                <w:sz w:val="14"/>
                <w:szCs w:val="14"/>
                <w:color w:val="auto"/>
              </w:rPr>
              <w:t>E&amp;P, corporate &amp; other free cash flow</w:t>
            </w:r>
            <w:r>
              <w:rPr>
                <w:rFonts w:ascii="Arial" w:cs="Arial" w:eastAsia="Arial" w:hAnsi="Arial"/>
                <w:sz w:val="18"/>
                <w:szCs w:val="18"/>
                <w:color w:val="auto"/>
                <w:vertAlign w:val="superscript"/>
              </w:rPr>
              <w:t>1</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139</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98</w:t>
            </w:r>
          </w:p>
        </w:tc>
      </w:tr>
      <w:tr>
        <w:trPr>
          <w:trHeight w:val="250"/>
        </w:trPr>
        <w:tc>
          <w:tcPr>
            <w:tcW w:w="8440" w:type="dxa"/>
            <w:vAlign w:val="bottom"/>
          </w:tcPr>
          <w:p>
            <w:pPr>
              <w:ind w:left="20"/>
              <w:spacing w:after="0"/>
              <w:rPr>
                <w:sz w:val="20"/>
                <w:szCs w:val="20"/>
                <w:color w:val="auto"/>
              </w:rPr>
            </w:pPr>
            <w:r>
              <w:rPr>
                <w:rFonts w:ascii="Arial" w:cs="Arial" w:eastAsia="Arial" w:hAnsi="Arial"/>
                <w:sz w:val="14"/>
                <w:szCs w:val="14"/>
                <w:color w:val="auto"/>
              </w:rPr>
              <w:t>CMB free cash flow</w:t>
            </w:r>
            <w:r>
              <w:rPr>
                <w:rFonts w:ascii="Arial" w:cs="Arial" w:eastAsia="Arial" w:hAnsi="Arial"/>
                <w:sz w:val="18"/>
                <w:szCs w:val="18"/>
                <w:color w:val="auto"/>
                <w:vertAlign w:val="superscript"/>
              </w:rPr>
              <w:t>1</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(15)</w:t>
            </w:r>
          </w:p>
        </w:tc>
      </w:tr>
    </w:tbl>
    <w:p>
      <w:pPr>
        <w:spacing w:after="0" w:line="262"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The following table presents key operating data for CRC's oil and gas operations, on a per BOE basis, for the periods presented below. Energy operating costs consist of purchased natural gas used to generate electricity for CRC's operations and steam for its steamfloods, purchased electricity and internal costs to generate electricity used in CRC's operations. Gas processing costs include costs associated with compression, maintenance and other activities needed to run CRC's gas processing facilities at Elk Hills. Non-energy operating costs equal total operating costs less energy operating costs and gas processing costs. Purchased natural gas used to generate steam in CRC's steamfloods was reclassified from non-energy operating costs to energy operating costs beginning in the third quarter of 2022. All prior periods have been updated to conform to this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OPERATING COSTS PER BOE</w:t>
      </w:r>
    </w:p>
    <w:p>
      <w:pPr>
        <w:spacing w:after="0" w:line="136" w:lineRule="exact"/>
        <w:rPr>
          <w:sz w:val="20"/>
          <w:szCs w:val="20"/>
          <w:color w:val="auto"/>
        </w:rPr>
      </w:pPr>
    </w:p>
    <w:p>
      <w:pPr>
        <w:ind w:left="20" w:right="220"/>
        <w:spacing w:after="0" w:line="244" w:lineRule="auto"/>
        <w:rPr>
          <w:sz w:val="20"/>
          <w:szCs w:val="20"/>
          <w:color w:val="auto"/>
        </w:rPr>
      </w:pPr>
      <w:r>
        <w:rPr>
          <w:rFonts w:ascii="Arial" w:cs="Arial" w:eastAsia="Arial" w:hAnsi="Arial"/>
          <w:sz w:val="14"/>
          <w:szCs w:val="14"/>
          <w:color w:val="auto"/>
        </w:rPr>
        <w:t>The reporting of our PSCs creates a difference between reported operating costs, which are for the full field, and reported volumes, which are only our net share, inflating the per barrel operating costs. The following table presents operating costs after adjusting for the excess costs attributable to PSCs.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600" w:type="dxa"/>
            <w:vAlign w:val="bottom"/>
            <w:tcBorders>
              <w:top w:val="single" w:sz="8" w:color="DBDBDB"/>
            </w:tcBorders>
            <w:shd w:val="clear" w:color="auto" w:fill="DBDBDB"/>
          </w:tcPr>
          <w:p>
            <w:pPr>
              <w:spacing w:after="0"/>
              <w:rPr>
                <w:sz w:val="18"/>
                <w:szCs w:val="18"/>
                <w:color w:val="auto"/>
              </w:rPr>
            </w:pPr>
          </w:p>
        </w:tc>
        <w:tc>
          <w:tcPr>
            <w:tcW w:w="160" w:type="dxa"/>
            <w:vAlign w:val="bottom"/>
            <w:tcBorders>
              <w:top w:val="single" w:sz="8" w:color="auto"/>
            </w:tcBorders>
            <w:shd w:val="clear" w:color="auto" w:fill="DBDBDB"/>
          </w:tcPr>
          <w:p>
            <w:pPr>
              <w:spacing w:after="0"/>
              <w:rPr>
                <w:sz w:val="18"/>
                <w:szCs w:val="18"/>
                <w:color w:val="auto"/>
              </w:rPr>
            </w:pPr>
          </w:p>
        </w:tc>
        <w:tc>
          <w:tcPr>
            <w:tcW w:w="1060" w:type="dxa"/>
            <w:vAlign w:val="bottom"/>
            <w:tcBorders>
              <w:top w:val="single" w:sz="8" w:color="auto"/>
            </w:tcBorders>
            <w:shd w:val="clear" w:color="auto" w:fill="DBDBDB"/>
          </w:tcPr>
          <w:p>
            <w:pPr>
              <w:jc w:val="right"/>
              <w:ind w:right="148"/>
              <w:spacing w:after="0"/>
              <w:rPr>
                <w:sz w:val="20"/>
                <w:szCs w:val="20"/>
                <w:color w:val="auto"/>
              </w:rPr>
            </w:pPr>
            <w:r>
              <w:rPr>
                <w:rFonts w:ascii="Arial" w:cs="Arial" w:eastAsia="Arial" w:hAnsi="Arial"/>
                <w:sz w:val="14"/>
                <w:szCs w:val="14"/>
                <w:b w:val="1"/>
                <w:bCs w:val="1"/>
                <w:color w:val="auto"/>
              </w:rPr>
              <w:t>3rd Quarter</w:t>
            </w:r>
          </w:p>
        </w:tc>
        <w:tc>
          <w:tcPr>
            <w:tcW w:w="120" w:type="dxa"/>
            <w:vAlign w:val="bottom"/>
            <w:tcBorders>
              <w:top w:val="single" w:sz="8" w:color="DBDBDB"/>
              <w:right w:val="single" w:sz="8" w:color="auto"/>
            </w:tcBorders>
            <w:shd w:val="clear" w:color="auto" w:fill="DBDBDB"/>
          </w:tcPr>
          <w:p>
            <w:pPr>
              <w:spacing w:after="0"/>
              <w:rPr>
                <w:sz w:val="18"/>
                <w:szCs w:val="18"/>
                <w:color w:val="auto"/>
              </w:rPr>
            </w:pPr>
          </w:p>
        </w:tc>
        <w:tc>
          <w:tcPr>
            <w:tcW w:w="80" w:type="dxa"/>
            <w:vAlign w:val="bottom"/>
            <w:tcBorders>
              <w:top w:val="single" w:sz="8" w:color="DBDBDB"/>
            </w:tcBorders>
            <w:shd w:val="clear" w:color="auto" w:fill="DBDBDB"/>
          </w:tcPr>
          <w:p>
            <w:pPr>
              <w:spacing w:after="0"/>
              <w:rPr>
                <w:sz w:val="18"/>
                <w:szCs w:val="18"/>
                <w:color w:val="auto"/>
              </w:rPr>
            </w:pPr>
          </w:p>
        </w:tc>
        <w:tc>
          <w:tcPr>
            <w:tcW w:w="160" w:type="dxa"/>
            <w:vAlign w:val="bottom"/>
            <w:tcBorders>
              <w:top w:val="single" w:sz="8" w:color="auto"/>
            </w:tcBorders>
            <w:shd w:val="clear" w:color="auto" w:fill="DBDBDB"/>
          </w:tcPr>
          <w:p>
            <w:pPr>
              <w:spacing w:after="0"/>
              <w:rPr>
                <w:sz w:val="18"/>
                <w:szCs w:val="18"/>
                <w:color w:val="auto"/>
              </w:rPr>
            </w:pPr>
          </w:p>
        </w:tc>
        <w:tc>
          <w:tcPr>
            <w:tcW w:w="1060" w:type="dxa"/>
            <w:vAlign w:val="bottom"/>
            <w:tcBorders>
              <w:top w:val="single" w:sz="8" w:color="auto"/>
            </w:tcBorders>
            <w:shd w:val="clear" w:color="auto" w:fill="DBDBDB"/>
          </w:tcPr>
          <w:p>
            <w:pPr>
              <w:jc w:val="right"/>
              <w:ind w:right="168"/>
              <w:spacing w:after="0"/>
              <w:rPr>
                <w:sz w:val="20"/>
                <w:szCs w:val="20"/>
                <w:color w:val="auto"/>
              </w:rPr>
            </w:pPr>
            <w:r>
              <w:rPr>
                <w:rFonts w:ascii="Arial" w:cs="Arial" w:eastAsia="Arial" w:hAnsi="Arial"/>
                <w:sz w:val="14"/>
                <w:szCs w:val="14"/>
                <w:color w:val="auto"/>
              </w:rPr>
              <w:t>2nd Quarter</w:t>
            </w:r>
          </w:p>
        </w:tc>
      </w:tr>
      <w:tr>
        <w:trPr>
          <w:trHeight w:val="203"/>
        </w:trPr>
        <w:tc>
          <w:tcPr>
            <w:tcW w:w="860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4"/>
                <w:szCs w:val="14"/>
                <w:color w:val="auto"/>
              </w:rPr>
              <w:t>($ per Boe)</w:t>
            </w:r>
          </w:p>
        </w:tc>
        <w:tc>
          <w:tcPr>
            <w:tcW w:w="160" w:type="dxa"/>
            <w:vAlign w:val="bottom"/>
            <w:tcBorders>
              <w:bottom w:val="single" w:sz="8" w:color="auto"/>
            </w:tcBorders>
            <w:shd w:val="clear" w:color="auto" w:fill="DBDBDB"/>
          </w:tcPr>
          <w:p>
            <w:pPr>
              <w:spacing w:after="0"/>
              <w:rPr>
                <w:sz w:val="17"/>
                <w:szCs w:val="17"/>
                <w:color w:val="auto"/>
              </w:rPr>
            </w:pPr>
          </w:p>
        </w:tc>
        <w:tc>
          <w:tcPr>
            <w:tcW w:w="1060" w:type="dxa"/>
            <w:vAlign w:val="bottom"/>
            <w:tcBorders>
              <w:bottom w:val="single" w:sz="8" w:color="auto"/>
            </w:tcBorders>
            <w:shd w:val="clear" w:color="auto" w:fill="DBDBDB"/>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right w:val="single" w:sz="8" w:color="auto"/>
            </w:tcBorders>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60" w:type="dxa"/>
            <w:vAlign w:val="bottom"/>
            <w:tcBorders>
              <w:bottom w:val="single" w:sz="8" w:color="auto"/>
            </w:tcBorders>
            <w:shd w:val="clear" w:color="auto" w:fill="DBDBDB"/>
          </w:tcPr>
          <w:p>
            <w:pPr>
              <w:spacing w:after="0"/>
              <w:rPr>
                <w:sz w:val="17"/>
                <w:szCs w:val="17"/>
                <w:color w:val="auto"/>
              </w:rPr>
            </w:pPr>
          </w:p>
        </w:tc>
        <w:tc>
          <w:tcPr>
            <w:tcW w:w="1060" w:type="dxa"/>
            <w:vAlign w:val="bottom"/>
            <w:tcBorders>
              <w:bottom w:val="single" w:sz="8" w:color="auto"/>
            </w:tcBorders>
            <w:shd w:val="clear" w:color="auto" w:fill="DBDBDB"/>
          </w:tcPr>
          <w:p>
            <w:pPr>
              <w:jc w:val="right"/>
              <w:ind w:right="388"/>
              <w:spacing w:after="0"/>
              <w:rPr>
                <w:sz w:val="20"/>
                <w:szCs w:val="20"/>
                <w:color w:val="auto"/>
              </w:rPr>
            </w:pPr>
            <w:r>
              <w:rPr>
                <w:rFonts w:ascii="Arial" w:cs="Arial" w:eastAsia="Arial" w:hAnsi="Arial"/>
                <w:sz w:val="14"/>
                <w:szCs w:val="14"/>
                <w:color w:val="auto"/>
              </w:rPr>
              <w:t>2022</w:t>
            </w:r>
          </w:p>
        </w:tc>
      </w:tr>
      <w:tr>
        <w:trPr>
          <w:trHeight w:val="196"/>
        </w:trPr>
        <w:tc>
          <w:tcPr>
            <w:tcW w:w="8600" w:type="dxa"/>
            <w:vAlign w:val="bottom"/>
          </w:tcPr>
          <w:p>
            <w:pPr>
              <w:ind w:left="20"/>
              <w:spacing w:after="0"/>
              <w:rPr>
                <w:sz w:val="20"/>
                <w:szCs w:val="20"/>
                <w:color w:val="auto"/>
              </w:rPr>
            </w:pPr>
            <w:r>
              <w:rPr>
                <w:rFonts w:ascii="Arial" w:cs="Arial" w:eastAsia="Arial" w:hAnsi="Arial"/>
                <w:sz w:val="14"/>
                <w:szCs w:val="14"/>
                <w:color w:val="auto"/>
              </w:rPr>
              <w:t>Energy operating costs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10.96</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9.33</w:t>
            </w:r>
          </w:p>
        </w:tc>
      </w:tr>
      <w:tr>
        <w:trPr>
          <w:trHeight w:val="203"/>
        </w:trPr>
        <w:tc>
          <w:tcPr>
            <w:tcW w:w="8600" w:type="dxa"/>
            <w:vAlign w:val="bottom"/>
            <w:shd w:val="clear" w:color="auto" w:fill="DBDBDB"/>
          </w:tcPr>
          <w:p>
            <w:pPr>
              <w:ind w:left="20"/>
              <w:spacing w:after="0"/>
              <w:rPr>
                <w:sz w:val="20"/>
                <w:szCs w:val="20"/>
                <w:color w:val="auto"/>
              </w:rPr>
            </w:pPr>
            <w:r>
              <w:rPr>
                <w:rFonts w:ascii="Arial" w:cs="Arial" w:eastAsia="Arial" w:hAnsi="Arial"/>
                <w:sz w:val="14"/>
                <w:szCs w:val="14"/>
                <w:color w:val="auto"/>
              </w:rPr>
              <w:t>Gas processing costs</w:t>
            </w:r>
          </w:p>
        </w:tc>
        <w:tc>
          <w:tcPr>
            <w:tcW w:w="160" w:type="dxa"/>
            <w:vAlign w:val="bottom"/>
            <w:shd w:val="clear" w:color="auto" w:fill="DBDBDB"/>
          </w:tcPr>
          <w:p>
            <w:pPr>
              <w:spacing w:after="0"/>
              <w:rPr>
                <w:sz w:val="17"/>
                <w:szCs w:val="17"/>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0.49</w:t>
            </w:r>
          </w:p>
        </w:tc>
        <w:tc>
          <w:tcPr>
            <w:tcW w:w="120" w:type="dxa"/>
            <w:vAlign w:val="bottom"/>
            <w:tcBorders>
              <w:right w:val="single" w:sz="8" w:color="auto"/>
            </w:tcBorders>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0.54</w:t>
            </w:r>
          </w:p>
        </w:tc>
      </w:tr>
      <w:tr>
        <w:trPr>
          <w:trHeight w:val="202"/>
        </w:trPr>
        <w:tc>
          <w:tcPr>
            <w:tcW w:w="86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Non-energy operating costs</w:t>
            </w: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13.82</w:t>
            </w:r>
          </w:p>
        </w:tc>
        <w:tc>
          <w:tcPr>
            <w:tcW w:w="120" w:type="dxa"/>
            <w:vAlign w:val="bottom"/>
            <w:tcBorders>
              <w:bottom w:val="single" w:sz="8" w:color="DBDBDB"/>
              <w:right w:val="single" w:sz="8" w:color="auto"/>
            </w:tcBorders>
          </w:tcPr>
          <w:p>
            <w:pPr>
              <w:spacing w:after="0"/>
              <w:rPr>
                <w:sz w:val="17"/>
                <w:szCs w:val="17"/>
                <w:color w:val="auto"/>
              </w:rPr>
            </w:pPr>
          </w:p>
        </w:tc>
        <w:tc>
          <w:tcPr>
            <w:tcW w:w="80" w:type="dxa"/>
            <w:vAlign w:val="bottom"/>
            <w:tcBorders>
              <w:bottom w:val="single" w:sz="8" w:color="DBDBDB"/>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13.05</w:t>
            </w:r>
          </w:p>
        </w:tc>
      </w:tr>
      <w:tr>
        <w:trPr>
          <w:trHeight w:val="197"/>
        </w:trPr>
        <w:tc>
          <w:tcPr>
            <w:tcW w:w="8600" w:type="dxa"/>
            <w:vAlign w:val="bottom"/>
            <w:shd w:val="clear" w:color="auto" w:fill="DBDBDB"/>
          </w:tcPr>
          <w:p>
            <w:pPr>
              <w:ind w:left="20"/>
              <w:spacing w:after="0"/>
              <w:rPr>
                <w:sz w:val="20"/>
                <w:szCs w:val="20"/>
                <w:color w:val="auto"/>
              </w:rPr>
            </w:pPr>
            <w:r>
              <w:rPr>
                <w:rFonts w:ascii="Arial" w:cs="Arial" w:eastAsia="Arial" w:hAnsi="Arial"/>
                <w:sz w:val="14"/>
                <w:szCs w:val="14"/>
                <w:color w:val="auto"/>
              </w:rPr>
              <w:t>Operating costs</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25.27</w:t>
            </w:r>
          </w:p>
        </w:tc>
        <w:tc>
          <w:tcPr>
            <w:tcW w:w="120" w:type="dxa"/>
            <w:vAlign w:val="bottom"/>
            <w:tcBorders>
              <w:right w:val="single" w:sz="8" w:color="auto"/>
            </w:tcBorders>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22.92</w:t>
            </w:r>
          </w:p>
        </w:tc>
      </w:tr>
      <w:tr>
        <w:trPr>
          <w:trHeight w:val="201"/>
        </w:trPr>
        <w:tc>
          <w:tcPr>
            <w:tcW w:w="860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auto"/>
              </w:rPr>
              <w:t>Excess costs attributable to PSCs</w:t>
            </w: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(2.16)</w:t>
            </w:r>
          </w:p>
        </w:tc>
        <w:tc>
          <w:tcPr>
            <w:tcW w:w="120" w:type="dxa"/>
            <w:vAlign w:val="bottom"/>
            <w:tcBorders>
              <w:bottom w:val="single" w:sz="8" w:color="DBDBDB"/>
              <w:right w:val="single" w:sz="8" w:color="auto"/>
            </w:tcBorders>
          </w:tcPr>
          <w:p>
            <w:pPr>
              <w:spacing w:after="0"/>
              <w:rPr>
                <w:sz w:val="17"/>
                <w:szCs w:val="17"/>
                <w:color w:val="auto"/>
              </w:rPr>
            </w:pPr>
          </w:p>
        </w:tc>
        <w:tc>
          <w:tcPr>
            <w:tcW w:w="80" w:type="dxa"/>
            <w:vAlign w:val="bottom"/>
            <w:tcBorders>
              <w:bottom w:val="single" w:sz="8" w:color="DBDBDB"/>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w:t>
            </w:r>
          </w:p>
        </w:tc>
      </w:tr>
      <w:tr>
        <w:trPr>
          <w:trHeight w:val="222"/>
        </w:trPr>
        <w:tc>
          <w:tcPr>
            <w:tcW w:w="8600" w:type="dxa"/>
            <w:vAlign w:val="bottom"/>
            <w:tcBorders>
              <w:bottom w:val="single" w:sz="8" w:color="DBDBDB"/>
            </w:tcBorders>
            <w:shd w:val="clear" w:color="auto" w:fill="DBDBDB"/>
          </w:tcPr>
          <w:p>
            <w:pPr>
              <w:ind w:left="20"/>
              <w:spacing w:after="0" w:line="197" w:lineRule="exact"/>
              <w:rPr>
                <w:sz w:val="20"/>
                <w:szCs w:val="20"/>
                <w:color w:val="auto"/>
              </w:rPr>
            </w:pPr>
            <w:r>
              <w:rPr>
                <w:rFonts w:ascii="Arial" w:cs="Arial" w:eastAsia="Arial" w:hAnsi="Arial"/>
                <w:sz w:val="14"/>
                <w:szCs w:val="14"/>
                <w:color w:val="auto"/>
              </w:rPr>
              <w:t xml:space="preserve">Operating costs, excluding effects of PSCs </w:t>
            </w:r>
            <w:r>
              <w:rPr>
                <w:rFonts w:ascii="Arial" w:cs="Arial" w:eastAsia="Arial" w:hAnsi="Arial"/>
                <w:sz w:val="18"/>
                <w:szCs w:val="18"/>
                <w:color w:val="auto"/>
                <w:vertAlign w:val="superscript"/>
              </w:rPr>
              <w:t>(a)</w:t>
            </w: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23.11</w:t>
            </w:r>
          </w:p>
        </w:tc>
        <w:tc>
          <w:tcPr>
            <w:tcW w:w="120" w:type="dxa"/>
            <w:vAlign w:val="bottom"/>
            <w:tcBorders>
              <w:bottom w:val="single" w:sz="8" w:color="DBDBDB"/>
              <w:right w:val="single" w:sz="8" w:color="auto"/>
            </w:tcBorders>
            <w:shd w:val="clear" w:color="auto" w:fill="DBDBDB"/>
          </w:tcPr>
          <w:p>
            <w:pPr>
              <w:spacing w:after="0"/>
              <w:rPr>
                <w:sz w:val="18"/>
                <w:szCs w:val="18"/>
                <w:color w:val="auto"/>
              </w:rPr>
            </w:pPr>
          </w:p>
        </w:tc>
        <w:tc>
          <w:tcPr>
            <w:tcW w:w="80" w:type="dxa"/>
            <w:vAlign w:val="bottom"/>
            <w:tcBorders>
              <w:bottom w:val="single" w:sz="8" w:color="DBDBDB"/>
            </w:tcBorders>
            <w:shd w:val="clear" w:color="auto" w:fill="DBDBDB"/>
          </w:tcPr>
          <w:p>
            <w:pPr>
              <w:spacing w:after="0"/>
              <w:rPr>
                <w:sz w:val="18"/>
                <w:szCs w:val="18"/>
                <w:color w:val="auto"/>
              </w:rPr>
            </w:pPr>
          </w:p>
        </w:tc>
        <w:tc>
          <w:tcPr>
            <w:tcW w:w="16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20.34</w:t>
            </w:r>
          </w:p>
        </w:tc>
      </w:tr>
      <w:tr>
        <w:trPr>
          <w:trHeight w:val="20"/>
        </w:trPr>
        <w:tc>
          <w:tcPr>
            <w:tcW w:w="86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20"/>
        <w:spacing w:after="0"/>
        <w:rPr>
          <w:sz w:val="20"/>
          <w:szCs w:val="20"/>
          <w:color w:val="auto"/>
        </w:rPr>
      </w:pPr>
      <w:r>
        <w:rPr>
          <w:rFonts w:ascii="Arial" w:cs="Arial" w:eastAsia="Arial" w:hAnsi="Arial"/>
          <w:sz w:val="14"/>
          <w:szCs w:val="14"/>
          <w:color w:val="auto"/>
        </w:rPr>
        <w:t>(a) Operating costs, excluding effects of PSCs is a non-GAAP measure.</w:t>
      </w:r>
    </w:p>
    <w:p>
      <w:pPr>
        <w:spacing w:after="0" w:line="33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22"/>
          <w:szCs w:val="22"/>
          <w:color w:val="auto"/>
        </w:rPr>
        <w:t>Energy operating costs for the third quarter of 2022 were $93 million, or $10.96 per Boe, which was an increase of $16 million or 21% from $77 million, or $9.33 per Boe, for the second quarter of 2022. This increase was primarily a result of higher electricity and natural gas prices.</w:t>
      </w:r>
    </w:p>
    <w:p>
      <w:pPr>
        <w:spacing w:after="0" w:line="205"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22"/>
          <w:szCs w:val="22"/>
          <w:color w:val="auto"/>
        </w:rPr>
        <w:t>Non-energy operating costs for the third quarter of 2022 were $117 million, or $13.82 per Boe, which was an increase of $8 million or 7% from $109 million, or $13.05 per Boe, for the second quarter of 2022. This increase was primarily a result of increased downhole maintenance activity.</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240"/>
          </w:cols>
          <w:pgMar w:left="320" w:top="992"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u w:val="single" w:color="auto"/>
          <w:color w:val="auto"/>
        </w:rPr>
        <w:t>Kern County Environmental Impact Report</w:t>
      </w:r>
    </w:p>
    <w:p>
      <w:pPr>
        <w:spacing w:after="0" w:line="23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CalGEM is California's primary regulator of the oil and natural gas industry on private and state lands, with additional oversight from the State Lands Commission’s administration of state surface and mineral interests. CalGEM currently requires an operator to identify the manner in which the California Environmental Quality Act (CEQA) has been satisfied prior to issuing various state permits, typically through either an environmental review or an exemption by a state or local agency. In Kern County, this requirement has typically been satisfied by complying with the local oil and gas ordinance which was supported by an Environmental Impact Report (EIR) certified by the Kern County Board of Supervisors in 2015.</w:t>
      </w:r>
    </w:p>
    <w:p>
      <w:pPr>
        <w:spacing w:after="0" w:line="203"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2"/>
          <w:szCs w:val="22"/>
          <w:color w:val="auto"/>
        </w:rPr>
        <w:t>A group of petitioners challenged the EIR and on February 25, 2020, a California Appellate Court (the Court) issued a ruling that required Kern County to decertify the EIR and set aside the amended Zoning Ordinance. In response, Kern County prepared, circulated and certified a supplementary recirculated EIR (Supplemental EIR) to address the ruling from the Court and, in April 2021, resumed issuing local permits relying on the Supplemental EIR. However, on October 22, 2021, Kern County was ordered to cease reviewing and approving oil and gas permits until the trial court determined that the Zoning Ordinance complies with CEQA requirements. On May 26, 2022, a hearing was held in Kern County and the Court ruled that Kern County’s local permitting system must cease until the trial court verified that the noted deficiencies had been remedied and that the remedies satisfied the concerns raised by the Court. In October 2022, the trial court ruled that the Supplemental EIR was not decertified but ordered Kern County to address four discrete issues before suspension of the local permitting could be lifted, which, once resolved, would bring the Supplemental EIR into compliance with applicable laws. The four discrete issues included requirements for the removal of offsite legacy equipment to mitigate agricultural land use impacts, revising emission reduction requirements to address particulate matter, the establishment of a drinking water grant fund for disadvantaged communities in Kern County, and updating the local oil and gas ordinance to reflect these requirements. The Kern County Board of Supervisors approved these changes in August 2022. On October 12, 2022, Kern County submitted notice with the trial court of these changes and on November 2, 2022 the trial court lifted the order preventing reliance on the local permitting system. This ruling is subject to further appeal by the petitioners and there is still some potential for future disruptions to obtaining permits in Kern County until any such appeals are resolved.</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Sustainability Update</w:t>
      </w:r>
    </w:p>
    <w:p>
      <w:pPr>
        <w:spacing w:after="0" w:line="235"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In August 2022, CRC published its 2021 Sustainability Report. The report provides an overview of CRC’s continuous progress on its sustainability efforts in environmental, social and governance (ESG) performance as the company advances its commitment to the energy transition and decarbonization of local economies. Building off its 2020 Sustainability Update and 2021 Leadership Level Ranking of A- by CDP, CRC's 2021 Sustainability Report references Sustainability Accounting Standards Board (SASB), Global Reporting Initiative (GRI) and International Petroleum Industry Environmental Conservation Association (IPIECA) standards.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Highlights and achievements from CRC’s 2021 Sustainability Report include:</w:t>
      </w:r>
    </w:p>
    <w:p>
      <w:pPr>
        <w:spacing w:after="0" w:line="247" w:lineRule="exact"/>
        <w:rPr>
          <w:sz w:val="20"/>
          <w:szCs w:val="20"/>
          <w:color w:val="auto"/>
        </w:rPr>
      </w:pPr>
    </w:p>
    <w:p>
      <w:pPr>
        <w:ind w:left="340" w:hanging="211"/>
        <w:spacing w:after="0" w:line="256" w:lineRule="auto"/>
        <w:tabs>
          <w:tab w:leader="none" w:pos="335" w:val="left"/>
        </w:tabs>
        <w:numPr>
          <w:ilvl w:val="0"/>
          <w:numId w:val="6"/>
        </w:numPr>
        <w:rPr>
          <w:rFonts w:ascii="Arial" w:cs="Arial" w:eastAsia="Arial" w:hAnsi="Arial"/>
          <w:sz w:val="22"/>
          <w:szCs w:val="22"/>
          <w:color w:val="auto"/>
        </w:rPr>
      </w:pPr>
      <w:r>
        <w:rPr>
          <w:rFonts w:ascii="Arial" w:cs="Arial" w:eastAsia="Arial" w:hAnsi="Arial"/>
          <w:sz w:val="22"/>
          <w:szCs w:val="22"/>
          <w:color w:val="auto"/>
        </w:rPr>
        <w:t>Announced 2045 Full-Scope Net Zero Goal and updated and expanded ESG goals on methane emissions, freshwater usage, community giving, diversity in leadership and linked ESG performance to executive pay</w:t>
      </w:r>
    </w:p>
    <w:p>
      <w:pPr>
        <w:ind w:left="320" w:hanging="191"/>
        <w:spacing w:after="0"/>
        <w:tabs>
          <w:tab w:leader="none" w:pos="320" w:val="left"/>
        </w:tabs>
        <w:numPr>
          <w:ilvl w:val="0"/>
          <w:numId w:val="6"/>
        </w:numPr>
        <w:rPr>
          <w:rFonts w:ascii="Arial" w:cs="Arial" w:eastAsia="Arial" w:hAnsi="Arial"/>
          <w:sz w:val="22"/>
          <w:szCs w:val="22"/>
          <w:color w:val="auto"/>
        </w:rPr>
      </w:pPr>
      <w:r>
        <w:rPr>
          <w:rFonts w:ascii="Arial" w:cs="Arial" w:eastAsia="Arial" w:hAnsi="Arial"/>
          <w:sz w:val="22"/>
          <w:szCs w:val="22"/>
          <w:color w:val="auto"/>
        </w:rPr>
        <w:t>Hired first Chief Sustainability Officer</w:t>
      </w:r>
    </w:p>
    <w:p>
      <w:pPr>
        <w:spacing w:after="0" w:line="10" w:lineRule="exact"/>
        <w:rPr>
          <w:rFonts w:ascii="Arial" w:cs="Arial" w:eastAsia="Arial" w:hAnsi="Arial"/>
          <w:sz w:val="22"/>
          <w:szCs w:val="22"/>
          <w:color w:val="auto"/>
        </w:rPr>
      </w:pPr>
    </w:p>
    <w:p>
      <w:pPr>
        <w:ind w:left="320" w:hanging="191"/>
        <w:spacing w:after="0"/>
        <w:tabs>
          <w:tab w:leader="none" w:pos="320" w:val="left"/>
        </w:tabs>
        <w:numPr>
          <w:ilvl w:val="0"/>
          <w:numId w:val="6"/>
        </w:numPr>
        <w:rPr>
          <w:rFonts w:ascii="Arial" w:cs="Arial" w:eastAsia="Arial" w:hAnsi="Arial"/>
          <w:sz w:val="22"/>
          <w:szCs w:val="22"/>
          <w:color w:val="auto"/>
        </w:rPr>
      </w:pPr>
      <w:r>
        <w:rPr>
          <w:rFonts w:ascii="Arial" w:cs="Arial" w:eastAsia="Arial" w:hAnsi="Arial"/>
          <w:sz w:val="22"/>
          <w:szCs w:val="22"/>
          <w:color w:val="auto"/>
        </w:rPr>
        <w:t>Established Project Management Office of Asset Retirement Obligations (ARO)</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240"/>
          </w:cols>
          <w:pgMar w:left="320" w:top="894" w:right="339" w:bottom="1440" w:gutter="0" w:footer="0" w:header="0"/>
        </w:sectPr>
      </w:pPr>
    </w:p>
    <w:bookmarkStart w:id="10" w:name="page11"/>
    <w:bookmarkEnd w:id="10"/>
    <w:p>
      <w:pPr>
        <w:ind w:left="340" w:hanging="211"/>
        <w:spacing w:after="0" w:line="252" w:lineRule="auto"/>
        <w:tabs>
          <w:tab w:leader="none" w:pos="335" w:val="left"/>
        </w:tabs>
        <w:numPr>
          <w:ilvl w:val="0"/>
          <w:numId w:val="7"/>
        </w:numPr>
        <w:rPr>
          <w:rFonts w:ascii="Arial" w:cs="Arial" w:eastAsia="Arial" w:hAnsi="Arial"/>
          <w:sz w:val="22"/>
          <w:szCs w:val="22"/>
          <w:color w:val="auto"/>
        </w:rPr>
      </w:pPr>
      <w:r>
        <w:rPr>
          <w:rFonts w:ascii="Arial" w:cs="Arial" w:eastAsia="Arial" w:hAnsi="Arial"/>
          <w:sz w:val="22"/>
          <w:szCs w:val="22"/>
          <w:color w:val="auto"/>
        </w:rPr>
        <w:t>Advanced CRC's Carbon Management Business including its Carbon TerraVault carbon capture and storage (CCS) projects, and CalCapture CCS+ project</w:t>
      </w:r>
    </w:p>
    <w:p>
      <w:pPr>
        <w:spacing w:after="0" w:line="1" w:lineRule="exact"/>
        <w:rPr>
          <w:rFonts w:ascii="Arial" w:cs="Arial" w:eastAsia="Arial" w:hAnsi="Arial"/>
          <w:sz w:val="22"/>
          <w:szCs w:val="22"/>
          <w:color w:val="auto"/>
        </w:rPr>
      </w:pPr>
    </w:p>
    <w:p>
      <w:pPr>
        <w:ind w:left="320" w:hanging="191"/>
        <w:spacing w:after="0"/>
        <w:tabs>
          <w:tab w:leader="none" w:pos="320" w:val="left"/>
        </w:tabs>
        <w:numPr>
          <w:ilvl w:val="0"/>
          <w:numId w:val="7"/>
        </w:numPr>
        <w:rPr>
          <w:rFonts w:ascii="Arial" w:cs="Arial" w:eastAsia="Arial" w:hAnsi="Arial"/>
          <w:sz w:val="22"/>
          <w:szCs w:val="22"/>
          <w:color w:val="auto"/>
        </w:rPr>
      </w:pPr>
      <w:r>
        <w:rPr>
          <w:rFonts w:ascii="Arial" w:cs="Arial" w:eastAsia="Arial" w:hAnsi="Arial"/>
          <w:sz w:val="22"/>
          <w:szCs w:val="22"/>
          <w:color w:val="auto"/>
        </w:rPr>
        <w:t>Continued to be a net supplier of both fresh water and electricity</w:t>
      </w:r>
    </w:p>
    <w:p>
      <w:pPr>
        <w:spacing w:after="0" w:line="10" w:lineRule="exact"/>
        <w:rPr>
          <w:rFonts w:ascii="Arial" w:cs="Arial" w:eastAsia="Arial" w:hAnsi="Arial"/>
          <w:sz w:val="22"/>
          <w:szCs w:val="22"/>
          <w:color w:val="auto"/>
        </w:rPr>
      </w:pPr>
    </w:p>
    <w:p>
      <w:pPr>
        <w:ind w:left="340" w:hanging="211"/>
        <w:spacing w:after="0" w:line="246" w:lineRule="auto"/>
        <w:tabs>
          <w:tab w:leader="none" w:pos="335" w:val="left"/>
        </w:tabs>
        <w:numPr>
          <w:ilvl w:val="0"/>
          <w:numId w:val="7"/>
        </w:numPr>
        <w:rPr>
          <w:rFonts w:ascii="Arial" w:cs="Arial" w:eastAsia="Arial" w:hAnsi="Arial"/>
          <w:sz w:val="22"/>
          <w:szCs w:val="22"/>
          <w:color w:val="auto"/>
        </w:rPr>
      </w:pPr>
      <w:r>
        <w:rPr>
          <w:rFonts w:ascii="Arial" w:cs="Arial" w:eastAsia="Arial" w:hAnsi="Arial"/>
          <w:sz w:val="22"/>
          <w:szCs w:val="22"/>
          <w:color w:val="auto"/>
        </w:rPr>
        <w:t>Continued to rank among the safest companies in the United States; workforce achieved a better safety performance rating than many non-industrial sectors in 2021</w:t>
      </w:r>
    </w:p>
    <w:p>
      <w:pPr>
        <w:ind w:left="340" w:right="20" w:hanging="211"/>
        <w:spacing w:after="0" w:line="253" w:lineRule="auto"/>
        <w:tabs>
          <w:tab w:leader="none" w:pos="335" w:val="left"/>
        </w:tabs>
        <w:numPr>
          <w:ilvl w:val="0"/>
          <w:numId w:val="7"/>
        </w:numPr>
        <w:rPr>
          <w:rFonts w:ascii="Arial" w:cs="Arial" w:eastAsia="Arial" w:hAnsi="Arial"/>
          <w:sz w:val="22"/>
          <w:szCs w:val="22"/>
          <w:color w:val="auto"/>
        </w:rPr>
      </w:pPr>
      <w:r>
        <w:rPr>
          <w:rFonts w:ascii="Arial" w:cs="Arial" w:eastAsia="Arial" w:hAnsi="Arial"/>
          <w:sz w:val="22"/>
          <w:szCs w:val="22"/>
          <w:color w:val="auto"/>
        </w:rPr>
        <w:t>Earned 26 National Safety Achievement Awards in each of its operating areas and company wide in 2021 for its performance</w:t>
      </w:r>
    </w:p>
    <w:p>
      <w:pPr>
        <w:spacing w:after="0" w:line="203" w:lineRule="exact"/>
        <w:rPr>
          <w:sz w:val="20"/>
          <w:szCs w:val="20"/>
          <w:color w:val="auto"/>
        </w:rPr>
      </w:pPr>
    </w:p>
    <w:p>
      <w:pPr>
        <w:jc w:val="both"/>
        <w:ind w:firstLine="121"/>
        <w:spacing w:after="0" w:line="285" w:lineRule="auto"/>
        <w:rPr>
          <w:sz w:val="20"/>
          <w:szCs w:val="20"/>
          <w:color w:val="auto"/>
        </w:rPr>
      </w:pPr>
      <w:r>
        <w:rPr>
          <w:rFonts w:ascii="Arial" w:cs="Arial" w:eastAsia="Arial" w:hAnsi="Arial"/>
          <w:sz w:val="22"/>
          <w:szCs w:val="22"/>
          <w:color w:val="auto"/>
        </w:rPr>
        <w:t>For more information about CRC’s sustainability efforts and to download the full length and summary versions of the 2021 Sustainability Report, please visit crc.com/esg.</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Balance Sheet and Liquidity Update</w:t>
      </w:r>
    </w:p>
    <w:p>
      <w:pPr>
        <w:spacing w:after="0" w:line="235"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22"/>
          <w:szCs w:val="22"/>
          <w:color w:val="auto"/>
        </w:rPr>
        <w:t>CRC's aggregate commitment under the Revolving Credit Facility was $602 million as of September 30, 2022. The borrowing base for the Revolving Credit Facility is redetermined semi-annually and was reaffirmed at $1.2 billion on October 25, 2022.</w:t>
      </w:r>
    </w:p>
    <w:p>
      <w:pPr>
        <w:spacing w:after="0" w:line="197"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22"/>
          <w:szCs w:val="22"/>
          <w:color w:val="auto"/>
        </w:rPr>
        <w:t>As of September 30, 2022, CRC had liquidity of $819 million, which consisted of $358 million in unrestricted cash and $461 million of available borrowing capacity under its Revolving Credit Facility which is net of $141 million of letters of credit.</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Acquisitions and Divestitures</w:t>
      </w:r>
    </w:p>
    <w:p>
      <w:pPr>
        <w:spacing w:after="0" w:line="262"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22"/>
          <w:szCs w:val="22"/>
          <w:color w:val="auto"/>
        </w:rPr>
        <w:t>During the three and nine months ended September 30, 2022, CRC recorded a net gain of $2 million and $60 million, respectively, related to the sale of certain Ventura basin assets and its Lost Hills transaction. The amount recognized in the three and nine months ended September 30, 2022 included $2 million and $6 million, respectively, of additional earn-out consideration on Ventura basin divestitures that occurred in the second half of 2021 and the first half of 2022. In addition, CRC also received $2 million to secure the performance of well abandonment obligations on divested properties which it expects to return to the purchaser once the work has been completed. As a result, CRC recorded a liability of $2 million included as accrued liabilities on its condensed consolidated balance sheet as of September 30, 2022. See Part II, Item 8 – Financial Statements and Supplementary Data, Note 3 Divestitures and Acquisitions in CRC's 2021 Annual Report for additional information on the Ventura basin transactions.</w:t>
      </w:r>
    </w:p>
    <w:p>
      <w:pPr>
        <w:spacing w:after="0" w:line="21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22"/>
          <w:szCs w:val="22"/>
          <w:color w:val="auto"/>
        </w:rPr>
        <w:t>The closing of the sale of CRC's remaining assets in the Ventura basin is subject to final approval from the State Lands Commission, which CRC expects to receive prior to the end of the first quarter of 2023. These remaining assets, consisting of property, plant and equipment and associated asset retirement obligations, are classified as held for sale on CRC's condensed consolidated balance sheet as of September 30, 2022</w:t>
      </w:r>
      <w:r>
        <w:rPr>
          <w:rFonts w:ascii="Times New Roman" w:cs="Times New Roman" w:eastAsia="Times New Roman" w:hAnsi="Times New Roman"/>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Shareholder Return Strategy</w:t>
      </w:r>
    </w:p>
    <w:p>
      <w:pPr>
        <w:spacing w:after="0" w:line="24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22"/>
          <w:szCs w:val="22"/>
          <w:color w:val="auto"/>
        </w:rPr>
        <w:t>CRC continues to prioritize shareholder returns and dedicates a portion of its operating cash flow to shareholders. In light of this strategy, CRC's Board of Directors has increased its Share Repurchase Program by $200 million to $850 million and extended the program through December 31, 2023. Adjusting for this increase, there was approximately $426 million of capacity under CRC's Share Repurchase Program as of October 31, 2022.</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240"/>
          </w:cols>
          <w:pgMar w:left="320" w:top="896" w:right="339" w:bottom="1440" w:gutter="0" w:footer="0" w:header="0"/>
        </w:sectPr>
      </w:pPr>
    </w:p>
    <w:bookmarkStart w:id="11" w:name="page12"/>
    <w:bookmarkEnd w:id="11"/>
    <w:p>
      <w:pPr>
        <w:jc w:val="both"/>
        <w:ind w:firstLine="324"/>
        <w:spacing w:after="0" w:line="257" w:lineRule="auto"/>
        <w:rPr>
          <w:sz w:val="20"/>
          <w:szCs w:val="20"/>
          <w:color w:val="auto"/>
        </w:rPr>
      </w:pPr>
      <w:r>
        <w:rPr>
          <w:rFonts w:ascii="Arial" w:cs="Arial" w:eastAsia="Arial" w:hAnsi="Arial"/>
          <w:sz w:val="22"/>
          <w:szCs w:val="22"/>
          <w:color w:val="auto"/>
        </w:rPr>
        <w:t>During the third quarter of 2022, CRC repurchased 1.9 million shares of its common stock for $80 million. Since the inception of Share Repurchase Program through October 31, 2022, CRC has repurchased 10.6 million shares for $424 million at an average price of $39.89 per share, resulting in the repurchase of approximately 13% of the shares that CRC had at its emergence from bankruptcy.</w:t>
      </w:r>
    </w:p>
    <w:p>
      <w:pPr>
        <w:spacing w:after="0" w:line="19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22"/>
          <w:szCs w:val="22"/>
          <w:color w:val="auto"/>
        </w:rPr>
        <w:t>On November 2, 2022, CRC's Board of Directors declared a quarterly cash dividend of $0.2825 per share of common stock. The dividend is payable to shareholders of record on December 1, 2022, and will be paid on December 16, 2022.</w:t>
      </w:r>
    </w:p>
    <w:p>
      <w:pPr>
        <w:spacing w:after="0" w:line="200"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22"/>
          <w:szCs w:val="22"/>
          <w:color w:val="auto"/>
        </w:rPr>
        <w:t>Through October 31, 2022, CRC has returned $476 million of cash to shareholders, including $52 million through quarterly dividends and $424 million through share repurchases.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Upcoming Investor Conference Participation</w:t>
      </w:r>
    </w:p>
    <w:p>
      <w:pPr>
        <w:spacing w:after="0" w:line="23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CRC's executives will be participating in the following events in November and December of 2022:</w:t>
      </w:r>
    </w:p>
    <w:p>
      <w:pPr>
        <w:spacing w:after="0" w:line="247" w:lineRule="exact"/>
        <w:rPr>
          <w:sz w:val="20"/>
          <w:szCs w:val="20"/>
          <w:color w:val="auto"/>
        </w:rPr>
      </w:pPr>
    </w:p>
    <w:p>
      <w:pPr>
        <w:ind w:left="980" w:hanging="203"/>
        <w:spacing w:after="0"/>
        <w:tabs>
          <w:tab w:leader="none" w:pos="980" w:val="left"/>
        </w:tabs>
        <w:numPr>
          <w:ilvl w:val="0"/>
          <w:numId w:val="8"/>
        </w:numPr>
        <w:rPr>
          <w:rFonts w:ascii="Arial" w:cs="Arial" w:eastAsia="Arial" w:hAnsi="Arial"/>
          <w:sz w:val="22"/>
          <w:szCs w:val="22"/>
          <w:color w:val="auto"/>
        </w:rPr>
      </w:pPr>
      <w:r>
        <w:rPr>
          <w:rFonts w:ascii="Arial" w:cs="Arial" w:eastAsia="Arial" w:hAnsi="Arial"/>
          <w:sz w:val="22"/>
          <w:szCs w:val="22"/>
          <w:color w:val="auto"/>
        </w:rPr>
        <w:t>Furey Research Hidden Gems Conference on November 7 - 8, 2022, Virtual</w:t>
      </w:r>
    </w:p>
    <w:p>
      <w:pPr>
        <w:spacing w:after="0" w:line="23" w:lineRule="exact"/>
        <w:rPr>
          <w:rFonts w:ascii="Arial" w:cs="Arial" w:eastAsia="Arial" w:hAnsi="Arial"/>
          <w:sz w:val="22"/>
          <w:szCs w:val="22"/>
          <w:color w:val="auto"/>
        </w:rPr>
      </w:pPr>
    </w:p>
    <w:p>
      <w:pPr>
        <w:ind w:left="980" w:hanging="203"/>
        <w:spacing w:after="0"/>
        <w:tabs>
          <w:tab w:leader="none" w:pos="980" w:val="left"/>
        </w:tabs>
        <w:numPr>
          <w:ilvl w:val="0"/>
          <w:numId w:val="8"/>
        </w:numPr>
        <w:rPr>
          <w:rFonts w:ascii="Arial" w:cs="Arial" w:eastAsia="Arial" w:hAnsi="Arial"/>
          <w:sz w:val="22"/>
          <w:szCs w:val="22"/>
          <w:color w:val="auto"/>
        </w:rPr>
      </w:pPr>
      <w:r>
        <w:rPr>
          <w:rFonts w:ascii="Arial" w:cs="Arial" w:eastAsia="Arial" w:hAnsi="Arial"/>
          <w:sz w:val="22"/>
          <w:szCs w:val="22"/>
          <w:color w:val="auto"/>
        </w:rPr>
        <w:t>Bank of America Securities Global Energy Conference on November 16 - 17 in Miami, FL</w:t>
      </w:r>
    </w:p>
    <w:p>
      <w:pPr>
        <w:spacing w:after="0" w:line="3" w:lineRule="exact"/>
        <w:rPr>
          <w:rFonts w:ascii="Arial" w:cs="Arial" w:eastAsia="Arial" w:hAnsi="Arial"/>
          <w:sz w:val="22"/>
          <w:szCs w:val="22"/>
          <w:color w:val="auto"/>
        </w:rPr>
      </w:pPr>
    </w:p>
    <w:p>
      <w:pPr>
        <w:ind w:left="980" w:hanging="203"/>
        <w:spacing w:after="0"/>
        <w:tabs>
          <w:tab w:leader="none" w:pos="980" w:val="left"/>
        </w:tabs>
        <w:numPr>
          <w:ilvl w:val="0"/>
          <w:numId w:val="8"/>
        </w:numPr>
        <w:rPr>
          <w:rFonts w:ascii="Arial" w:cs="Arial" w:eastAsia="Arial" w:hAnsi="Arial"/>
          <w:sz w:val="22"/>
          <w:szCs w:val="22"/>
          <w:color w:val="auto"/>
        </w:rPr>
      </w:pPr>
      <w:r>
        <w:rPr>
          <w:rFonts w:ascii="Arial" w:cs="Arial" w:eastAsia="Arial" w:hAnsi="Arial"/>
          <w:sz w:val="22"/>
          <w:szCs w:val="22"/>
          <w:color w:val="auto"/>
        </w:rPr>
        <w:t>Goldman Sachs Carbonomics Conference on November 29 in London, UK</w:t>
      </w:r>
    </w:p>
    <w:p>
      <w:pPr>
        <w:spacing w:after="0" w:line="3" w:lineRule="exact"/>
        <w:rPr>
          <w:rFonts w:ascii="Arial" w:cs="Arial" w:eastAsia="Arial" w:hAnsi="Arial"/>
          <w:sz w:val="22"/>
          <w:szCs w:val="22"/>
          <w:color w:val="auto"/>
        </w:rPr>
      </w:pPr>
    </w:p>
    <w:p>
      <w:pPr>
        <w:ind w:left="980" w:hanging="203"/>
        <w:spacing w:after="0"/>
        <w:tabs>
          <w:tab w:leader="none" w:pos="980" w:val="left"/>
        </w:tabs>
        <w:numPr>
          <w:ilvl w:val="0"/>
          <w:numId w:val="8"/>
        </w:numPr>
        <w:rPr>
          <w:rFonts w:ascii="Arial" w:cs="Arial" w:eastAsia="Arial" w:hAnsi="Arial"/>
          <w:sz w:val="22"/>
          <w:szCs w:val="22"/>
          <w:color w:val="auto"/>
        </w:rPr>
      </w:pPr>
      <w:r>
        <w:rPr>
          <w:rFonts w:ascii="Arial" w:cs="Arial" w:eastAsia="Arial" w:hAnsi="Arial"/>
          <w:sz w:val="22"/>
          <w:szCs w:val="22"/>
          <w:color w:val="auto"/>
        </w:rPr>
        <w:t>Capital One Securities Energy Conference on December 7 in Houston, TX</w:t>
      </w:r>
    </w:p>
    <w:p>
      <w:pPr>
        <w:spacing w:after="0" w:line="3" w:lineRule="exact"/>
        <w:rPr>
          <w:rFonts w:ascii="Arial" w:cs="Arial" w:eastAsia="Arial" w:hAnsi="Arial"/>
          <w:sz w:val="22"/>
          <w:szCs w:val="22"/>
          <w:color w:val="auto"/>
        </w:rPr>
      </w:pPr>
    </w:p>
    <w:p>
      <w:pPr>
        <w:ind w:left="980" w:hanging="203"/>
        <w:spacing w:after="0"/>
        <w:tabs>
          <w:tab w:leader="none" w:pos="980" w:val="left"/>
        </w:tabs>
        <w:numPr>
          <w:ilvl w:val="0"/>
          <w:numId w:val="8"/>
        </w:numPr>
        <w:rPr>
          <w:rFonts w:ascii="Arial" w:cs="Arial" w:eastAsia="Arial" w:hAnsi="Arial"/>
          <w:sz w:val="22"/>
          <w:szCs w:val="22"/>
          <w:color w:val="auto"/>
        </w:rPr>
      </w:pPr>
      <w:r>
        <w:rPr>
          <w:rFonts w:ascii="Arial" w:cs="Arial" w:eastAsia="Arial" w:hAnsi="Arial"/>
          <w:sz w:val="22"/>
          <w:szCs w:val="22"/>
          <w:color w:val="auto"/>
        </w:rPr>
        <w:t>StoneX Financial Natural Resources Day on December 8 in New York, NY</w:t>
      </w:r>
    </w:p>
    <w:p>
      <w:pPr>
        <w:spacing w:after="0" w:line="21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22"/>
          <w:szCs w:val="22"/>
          <w:color w:val="auto"/>
        </w:rPr>
        <w:t>CRC’s presentation materials will be available the day of the events on the Events and Presentations page in the Investor Relations section on www.crc.com.</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Conference Call Details</w:t>
      </w:r>
    </w:p>
    <w:p>
      <w:pPr>
        <w:spacing w:after="0" w:line="235"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22"/>
          <w:szCs w:val="22"/>
          <w:color w:val="auto"/>
        </w:rPr>
        <w:t>To participate in the conference call scheduled for November 3, 2022, at 1:00 p.m. Eastern Time, please dial (877) 328-5505 (International calls please dial +1 (412) 317-5421) or access via webcast at www.crc.com 15 minutes prior to the scheduled start time to register. Participants may also pre-register for the conference call at to https://dpregister.com/sreg/10171364/f48809c260. A digital replay of the conference call will be archived for approximately 90 days and supplemental slides for the conference call will be available online in the Investor Relations section of www.crc.com.</w:t>
      </w:r>
    </w:p>
    <w:p>
      <w:pPr>
        <w:spacing w:after="0" w:line="214" w:lineRule="exact"/>
        <w:rPr>
          <w:sz w:val="20"/>
          <w:szCs w:val="20"/>
          <w:color w:val="auto"/>
        </w:rPr>
      </w:pPr>
    </w:p>
    <w:p>
      <w:pPr>
        <w:jc w:val="both"/>
        <w:ind w:firstLine="8"/>
        <w:spacing w:after="0" w:line="236" w:lineRule="auto"/>
        <w:tabs>
          <w:tab w:leader="none" w:pos="63" w:val="left"/>
        </w:tabs>
        <w:numPr>
          <w:ilvl w:val="0"/>
          <w:numId w:val="9"/>
        </w:numPr>
        <w:rPr>
          <w:rFonts w:ascii="Arial" w:cs="Arial" w:eastAsia="Arial" w:hAnsi="Arial"/>
          <w:sz w:val="14"/>
          <w:szCs w:val="14"/>
          <w:color w:val="auto"/>
          <w:vertAlign w:val="superscript"/>
        </w:rPr>
      </w:pPr>
      <w:r>
        <w:rPr>
          <w:rFonts w:ascii="Arial" w:cs="Arial" w:eastAsia="Arial" w:hAnsi="Arial"/>
          <w:sz w:val="11"/>
          <w:szCs w:val="11"/>
          <w:color w:val="auto"/>
        </w:rPr>
        <w:t>See Attachment 2 for the non-GAAP financial measures of adjusted EBITDAX, operating costs per BOE (excluding effects of PSCs), adjusted net income (loss), adjusted net income (loss) per share - basic and diluted), free cash flow and free cash flow, after special items including reconciliations to their most directly comparable GAAP measure, where applicable. For the full year 2022 estimates of the non-GAAP measures of adjusted EBITDAX and free cash flow, including reconciliations to their most directly comparable GAAP measure, see Attachment 7.</w:t>
      </w:r>
    </w:p>
    <w:p>
      <w:pPr>
        <w:ind w:left="80" w:hanging="72"/>
        <w:spacing w:after="0" w:line="227" w:lineRule="auto"/>
        <w:tabs>
          <w:tab w:leader="none" w:pos="80" w:val="left"/>
        </w:tabs>
        <w:numPr>
          <w:ilvl w:val="0"/>
          <w:numId w:val="10"/>
        </w:numPr>
        <w:rPr>
          <w:rFonts w:ascii="Arial" w:cs="Arial" w:eastAsia="Arial" w:hAnsi="Arial"/>
          <w:sz w:val="15"/>
          <w:szCs w:val="15"/>
          <w:color w:val="auto"/>
          <w:vertAlign w:val="superscript"/>
        </w:rPr>
      </w:pPr>
      <w:r>
        <w:rPr>
          <w:rFonts w:ascii="Arial" w:cs="Arial" w:eastAsia="Arial" w:hAnsi="Arial"/>
          <w:sz w:val="12"/>
          <w:szCs w:val="12"/>
          <w:color w:val="auto"/>
        </w:rPr>
        <w:t>Calculated as $358 million of available cash plus $602 million of capacity on CRC's Revolving Credit Facility less $141 million in outstanding letters of credit.</w:t>
      </w:r>
    </w:p>
    <w:p>
      <w:pPr>
        <w:spacing w:after="0" w:line="17" w:lineRule="exact"/>
        <w:rPr>
          <w:sz w:val="20"/>
          <w:szCs w:val="20"/>
          <w:color w:val="auto"/>
        </w:rPr>
      </w:pPr>
    </w:p>
    <w:p>
      <w:pPr>
        <w:ind w:firstLine="8"/>
        <w:spacing w:after="0" w:line="211" w:lineRule="auto"/>
        <w:tabs>
          <w:tab w:leader="none" w:pos="81" w:val="left"/>
        </w:tabs>
        <w:numPr>
          <w:ilvl w:val="0"/>
          <w:numId w:val="11"/>
        </w:numPr>
        <w:rPr>
          <w:rFonts w:ascii="Arial" w:cs="Arial" w:eastAsia="Arial" w:hAnsi="Arial"/>
          <w:sz w:val="15"/>
          <w:szCs w:val="15"/>
          <w:color w:val="auto"/>
          <w:vertAlign w:val="superscript"/>
        </w:rPr>
      </w:pPr>
      <w:r>
        <w:rPr>
          <w:rFonts w:ascii="Arial" w:cs="Arial" w:eastAsia="Arial" w:hAnsi="Arial"/>
          <w:sz w:val="12"/>
          <w:szCs w:val="12"/>
          <w:color w:val="auto"/>
        </w:rPr>
        <w:t>Current guidance assumes a 2022 Brent price of $99.75 per barrel of oil, NGL realizations as a percentage of Brent consistent with prior years and a NYMEX gas price of $6.47 per mcf. CRC's share of production under PSC contracts decreases when commodity prices rise and increases when prices fall.</w:t>
      </w:r>
    </w:p>
    <w:p>
      <w:pPr>
        <w:spacing w:after="0"/>
        <w:rPr>
          <w:rFonts w:ascii="Arial" w:cs="Arial" w:eastAsia="Arial" w:hAnsi="Arial"/>
          <w:sz w:val="15"/>
          <w:szCs w:val="15"/>
          <w:color w:val="auto"/>
          <w:vertAlign w:val="superscript"/>
        </w:rPr>
      </w:pPr>
      <w:r>
        <w:rPr>
          <w:rFonts w:ascii="Arial" w:cs="Arial" w:eastAsia="Arial" w:hAnsi="Arial"/>
          <w:sz w:val="15"/>
          <w:szCs w:val="15"/>
          <w:color w:val="auto"/>
          <w:vertAlign w:val="superscript"/>
        </w:rPr>
        <w:t>4</w:t>
      </w:r>
      <w:r>
        <w:rPr>
          <w:rFonts w:ascii="Arial" w:cs="Arial" w:eastAsia="Arial" w:hAnsi="Arial"/>
          <w:sz w:val="12"/>
          <w:szCs w:val="12"/>
          <w:color w:val="auto"/>
        </w:rPr>
        <w:t xml:space="preserve"> CMB Expenses include start-up expenditures.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California Resources Corporation</w:t>
      </w:r>
    </w:p>
    <w:p>
      <w:pPr>
        <w:spacing w:after="0" w:line="249"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22"/>
          <w:szCs w:val="22"/>
          <w:color w:val="auto"/>
        </w:rPr>
        <w:t>California Resources Corporation (CRC) is an independent oil and natural gas company committed to energy transition in the sector. CRC has some of the lowest carbon intensity production in the US and CRC is focused on maximizing the value of our land, mineral and technical resources for decarbonization by developing CCS and other emissions reducing projects. For more information about CRC, please visit www.crc.com. Nothing herein is intended to imply or</w:t>
      </w:r>
    </w:p>
    <w:p>
      <w:pPr>
        <w:sectPr>
          <w:pgSz w:w="11900" w:h="16838" w:orient="portrait"/>
          <w:cols w:equalWidth="0" w:num="1">
            <w:col w:w="11240"/>
          </w:cols>
          <w:pgMar w:left="320" w:top="896"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9</w:t>
      </w:r>
    </w:p>
    <w:p>
      <w:pPr>
        <w:sectPr>
          <w:pgSz w:w="11900" w:h="16838" w:orient="portrait"/>
          <w:cols w:equalWidth="0" w:num="1">
            <w:col w:w="11240"/>
          </w:cols>
          <w:pgMar w:left="320" w:top="896" w:right="339" w:bottom="1440" w:gutter="0" w:footer="0" w:header="0"/>
          <w:type w:val="continuous"/>
        </w:sectPr>
      </w:pPr>
    </w:p>
    <w:bookmarkStart w:id="12" w:name="page13"/>
    <w:bookmarkEnd w:id="12"/>
    <w:p>
      <w:pPr>
        <w:jc w:val="both"/>
        <w:spacing w:after="0" w:line="259" w:lineRule="auto"/>
        <w:rPr>
          <w:sz w:val="20"/>
          <w:szCs w:val="20"/>
          <w:color w:val="auto"/>
        </w:rPr>
      </w:pPr>
      <w:r>
        <w:rPr>
          <w:rFonts w:ascii="Arial" w:cs="Arial" w:eastAsia="Arial" w:hAnsi="Arial"/>
          <w:sz w:val="22"/>
          <w:szCs w:val="22"/>
          <w:color w:val="auto"/>
        </w:rPr>
        <w:t>create a legal partnership between Brookfield Global Transition Fund, California Resources Corporation, or any of their respective subsidiaries and affiliates.</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Forward-Looking Statements</w:t>
      </w:r>
    </w:p>
    <w:p>
      <w:pPr>
        <w:spacing w:after="0" w:line="24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This document contains statements that CRC believes to be “forward-looking statements” within the meaning of Section 27A of the Securities Act of 1933 and Section 21E of the Securities Exchange Act of 1934. All statements other than historical facts are forward-looking statements, and include statements regarding CRC's future financial position, business strategy, projected revenues, earnings, costs, capital expenditures and plans and objectives of management for the future. Words such as "expect," “could,” “may,” "anticipate," "intend," "plan," “ability,” "believe," "seek," "see," "will," "would," “estimate,” “forecast,” "target," “guidance,” “outlook,” “opportunity” or “strategy” or similar expressions are generally intended to identify forward-looking statements. Such forward-looking statements are subject to risks and uncertainties that could cause actual results to differ materially from those expressed in, or implied by, such statements.</w:t>
      </w:r>
    </w:p>
    <w:p>
      <w:pPr>
        <w:spacing w:after="0" w:line="20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Although CRC believes the expectations and forecasts reflected in CRC's forward-looking statements are reasonable, they are inherently subject to numerous risks and uncertainties, most of which are difficult to predict and many of which are beyond CRC's control. No assurance can be given that such forward-looking statements will be correct or achieved or that the assumptions are accurate or will not change over time. Particular uncertainties that could cause CRC's actual results to be materially different than those expressed in CRC's forward-looking statements include:</w:t>
      </w:r>
    </w:p>
    <w:p>
      <w:pPr>
        <w:spacing w:after="0" w:line="200" w:lineRule="exact"/>
        <w:rPr>
          <w:sz w:val="20"/>
          <w:szCs w:val="20"/>
          <w:color w:val="auto"/>
        </w:rPr>
      </w:pPr>
    </w:p>
    <w:p>
      <w:pPr>
        <w:spacing w:after="0" w:line="251" w:lineRule="exact"/>
        <w:rPr>
          <w:sz w:val="20"/>
          <w:szCs w:val="20"/>
          <w:color w:val="auto"/>
        </w:rPr>
      </w:pPr>
    </w:p>
    <w:p>
      <w:pPr>
        <w:ind w:left="660" w:right="560" w:hanging="328"/>
        <w:spacing w:after="0" w:line="252" w:lineRule="auto"/>
        <w:tabs>
          <w:tab w:leader="none" w:pos="601" w:val="left"/>
        </w:tabs>
        <w:numPr>
          <w:ilvl w:val="0"/>
          <w:numId w:val="12"/>
        </w:numPr>
        <w:rPr>
          <w:rFonts w:ascii="Arial" w:cs="Arial" w:eastAsia="Arial" w:hAnsi="Arial"/>
          <w:sz w:val="22"/>
          <w:szCs w:val="22"/>
          <w:color w:val="auto"/>
        </w:rPr>
      </w:pPr>
      <w:r>
        <w:rPr>
          <w:rFonts w:ascii="Arial" w:cs="Arial" w:eastAsia="Arial" w:hAnsi="Arial"/>
          <w:sz w:val="22"/>
          <w:szCs w:val="22"/>
          <w:color w:val="auto"/>
        </w:rPr>
        <w:t>fluctuations in commodity prices and the potential for sustained low oil, natural gas and natural gas liquids prices;</w:t>
      </w:r>
    </w:p>
    <w:p>
      <w:pPr>
        <w:spacing w:after="0" w:line="1" w:lineRule="exact"/>
        <w:rPr>
          <w:rFonts w:ascii="Arial" w:cs="Arial" w:eastAsia="Arial" w:hAnsi="Arial"/>
          <w:sz w:val="22"/>
          <w:szCs w:val="22"/>
          <w:color w:val="auto"/>
        </w:rPr>
      </w:pPr>
    </w:p>
    <w:p>
      <w:pPr>
        <w:ind w:left="600" w:hanging="268"/>
        <w:spacing w:after="0"/>
        <w:tabs>
          <w:tab w:leader="none" w:pos="6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equipment, service or labor price inflation or unavailability;</w:t>
      </w:r>
    </w:p>
    <w:p>
      <w:pPr>
        <w:spacing w:after="0" w:line="10" w:lineRule="exact"/>
        <w:rPr>
          <w:rFonts w:ascii="Arial" w:cs="Arial" w:eastAsia="Arial" w:hAnsi="Arial"/>
          <w:sz w:val="22"/>
          <w:szCs w:val="22"/>
          <w:color w:val="auto"/>
        </w:rPr>
      </w:pPr>
    </w:p>
    <w:p>
      <w:pPr>
        <w:ind w:left="660" w:right="60" w:hanging="328"/>
        <w:spacing w:after="0" w:line="245" w:lineRule="auto"/>
        <w:tabs>
          <w:tab w:leader="none" w:pos="601" w:val="left"/>
        </w:tabs>
        <w:numPr>
          <w:ilvl w:val="0"/>
          <w:numId w:val="12"/>
        </w:numPr>
        <w:rPr>
          <w:rFonts w:ascii="Arial" w:cs="Arial" w:eastAsia="Arial" w:hAnsi="Arial"/>
          <w:sz w:val="22"/>
          <w:szCs w:val="22"/>
          <w:color w:val="auto"/>
        </w:rPr>
      </w:pPr>
      <w:r>
        <w:rPr>
          <w:rFonts w:ascii="Arial" w:cs="Arial" w:eastAsia="Arial" w:hAnsi="Arial"/>
          <w:sz w:val="22"/>
          <w:szCs w:val="22"/>
          <w:color w:val="auto"/>
        </w:rPr>
        <w:t>legislative or regulatory changes, including those related to (i) the location, drilling, completion, well stimulation, operation, maintenance or abandonment of wells or facilities, (ii) the management of energy, water, land, greenhouse gases (GHGs) or other emissions, (iii) the protection of health, safety and the environment, (iv) CRC's ability to claim and utilize tax credits or other incentives, or (v) the transportation, marketing and sale of CRC's products and CO2;</w:t>
      </w:r>
    </w:p>
    <w:p>
      <w:pPr>
        <w:spacing w:after="0" w:line="4" w:lineRule="exact"/>
        <w:rPr>
          <w:rFonts w:ascii="Arial" w:cs="Arial" w:eastAsia="Arial" w:hAnsi="Arial"/>
          <w:sz w:val="22"/>
          <w:szCs w:val="22"/>
          <w:color w:val="auto"/>
        </w:rPr>
      </w:pPr>
    </w:p>
    <w:p>
      <w:pPr>
        <w:ind w:left="660" w:right="160" w:hanging="328"/>
        <w:spacing w:after="0" w:line="246" w:lineRule="auto"/>
        <w:tabs>
          <w:tab w:leader="none" w:pos="601" w:val="left"/>
        </w:tabs>
        <w:numPr>
          <w:ilvl w:val="0"/>
          <w:numId w:val="12"/>
        </w:numPr>
        <w:rPr>
          <w:rFonts w:ascii="Arial" w:cs="Arial" w:eastAsia="Arial" w:hAnsi="Arial"/>
          <w:sz w:val="22"/>
          <w:szCs w:val="22"/>
          <w:color w:val="auto"/>
        </w:rPr>
      </w:pPr>
      <w:r>
        <w:rPr>
          <w:rFonts w:ascii="Arial" w:cs="Arial" w:eastAsia="Arial" w:hAnsi="Arial"/>
          <w:sz w:val="22"/>
          <w:szCs w:val="22"/>
          <w:color w:val="auto"/>
        </w:rPr>
        <w:t>availability or timing of, or conditions imposed on, permits and approvals necessary for drilling or development activities and carbon management projects;</w:t>
      </w:r>
    </w:p>
    <w:p>
      <w:pPr>
        <w:ind w:left="600" w:hanging="268"/>
        <w:spacing w:after="0"/>
        <w:tabs>
          <w:tab w:leader="none" w:pos="6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changes in business strategy and CRC's capital plan;</w:t>
      </w:r>
    </w:p>
    <w:p>
      <w:pPr>
        <w:spacing w:after="0" w:line="3" w:lineRule="exact"/>
        <w:rPr>
          <w:rFonts w:ascii="Arial" w:cs="Arial" w:eastAsia="Arial" w:hAnsi="Arial"/>
          <w:sz w:val="22"/>
          <w:szCs w:val="22"/>
          <w:color w:val="auto"/>
        </w:rPr>
      </w:pPr>
    </w:p>
    <w:p>
      <w:pPr>
        <w:ind w:left="660" w:right="320" w:hanging="328"/>
        <w:spacing w:after="0" w:line="243" w:lineRule="auto"/>
        <w:tabs>
          <w:tab w:leader="none" w:pos="601" w:val="left"/>
        </w:tabs>
        <w:numPr>
          <w:ilvl w:val="0"/>
          <w:numId w:val="12"/>
        </w:numPr>
        <w:rPr>
          <w:rFonts w:ascii="Arial" w:cs="Arial" w:eastAsia="Arial" w:hAnsi="Arial"/>
          <w:sz w:val="22"/>
          <w:szCs w:val="22"/>
          <w:color w:val="auto"/>
        </w:rPr>
      </w:pPr>
      <w:r>
        <w:rPr>
          <w:rFonts w:ascii="Arial" w:cs="Arial" w:eastAsia="Arial" w:hAnsi="Arial"/>
          <w:sz w:val="22"/>
          <w:szCs w:val="22"/>
          <w:color w:val="auto"/>
        </w:rPr>
        <w:t>lower-than-expected production, reserves or resources from development projects or acquisitions, or higher-than-expected decline rates;</w:t>
      </w:r>
    </w:p>
    <w:p>
      <w:pPr>
        <w:ind w:left="600" w:hanging="268"/>
        <w:spacing w:after="0"/>
        <w:tabs>
          <w:tab w:leader="none" w:pos="6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incorrect estimates of reserves and related future cash flows and the inability to replace reserves;</w:t>
      </w:r>
    </w:p>
    <w:p>
      <w:pPr>
        <w:spacing w:after="0" w:line="10" w:lineRule="exact"/>
        <w:rPr>
          <w:rFonts w:ascii="Arial" w:cs="Arial" w:eastAsia="Arial" w:hAnsi="Arial"/>
          <w:sz w:val="22"/>
          <w:szCs w:val="22"/>
          <w:color w:val="auto"/>
        </w:rPr>
      </w:pPr>
    </w:p>
    <w:p>
      <w:pPr>
        <w:ind w:left="600" w:hanging="268"/>
        <w:spacing w:after="0"/>
        <w:tabs>
          <w:tab w:leader="none" w:pos="6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the recoverability of resources and unexpected geologic conditions;</w:t>
      </w:r>
    </w:p>
    <w:p>
      <w:pPr>
        <w:spacing w:after="0" w:line="10" w:lineRule="exact"/>
        <w:rPr>
          <w:rFonts w:ascii="Arial" w:cs="Arial" w:eastAsia="Arial" w:hAnsi="Arial"/>
          <w:sz w:val="22"/>
          <w:szCs w:val="22"/>
          <w:color w:val="auto"/>
        </w:rPr>
      </w:pPr>
    </w:p>
    <w:p>
      <w:pPr>
        <w:ind w:left="660" w:right="320" w:hanging="328"/>
        <w:spacing w:after="0" w:line="243" w:lineRule="auto"/>
        <w:tabs>
          <w:tab w:leader="none" w:pos="601" w:val="left"/>
        </w:tabs>
        <w:numPr>
          <w:ilvl w:val="0"/>
          <w:numId w:val="12"/>
        </w:numPr>
        <w:rPr>
          <w:rFonts w:ascii="Arial" w:cs="Arial" w:eastAsia="Arial" w:hAnsi="Arial"/>
          <w:sz w:val="22"/>
          <w:szCs w:val="22"/>
          <w:color w:val="auto"/>
        </w:rPr>
      </w:pPr>
      <w:r>
        <w:rPr>
          <w:rFonts w:ascii="Arial" w:cs="Arial" w:eastAsia="Arial" w:hAnsi="Arial"/>
          <w:sz w:val="22"/>
          <w:szCs w:val="22"/>
          <w:color w:val="auto"/>
        </w:rPr>
        <w:t>CRC's ability to successfully execute on the construction and other aspects of the infrastructure projects and enter into third party contracts on contemplated terms;</w:t>
      </w:r>
    </w:p>
    <w:p>
      <w:pPr>
        <w:ind w:left="660" w:right="340" w:hanging="328"/>
        <w:spacing w:after="0" w:line="253" w:lineRule="auto"/>
        <w:tabs>
          <w:tab w:leader="none" w:pos="601" w:val="left"/>
        </w:tabs>
        <w:numPr>
          <w:ilvl w:val="0"/>
          <w:numId w:val="12"/>
        </w:numPr>
        <w:rPr>
          <w:rFonts w:ascii="Arial" w:cs="Arial" w:eastAsia="Arial" w:hAnsi="Arial"/>
          <w:sz w:val="22"/>
          <w:szCs w:val="22"/>
          <w:color w:val="auto"/>
        </w:rPr>
      </w:pPr>
      <w:r>
        <w:rPr>
          <w:rFonts w:ascii="Arial" w:cs="Arial" w:eastAsia="Arial" w:hAnsi="Arial"/>
          <w:sz w:val="22"/>
          <w:szCs w:val="22"/>
          <w:color w:val="auto"/>
        </w:rPr>
        <w:t>CRC's ability to realize the benefits contemplated by the business strategies and initiatives related to energy transition, including carbon capture and storage projects and other renewable energy efforts;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240"/>
          </w:cols>
          <w:pgMar w:left="320" w:top="883" w:right="339" w:bottom="1440" w:gutter="0" w:footer="0" w:header="0"/>
        </w:sectPr>
      </w:pPr>
    </w:p>
    <w:bookmarkStart w:id="13" w:name="page14"/>
    <w:bookmarkEnd w:id="13"/>
    <w:p>
      <w:pPr>
        <w:ind w:left="660" w:right="680" w:hanging="328"/>
        <w:spacing w:after="0" w:line="252" w:lineRule="auto"/>
        <w:tabs>
          <w:tab w:leader="none" w:pos="601" w:val="left"/>
        </w:tabs>
        <w:numPr>
          <w:ilvl w:val="0"/>
          <w:numId w:val="13"/>
        </w:numPr>
        <w:rPr>
          <w:rFonts w:ascii="Arial" w:cs="Arial" w:eastAsia="Arial" w:hAnsi="Arial"/>
          <w:sz w:val="22"/>
          <w:szCs w:val="22"/>
          <w:color w:val="auto"/>
        </w:rPr>
      </w:pPr>
      <w:r>
        <w:rPr>
          <w:rFonts w:ascii="Arial" w:cs="Arial" w:eastAsia="Arial" w:hAnsi="Arial"/>
          <w:sz w:val="22"/>
          <w:szCs w:val="22"/>
          <w:color w:val="auto"/>
        </w:rPr>
        <w:t>CRC's ability to successfully identify, develop and finance carbon capture and storage projects and other renewable energy efforts, including those in connection with the Carbon TerraVault JV;</w:t>
      </w:r>
    </w:p>
    <w:p>
      <w:pPr>
        <w:spacing w:after="0" w:line="1" w:lineRule="exact"/>
        <w:rPr>
          <w:rFonts w:ascii="Arial" w:cs="Arial" w:eastAsia="Arial" w:hAnsi="Arial"/>
          <w:sz w:val="22"/>
          <w:szCs w:val="22"/>
          <w:color w:val="auto"/>
        </w:rPr>
      </w:pPr>
    </w:p>
    <w:p>
      <w:pPr>
        <w:ind w:left="600" w:hanging="268"/>
        <w:spacing w:after="0"/>
        <w:tabs>
          <w:tab w:leader="none" w:pos="6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global geopolitical, socio-demographic and economic trends and technological innovations;</w:t>
      </w:r>
    </w:p>
    <w:p>
      <w:pPr>
        <w:spacing w:after="0" w:line="10" w:lineRule="exact"/>
        <w:rPr>
          <w:rFonts w:ascii="Arial" w:cs="Arial" w:eastAsia="Arial" w:hAnsi="Arial"/>
          <w:sz w:val="22"/>
          <w:szCs w:val="22"/>
          <w:color w:val="auto"/>
        </w:rPr>
      </w:pPr>
    </w:p>
    <w:p>
      <w:pPr>
        <w:ind w:left="600" w:hanging="268"/>
        <w:spacing w:after="0"/>
        <w:tabs>
          <w:tab w:leader="none" w:pos="6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changes in CRC's dividend policy and its ability to declare future dividends under its debt agreements;</w:t>
      </w:r>
    </w:p>
    <w:p>
      <w:pPr>
        <w:spacing w:after="0" w:line="10" w:lineRule="exact"/>
        <w:rPr>
          <w:rFonts w:ascii="Arial" w:cs="Arial" w:eastAsia="Arial" w:hAnsi="Arial"/>
          <w:sz w:val="22"/>
          <w:szCs w:val="22"/>
          <w:color w:val="auto"/>
        </w:rPr>
      </w:pPr>
    </w:p>
    <w:p>
      <w:pPr>
        <w:ind w:left="600" w:hanging="268"/>
        <w:spacing w:after="0"/>
        <w:tabs>
          <w:tab w:leader="none" w:pos="6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changes in CRC's share repurchase program and its ability to repurchase shares under its debt agreements;</w:t>
      </w:r>
    </w:p>
    <w:p>
      <w:pPr>
        <w:spacing w:after="0" w:line="3" w:lineRule="exact"/>
        <w:rPr>
          <w:rFonts w:ascii="Arial" w:cs="Arial" w:eastAsia="Arial" w:hAnsi="Arial"/>
          <w:sz w:val="22"/>
          <w:szCs w:val="22"/>
          <w:color w:val="auto"/>
        </w:rPr>
      </w:pPr>
    </w:p>
    <w:p>
      <w:pPr>
        <w:ind w:left="600" w:hanging="268"/>
        <w:spacing w:after="0"/>
        <w:tabs>
          <w:tab w:leader="none" w:pos="6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production-sharing contracts' effects on production and operating costs;</w:t>
      </w:r>
    </w:p>
    <w:p>
      <w:pPr>
        <w:spacing w:after="0" w:line="3" w:lineRule="exact"/>
        <w:rPr>
          <w:rFonts w:ascii="Arial" w:cs="Arial" w:eastAsia="Arial" w:hAnsi="Arial"/>
          <w:sz w:val="22"/>
          <w:szCs w:val="22"/>
          <w:color w:val="auto"/>
        </w:rPr>
      </w:pPr>
    </w:p>
    <w:p>
      <w:pPr>
        <w:ind w:left="600" w:hanging="268"/>
        <w:spacing w:after="0"/>
        <w:tabs>
          <w:tab w:leader="none" w:pos="6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limitations on CRC's financial flexibility due to existing and future debt;</w:t>
      </w:r>
    </w:p>
    <w:p>
      <w:pPr>
        <w:spacing w:after="0" w:line="3" w:lineRule="exact"/>
        <w:rPr>
          <w:rFonts w:ascii="Arial" w:cs="Arial" w:eastAsia="Arial" w:hAnsi="Arial"/>
          <w:sz w:val="22"/>
          <w:szCs w:val="22"/>
          <w:color w:val="auto"/>
        </w:rPr>
      </w:pPr>
    </w:p>
    <w:p>
      <w:pPr>
        <w:ind w:left="660" w:right="800" w:hanging="328"/>
        <w:spacing w:after="0" w:line="249" w:lineRule="auto"/>
        <w:tabs>
          <w:tab w:leader="none" w:pos="601" w:val="left"/>
        </w:tabs>
        <w:numPr>
          <w:ilvl w:val="0"/>
          <w:numId w:val="13"/>
        </w:numPr>
        <w:rPr>
          <w:rFonts w:ascii="Arial" w:cs="Arial" w:eastAsia="Arial" w:hAnsi="Arial"/>
          <w:sz w:val="22"/>
          <w:szCs w:val="22"/>
          <w:color w:val="auto"/>
        </w:rPr>
      </w:pPr>
      <w:r>
        <w:rPr>
          <w:rFonts w:ascii="Arial" w:cs="Arial" w:eastAsia="Arial" w:hAnsi="Arial"/>
          <w:sz w:val="22"/>
          <w:szCs w:val="22"/>
          <w:color w:val="auto"/>
        </w:rPr>
        <w:t>insufficient cash flow to fund CRC's capital plan and other planned investments, stock repurchases and dividends;</w:t>
      </w:r>
    </w:p>
    <w:p>
      <w:pPr>
        <w:spacing w:after="0" w:line="1" w:lineRule="exact"/>
        <w:rPr>
          <w:rFonts w:ascii="Arial" w:cs="Arial" w:eastAsia="Arial" w:hAnsi="Arial"/>
          <w:sz w:val="22"/>
          <w:szCs w:val="22"/>
          <w:color w:val="auto"/>
        </w:rPr>
      </w:pPr>
    </w:p>
    <w:p>
      <w:pPr>
        <w:ind w:left="600" w:hanging="268"/>
        <w:spacing w:after="0"/>
        <w:tabs>
          <w:tab w:leader="none" w:pos="6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insufficient capital or lack of liquidity in the capital markets or inability to attract potential investors;</w:t>
      </w:r>
    </w:p>
    <w:p>
      <w:pPr>
        <w:spacing w:after="0" w:line="3" w:lineRule="exact"/>
        <w:rPr>
          <w:rFonts w:ascii="Arial" w:cs="Arial" w:eastAsia="Arial" w:hAnsi="Arial"/>
          <w:sz w:val="22"/>
          <w:szCs w:val="22"/>
          <w:color w:val="auto"/>
        </w:rPr>
      </w:pPr>
    </w:p>
    <w:p>
      <w:pPr>
        <w:ind w:left="600" w:hanging="268"/>
        <w:spacing w:after="0"/>
        <w:tabs>
          <w:tab w:leader="none" w:pos="6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limitations on transportation or storage capacity and the need to shut-in wells;</w:t>
      </w:r>
    </w:p>
    <w:p>
      <w:pPr>
        <w:spacing w:after="0" w:line="3" w:lineRule="exact"/>
        <w:rPr>
          <w:rFonts w:ascii="Arial" w:cs="Arial" w:eastAsia="Arial" w:hAnsi="Arial"/>
          <w:sz w:val="22"/>
          <w:szCs w:val="22"/>
          <w:color w:val="auto"/>
        </w:rPr>
      </w:pPr>
    </w:p>
    <w:p>
      <w:pPr>
        <w:ind w:left="600" w:hanging="268"/>
        <w:spacing w:after="0"/>
        <w:tabs>
          <w:tab w:leader="none" w:pos="6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inability to enter into desirable transactions, including acquisitions, asset sales and joint ventures;</w:t>
      </w:r>
    </w:p>
    <w:p>
      <w:pPr>
        <w:spacing w:after="0" w:line="3" w:lineRule="exact"/>
        <w:rPr>
          <w:rFonts w:ascii="Arial" w:cs="Arial" w:eastAsia="Arial" w:hAnsi="Arial"/>
          <w:sz w:val="22"/>
          <w:szCs w:val="22"/>
          <w:color w:val="auto"/>
        </w:rPr>
      </w:pPr>
    </w:p>
    <w:p>
      <w:pPr>
        <w:ind w:left="600" w:hanging="268"/>
        <w:spacing w:after="0"/>
        <w:tabs>
          <w:tab w:leader="none" w:pos="6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CRC's ability to achieve expected synergies from joint ventures and acquisitions;</w:t>
      </w:r>
    </w:p>
    <w:p>
      <w:pPr>
        <w:spacing w:after="0" w:line="3" w:lineRule="exact"/>
        <w:rPr>
          <w:rFonts w:ascii="Arial" w:cs="Arial" w:eastAsia="Arial" w:hAnsi="Arial"/>
          <w:sz w:val="22"/>
          <w:szCs w:val="22"/>
          <w:color w:val="auto"/>
        </w:rPr>
      </w:pPr>
    </w:p>
    <w:p>
      <w:pPr>
        <w:ind w:left="600" w:hanging="268"/>
        <w:spacing w:after="0"/>
        <w:tabs>
          <w:tab w:leader="none" w:pos="6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CRC's ability to utilize its net operating loss carryforwards to reduce its income tax obligations;</w:t>
      </w:r>
    </w:p>
    <w:p>
      <w:pPr>
        <w:spacing w:after="0" w:line="10" w:lineRule="exact"/>
        <w:rPr>
          <w:rFonts w:ascii="Arial" w:cs="Arial" w:eastAsia="Arial" w:hAnsi="Arial"/>
          <w:sz w:val="22"/>
          <w:szCs w:val="22"/>
          <w:color w:val="auto"/>
        </w:rPr>
      </w:pPr>
    </w:p>
    <w:p>
      <w:pPr>
        <w:ind w:left="660" w:right="280" w:hanging="328"/>
        <w:spacing w:after="0" w:line="246" w:lineRule="auto"/>
        <w:tabs>
          <w:tab w:leader="none" w:pos="601" w:val="left"/>
        </w:tabs>
        <w:numPr>
          <w:ilvl w:val="0"/>
          <w:numId w:val="13"/>
        </w:numPr>
        <w:rPr>
          <w:rFonts w:ascii="Arial" w:cs="Arial" w:eastAsia="Arial" w:hAnsi="Arial"/>
          <w:sz w:val="22"/>
          <w:szCs w:val="22"/>
          <w:color w:val="auto"/>
        </w:rPr>
      </w:pPr>
      <w:r>
        <w:rPr>
          <w:rFonts w:ascii="Arial" w:cs="Arial" w:eastAsia="Arial" w:hAnsi="Arial"/>
          <w:sz w:val="22"/>
          <w:szCs w:val="22"/>
          <w:color w:val="auto"/>
        </w:rPr>
        <w:t>CRC's ability to successfully gather and verify data regarding emissions, its environmental impacts and other initiatives;</w:t>
      </w:r>
    </w:p>
    <w:p>
      <w:pPr>
        <w:ind w:left="660" w:right="280" w:hanging="328"/>
        <w:spacing w:after="0" w:line="243" w:lineRule="auto"/>
        <w:tabs>
          <w:tab w:leader="none" w:pos="601" w:val="left"/>
        </w:tabs>
        <w:numPr>
          <w:ilvl w:val="0"/>
          <w:numId w:val="13"/>
        </w:numPr>
        <w:rPr>
          <w:rFonts w:ascii="Arial" w:cs="Arial" w:eastAsia="Arial" w:hAnsi="Arial"/>
          <w:sz w:val="22"/>
          <w:szCs w:val="22"/>
          <w:color w:val="auto"/>
        </w:rPr>
      </w:pPr>
      <w:r>
        <w:rPr>
          <w:rFonts w:ascii="Arial" w:cs="Arial" w:eastAsia="Arial" w:hAnsi="Arial"/>
          <w:sz w:val="22"/>
          <w:szCs w:val="22"/>
          <w:color w:val="auto"/>
        </w:rPr>
        <w:t>the compliance of various third parties with CRC's policies and procedures and legal requirements as well as contracts it enters into in connection with CRC's climate-related initiatives;</w:t>
      </w:r>
    </w:p>
    <w:p>
      <w:pPr>
        <w:ind w:left="600" w:hanging="268"/>
        <w:spacing w:after="0"/>
        <w:tabs>
          <w:tab w:leader="none" w:pos="6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the effect of CRC's stock price on costs associated with incentive compensation;</w:t>
      </w:r>
    </w:p>
    <w:p>
      <w:pPr>
        <w:spacing w:after="0" w:line="10" w:lineRule="exact"/>
        <w:rPr>
          <w:rFonts w:ascii="Arial" w:cs="Arial" w:eastAsia="Arial" w:hAnsi="Arial"/>
          <w:sz w:val="22"/>
          <w:szCs w:val="22"/>
          <w:color w:val="auto"/>
        </w:rPr>
      </w:pPr>
    </w:p>
    <w:p>
      <w:pPr>
        <w:ind w:left="600" w:hanging="268"/>
        <w:spacing w:after="0"/>
        <w:tabs>
          <w:tab w:leader="none" w:pos="6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changes in the intensity of competition in the oil and gas industry;</w:t>
      </w:r>
    </w:p>
    <w:p>
      <w:pPr>
        <w:spacing w:after="0" w:line="10" w:lineRule="exact"/>
        <w:rPr>
          <w:rFonts w:ascii="Arial" w:cs="Arial" w:eastAsia="Arial" w:hAnsi="Arial"/>
          <w:sz w:val="22"/>
          <w:szCs w:val="22"/>
          <w:color w:val="auto"/>
        </w:rPr>
      </w:pPr>
    </w:p>
    <w:p>
      <w:pPr>
        <w:ind w:left="600" w:hanging="268"/>
        <w:spacing w:after="0"/>
        <w:tabs>
          <w:tab w:leader="none" w:pos="6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effects of hedging transactions;</w:t>
      </w:r>
    </w:p>
    <w:p>
      <w:pPr>
        <w:spacing w:after="0" w:line="3" w:lineRule="exact"/>
        <w:rPr>
          <w:rFonts w:ascii="Arial" w:cs="Arial" w:eastAsia="Arial" w:hAnsi="Arial"/>
          <w:sz w:val="22"/>
          <w:szCs w:val="22"/>
          <w:color w:val="auto"/>
        </w:rPr>
      </w:pPr>
    </w:p>
    <w:p>
      <w:pPr>
        <w:ind w:left="600" w:hanging="268"/>
        <w:spacing w:after="0"/>
        <w:tabs>
          <w:tab w:leader="none" w:pos="6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climate-related conditions and weather events;</w:t>
      </w:r>
    </w:p>
    <w:p>
      <w:pPr>
        <w:spacing w:after="0" w:line="3" w:lineRule="exact"/>
        <w:rPr>
          <w:rFonts w:ascii="Arial" w:cs="Arial" w:eastAsia="Arial" w:hAnsi="Arial"/>
          <w:sz w:val="22"/>
          <w:szCs w:val="22"/>
          <w:color w:val="auto"/>
        </w:rPr>
      </w:pPr>
    </w:p>
    <w:p>
      <w:pPr>
        <w:ind w:left="660" w:right="100" w:hanging="328"/>
        <w:spacing w:after="0" w:line="246" w:lineRule="auto"/>
        <w:tabs>
          <w:tab w:leader="none" w:pos="601" w:val="left"/>
        </w:tabs>
        <w:numPr>
          <w:ilvl w:val="0"/>
          <w:numId w:val="13"/>
        </w:numPr>
        <w:rPr>
          <w:rFonts w:ascii="Arial" w:cs="Arial" w:eastAsia="Arial" w:hAnsi="Arial"/>
          <w:sz w:val="22"/>
          <w:szCs w:val="22"/>
          <w:color w:val="auto"/>
        </w:rPr>
      </w:pPr>
      <w:r>
        <w:rPr>
          <w:rFonts w:ascii="Arial" w:cs="Arial" w:eastAsia="Arial" w:hAnsi="Arial"/>
          <w:sz w:val="22"/>
          <w:szCs w:val="22"/>
          <w:color w:val="auto"/>
        </w:rPr>
        <w:t>disruptions due to accidents, mechanical failures, power outages, transportation or storage constraints, natural disasters, labor difficulties, cyber-attacks or other catastrophic events;</w:t>
      </w:r>
    </w:p>
    <w:p>
      <w:pPr>
        <w:spacing w:after="0" w:line="1" w:lineRule="exact"/>
        <w:rPr>
          <w:rFonts w:ascii="Arial" w:cs="Arial" w:eastAsia="Arial" w:hAnsi="Arial"/>
          <w:sz w:val="22"/>
          <w:szCs w:val="22"/>
          <w:color w:val="auto"/>
        </w:rPr>
      </w:pPr>
    </w:p>
    <w:p>
      <w:pPr>
        <w:ind w:left="600" w:hanging="268"/>
        <w:spacing w:after="0"/>
        <w:tabs>
          <w:tab w:leader="none" w:pos="6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pandemics, epidemics, outbreaks, or other public health events, such as the COVID-19; and</w:t>
      </w:r>
    </w:p>
    <w:p>
      <w:pPr>
        <w:spacing w:after="0" w:line="10" w:lineRule="exact"/>
        <w:rPr>
          <w:rFonts w:ascii="Arial" w:cs="Arial" w:eastAsia="Arial" w:hAnsi="Arial"/>
          <w:sz w:val="22"/>
          <w:szCs w:val="22"/>
          <w:color w:val="auto"/>
        </w:rPr>
      </w:pPr>
    </w:p>
    <w:p>
      <w:pPr>
        <w:ind w:left="660" w:right="340" w:hanging="328"/>
        <w:spacing w:after="0" w:line="253" w:lineRule="auto"/>
        <w:tabs>
          <w:tab w:leader="none" w:pos="601" w:val="left"/>
        </w:tabs>
        <w:numPr>
          <w:ilvl w:val="0"/>
          <w:numId w:val="13"/>
        </w:numPr>
        <w:rPr>
          <w:rFonts w:ascii="Arial" w:cs="Arial" w:eastAsia="Arial" w:hAnsi="Arial"/>
          <w:sz w:val="22"/>
          <w:szCs w:val="22"/>
          <w:color w:val="auto"/>
        </w:rPr>
      </w:pPr>
      <w:r>
        <w:rPr>
          <w:rFonts w:ascii="Arial" w:cs="Arial" w:eastAsia="Arial" w:hAnsi="Arial"/>
          <w:sz w:val="22"/>
          <w:szCs w:val="22"/>
          <w:color w:val="auto"/>
        </w:rPr>
        <w:t>other factors discussed in Part I, Item 1A – Risk Factors in CRC's Annual Report on Form 10-K and its other SEC filings available at www.crc.com.</w:t>
      </w:r>
    </w:p>
    <w:p>
      <w:pPr>
        <w:spacing w:after="0" w:line="20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22"/>
          <w:szCs w:val="22"/>
          <w:color w:val="auto"/>
        </w:rPr>
        <w:t>CRC cautions you not to place undue reliance on forward-looking statements contained in this document, which speak only as of the filing date, and CRC undertakes no obligation to update this information. This document may also contain information from third party sources. This data may involve a number of assumptions and limitations, and CRC has not independently verified them and do not warrant the accuracy or completeness of such third-party information.</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580" w:type="dxa"/>
            <w:vAlign w:val="bottom"/>
            <w:gridSpan w:val="2"/>
          </w:tcPr>
          <w:p>
            <w:pPr>
              <w:spacing w:after="0"/>
              <w:rPr>
                <w:sz w:val="20"/>
                <w:szCs w:val="20"/>
                <w:color w:val="auto"/>
              </w:rPr>
            </w:pPr>
            <w:r>
              <w:rPr>
                <w:rFonts w:ascii="Arial" w:cs="Arial" w:eastAsia="Arial" w:hAnsi="Arial"/>
                <w:sz w:val="22"/>
                <w:szCs w:val="22"/>
                <w:b w:val="1"/>
                <w:bCs w:val="1"/>
                <w:color w:val="auto"/>
              </w:rPr>
              <w:t>Contacts:</w:t>
            </w:r>
          </w:p>
        </w:tc>
        <w:tc>
          <w:tcPr>
            <w:tcW w:w="2260" w:type="dxa"/>
            <w:vAlign w:val="bottom"/>
          </w:tcPr>
          <w:p>
            <w:pPr>
              <w:spacing w:after="0"/>
              <w:rPr>
                <w:sz w:val="21"/>
                <w:szCs w:val="21"/>
                <w:color w:val="auto"/>
              </w:rPr>
            </w:pPr>
          </w:p>
        </w:tc>
      </w:tr>
      <w:tr>
        <w:trPr>
          <w:trHeight w:val="20"/>
        </w:trPr>
        <w:tc>
          <w:tcPr>
            <w:tcW w:w="1000" w:type="dxa"/>
            <w:vAlign w:val="bottom"/>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51"/>
        </w:trPr>
        <w:tc>
          <w:tcPr>
            <w:tcW w:w="5580" w:type="dxa"/>
            <w:vAlign w:val="bottom"/>
            <w:gridSpan w:val="2"/>
          </w:tcPr>
          <w:p>
            <w:pPr>
              <w:ind w:left="20"/>
              <w:spacing w:after="0" w:line="250" w:lineRule="exact"/>
              <w:rPr>
                <w:sz w:val="20"/>
                <w:szCs w:val="20"/>
                <w:color w:val="auto"/>
              </w:rPr>
            </w:pPr>
            <w:r>
              <w:rPr>
                <w:rFonts w:ascii="Arial" w:cs="Arial" w:eastAsia="Arial" w:hAnsi="Arial"/>
                <w:sz w:val="22"/>
                <w:szCs w:val="22"/>
                <w:color w:val="auto"/>
              </w:rPr>
              <w:t>Joanna Park (Investor Relations) 818-661-3731</w:t>
            </w:r>
          </w:p>
        </w:tc>
        <w:tc>
          <w:tcPr>
            <w:tcW w:w="2260" w:type="dxa"/>
            <w:vAlign w:val="bottom"/>
          </w:tcPr>
          <w:p>
            <w:pPr>
              <w:spacing w:after="0" w:line="250" w:lineRule="exact"/>
              <w:rPr>
                <w:sz w:val="20"/>
                <w:szCs w:val="20"/>
                <w:color w:val="auto"/>
              </w:rPr>
            </w:pPr>
            <w:r>
              <w:rPr>
                <w:rFonts w:ascii="Arial" w:cs="Arial" w:eastAsia="Arial" w:hAnsi="Arial"/>
                <w:sz w:val="22"/>
                <w:szCs w:val="22"/>
                <w:color w:val="auto"/>
              </w:rPr>
              <w:t>Richard Venn (Media)</w:t>
            </w:r>
          </w:p>
        </w:tc>
      </w:tr>
      <w:tr>
        <w:trPr>
          <w:trHeight w:val="216"/>
        </w:trPr>
        <w:tc>
          <w:tcPr>
            <w:tcW w:w="5580" w:type="dxa"/>
            <w:vAlign w:val="bottom"/>
            <w:gridSpan w:val="2"/>
          </w:tcPr>
          <w:p>
            <w:pPr>
              <w:ind w:left="20"/>
              <w:spacing w:after="0" w:line="216" w:lineRule="exact"/>
              <w:rPr>
                <w:sz w:val="20"/>
                <w:szCs w:val="20"/>
                <w:color w:val="auto"/>
              </w:rPr>
            </w:pPr>
            <w:r>
              <w:rPr>
                <w:rFonts w:ascii="Arial" w:cs="Arial" w:eastAsia="Arial" w:hAnsi="Arial"/>
                <w:sz w:val="22"/>
                <w:szCs w:val="22"/>
                <w:color w:val="auto"/>
              </w:rPr>
              <w:t>Joanna.Park@crc.com</w:t>
            </w:r>
          </w:p>
        </w:tc>
        <w:tc>
          <w:tcPr>
            <w:tcW w:w="2260" w:type="dxa"/>
            <w:vAlign w:val="bottom"/>
          </w:tcPr>
          <w:p>
            <w:pPr>
              <w:spacing w:after="0" w:line="216" w:lineRule="exact"/>
              <w:rPr>
                <w:sz w:val="20"/>
                <w:szCs w:val="20"/>
                <w:color w:val="auto"/>
              </w:rPr>
            </w:pPr>
            <w:r>
              <w:rPr>
                <w:rFonts w:ascii="Arial" w:cs="Arial" w:eastAsia="Arial" w:hAnsi="Arial"/>
                <w:sz w:val="22"/>
                <w:szCs w:val="22"/>
                <w:color w:val="auto"/>
              </w:rPr>
              <w:t>818-661-6014</w:t>
            </w:r>
          </w:p>
        </w:tc>
      </w:tr>
      <w:tr>
        <w:trPr>
          <w:trHeight w:val="229"/>
        </w:trPr>
        <w:tc>
          <w:tcPr>
            <w:tcW w:w="100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2260" w:type="dxa"/>
            <w:vAlign w:val="bottom"/>
            <w:tcBorders>
              <w:bottom w:val="single" w:sz="8" w:color="421BFF"/>
            </w:tcBorders>
          </w:tcPr>
          <w:p>
            <w:pPr>
              <w:spacing w:after="0" w:line="229" w:lineRule="exact"/>
              <w:rPr>
                <w:sz w:val="20"/>
                <w:szCs w:val="20"/>
                <w:color w:val="auto"/>
              </w:rPr>
            </w:pPr>
            <w:r>
              <w:rPr>
                <w:rFonts w:ascii="Arial" w:cs="Arial" w:eastAsia="Arial" w:hAnsi="Arial"/>
                <w:sz w:val="22"/>
                <w:szCs w:val="22"/>
                <w:color w:val="421BFF"/>
                <w:w w:val="96"/>
              </w:rPr>
              <w:t>Richard.Venn@crc.com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240"/>
          </w:cols>
          <w:pgMar w:left="320" w:top="896"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97"/>
        </w:trPr>
        <w:tc>
          <w:tcPr>
            <w:tcW w:w="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Attachment 1</w:t>
            </w:r>
          </w:p>
        </w:tc>
        <w:tc>
          <w:tcPr>
            <w:tcW w:w="0" w:type="dxa"/>
            <w:vAlign w:val="bottom"/>
          </w:tcPr>
          <w:p>
            <w:pPr>
              <w:spacing w:after="0"/>
              <w:rPr>
                <w:sz w:val="1"/>
                <w:szCs w:val="1"/>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180" w:type="dxa"/>
            <w:vAlign w:val="bottom"/>
            <w:gridSpan w:val="2"/>
          </w:tcPr>
          <w:p>
            <w:pPr>
              <w:spacing w:after="0"/>
              <w:rPr>
                <w:sz w:val="20"/>
                <w:szCs w:val="20"/>
                <w:color w:val="auto"/>
              </w:rPr>
            </w:pPr>
            <w:r>
              <w:rPr>
                <w:rFonts w:ascii="Arial" w:cs="Arial" w:eastAsia="Arial" w:hAnsi="Arial"/>
                <w:sz w:val="14"/>
                <w:szCs w:val="14"/>
                <w:b w:val="1"/>
                <w:bCs w:val="1"/>
                <w:color w:val="auto"/>
              </w:rPr>
              <w:t>SUMMARY OF RESULTS</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3rd Quarter</w:t>
            </w:r>
          </w:p>
        </w:tc>
        <w:tc>
          <w:tcPr>
            <w:tcW w:w="180" w:type="dxa"/>
            <w:vAlign w:val="bottom"/>
          </w:tcPr>
          <w:p>
            <w:pPr>
              <w:spacing w:after="0"/>
              <w:rPr>
                <w:sz w:val="24"/>
                <w:szCs w:val="24"/>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b w:val="1"/>
                <w:bCs w:val="1"/>
                <w:color w:val="auto"/>
              </w:rPr>
              <w:t>2nd Quarter</w:t>
            </w:r>
          </w:p>
        </w:tc>
        <w:tc>
          <w:tcPr>
            <w:tcW w:w="160" w:type="dxa"/>
            <w:vAlign w:val="bottom"/>
          </w:tcPr>
          <w:p>
            <w:pPr>
              <w:spacing w:after="0"/>
              <w:rPr>
                <w:sz w:val="24"/>
                <w:szCs w:val="24"/>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3rd Quarter</w:t>
            </w:r>
          </w:p>
        </w:tc>
        <w:tc>
          <w:tcPr>
            <w:tcW w:w="160" w:type="dxa"/>
            <w:vAlign w:val="bottom"/>
          </w:tcPr>
          <w:p>
            <w:pPr>
              <w:spacing w:after="0"/>
              <w:rPr>
                <w:sz w:val="24"/>
                <w:szCs w:val="24"/>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Nine Months</w:t>
            </w:r>
          </w:p>
        </w:tc>
        <w:tc>
          <w:tcPr>
            <w:tcW w:w="140" w:type="dxa"/>
            <w:vAlign w:val="bottom"/>
          </w:tcPr>
          <w:p>
            <w:pPr>
              <w:spacing w:after="0"/>
              <w:rPr>
                <w:sz w:val="24"/>
                <w:szCs w:val="24"/>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203"/>
        </w:trPr>
        <w:tc>
          <w:tcPr>
            <w:tcW w:w="20" w:type="dxa"/>
            <w:vAlign w:val="bottom"/>
            <w:tcBorders>
              <w:bottom w:val="single" w:sz="8" w:color="auto"/>
            </w:tcBorders>
          </w:tcPr>
          <w:p>
            <w:pPr>
              <w:spacing w:after="0"/>
              <w:rPr>
                <w:sz w:val="17"/>
                <w:szCs w:val="17"/>
                <w:color w:val="auto"/>
              </w:rPr>
            </w:pPr>
          </w:p>
        </w:tc>
        <w:tc>
          <w:tcPr>
            <w:tcW w:w="41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 and shares in millions, except per share amounts)</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1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Statements of Operations:</w:t>
            </w:r>
          </w:p>
        </w:tc>
        <w:tc>
          <w:tcPr>
            <w:tcW w:w="2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18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gridSpan w:val="2"/>
          </w:tcPr>
          <w:p>
            <w:pPr>
              <w:spacing w:after="0"/>
              <w:rPr>
                <w:sz w:val="20"/>
                <w:szCs w:val="20"/>
                <w:color w:val="auto"/>
              </w:rPr>
            </w:pPr>
            <w:r>
              <w:rPr>
                <w:rFonts w:ascii="Arial" w:cs="Arial" w:eastAsia="Arial" w:hAnsi="Arial"/>
                <w:sz w:val="14"/>
                <w:szCs w:val="14"/>
                <w:color w:val="auto"/>
              </w:rPr>
              <w:t>Oil, natural gas and NGL sales</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680</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108"/>
              <w:spacing w:after="0"/>
              <w:rPr>
                <w:sz w:val="20"/>
                <w:szCs w:val="20"/>
                <w:color w:val="auto"/>
              </w:rPr>
            </w:pPr>
            <w:r>
              <w:rPr>
                <w:rFonts w:ascii="Arial" w:cs="Arial" w:eastAsia="Arial" w:hAnsi="Arial"/>
                <w:sz w:val="14"/>
                <w:szCs w:val="14"/>
                <w:b w:val="1"/>
                <w:bCs w:val="1"/>
                <w:color w:val="auto"/>
              </w:rPr>
              <w:t>718</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549</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108"/>
              <w:spacing w:after="0"/>
              <w:rPr>
                <w:sz w:val="20"/>
                <w:szCs w:val="20"/>
                <w:color w:val="auto"/>
              </w:rPr>
            </w:pPr>
            <w:r>
              <w:rPr>
                <w:rFonts w:ascii="Arial" w:cs="Arial" w:eastAsia="Arial" w:hAnsi="Arial"/>
                <w:sz w:val="14"/>
                <w:szCs w:val="14"/>
                <w:b w:val="1"/>
                <w:bCs w:val="1"/>
                <w:color w:val="auto"/>
              </w:rPr>
              <w:t>2,026</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b w:val="1"/>
                <w:bCs w:val="1"/>
                <w:color w:val="auto"/>
              </w:rPr>
              <w:t>1,459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gridSpan w:val="2"/>
          </w:tcPr>
          <w:p>
            <w:pPr>
              <w:spacing w:after="0"/>
              <w:rPr>
                <w:sz w:val="20"/>
                <w:szCs w:val="20"/>
                <w:color w:val="auto"/>
              </w:rPr>
            </w:pPr>
            <w:r>
              <w:rPr>
                <w:rFonts w:ascii="Arial" w:cs="Arial" w:eastAsia="Arial" w:hAnsi="Arial"/>
                <w:sz w:val="14"/>
                <w:szCs w:val="14"/>
                <w:color w:val="auto"/>
              </w:rPr>
              <w:t>Net gain (loss) from commodity derivatives</w:t>
            </w:r>
          </w:p>
        </w:tc>
        <w:tc>
          <w:tcPr>
            <w:tcW w:w="18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243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b w:val="1"/>
                <w:bCs w:val="1"/>
                <w:color w:val="auto"/>
              </w:rPr>
              <w:t>(100)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(125)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b w:val="1"/>
                <w:bCs w:val="1"/>
                <w:color w:val="auto"/>
              </w:rPr>
              <w:t>(419)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(603)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gridSpan w:val="2"/>
          </w:tcPr>
          <w:p>
            <w:pPr>
              <w:spacing w:after="0"/>
              <w:rPr>
                <w:sz w:val="20"/>
                <w:szCs w:val="20"/>
                <w:color w:val="auto"/>
              </w:rPr>
            </w:pPr>
            <w:r>
              <w:rPr>
                <w:rFonts w:ascii="Arial" w:cs="Arial" w:eastAsia="Arial" w:hAnsi="Arial"/>
                <w:sz w:val="14"/>
                <w:szCs w:val="14"/>
                <w:color w:val="auto"/>
              </w:rPr>
              <w:t>Sales of purchased natural gas</w:t>
            </w:r>
          </w:p>
        </w:tc>
        <w:tc>
          <w:tcPr>
            <w:tcW w:w="18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113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b w:val="1"/>
                <w:bCs w:val="1"/>
                <w:color w:val="auto"/>
              </w:rPr>
              <w:t>75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95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b w:val="1"/>
                <w:bCs w:val="1"/>
                <w:color w:val="auto"/>
              </w:rPr>
              <w:t>220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b w:val="1"/>
                <w:bCs w:val="1"/>
                <w:color w:val="auto"/>
              </w:rPr>
              <w:t>241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gridSpan w:val="2"/>
          </w:tcPr>
          <w:p>
            <w:pPr>
              <w:spacing w:after="0"/>
              <w:rPr>
                <w:sz w:val="20"/>
                <w:szCs w:val="20"/>
                <w:color w:val="auto"/>
              </w:rPr>
            </w:pPr>
            <w:r>
              <w:rPr>
                <w:rFonts w:ascii="Arial" w:cs="Arial" w:eastAsia="Arial" w:hAnsi="Arial"/>
                <w:sz w:val="14"/>
                <w:szCs w:val="14"/>
                <w:color w:val="auto"/>
              </w:rPr>
              <w:t>Electricity sales</w:t>
            </w:r>
          </w:p>
        </w:tc>
        <w:tc>
          <w:tcPr>
            <w:tcW w:w="18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88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b w:val="1"/>
                <w:bCs w:val="1"/>
                <w:color w:val="auto"/>
              </w:rPr>
              <w:t>49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65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b w:val="1"/>
                <w:bCs w:val="1"/>
                <w:color w:val="auto"/>
              </w:rPr>
              <w:t>171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b w:val="1"/>
                <w:bCs w:val="1"/>
                <w:color w:val="auto"/>
              </w:rPr>
              <w:t>131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gridSpan w:val="2"/>
          </w:tcPr>
          <w:p>
            <w:pPr>
              <w:spacing w:after="0"/>
              <w:rPr>
                <w:sz w:val="20"/>
                <w:szCs w:val="20"/>
                <w:color w:val="auto"/>
              </w:rPr>
            </w:pPr>
            <w:r>
              <w:rPr>
                <w:rFonts w:ascii="Arial" w:cs="Arial" w:eastAsia="Arial" w:hAnsi="Arial"/>
                <w:sz w:val="14"/>
                <w:szCs w:val="14"/>
                <w:color w:val="auto"/>
              </w:rPr>
              <w:t>Other revenue</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27</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80" w:type="dxa"/>
            <w:vAlign w:val="bottom"/>
            <w:gridSpan w:val="2"/>
          </w:tcPr>
          <w:p>
            <w:pPr>
              <w:ind w:left="200"/>
              <w:spacing w:after="0"/>
              <w:rPr>
                <w:sz w:val="20"/>
                <w:szCs w:val="20"/>
                <w:color w:val="auto"/>
              </w:rPr>
            </w:pPr>
            <w:r>
              <w:rPr>
                <w:rFonts w:ascii="Arial" w:cs="Arial" w:eastAsia="Arial" w:hAnsi="Arial"/>
                <w:sz w:val="14"/>
                <w:szCs w:val="14"/>
                <w:color w:val="auto"/>
              </w:rPr>
              <w:t>Total operating revenues</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1,125</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747</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588</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2,025</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1,255</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4180" w:type="dxa"/>
            <w:vAlign w:val="bottom"/>
            <w:gridSpan w:val="2"/>
          </w:tcPr>
          <w:p>
            <w:pPr>
              <w:spacing w:after="0"/>
              <w:rPr>
                <w:sz w:val="20"/>
                <w:szCs w:val="20"/>
                <w:color w:val="auto"/>
              </w:rPr>
            </w:pPr>
            <w:r>
              <w:rPr>
                <w:rFonts w:ascii="Arial" w:cs="Arial" w:eastAsia="Arial" w:hAnsi="Arial"/>
                <w:sz w:val="14"/>
                <w:szCs w:val="14"/>
                <w:b w:val="1"/>
                <w:bCs w:val="1"/>
                <w:color w:val="auto"/>
              </w:rPr>
              <w:t>Operating Expenses</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gridSpan w:val="2"/>
          </w:tcPr>
          <w:p>
            <w:pPr>
              <w:spacing w:after="0"/>
              <w:rPr>
                <w:sz w:val="20"/>
                <w:szCs w:val="20"/>
                <w:color w:val="auto"/>
              </w:rPr>
            </w:pPr>
            <w:r>
              <w:rPr>
                <w:rFonts w:ascii="Arial" w:cs="Arial" w:eastAsia="Arial" w:hAnsi="Arial"/>
                <w:sz w:val="14"/>
                <w:szCs w:val="14"/>
                <w:color w:val="auto"/>
              </w:rPr>
              <w:t>Operating costs</w:t>
            </w:r>
          </w:p>
        </w:tc>
        <w:tc>
          <w:tcPr>
            <w:tcW w:w="18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214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b w:val="1"/>
                <w:bCs w:val="1"/>
                <w:color w:val="auto"/>
              </w:rPr>
              <w:t>190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190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b w:val="1"/>
                <w:bCs w:val="1"/>
                <w:color w:val="auto"/>
              </w:rPr>
              <w:t>586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b w:val="1"/>
                <w:bCs w:val="1"/>
                <w:color w:val="auto"/>
              </w:rPr>
              <w:t>523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gridSpan w:val="2"/>
          </w:tcPr>
          <w:p>
            <w:pPr>
              <w:spacing w:after="0"/>
              <w:rPr>
                <w:sz w:val="20"/>
                <w:szCs w:val="20"/>
                <w:color w:val="auto"/>
              </w:rPr>
            </w:pPr>
            <w:r>
              <w:rPr>
                <w:rFonts w:ascii="Arial" w:cs="Arial" w:eastAsia="Arial" w:hAnsi="Arial"/>
                <w:sz w:val="14"/>
                <w:szCs w:val="14"/>
                <w:color w:val="auto"/>
              </w:rPr>
              <w:t>General and administrative expenses</w:t>
            </w:r>
          </w:p>
        </w:tc>
        <w:tc>
          <w:tcPr>
            <w:tcW w:w="18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59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b w:val="1"/>
                <w:bCs w:val="1"/>
                <w:color w:val="auto"/>
              </w:rPr>
              <w:t>56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51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b w:val="1"/>
                <w:bCs w:val="1"/>
                <w:color w:val="auto"/>
              </w:rPr>
              <w:t>163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b w:val="1"/>
                <w:bCs w:val="1"/>
                <w:color w:val="auto"/>
              </w:rPr>
              <w:t>147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gridSpan w:val="2"/>
          </w:tcPr>
          <w:p>
            <w:pPr>
              <w:spacing w:after="0"/>
              <w:rPr>
                <w:sz w:val="20"/>
                <w:szCs w:val="20"/>
                <w:color w:val="auto"/>
              </w:rPr>
            </w:pPr>
            <w:r>
              <w:rPr>
                <w:rFonts w:ascii="Arial" w:cs="Arial" w:eastAsia="Arial" w:hAnsi="Arial"/>
                <w:sz w:val="14"/>
                <w:szCs w:val="14"/>
                <w:color w:val="auto"/>
              </w:rPr>
              <w:t>Depreciation, depletion and amortization</w:t>
            </w:r>
          </w:p>
        </w:tc>
        <w:tc>
          <w:tcPr>
            <w:tcW w:w="18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50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b w:val="1"/>
                <w:bCs w:val="1"/>
                <w:color w:val="auto"/>
              </w:rPr>
              <w:t>50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54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b w:val="1"/>
                <w:bCs w:val="1"/>
                <w:color w:val="auto"/>
              </w:rPr>
              <w:t>149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b w:val="1"/>
                <w:bCs w:val="1"/>
                <w:color w:val="auto"/>
              </w:rPr>
              <w:t>160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gridSpan w:val="2"/>
          </w:tcPr>
          <w:p>
            <w:pPr>
              <w:spacing w:after="0"/>
              <w:rPr>
                <w:sz w:val="20"/>
                <w:szCs w:val="20"/>
                <w:color w:val="auto"/>
              </w:rPr>
            </w:pPr>
            <w:r>
              <w:rPr>
                <w:rFonts w:ascii="Arial" w:cs="Arial" w:eastAsia="Arial" w:hAnsi="Arial"/>
                <w:sz w:val="14"/>
                <w:szCs w:val="14"/>
                <w:color w:val="auto"/>
              </w:rPr>
              <w:t>Asset impairments</w:t>
            </w:r>
          </w:p>
        </w:tc>
        <w:tc>
          <w:tcPr>
            <w:tcW w:w="180" w:type="dxa"/>
            <w:vAlign w:val="bottom"/>
          </w:tcPr>
          <w:p>
            <w:pPr>
              <w:spacing w:after="0"/>
              <w:rPr>
                <w:sz w:val="17"/>
                <w:szCs w:val="17"/>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b w:val="1"/>
                <w:bCs w:val="1"/>
                <w:color w:val="auto"/>
              </w:rPr>
              <w:t>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b w:val="1"/>
                <w:bCs w:val="1"/>
                <w:color w:val="auto"/>
              </w:rPr>
              <w:t>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gridSpan w:val="2"/>
          </w:tcPr>
          <w:p>
            <w:pPr>
              <w:spacing w:after="0"/>
              <w:rPr>
                <w:sz w:val="20"/>
                <w:szCs w:val="20"/>
                <w:color w:val="auto"/>
              </w:rPr>
            </w:pPr>
            <w:r>
              <w:rPr>
                <w:rFonts w:ascii="Arial" w:cs="Arial" w:eastAsia="Arial" w:hAnsi="Arial"/>
                <w:sz w:val="14"/>
                <w:szCs w:val="14"/>
                <w:color w:val="auto"/>
              </w:rPr>
              <w:t>Taxes other than on income</w:t>
            </w:r>
          </w:p>
        </w:tc>
        <w:tc>
          <w:tcPr>
            <w:tcW w:w="18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44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b w:val="1"/>
                <w:bCs w:val="1"/>
                <w:color w:val="auto"/>
              </w:rPr>
              <w:t>42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36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b w:val="1"/>
                <w:bCs w:val="1"/>
                <w:color w:val="auto"/>
              </w:rPr>
              <w:t>120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b w:val="1"/>
                <w:bCs w:val="1"/>
                <w:color w:val="auto"/>
              </w:rPr>
              <w:t>113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gridSpan w:val="2"/>
          </w:tcPr>
          <w:p>
            <w:pPr>
              <w:spacing w:after="0"/>
              <w:rPr>
                <w:sz w:val="20"/>
                <w:szCs w:val="20"/>
                <w:color w:val="auto"/>
              </w:rPr>
            </w:pPr>
            <w:r>
              <w:rPr>
                <w:rFonts w:ascii="Arial" w:cs="Arial" w:eastAsia="Arial" w:hAnsi="Arial"/>
                <w:sz w:val="14"/>
                <w:szCs w:val="14"/>
                <w:color w:val="auto"/>
              </w:rPr>
              <w:t>Exploration expense</w:t>
            </w:r>
          </w:p>
        </w:tc>
        <w:tc>
          <w:tcPr>
            <w:tcW w:w="18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b w:val="1"/>
                <w:bCs w:val="1"/>
                <w:color w:val="auto"/>
              </w:rPr>
              <w:t>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b w:val="1"/>
                <w:bCs w:val="1"/>
                <w:color w:val="auto"/>
              </w:rPr>
              <w:t>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gridSpan w:val="2"/>
          </w:tcPr>
          <w:p>
            <w:pPr>
              <w:spacing w:after="0"/>
              <w:rPr>
                <w:sz w:val="20"/>
                <w:szCs w:val="20"/>
                <w:color w:val="auto"/>
              </w:rPr>
            </w:pPr>
            <w:r>
              <w:rPr>
                <w:rFonts w:ascii="Arial" w:cs="Arial" w:eastAsia="Arial" w:hAnsi="Arial"/>
                <w:sz w:val="14"/>
                <w:szCs w:val="14"/>
                <w:color w:val="auto"/>
              </w:rPr>
              <w:t>Purchased natural gas expense</w:t>
            </w:r>
          </w:p>
        </w:tc>
        <w:tc>
          <w:tcPr>
            <w:tcW w:w="18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98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b w:val="1"/>
                <w:bCs w:val="1"/>
                <w:color w:val="auto"/>
              </w:rPr>
              <w:t>67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53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b w:val="1"/>
                <w:bCs w:val="1"/>
                <w:color w:val="auto"/>
              </w:rPr>
              <w:t>186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b w:val="1"/>
                <w:bCs w:val="1"/>
                <w:color w:val="auto"/>
              </w:rPr>
              <w:t>144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gridSpan w:val="2"/>
          </w:tcPr>
          <w:p>
            <w:pPr>
              <w:spacing w:after="0"/>
              <w:rPr>
                <w:sz w:val="20"/>
                <w:szCs w:val="20"/>
                <w:color w:val="auto"/>
              </w:rPr>
            </w:pPr>
            <w:r>
              <w:rPr>
                <w:rFonts w:ascii="Arial" w:cs="Arial" w:eastAsia="Arial" w:hAnsi="Arial"/>
                <w:sz w:val="14"/>
                <w:szCs w:val="14"/>
                <w:color w:val="auto"/>
              </w:rPr>
              <w:t>Electricity generation expenses</w:t>
            </w:r>
          </w:p>
        </w:tc>
        <w:tc>
          <w:tcPr>
            <w:tcW w:w="18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42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b w:val="1"/>
                <w:bCs w:val="1"/>
                <w:color w:val="auto"/>
              </w:rPr>
              <w:t>33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b w:val="1"/>
                <w:bCs w:val="1"/>
                <w:color w:val="auto"/>
              </w:rPr>
              <w:t>99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b w:val="1"/>
                <w:bCs w:val="1"/>
                <w:color w:val="auto"/>
              </w:rPr>
              <w:t>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gridSpan w:val="2"/>
          </w:tcPr>
          <w:p>
            <w:pPr>
              <w:spacing w:after="0"/>
              <w:rPr>
                <w:sz w:val="20"/>
                <w:szCs w:val="20"/>
                <w:color w:val="auto"/>
              </w:rPr>
            </w:pPr>
            <w:r>
              <w:rPr>
                <w:rFonts w:ascii="Arial" w:cs="Arial" w:eastAsia="Arial" w:hAnsi="Arial"/>
                <w:sz w:val="14"/>
                <w:szCs w:val="14"/>
                <w:color w:val="auto"/>
              </w:rPr>
              <w:t>Transportation costs</w:t>
            </w:r>
          </w:p>
        </w:tc>
        <w:tc>
          <w:tcPr>
            <w:tcW w:w="18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b w:val="1"/>
                <w:bCs w:val="1"/>
                <w:color w:val="auto"/>
              </w:rPr>
              <w:t>12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b w:val="1"/>
                <w:bCs w:val="1"/>
                <w:color w:val="auto"/>
              </w:rPr>
              <w:t>37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b w:val="1"/>
                <w:bCs w:val="1"/>
                <w:color w:val="auto"/>
              </w:rPr>
              <w:t>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gridSpan w:val="2"/>
          </w:tcPr>
          <w:p>
            <w:pPr>
              <w:ind w:left="20"/>
              <w:spacing w:after="0"/>
              <w:rPr>
                <w:sz w:val="20"/>
                <w:szCs w:val="20"/>
                <w:color w:val="auto"/>
              </w:rPr>
            </w:pPr>
            <w:r>
              <w:rPr>
                <w:rFonts w:ascii="Arial" w:cs="Arial" w:eastAsia="Arial" w:hAnsi="Arial"/>
                <w:sz w:val="14"/>
                <w:szCs w:val="14"/>
                <w:color w:val="auto"/>
              </w:rPr>
              <w:t>Accretion expense</w:t>
            </w:r>
          </w:p>
        </w:tc>
        <w:tc>
          <w:tcPr>
            <w:tcW w:w="18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10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b w:val="1"/>
                <w:bCs w:val="1"/>
                <w:color w:val="auto"/>
              </w:rPr>
              <w:t>32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b w:val="1"/>
                <w:bCs w:val="1"/>
                <w:color w:val="auto"/>
              </w:rPr>
              <w:t>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gridSpan w:val="2"/>
          </w:tcPr>
          <w:p>
            <w:pPr>
              <w:spacing w:after="0"/>
              <w:rPr>
                <w:sz w:val="20"/>
                <w:szCs w:val="20"/>
                <w:color w:val="auto"/>
              </w:rPr>
            </w:pPr>
            <w:r>
              <w:rPr>
                <w:rFonts w:ascii="Arial" w:cs="Arial" w:eastAsia="Arial" w:hAnsi="Arial"/>
                <w:sz w:val="14"/>
                <w:szCs w:val="14"/>
                <w:color w:val="auto"/>
              </w:rPr>
              <w:t>Other operating expenses, net</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9</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28</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80" w:type="dxa"/>
            <w:vAlign w:val="bottom"/>
            <w:gridSpan w:val="2"/>
          </w:tcPr>
          <w:p>
            <w:pPr>
              <w:ind w:left="200"/>
              <w:spacing w:after="0"/>
              <w:rPr>
                <w:sz w:val="20"/>
                <w:szCs w:val="20"/>
                <w:color w:val="auto"/>
              </w:rPr>
            </w:pPr>
            <w:r>
              <w:rPr>
                <w:rFonts w:ascii="Arial" w:cs="Arial" w:eastAsia="Arial" w:hAnsi="Arial"/>
                <w:sz w:val="14"/>
                <w:szCs w:val="14"/>
                <w:color w:val="auto"/>
              </w:rPr>
              <w:t>Total operating expenses</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536</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473</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468</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1,405</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1,298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80" w:type="dxa"/>
            <w:vAlign w:val="bottom"/>
            <w:gridSpan w:val="2"/>
          </w:tcPr>
          <w:p>
            <w:pPr>
              <w:spacing w:after="0"/>
              <w:rPr>
                <w:sz w:val="20"/>
                <w:szCs w:val="20"/>
                <w:color w:val="auto"/>
              </w:rPr>
            </w:pPr>
            <w:r>
              <w:rPr>
                <w:rFonts w:ascii="Arial" w:cs="Arial" w:eastAsia="Arial" w:hAnsi="Arial"/>
                <w:sz w:val="14"/>
                <w:szCs w:val="14"/>
                <w:color w:val="auto"/>
              </w:rPr>
              <w:t>Net gain on asset divestitures</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60</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80" w:type="dxa"/>
            <w:vAlign w:val="bottom"/>
            <w:gridSpan w:val="2"/>
          </w:tcPr>
          <w:p>
            <w:pPr>
              <w:spacing w:after="0"/>
              <w:rPr>
                <w:sz w:val="20"/>
                <w:szCs w:val="20"/>
                <w:color w:val="auto"/>
              </w:rPr>
            </w:pPr>
            <w:r>
              <w:rPr>
                <w:rFonts w:ascii="Arial" w:cs="Arial" w:eastAsia="Arial" w:hAnsi="Arial"/>
                <w:sz w:val="14"/>
                <w:szCs w:val="14"/>
                <w:b w:val="1"/>
                <w:bCs w:val="1"/>
                <w:color w:val="auto"/>
              </w:rPr>
              <w:t>Operating Income (Loss)</w:t>
            </w:r>
          </w:p>
        </w:tc>
        <w:tc>
          <w:tcPr>
            <w:tcW w:w="18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591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b w:val="1"/>
                <w:bCs w:val="1"/>
                <w:color w:val="auto"/>
              </w:rPr>
              <w:t>278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122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b w:val="1"/>
                <w:bCs w:val="1"/>
                <w:color w:val="auto"/>
              </w:rPr>
              <w:t>680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(39)</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4180" w:type="dxa"/>
            <w:vAlign w:val="bottom"/>
            <w:gridSpan w:val="2"/>
          </w:tcPr>
          <w:p>
            <w:pPr>
              <w:spacing w:after="0"/>
              <w:rPr>
                <w:sz w:val="20"/>
                <w:szCs w:val="20"/>
                <w:color w:val="auto"/>
              </w:rPr>
            </w:pPr>
            <w:r>
              <w:rPr>
                <w:rFonts w:ascii="Arial" w:cs="Arial" w:eastAsia="Arial" w:hAnsi="Arial"/>
                <w:sz w:val="14"/>
                <w:szCs w:val="14"/>
                <w:b w:val="1"/>
                <w:bCs w:val="1"/>
                <w:color w:val="auto"/>
              </w:rPr>
              <w:t>Non-Operating (Expenses) Income</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gridSpan w:val="2"/>
          </w:tcPr>
          <w:p>
            <w:pPr>
              <w:spacing w:after="0"/>
              <w:rPr>
                <w:sz w:val="20"/>
                <w:szCs w:val="20"/>
                <w:color w:val="auto"/>
              </w:rPr>
            </w:pPr>
            <w:r>
              <w:rPr>
                <w:rFonts w:ascii="Arial" w:cs="Arial" w:eastAsia="Arial" w:hAnsi="Arial"/>
                <w:sz w:val="14"/>
                <w:szCs w:val="14"/>
                <w:color w:val="auto"/>
              </w:rPr>
              <w:t>Reorganization items, net</w:t>
            </w:r>
          </w:p>
        </w:tc>
        <w:tc>
          <w:tcPr>
            <w:tcW w:w="180" w:type="dxa"/>
            <w:vAlign w:val="bottom"/>
          </w:tcPr>
          <w:p>
            <w:pPr>
              <w:spacing w:after="0"/>
              <w:rPr>
                <w:sz w:val="17"/>
                <w:szCs w:val="17"/>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gridSpan w:val="2"/>
          </w:tcPr>
          <w:p>
            <w:pPr>
              <w:spacing w:after="0"/>
              <w:rPr>
                <w:sz w:val="20"/>
                <w:szCs w:val="20"/>
                <w:color w:val="auto"/>
              </w:rPr>
            </w:pPr>
            <w:r>
              <w:rPr>
                <w:rFonts w:ascii="Arial" w:cs="Arial" w:eastAsia="Arial" w:hAnsi="Arial"/>
                <w:sz w:val="14"/>
                <w:szCs w:val="14"/>
                <w:color w:val="auto"/>
              </w:rPr>
              <w:t>Interest and debt expense, net</w:t>
            </w:r>
          </w:p>
        </w:tc>
        <w:tc>
          <w:tcPr>
            <w:tcW w:w="18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b w:val="1"/>
                <w:bCs w:val="1"/>
                <w:color w:val="auto"/>
              </w:rPr>
              <w:t>(39)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gridSpan w:val="2"/>
          </w:tcPr>
          <w:p>
            <w:pPr>
              <w:spacing w:after="0"/>
              <w:rPr>
                <w:sz w:val="20"/>
                <w:szCs w:val="20"/>
                <w:color w:val="auto"/>
              </w:rPr>
            </w:pPr>
            <w:r>
              <w:rPr>
                <w:rFonts w:ascii="Arial" w:cs="Arial" w:eastAsia="Arial" w:hAnsi="Arial"/>
                <w:sz w:val="14"/>
                <w:szCs w:val="14"/>
                <w:color w:val="auto"/>
              </w:rPr>
              <w:t>Net loss on early extinguishment of debt</w:t>
            </w:r>
          </w:p>
        </w:tc>
        <w:tc>
          <w:tcPr>
            <w:tcW w:w="180" w:type="dxa"/>
            <w:vAlign w:val="bottom"/>
          </w:tcPr>
          <w:p>
            <w:pPr>
              <w:spacing w:after="0"/>
              <w:rPr>
                <w:sz w:val="17"/>
                <w:szCs w:val="17"/>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180" w:type="dxa"/>
            <w:vAlign w:val="bottom"/>
            <w:gridSpan w:val="2"/>
          </w:tcPr>
          <w:p>
            <w:pPr>
              <w:spacing w:after="0"/>
              <w:rPr>
                <w:sz w:val="20"/>
                <w:szCs w:val="20"/>
                <w:color w:val="auto"/>
              </w:rPr>
            </w:pPr>
            <w:r>
              <w:rPr>
                <w:rFonts w:ascii="Arial" w:cs="Arial" w:eastAsia="Arial" w:hAnsi="Arial"/>
                <w:sz w:val="14"/>
                <w:szCs w:val="14"/>
                <w:color w:val="auto"/>
              </w:rPr>
              <w:t>Other non-operating expenses, net</w:t>
            </w:r>
          </w:p>
        </w:tc>
        <w:tc>
          <w:tcPr>
            <w:tcW w:w="18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b w:val="1"/>
                <w:bCs w:val="1"/>
                <w:color w:val="auto"/>
              </w:rPr>
              <w:t>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4180" w:type="dxa"/>
            <w:vAlign w:val="bottom"/>
            <w:gridSpan w:val="2"/>
          </w:tcPr>
          <w:p>
            <w:pPr>
              <w:spacing w:after="0"/>
              <w:rPr>
                <w:sz w:val="20"/>
                <w:szCs w:val="20"/>
                <w:color w:val="auto"/>
              </w:rPr>
            </w:pPr>
            <w:r>
              <w:rPr>
                <w:rFonts w:ascii="Arial" w:cs="Arial" w:eastAsia="Arial" w:hAnsi="Arial"/>
                <w:sz w:val="14"/>
                <w:szCs w:val="14"/>
                <w:b w:val="1"/>
                <w:bCs w:val="1"/>
                <w:color w:val="auto"/>
              </w:rPr>
              <w:t>Net Income (Loss) Before Income Taxes</w:t>
            </w:r>
          </w:p>
        </w:tc>
        <w:tc>
          <w:tcPr>
            <w:tcW w:w="1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579</w:t>
            </w: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266</w:t>
            </w: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107</w:t>
            </w:r>
          </w:p>
        </w:tc>
        <w:tc>
          <w:tcPr>
            <w:tcW w:w="2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644</w:t>
            </w:r>
          </w:p>
        </w:tc>
        <w:tc>
          <w:tcPr>
            <w:tcW w:w="2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gridSpan w:val="2"/>
          </w:tcPr>
          <w:p>
            <w:pPr>
              <w:spacing w:after="0"/>
              <w:rPr>
                <w:sz w:val="20"/>
                <w:szCs w:val="20"/>
                <w:color w:val="auto"/>
              </w:rPr>
            </w:pPr>
            <w:r>
              <w:rPr>
                <w:rFonts w:ascii="Arial" w:cs="Arial" w:eastAsia="Arial" w:hAnsi="Arial"/>
                <w:sz w:val="14"/>
                <w:szCs w:val="14"/>
                <w:color w:val="auto"/>
              </w:rPr>
              <w:t>Income tax provision</w:t>
            </w:r>
          </w:p>
        </w:tc>
        <w:tc>
          <w:tcPr>
            <w:tcW w:w="180" w:type="dxa"/>
            <w:vAlign w:val="bottom"/>
          </w:tcPr>
          <w:p>
            <w:pPr>
              <w:spacing w:after="0"/>
              <w:rPr>
                <w:sz w:val="17"/>
                <w:szCs w:val="17"/>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b w:val="1"/>
                <w:bCs w:val="1"/>
                <w:color w:val="auto"/>
              </w:rPr>
              <w:t>(153)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b w:val="1"/>
                <w:bCs w:val="1"/>
                <w:color w:val="auto"/>
              </w:rPr>
              <w:t>(76)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b w:val="1"/>
                <w:bCs w:val="1"/>
                <w:color w:val="auto"/>
              </w:rPr>
              <w:t>(203)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80" w:type="dxa"/>
            <w:vAlign w:val="bottom"/>
            <w:gridSpan w:val="2"/>
          </w:tcPr>
          <w:p>
            <w:pPr>
              <w:spacing w:after="0"/>
              <w:rPr>
                <w:sz w:val="20"/>
                <w:szCs w:val="20"/>
                <w:color w:val="auto"/>
              </w:rPr>
            </w:pPr>
            <w:r>
              <w:rPr>
                <w:rFonts w:ascii="Arial" w:cs="Arial" w:eastAsia="Arial" w:hAnsi="Arial"/>
                <w:sz w:val="14"/>
                <w:szCs w:val="14"/>
                <w:b w:val="1"/>
                <w:bCs w:val="1"/>
                <w:color w:val="auto"/>
              </w:rPr>
              <w:t>Net income (loss)</w:t>
            </w: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426</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190</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107</w:t>
            </w: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441</w:t>
            </w: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gridSpan w:val="2"/>
          </w:tcPr>
          <w:p>
            <w:pPr>
              <w:spacing w:after="0"/>
              <w:rPr>
                <w:sz w:val="20"/>
                <w:szCs w:val="20"/>
                <w:color w:val="auto"/>
              </w:rPr>
            </w:pPr>
            <w:r>
              <w:rPr>
                <w:rFonts w:ascii="Arial" w:cs="Arial" w:eastAsia="Arial" w:hAnsi="Arial"/>
                <w:sz w:val="14"/>
                <w:szCs w:val="14"/>
                <w:color w:val="auto"/>
              </w:rPr>
              <w:t>Net income attributable to noncontrolling interests</w:t>
            </w:r>
          </w:p>
        </w:tc>
        <w:tc>
          <w:tcPr>
            <w:tcW w:w="180" w:type="dxa"/>
            <w:vAlign w:val="bottom"/>
          </w:tcPr>
          <w:p>
            <w:pPr>
              <w:spacing w:after="0"/>
              <w:rPr>
                <w:sz w:val="17"/>
                <w:szCs w:val="17"/>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180" w:type="dxa"/>
            <w:vAlign w:val="bottom"/>
            <w:gridSpan w:val="2"/>
          </w:tcPr>
          <w:p>
            <w:pPr>
              <w:spacing w:after="0"/>
              <w:rPr>
                <w:sz w:val="20"/>
                <w:szCs w:val="20"/>
                <w:color w:val="auto"/>
              </w:rPr>
            </w:pPr>
            <w:r>
              <w:rPr>
                <w:rFonts w:ascii="Arial" w:cs="Arial" w:eastAsia="Arial" w:hAnsi="Arial"/>
                <w:sz w:val="14"/>
                <w:szCs w:val="14"/>
                <w:b w:val="1"/>
                <w:bCs w:val="1"/>
                <w:color w:val="auto"/>
              </w:rPr>
              <w:t>Net Income (Loss) Attributable to Common Stock</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426</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190</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103</w:t>
            </w:r>
          </w:p>
        </w:tc>
        <w:tc>
          <w:tcPr>
            <w:tcW w:w="2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441</w:t>
            </w:r>
          </w:p>
        </w:tc>
        <w:tc>
          <w:tcPr>
            <w:tcW w:w="2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180" w:type="dxa"/>
            <w:vAlign w:val="bottom"/>
            <w:gridSpan w:val="2"/>
          </w:tcPr>
          <w:p>
            <w:pPr>
              <w:spacing w:after="0"/>
              <w:rPr>
                <w:sz w:val="20"/>
                <w:szCs w:val="20"/>
                <w:color w:val="auto"/>
              </w:rPr>
            </w:pPr>
            <w:r>
              <w:rPr>
                <w:rFonts w:ascii="Arial" w:cs="Arial" w:eastAsia="Arial" w:hAnsi="Arial"/>
                <w:sz w:val="14"/>
                <w:szCs w:val="14"/>
                <w:color w:val="auto"/>
              </w:rPr>
              <w:t>Net income (loss) attributable to common stock per share - basic</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5.75</w:t>
            </w:r>
          </w:p>
        </w:tc>
        <w:tc>
          <w:tcPr>
            <w:tcW w:w="10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108"/>
              <w:spacing w:after="0"/>
              <w:rPr>
                <w:sz w:val="20"/>
                <w:szCs w:val="20"/>
                <w:color w:val="auto"/>
              </w:rPr>
            </w:pPr>
            <w:r>
              <w:rPr>
                <w:rFonts w:ascii="Arial" w:cs="Arial" w:eastAsia="Arial" w:hAnsi="Arial"/>
                <w:sz w:val="14"/>
                <w:szCs w:val="14"/>
                <w:b w:val="1"/>
                <w:bCs w:val="1"/>
                <w:color w:val="auto"/>
              </w:rPr>
              <w:t>2.48</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1.26</w:t>
            </w:r>
          </w:p>
        </w:tc>
        <w:tc>
          <w:tcPr>
            <w:tcW w:w="2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108"/>
              <w:spacing w:after="0"/>
              <w:rPr>
                <w:sz w:val="20"/>
                <w:szCs w:val="20"/>
                <w:color w:val="auto"/>
              </w:rPr>
            </w:pPr>
            <w:r>
              <w:rPr>
                <w:rFonts w:ascii="Arial" w:cs="Arial" w:eastAsia="Arial" w:hAnsi="Arial"/>
                <w:sz w:val="14"/>
                <w:szCs w:val="14"/>
                <w:b w:val="1"/>
                <w:bCs w:val="1"/>
                <w:color w:val="auto"/>
              </w:rPr>
              <w:t>5.77</w:t>
            </w:r>
          </w:p>
        </w:tc>
        <w:tc>
          <w:tcPr>
            <w:tcW w:w="2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(1.23)</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180" w:type="dxa"/>
            <w:vAlign w:val="bottom"/>
            <w:gridSpan w:val="2"/>
          </w:tcPr>
          <w:p>
            <w:pPr>
              <w:spacing w:after="0" w:line="155" w:lineRule="exact"/>
              <w:rPr>
                <w:sz w:val="20"/>
                <w:szCs w:val="20"/>
                <w:color w:val="auto"/>
              </w:rPr>
            </w:pPr>
            <w:r>
              <w:rPr>
                <w:rFonts w:ascii="Arial" w:cs="Arial" w:eastAsia="Arial" w:hAnsi="Arial"/>
                <w:sz w:val="14"/>
                <w:szCs w:val="14"/>
                <w:color w:val="auto"/>
              </w:rPr>
              <w:t>Net income (loss) attributable to common stock per share -</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11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5.58</w:t>
            </w:r>
          </w:p>
        </w:tc>
        <w:tc>
          <w:tcPr>
            <w:tcW w:w="100" w:type="dxa"/>
            <w:vAlign w:val="bottom"/>
          </w:tcPr>
          <w:p>
            <w:pPr>
              <w:spacing w:after="0"/>
              <w:rPr>
                <w:sz w:val="13"/>
                <w:szCs w:val="13"/>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11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2.41</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1.25</w:t>
            </w:r>
          </w:p>
        </w:tc>
        <w:tc>
          <w:tcPr>
            <w:tcW w:w="2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5.62</w:t>
            </w:r>
          </w:p>
        </w:tc>
        <w:tc>
          <w:tcPr>
            <w:tcW w:w="2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(1.23)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180" w:type="dxa"/>
            <w:vAlign w:val="bottom"/>
            <w:gridSpan w:val="2"/>
          </w:tcPr>
          <w:p>
            <w:pPr>
              <w:spacing w:after="0"/>
              <w:rPr>
                <w:sz w:val="20"/>
                <w:szCs w:val="20"/>
                <w:color w:val="auto"/>
              </w:rPr>
            </w:pPr>
            <w:r>
              <w:rPr>
                <w:rFonts w:ascii="Arial" w:cs="Arial" w:eastAsia="Arial" w:hAnsi="Arial"/>
                <w:sz w:val="14"/>
                <w:szCs w:val="14"/>
                <w:color w:val="auto"/>
              </w:rPr>
              <w:t>diluted</w:t>
            </w:r>
          </w:p>
        </w:tc>
        <w:tc>
          <w:tcPr>
            <w:tcW w:w="18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4180" w:type="dxa"/>
            <w:vAlign w:val="bottom"/>
            <w:gridSpan w:val="2"/>
          </w:tcPr>
          <w:p>
            <w:pPr>
              <w:spacing w:after="0"/>
              <w:rPr>
                <w:sz w:val="20"/>
                <w:szCs w:val="20"/>
                <w:color w:val="auto"/>
              </w:rPr>
            </w:pPr>
            <w:r>
              <w:rPr>
                <w:rFonts w:ascii="Arial" w:cs="Arial" w:eastAsia="Arial" w:hAnsi="Arial"/>
                <w:sz w:val="14"/>
                <w:szCs w:val="14"/>
                <w:color w:val="auto"/>
              </w:rPr>
              <w:t>Adjusted net income</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111</w:t>
            </w:r>
          </w:p>
        </w:tc>
        <w:tc>
          <w:tcPr>
            <w:tcW w:w="1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108"/>
              <w:spacing w:after="0"/>
              <w:rPr>
                <w:sz w:val="20"/>
                <w:szCs w:val="20"/>
                <w:color w:val="auto"/>
              </w:rPr>
            </w:pPr>
            <w:r>
              <w:rPr>
                <w:rFonts w:ascii="Arial" w:cs="Arial" w:eastAsia="Arial" w:hAnsi="Arial"/>
                <w:sz w:val="14"/>
                <w:szCs w:val="14"/>
                <w:b w:val="1"/>
                <w:bCs w:val="1"/>
                <w:color w:val="auto"/>
              </w:rPr>
              <w:t>89</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151</w:t>
            </w:r>
          </w:p>
        </w:tc>
        <w:tc>
          <w:tcPr>
            <w:tcW w:w="2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108"/>
              <w:spacing w:after="0"/>
              <w:rPr>
                <w:sz w:val="20"/>
                <w:szCs w:val="20"/>
                <w:color w:val="auto"/>
              </w:rPr>
            </w:pPr>
            <w:r>
              <w:rPr>
                <w:rFonts w:ascii="Arial" w:cs="Arial" w:eastAsia="Arial" w:hAnsi="Arial"/>
                <w:sz w:val="14"/>
                <w:szCs w:val="14"/>
                <w:b w:val="1"/>
                <w:bCs w:val="1"/>
                <w:color w:val="auto"/>
              </w:rPr>
              <w:t>291</w:t>
            </w: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b w:val="1"/>
                <w:bCs w:val="1"/>
                <w:color w:val="auto"/>
              </w:rPr>
              <w:t>331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gridSpan w:val="2"/>
          </w:tcPr>
          <w:p>
            <w:pPr>
              <w:spacing w:after="0"/>
              <w:rPr>
                <w:sz w:val="20"/>
                <w:szCs w:val="20"/>
                <w:color w:val="auto"/>
              </w:rPr>
            </w:pPr>
            <w:r>
              <w:rPr>
                <w:rFonts w:ascii="Arial" w:cs="Arial" w:eastAsia="Arial" w:hAnsi="Arial"/>
                <w:sz w:val="14"/>
                <w:szCs w:val="14"/>
                <w:color w:val="auto"/>
              </w:rPr>
              <w:t>Adjusted net income per share - basic</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1.50</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108"/>
              <w:spacing w:after="0"/>
              <w:rPr>
                <w:sz w:val="20"/>
                <w:szCs w:val="20"/>
                <w:color w:val="auto"/>
              </w:rPr>
            </w:pPr>
            <w:r>
              <w:rPr>
                <w:rFonts w:ascii="Arial" w:cs="Arial" w:eastAsia="Arial" w:hAnsi="Arial"/>
                <w:sz w:val="14"/>
                <w:szCs w:val="14"/>
                <w:b w:val="1"/>
                <w:bCs w:val="1"/>
                <w:color w:val="auto"/>
              </w:rPr>
              <w:t>1.16</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1.85</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108"/>
              <w:spacing w:after="0"/>
              <w:rPr>
                <w:sz w:val="20"/>
                <w:szCs w:val="20"/>
                <w:color w:val="auto"/>
              </w:rPr>
            </w:pPr>
            <w:r>
              <w:rPr>
                <w:rFonts w:ascii="Arial" w:cs="Arial" w:eastAsia="Arial" w:hAnsi="Arial"/>
                <w:sz w:val="14"/>
                <w:szCs w:val="14"/>
                <w:b w:val="1"/>
                <w:bCs w:val="1"/>
                <w:color w:val="auto"/>
              </w:rPr>
              <w:t>3.81</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b w:val="1"/>
                <w:bCs w:val="1"/>
                <w:color w:val="auto"/>
              </w:rPr>
              <w:t>4.01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gridSpan w:val="2"/>
          </w:tcPr>
          <w:p>
            <w:pPr>
              <w:spacing w:after="0"/>
              <w:rPr>
                <w:sz w:val="20"/>
                <w:szCs w:val="20"/>
                <w:color w:val="auto"/>
              </w:rPr>
            </w:pPr>
            <w:r>
              <w:rPr>
                <w:rFonts w:ascii="Arial" w:cs="Arial" w:eastAsia="Arial" w:hAnsi="Arial"/>
                <w:sz w:val="14"/>
                <w:szCs w:val="14"/>
                <w:color w:val="auto"/>
              </w:rPr>
              <w:t>Adjusted net income per share - diluted</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1.45</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108"/>
              <w:spacing w:after="0"/>
              <w:rPr>
                <w:sz w:val="20"/>
                <w:szCs w:val="20"/>
                <w:color w:val="auto"/>
              </w:rPr>
            </w:pPr>
            <w:r>
              <w:rPr>
                <w:rFonts w:ascii="Arial" w:cs="Arial" w:eastAsia="Arial" w:hAnsi="Arial"/>
                <w:sz w:val="14"/>
                <w:szCs w:val="14"/>
                <w:b w:val="1"/>
                <w:bCs w:val="1"/>
                <w:color w:val="auto"/>
              </w:rPr>
              <w:t>1.13</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1.83</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108"/>
              <w:spacing w:after="0"/>
              <w:rPr>
                <w:sz w:val="20"/>
                <w:szCs w:val="20"/>
                <w:color w:val="auto"/>
              </w:rPr>
            </w:pPr>
            <w:r>
              <w:rPr>
                <w:rFonts w:ascii="Arial" w:cs="Arial" w:eastAsia="Arial" w:hAnsi="Arial"/>
                <w:sz w:val="14"/>
                <w:szCs w:val="14"/>
                <w:b w:val="1"/>
                <w:bCs w:val="1"/>
                <w:color w:val="auto"/>
              </w:rPr>
              <w:t>3.71</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b w:val="1"/>
                <w:bCs w:val="1"/>
                <w:color w:val="auto"/>
              </w:rPr>
              <w:t>3.97</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4180" w:type="dxa"/>
            <w:vAlign w:val="bottom"/>
            <w:gridSpan w:val="2"/>
          </w:tcPr>
          <w:p>
            <w:pPr>
              <w:spacing w:after="0"/>
              <w:rPr>
                <w:sz w:val="20"/>
                <w:szCs w:val="20"/>
                <w:color w:val="auto"/>
              </w:rPr>
            </w:pPr>
            <w:r>
              <w:rPr>
                <w:rFonts w:ascii="Arial" w:cs="Arial" w:eastAsia="Arial" w:hAnsi="Arial"/>
                <w:sz w:val="14"/>
                <w:szCs w:val="14"/>
                <w:color w:val="auto"/>
              </w:rPr>
              <w:t>Weighted-average common shares outstanding - basic</w:t>
            </w:r>
          </w:p>
        </w:tc>
        <w:tc>
          <w:tcPr>
            <w:tcW w:w="180" w:type="dxa"/>
            <w:vAlign w:val="bottom"/>
          </w:tcPr>
          <w:p>
            <w:pPr>
              <w:spacing w:after="0"/>
              <w:rPr>
                <w:sz w:val="24"/>
                <w:szCs w:val="24"/>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74.1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b w:val="1"/>
                <w:bCs w:val="1"/>
                <w:color w:val="auto"/>
              </w:rPr>
              <w:t>76.7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81.6</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b w:val="1"/>
                <w:bCs w:val="1"/>
                <w:color w:val="auto"/>
              </w:rPr>
              <w:t>76.4</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b w:val="1"/>
                <w:bCs w:val="1"/>
                <w:color w:val="auto"/>
              </w:rPr>
              <w:t>82.6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gridSpan w:val="2"/>
          </w:tcPr>
          <w:p>
            <w:pPr>
              <w:spacing w:after="0"/>
              <w:rPr>
                <w:sz w:val="20"/>
                <w:szCs w:val="20"/>
                <w:color w:val="auto"/>
              </w:rPr>
            </w:pPr>
            <w:r>
              <w:rPr>
                <w:rFonts w:ascii="Arial" w:cs="Arial" w:eastAsia="Arial" w:hAnsi="Arial"/>
                <w:sz w:val="14"/>
                <w:szCs w:val="14"/>
                <w:color w:val="auto"/>
              </w:rPr>
              <w:t>Weighted-average common shares outstanding - diluted</w:t>
            </w:r>
          </w:p>
        </w:tc>
        <w:tc>
          <w:tcPr>
            <w:tcW w:w="18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76.3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b w:val="1"/>
                <w:bCs w:val="1"/>
                <w:color w:val="auto"/>
              </w:rPr>
              <w:t>78.8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82.4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b w:val="1"/>
                <w:bCs w:val="1"/>
                <w:color w:val="auto"/>
              </w:rPr>
              <w:t>78.5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b w:val="1"/>
                <w:bCs w:val="1"/>
                <w:color w:val="auto"/>
              </w:rPr>
              <w:t>82.6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180" w:type="dxa"/>
            <w:vAlign w:val="bottom"/>
            <w:gridSpan w:val="2"/>
          </w:tcPr>
          <w:p>
            <w:pPr>
              <w:spacing w:after="0"/>
              <w:rPr>
                <w:sz w:val="20"/>
                <w:szCs w:val="20"/>
                <w:color w:val="auto"/>
              </w:rPr>
            </w:pPr>
            <w:r>
              <w:rPr>
                <w:rFonts w:ascii="Arial" w:cs="Arial" w:eastAsia="Arial" w:hAnsi="Arial"/>
                <w:sz w:val="14"/>
                <w:szCs w:val="14"/>
                <w:color w:val="auto"/>
              </w:rPr>
              <w:t>Adjusted EBITDAX</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234</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108"/>
              <w:spacing w:after="0"/>
              <w:rPr>
                <w:sz w:val="20"/>
                <w:szCs w:val="20"/>
                <w:color w:val="auto"/>
              </w:rPr>
            </w:pPr>
            <w:r>
              <w:rPr>
                <w:rFonts w:ascii="Arial" w:cs="Arial" w:eastAsia="Arial" w:hAnsi="Arial"/>
                <w:sz w:val="14"/>
                <w:szCs w:val="14"/>
                <w:b w:val="1"/>
                <w:bCs w:val="1"/>
                <w:color w:val="auto"/>
              </w:rPr>
              <w:t>204</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242</w:t>
            </w:r>
          </w:p>
        </w:tc>
        <w:tc>
          <w:tcPr>
            <w:tcW w:w="2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108"/>
              <w:spacing w:after="0"/>
              <w:rPr>
                <w:sz w:val="20"/>
                <w:szCs w:val="20"/>
                <w:color w:val="auto"/>
              </w:rPr>
            </w:pPr>
            <w:r>
              <w:rPr>
                <w:rFonts w:ascii="Arial" w:cs="Arial" w:eastAsia="Arial" w:hAnsi="Arial"/>
                <w:sz w:val="14"/>
                <w:szCs w:val="14"/>
                <w:b w:val="1"/>
                <w:bCs w:val="1"/>
                <w:color w:val="auto"/>
              </w:rPr>
              <w:t>644</w:t>
            </w:r>
          </w:p>
        </w:tc>
        <w:tc>
          <w:tcPr>
            <w:tcW w:w="2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b w:val="1"/>
                <w:bCs w:val="1"/>
                <w:color w:val="auto"/>
              </w:rPr>
              <w:t>600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gridSpan w:val="2"/>
          </w:tcPr>
          <w:p>
            <w:pPr>
              <w:spacing w:after="0"/>
              <w:rPr>
                <w:sz w:val="20"/>
                <w:szCs w:val="20"/>
                <w:color w:val="auto"/>
              </w:rPr>
            </w:pPr>
            <w:r>
              <w:rPr>
                <w:rFonts w:ascii="Arial" w:cs="Arial" w:eastAsia="Arial" w:hAnsi="Arial"/>
                <w:sz w:val="14"/>
                <w:szCs w:val="14"/>
                <w:color w:val="auto"/>
              </w:rPr>
              <w:t>Effective tax rate</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26 %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29 %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32 %</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100"/>
          </w:cols>
          <w:pgMar w:left="400" w:top="940" w:right="39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4"/>
        </w:trPr>
        <w:tc>
          <w:tcPr>
            <w:tcW w:w="400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GAINS AND LOSSES FROM COMMODITY DERIVATIVES</w:t>
            </w:r>
          </w:p>
        </w:tc>
        <w:tc>
          <w:tcPr>
            <w:tcW w:w="7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4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3rd Quarter</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2nd Quarter</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3rd Quarter</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Nine Months</w:t>
            </w:r>
          </w:p>
        </w:tc>
        <w:tc>
          <w:tcPr>
            <w:tcW w:w="140" w:type="dxa"/>
            <w:vAlign w:val="bottom"/>
          </w:tcPr>
          <w:p>
            <w:pPr>
              <w:spacing w:after="0"/>
              <w:rPr>
                <w:sz w:val="22"/>
                <w:szCs w:val="22"/>
                <w:color w:val="auto"/>
              </w:rPr>
            </w:pPr>
          </w:p>
        </w:tc>
        <w:tc>
          <w:tcPr>
            <w:tcW w:w="1080" w:type="dxa"/>
            <w:vAlign w:val="bottom"/>
          </w:tcPr>
          <w:p>
            <w:pPr>
              <w:jc w:val="center"/>
              <w:ind w:right="68"/>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204"/>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w:t>
            </w:r>
          </w:p>
        </w:tc>
        <w:tc>
          <w:tcPr>
            <w:tcW w:w="7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76"/>
        </w:trPr>
        <w:tc>
          <w:tcPr>
            <w:tcW w:w="4000" w:type="dxa"/>
            <w:vAlign w:val="bottom"/>
          </w:tcPr>
          <w:p>
            <w:pPr>
              <w:ind w:left="140"/>
              <w:spacing w:after="0"/>
              <w:rPr>
                <w:sz w:val="20"/>
                <w:szCs w:val="20"/>
                <w:color w:val="auto"/>
              </w:rPr>
            </w:pPr>
            <w:r>
              <w:rPr>
                <w:rFonts w:ascii="Arial" w:cs="Arial" w:eastAsia="Arial" w:hAnsi="Arial"/>
                <w:sz w:val="14"/>
                <w:szCs w:val="14"/>
                <w:color w:val="auto"/>
              </w:rPr>
              <w:t>Non-cash derivative gain (loss)</w:t>
            </w:r>
          </w:p>
        </w:tc>
        <w:tc>
          <w:tcPr>
            <w:tcW w:w="102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center"/>
              <w:ind w:left="508"/>
              <w:spacing w:after="0"/>
              <w:rPr>
                <w:sz w:val="20"/>
                <w:szCs w:val="20"/>
                <w:color w:val="auto"/>
              </w:rPr>
            </w:pPr>
            <w:r>
              <w:rPr>
                <w:rFonts w:ascii="Arial" w:cs="Arial" w:eastAsia="Arial" w:hAnsi="Arial"/>
                <w:sz w:val="14"/>
                <w:szCs w:val="14"/>
                <w:b w:val="1"/>
                <w:bCs w:val="1"/>
                <w:color w:val="auto"/>
              </w:rPr>
              <w:t>425</w:t>
            </w:r>
          </w:p>
        </w:tc>
        <w:tc>
          <w:tcPr>
            <w:tcW w:w="2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3"/>
          </w:tcPr>
          <w:p>
            <w:pPr>
              <w:jc w:val="center"/>
              <w:ind w:left="728"/>
              <w:spacing w:after="0"/>
              <w:rPr>
                <w:sz w:val="20"/>
                <w:szCs w:val="20"/>
                <w:color w:val="auto"/>
              </w:rPr>
            </w:pPr>
            <w:r>
              <w:rPr>
                <w:rFonts w:ascii="Arial" w:cs="Arial" w:eastAsia="Arial" w:hAnsi="Arial"/>
                <w:sz w:val="14"/>
                <w:szCs w:val="14"/>
                <w:b w:val="1"/>
                <w:bCs w:val="1"/>
                <w:color w:val="auto"/>
              </w:rPr>
              <w:t>141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(26)</w:t>
            </w:r>
          </w:p>
        </w:tc>
        <w:tc>
          <w:tcPr>
            <w:tcW w:w="100" w:type="dxa"/>
            <w:vAlign w:val="bottom"/>
          </w:tcPr>
          <w:p>
            <w:pPr>
              <w:spacing w:after="0"/>
              <w:rPr>
                <w:sz w:val="24"/>
                <w:szCs w:val="24"/>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185</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(383)</w:t>
            </w:r>
          </w:p>
        </w:tc>
        <w:tc>
          <w:tcPr>
            <w:tcW w:w="0" w:type="dxa"/>
            <w:vAlign w:val="bottom"/>
          </w:tcPr>
          <w:p>
            <w:pPr>
              <w:spacing w:after="0"/>
              <w:rPr>
                <w:sz w:val="1"/>
                <w:szCs w:val="1"/>
                <w:color w:val="auto"/>
              </w:rPr>
            </w:pPr>
          </w:p>
        </w:tc>
      </w:tr>
      <w:tr>
        <w:trPr>
          <w:trHeight w:val="204"/>
        </w:trPr>
        <w:tc>
          <w:tcPr>
            <w:tcW w:w="4000" w:type="dxa"/>
            <w:vAlign w:val="bottom"/>
          </w:tcPr>
          <w:p>
            <w:pPr>
              <w:ind w:left="140"/>
              <w:spacing w:after="0"/>
              <w:rPr>
                <w:sz w:val="20"/>
                <w:szCs w:val="20"/>
                <w:color w:val="auto"/>
              </w:rPr>
            </w:pPr>
            <w:r>
              <w:rPr>
                <w:rFonts w:ascii="Arial" w:cs="Arial" w:eastAsia="Arial" w:hAnsi="Arial"/>
                <w:sz w:val="14"/>
                <w:szCs w:val="14"/>
                <w:color w:val="auto"/>
              </w:rPr>
              <w:t>Cash payments on settled commodity derivatives</w:t>
            </w:r>
          </w:p>
        </w:tc>
        <w:tc>
          <w:tcPr>
            <w:tcW w:w="7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center"/>
              <w:ind w:left="428"/>
              <w:spacing w:after="0"/>
              <w:rPr>
                <w:sz w:val="20"/>
                <w:szCs w:val="20"/>
                <w:color w:val="auto"/>
              </w:rPr>
            </w:pPr>
            <w:r>
              <w:rPr>
                <w:rFonts w:ascii="Arial" w:cs="Arial" w:eastAsia="Arial" w:hAnsi="Arial"/>
                <w:sz w:val="14"/>
                <w:szCs w:val="14"/>
                <w:b w:val="1"/>
                <w:bCs w:val="1"/>
                <w:color w:val="auto"/>
              </w:rPr>
              <w:t>(182)</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4"/>
          </w:tcPr>
          <w:p>
            <w:pPr>
              <w:jc w:val="center"/>
              <w:ind w:left="648"/>
              <w:spacing w:after="0"/>
              <w:rPr>
                <w:sz w:val="20"/>
                <w:szCs w:val="20"/>
                <w:color w:val="auto"/>
              </w:rPr>
            </w:pPr>
            <w:r>
              <w:rPr>
                <w:rFonts w:ascii="Arial" w:cs="Arial" w:eastAsia="Arial" w:hAnsi="Arial"/>
                <w:sz w:val="14"/>
                <w:szCs w:val="14"/>
                <w:b w:val="1"/>
                <w:bCs w:val="1"/>
                <w:color w:val="auto"/>
              </w:rPr>
              <w:t>(241)</w:t>
            </w:r>
          </w:p>
        </w:tc>
        <w:tc>
          <w:tcPr>
            <w:tcW w:w="14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(99)</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(604)</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(220)</w:t>
            </w:r>
          </w:p>
        </w:tc>
        <w:tc>
          <w:tcPr>
            <w:tcW w:w="0" w:type="dxa"/>
            <w:vAlign w:val="bottom"/>
          </w:tcPr>
          <w:p>
            <w:pPr>
              <w:spacing w:after="0"/>
              <w:rPr>
                <w:sz w:val="1"/>
                <w:szCs w:val="1"/>
                <w:color w:val="auto"/>
              </w:rPr>
            </w:pPr>
          </w:p>
        </w:tc>
      </w:tr>
      <w:tr>
        <w:trPr>
          <w:trHeight w:val="197"/>
        </w:trPr>
        <w:tc>
          <w:tcPr>
            <w:tcW w:w="4000" w:type="dxa"/>
            <w:vAlign w:val="bottom"/>
          </w:tcPr>
          <w:p>
            <w:pPr>
              <w:ind w:left="260"/>
              <w:spacing w:after="0"/>
              <w:rPr>
                <w:sz w:val="20"/>
                <w:szCs w:val="20"/>
                <w:color w:val="auto"/>
              </w:rPr>
            </w:pPr>
            <w:r>
              <w:rPr>
                <w:rFonts w:ascii="Arial" w:cs="Arial" w:eastAsia="Arial" w:hAnsi="Arial"/>
                <w:sz w:val="14"/>
                <w:szCs w:val="14"/>
                <w:color w:val="auto"/>
              </w:rPr>
              <w:t>Net gain (loss) from commodity derivatives</w:t>
            </w:r>
          </w:p>
        </w:tc>
        <w:tc>
          <w:tcPr>
            <w:tcW w:w="102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center"/>
              <w:ind w:left="508"/>
              <w:spacing w:after="0"/>
              <w:rPr>
                <w:sz w:val="20"/>
                <w:szCs w:val="20"/>
                <w:color w:val="auto"/>
              </w:rPr>
            </w:pPr>
            <w:r>
              <w:rPr>
                <w:rFonts w:ascii="Arial" w:cs="Arial" w:eastAsia="Arial" w:hAnsi="Arial"/>
                <w:sz w:val="14"/>
                <w:szCs w:val="14"/>
                <w:b w:val="1"/>
                <w:bCs w:val="1"/>
                <w:color w:val="auto"/>
              </w:rPr>
              <w:t>243</w:t>
            </w:r>
          </w:p>
        </w:tc>
        <w:tc>
          <w:tcPr>
            <w:tcW w:w="2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4"/>
          </w:tcPr>
          <w:p>
            <w:pPr>
              <w:jc w:val="center"/>
              <w:ind w:left="648"/>
              <w:spacing w:after="0"/>
              <w:rPr>
                <w:sz w:val="20"/>
                <w:szCs w:val="20"/>
                <w:color w:val="auto"/>
              </w:rPr>
            </w:pPr>
            <w:r>
              <w:rPr>
                <w:rFonts w:ascii="Arial" w:cs="Arial" w:eastAsia="Arial" w:hAnsi="Arial"/>
                <w:sz w:val="14"/>
                <w:szCs w:val="14"/>
                <w:b w:val="1"/>
                <w:bCs w:val="1"/>
                <w:color w:val="auto"/>
              </w:rPr>
              <w:t>(100)</w:t>
            </w:r>
          </w:p>
        </w:tc>
        <w:tc>
          <w:tcPr>
            <w:tcW w:w="140" w:type="dxa"/>
            <w:vAlign w:val="bottom"/>
          </w:tcPr>
          <w:p>
            <w:pPr>
              <w:spacing w:after="0"/>
              <w:rPr>
                <w:sz w:val="17"/>
                <w:szCs w:val="17"/>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(125)</w:t>
            </w:r>
          </w:p>
        </w:tc>
        <w:tc>
          <w:tcPr>
            <w:tcW w:w="100" w:type="dxa"/>
            <w:vAlign w:val="bottom"/>
          </w:tcPr>
          <w:p>
            <w:pPr>
              <w:spacing w:after="0"/>
              <w:rPr>
                <w:sz w:val="17"/>
                <w:szCs w:val="17"/>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(419)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(603)</w:t>
            </w:r>
          </w:p>
        </w:tc>
        <w:tc>
          <w:tcPr>
            <w:tcW w:w="0" w:type="dxa"/>
            <w:vAlign w:val="bottom"/>
          </w:tcPr>
          <w:p>
            <w:pPr>
              <w:spacing w:after="0"/>
              <w:rPr>
                <w:sz w:val="1"/>
                <w:szCs w:val="1"/>
                <w:color w:val="auto"/>
              </w:rPr>
            </w:pPr>
          </w:p>
        </w:tc>
      </w:tr>
      <w:tr>
        <w:trPr>
          <w:trHeight w:val="21"/>
        </w:trPr>
        <w:tc>
          <w:tcPr>
            <w:tcW w:w="4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0"/>
        </w:trPr>
        <w:tc>
          <w:tcPr>
            <w:tcW w:w="4000" w:type="dxa"/>
            <w:vAlign w:val="bottom"/>
          </w:tcPr>
          <w:p>
            <w:pPr>
              <w:spacing w:after="0"/>
              <w:rPr>
                <w:sz w:val="24"/>
                <w:szCs w:val="24"/>
                <w:color w:val="auto"/>
              </w:rPr>
            </w:pPr>
          </w:p>
        </w:tc>
        <w:tc>
          <w:tcPr>
            <w:tcW w:w="102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1st Quarter</w:t>
            </w:r>
          </w:p>
        </w:tc>
        <w:tc>
          <w:tcPr>
            <w:tcW w:w="1100" w:type="dxa"/>
            <w:vAlign w:val="bottom"/>
            <w:gridSpan w:val="4"/>
            <w:vMerge w:val="restart"/>
          </w:tcPr>
          <w:p>
            <w:pPr>
              <w:jc w:val="center"/>
              <w:spacing w:after="0"/>
              <w:rPr>
                <w:sz w:val="20"/>
                <w:szCs w:val="20"/>
                <w:color w:val="auto"/>
              </w:rPr>
            </w:pPr>
            <w:r>
              <w:rPr>
                <w:rFonts w:ascii="Arial" w:cs="Arial" w:eastAsia="Arial" w:hAnsi="Arial"/>
                <w:sz w:val="14"/>
                <w:szCs w:val="14"/>
                <w:color w:val="auto"/>
              </w:rPr>
              <w:t>1st Quarter</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568"/>
              <w:spacing w:after="0"/>
              <w:rPr>
                <w:sz w:val="20"/>
                <w:szCs w:val="20"/>
                <w:color w:val="auto"/>
              </w:rPr>
            </w:pPr>
            <w:r>
              <w:rPr>
                <w:rFonts w:ascii="Arial" w:cs="Arial" w:eastAsia="Arial" w:hAnsi="Arial"/>
                <w:sz w:val="14"/>
                <w:szCs w:val="14"/>
                <w:b w:val="1"/>
                <w:bCs w:val="1"/>
                <w:color w:val="auto"/>
              </w:rPr>
              <w:t>4th</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4th</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vMerge w:val="restart"/>
          </w:tcPr>
          <w:p>
            <w:pPr>
              <w:ind w:left="280"/>
              <w:spacing w:after="0"/>
              <w:rPr>
                <w:sz w:val="20"/>
                <w:szCs w:val="20"/>
                <w:color w:val="auto"/>
              </w:rPr>
            </w:pPr>
            <w:r>
              <w:rPr>
                <w:rFonts w:ascii="Arial" w:cs="Arial" w:eastAsia="Arial" w:hAnsi="Arial"/>
                <w:sz w:val="14"/>
                <w:szCs w:val="14"/>
                <w:color w:val="auto"/>
              </w:rPr>
              <w:t>4th Quarter</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0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1100" w:type="dxa"/>
            <w:vAlign w:val="bottom"/>
            <w:gridSpan w:val="4"/>
            <w:vMerge w:val="continue"/>
          </w:tcPr>
          <w:p>
            <w:pPr>
              <w:spacing w:after="0"/>
              <w:rPr>
                <w:sz w:val="17"/>
                <w:szCs w:val="17"/>
                <w:color w:val="auto"/>
              </w:rPr>
            </w:pPr>
          </w:p>
        </w:tc>
        <w:tc>
          <w:tcPr>
            <w:tcW w:w="1040" w:type="dxa"/>
            <w:vAlign w:val="bottom"/>
            <w:gridSpan w:val="3"/>
          </w:tcPr>
          <w:p>
            <w:pPr>
              <w:jc w:val="right"/>
              <w:ind w:right="408"/>
              <w:spacing w:after="0"/>
              <w:rPr>
                <w:sz w:val="20"/>
                <w:szCs w:val="20"/>
                <w:color w:val="auto"/>
              </w:rPr>
            </w:pPr>
            <w:r>
              <w:rPr>
                <w:rFonts w:ascii="Arial" w:cs="Arial" w:eastAsia="Arial" w:hAnsi="Arial"/>
                <w:sz w:val="14"/>
                <w:szCs w:val="14"/>
                <w:b w:val="1"/>
                <w:bCs w:val="1"/>
                <w:color w:val="auto"/>
              </w:rPr>
              <w:t>Quarter</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Quarter</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40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4000" w:type="dxa"/>
            <w:vAlign w:val="bottom"/>
          </w:tcPr>
          <w:p>
            <w:pPr>
              <w:ind w:left="20"/>
              <w:spacing w:after="0"/>
              <w:rPr>
                <w:sz w:val="20"/>
                <w:szCs w:val="20"/>
                <w:color w:val="auto"/>
              </w:rPr>
            </w:pPr>
            <w:r>
              <w:rPr>
                <w:rFonts w:ascii="Arial" w:cs="Arial" w:eastAsia="Arial" w:hAnsi="Arial"/>
                <w:sz w:val="14"/>
                <w:szCs w:val="14"/>
                <w:b w:val="1"/>
                <w:bCs w:val="1"/>
                <w:color w:val="auto"/>
              </w:rPr>
              <w:t>CAPITAL INVESTMENTS</w:t>
            </w: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40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gridSpan w:val="4"/>
          </w:tcPr>
          <w:p>
            <w:pPr>
              <w:jc w:val="center"/>
              <w:spacing w:after="0"/>
              <w:rPr>
                <w:sz w:val="20"/>
                <w:szCs w:val="20"/>
                <w:color w:val="auto"/>
              </w:rPr>
            </w:pPr>
            <w:r>
              <w:rPr>
                <w:rFonts w:ascii="Arial" w:cs="Arial" w:eastAsia="Arial" w:hAnsi="Arial"/>
                <w:sz w:val="14"/>
                <w:szCs w:val="14"/>
                <w:b w:val="1"/>
                <w:bCs w:val="1"/>
                <w:color w:val="auto"/>
              </w:rPr>
              <w:t>3rd Quarter</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2nd Quarter</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3rd Quarter</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Nine Months</w:t>
            </w:r>
          </w:p>
        </w:tc>
        <w:tc>
          <w:tcPr>
            <w:tcW w:w="140" w:type="dxa"/>
            <w:vAlign w:val="bottom"/>
          </w:tcPr>
          <w:p>
            <w:pPr>
              <w:spacing w:after="0"/>
              <w:rPr>
                <w:sz w:val="22"/>
                <w:szCs w:val="22"/>
                <w:color w:val="auto"/>
              </w:rPr>
            </w:pPr>
          </w:p>
        </w:tc>
        <w:tc>
          <w:tcPr>
            <w:tcW w:w="1080" w:type="dxa"/>
            <w:vAlign w:val="bottom"/>
          </w:tcPr>
          <w:p>
            <w:pPr>
              <w:jc w:val="center"/>
              <w:ind w:right="68"/>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203"/>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w:t>
            </w:r>
          </w:p>
        </w:tc>
        <w:tc>
          <w:tcPr>
            <w:tcW w:w="7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76"/>
        </w:trPr>
        <w:tc>
          <w:tcPr>
            <w:tcW w:w="4000" w:type="dxa"/>
            <w:vAlign w:val="bottom"/>
          </w:tcPr>
          <w:p>
            <w:pPr>
              <w:ind w:left="140"/>
              <w:spacing w:after="0"/>
              <w:rPr>
                <w:sz w:val="20"/>
                <w:szCs w:val="20"/>
                <w:color w:val="auto"/>
              </w:rPr>
            </w:pPr>
            <w:r>
              <w:rPr>
                <w:rFonts w:ascii="Arial" w:cs="Arial" w:eastAsia="Arial" w:hAnsi="Arial"/>
                <w:sz w:val="14"/>
                <w:szCs w:val="14"/>
                <w:color w:val="auto"/>
              </w:rPr>
              <w:t>Facilities</w:t>
            </w: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ind w:right="648"/>
              <w:spacing w:after="0"/>
              <w:rPr>
                <w:sz w:val="20"/>
                <w:szCs w:val="20"/>
                <w:color w:val="auto"/>
              </w:rPr>
            </w:pPr>
            <w:r>
              <w:rPr>
                <w:rFonts w:ascii="Arial" w:cs="Arial" w:eastAsia="Arial" w:hAnsi="Arial"/>
                <w:sz w:val="14"/>
                <w:szCs w:val="14"/>
                <w:b w:val="1"/>
                <w:bCs w:val="1"/>
                <w:color w:val="auto"/>
              </w:rPr>
              <w:t>$</w:t>
            </w:r>
          </w:p>
        </w:tc>
        <w:tc>
          <w:tcPr>
            <w:tcW w:w="2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w:t>
            </w:r>
          </w:p>
        </w:tc>
        <w:tc>
          <w:tcPr>
            <w:tcW w:w="1040" w:type="dxa"/>
            <w:vAlign w:val="bottom"/>
            <w:gridSpan w:val="3"/>
          </w:tcPr>
          <w:p>
            <w:pPr>
              <w:jc w:val="right"/>
              <w:ind w:right="728"/>
              <w:spacing w:after="0"/>
              <w:rPr>
                <w:sz w:val="20"/>
                <w:szCs w:val="20"/>
                <w:color w:val="auto"/>
              </w:rPr>
            </w:pPr>
            <w:r>
              <w:rPr>
                <w:rFonts w:ascii="Arial" w:cs="Arial" w:eastAsia="Arial" w:hAnsi="Arial"/>
                <w:sz w:val="14"/>
                <w:szCs w:val="14"/>
                <w:b w:val="1"/>
                <w:bCs w:val="1"/>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15</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11</w:t>
            </w: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52</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03"/>
        </w:trPr>
        <w:tc>
          <w:tcPr>
            <w:tcW w:w="4000" w:type="dxa"/>
            <w:vAlign w:val="bottom"/>
          </w:tcPr>
          <w:p>
            <w:pPr>
              <w:ind w:left="140"/>
              <w:spacing w:after="0"/>
              <w:rPr>
                <w:sz w:val="20"/>
                <w:szCs w:val="20"/>
                <w:color w:val="auto"/>
              </w:rPr>
            </w:pPr>
            <w:r>
              <w:rPr>
                <w:rFonts w:ascii="Arial" w:cs="Arial" w:eastAsia="Arial" w:hAnsi="Arial"/>
                <w:sz w:val="14"/>
                <w:szCs w:val="14"/>
                <w:color w:val="auto"/>
              </w:rPr>
              <w:t>Drilling</w:t>
            </w: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73</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62</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194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03"/>
        </w:trPr>
        <w:tc>
          <w:tcPr>
            <w:tcW w:w="4000" w:type="dxa"/>
            <w:vAlign w:val="bottom"/>
          </w:tcPr>
          <w:p>
            <w:pPr>
              <w:ind w:left="140"/>
              <w:spacing w:after="0"/>
              <w:rPr>
                <w:sz w:val="20"/>
                <w:szCs w:val="20"/>
                <w:color w:val="auto"/>
              </w:rPr>
            </w:pPr>
            <w:r>
              <w:rPr>
                <w:rFonts w:ascii="Arial" w:cs="Arial" w:eastAsia="Arial" w:hAnsi="Arial"/>
                <w:sz w:val="14"/>
                <w:szCs w:val="14"/>
                <w:color w:val="auto"/>
              </w:rPr>
              <w:t>Workovers</w:t>
            </w: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7</w:t>
            </w:r>
          </w:p>
        </w:tc>
        <w:tc>
          <w:tcPr>
            <w:tcW w:w="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9</w:t>
            </w:r>
          </w:p>
        </w:tc>
        <w:tc>
          <w:tcPr>
            <w:tcW w:w="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90"/>
        </w:trPr>
        <w:tc>
          <w:tcPr>
            <w:tcW w:w="4000" w:type="dxa"/>
            <w:vAlign w:val="bottom"/>
          </w:tcPr>
          <w:p>
            <w:pPr>
              <w:ind w:left="20"/>
              <w:spacing w:after="0"/>
              <w:rPr>
                <w:sz w:val="20"/>
                <w:szCs w:val="20"/>
                <w:color w:val="auto"/>
              </w:rPr>
            </w:pPr>
            <w:r>
              <w:rPr>
                <w:rFonts w:ascii="Arial" w:cs="Arial" w:eastAsia="Arial" w:hAnsi="Arial"/>
                <w:sz w:val="14"/>
                <w:szCs w:val="14"/>
                <w:color w:val="auto"/>
              </w:rPr>
              <w:t>Total E&amp;P capital</w:t>
            </w: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gridSpan w:val="3"/>
          </w:tcPr>
          <w:p>
            <w:pPr>
              <w:jc w:val="right"/>
              <w:ind w:right="20"/>
              <w:spacing w:after="0"/>
              <w:rPr>
                <w:sz w:val="20"/>
                <w:szCs w:val="20"/>
                <w:color w:val="auto"/>
              </w:rPr>
            </w:pPr>
            <w:r>
              <w:rPr>
                <w:rFonts w:ascii="Arial" w:cs="Arial" w:eastAsia="Arial" w:hAnsi="Arial"/>
                <w:sz w:val="14"/>
                <w:szCs w:val="14"/>
                <w:color w:val="auto"/>
              </w:rPr>
              <w:t>100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86</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268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208"/>
        </w:trPr>
        <w:tc>
          <w:tcPr>
            <w:tcW w:w="4000" w:type="dxa"/>
            <w:vAlign w:val="bottom"/>
          </w:tcPr>
          <w:p>
            <w:pPr>
              <w:ind w:left="140"/>
              <w:spacing w:after="0"/>
              <w:rPr>
                <w:sz w:val="20"/>
                <w:szCs w:val="20"/>
                <w:color w:val="auto"/>
              </w:rPr>
            </w:pPr>
            <w:r>
              <w:rPr>
                <w:rFonts w:ascii="Arial" w:cs="Arial" w:eastAsia="Arial" w:hAnsi="Arial"/>
                <w:sz w:val="14"/>
                <w:szCs w:val="14"/>
                <w:color w:val="auto"/>
              </w:rPr>
              <w:t>CMB</w:t>
            </w: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10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000" w:type="dxa"/>
            <w:vAlign w:val="bottom"/>
          </w:tcPr>
          <w:p>
            <w:pPr>
              <w:ind w:left="140"/>
              <w:spacing w:after="0"/>
              <w:rPr>
                <w:sz w:val="20"/>
                <w:szCs w:val="20"/>
                <w:color w:val="auto"/>
              </w:rPr>
            </w:pPr>
            <w:r>
              <w:rPr>
                <w:rFonts w:ascii="Arial" w:cs="Arial" w:eastAsia="Arial" w:hAnsi="Arial"/>
                <w:sz w:val="14"/>
                <w:szCs w:val="14"/>
                <w:color w:val="auto"/>
              </w:rPr>
              <w:t>Corporate and other</w:t>
            </w: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1</w:t>
            </w:r>
          </w:p>
        </w:tc>
        <w:tc>
          <w:tcPr>
            <w:tcW w:w="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w:t>
            </w:r>
          </w:p>
        </w:tc>
        <w:tc>
          <w:tcPr>
            <w:tcW w:w="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7"/>
        </w:trPr>
        <w:tc>
          <w:tcPr>
            <w:tcW w:w="4000" w:type="dxa"/>
            <w:vAlign w:val="bottom"/>
          </w:tcPr>
          <w:p>
            <w:pPr>
              <w:ind w:left="20"/>
              <w:spacing w:after="0"/>
              <w:rPr>
                <w:sz w:val="20"/>
                <w:szCs w:val="20"/>
                <w:color w:val="auto"/>
              </w:rPr>
            </w:pPr>
            <w:r>
              <w:rPr>
                <w:rFonts w:ascii="Arial" w:cs="Arial" w:eastAsia="Arial" w:hAnsi="Arial"/>
                <w:sz w:val="14"/>
                <w:szCs w:val="14"/>
                <w:color w:val="auto"/>
              </w:rPr>
              <w:t>Total capital program</w:t>
            </w: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ind w:right="648"/>
              <w:spacing w:after="0"/>
              <w:rPr>
                <w:sz w:val="20"/>
                <w:szCs w:val="20"/>
                <w:color w:val="auto"/>
              </w:rPr>
            </w:pPr>
            <w:r>
              <w:rPr>
                <w:rFonts w:ascii="Arial" w:cs="Arial" w:eastAsia="Arial" w:hAnsi="Arial"/>
                <w:sz w:val="14"/>
                <w:szCs w:val="14"/>
                <w:b w:val="1"/>
                <w:bCs w:val="1"/>
                <w:color w:val="auto"/>
              </w:rPr>
              <w:t>$</w:t>
            </w:r>
          </w:p>
        </w:tc>
        <w:tc>
          <w:tcPr>
            <w:tcW w:w="2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107</w:t>
            </w:r>
          </w:p>
        </w:tc>
        <w:tc>
          <w:tcPr>
            <w:tcW w:w="1040" w:type="dxa"/>
            <w:vAlign w:val="bottom"/>
            <w:gridSpan w:val="3"/>
          </w:tcPr>
          <w:p>
            <w:pPr>
              <w:jc w:val="right"/>
              <w:ind w:right="728"/>
              <w:spacing w:after="0"/>
              <w:rPr>
                <w:sz w:val="20"/>
                <w:szCs w:val="20"/>
                <w:color w:val="auto"/>
              </w:rPr>
            </w:pPr>
            <w:r>
              <w:rPr>
                <w:rFonts w:ascii="Arial" w:cs="Arial" w:eastAsia="Arial" w:hAnsi="Arial"/>
                <w:sz w:val="14"/>
                <w:szCs w:val="14"/>
                <w:b w:val="1"/>
                <w:bCs w:val="1"/>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98</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51</w:t>
            </w: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304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128</w:t>
            </w:r>
          </w:p>
        </w:tc>
        <w:tc>
          <w:tcPr>
            <w:tcW w:w="0" w:type="dxa"/>
            <w:vAlign w:val="bottom"/>
          </w:tcPr>
          <w:p>
            <w:pPr>
              <w:spacing w:after="0"/>
              <w:rPr>
                <w:sz w:val="1"/>
                <w:szCs w:val="1"/>
                <w:color w:val="auto"/>
              </w:rPr>
            </w:pPr>
          </w:p>
        </w:tc>
      </w:tr>
      <w:tr>
        <w:trPr>
          <w:trHeight w:val="21"/>
        </w:trPr>
        <w:tc>
          <w:tcPr>
            <w:tcW w:w="4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240"/>
          </w:cols>
          <w:pgMar w:left="320" w:top="1348" w:right="339" w:bottom="1440" w:gutter="0" w:footer="0" w:header="0"/>
        </w:sectPr>
      </w:pPr>
    </w:p>
    <w:bookmarkStart w:id="16" w:name="page17"/>
    <w:bookmarkEnd w:id="16"/>
    <w:p>
      <w:pPr>
        <w:jc w:val="right"/>
        <w:spacing w:after="0"/>
        <w:rPr>
          <w:sz w:val="20"/>
          <w:szCs w:val="20"/>
          <w:color w:val="auto"/>
        </w:rPr>
      </w:pPr>
      <w:r>
        <w:rPr>
          <w:rFonts w:ascii="Arial" w:cs="Arial" w:eastAsia="Arial" w:hAnsi="Arial"/>
          <w:sz w:val="14"/>
          <w:szCs w:val="14"/>
          <w:b w:val="1"/>
          <w:bCs w:val="1"/>
          <w:color w:val="auto"/>
        </w:rPr>
        <w:t>Attachment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49530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NON-GAAP FINANCIAL MEASURES AND RECONCILIATIONS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To supplement the presentation of its financial results prepared in accordance with U.S generally accepted accounting principles (GAAP), management uses certain non-GAAP</w:t>
      </w:r>
    </w:p>
    <w:p>
      <w:pPr>
        <w:spacing w:after="0" w:line="2" w:lineRule="exact"/>
        <w:rPr>
          <w:sz w:val="20"/>
          <w:szCs w:val="20"/>
          <w:color w:val="auto"/>
        </w:rPr>
      </w:pPr>
    </w:p>
    <w:p>
      <w:pPr>
        <w:ind w:right="280"/>
        <w:spacing w:after="0" w:line="211" w:lineRule="auto"/>
        <w:rPr>
          <w:sz w:val="20"/>
          <w:szCs w:val="20"/>
          <w:color w:val="auto"/>
        </w:rPr>
      </w:pPr>
      <w:r>
        <w:rPr>
          <w:rFonts w:ascii="Arial" w:cs="Arial" w:eastAsia="Arial" w:hAnsi="Arial"/>
          <w:sz w:val="14"/>
          <w:szCs w:val="14"/>
          <w:color w:val="auto"/>
        </w:rPr>
        <w:t>measures to assess its financial condition, results of operations and cash flows. The non-GAAP measures include adjusted net income (loss), adjusted EBITDAX, adjusted EBITDAX margin, discretionary cash flow, free cash flow and operating costs per BOE, among others. These measures are also widely used by the industry, the investment</w:t>
      </w:r>
    </w:p>
    <w:p>
      <w:pPr>
        <w:spacing w:after="0" w:line="222" w:lineRule="auto"/>
        <w:rPr>
          <w:sz w:val="20"/>
          <w:szCs w:val="20"/>
          <w:color w:val="auto"/>
        </w:rPr>
      </w:pPr>
      <w:r>
        <w:rPr>
          <w:rFonts w:ascii="Arial" w:cs="Arial" w:eastAsia="Arial" w:hAnsi="Arial"/>
          <w:sz w:val="14"/>
          <w:szCs w:val="14"/>
          <w:color w:val="auto"/>
        </w:rPr>
        <w:t>community and our lenders. Although these are non-GAAP measures, the amounts included in the calculations were computed in accordance with GAAP. Certain items</w:t>
      </w:r>
    </w:p>
    <w:p>
      <w:pPr>
        <w:ind w:right="120"/>
        <w:spacing w:after="0" w:line="211" w:lineRule="auto"/>
        <w:rPr>
          <w:sz w:val="20"/>
          <w:szCs w:val="20"/>
          <w:color w:val="auto"/>
        </w:rPr>
      </w:pPr>
      <w:r>
        <w:rPr>
          <w:rFonts w:ascii="Arial" w:cs="Arial" w:eastAsia="Arial" w:hAnsi="Arial"/>
          <w:sz w:val="14"/>
          <w:szCs w:val="14"/>
          <w:color w:val="auto"/>
        </w:rPr>
        <w:t>excluded from these non-GAAP measures are significant components in understanding and assessing our financial performance, such as our cost of capital and tax structure, as well as the effect of acquisition and development costs of our assets. Management believes that the non-GAAP measures presented, when viewed in combination with its</w:t>
      </w:r>
    </w:p>
    <w:p>
      <w:pPr>
        <w:spacing w:after="0" w:line="222" w:lineRule="auto"/>
        <w:rPr>
          <w:sz w:val="20"/>
          <w:szCs w:val="20"/>
          <w:color w:val="auto"/>
        </w:rPr>
      </w:pPr>
      <w:r>
        <w:rPr>
          <w:rFonts w:ascii="Arial" w:cs="Arial" w:eastAsia="Arial" w:hAnsi="Arial"/>
          <w:sz w:val="14"/>
          <w:szCs w:val="14"/>
          <w:color w:val="auto"/>
        </w:rPr>
        <w:t>financial and operating results prepared in accordance with GAAP, provide a more complete understanding of the factors and trends affecting the Company's performance. The</w:t>
      </w:r>
    </w:p>
    <w:p>
      <w:pPr>
        <w:ind w:right="280"/>
        <w:spacing w:after="0" w:line="231" w:lineRule="auto"/>
        <w:rPr>
          <w:sz w:val="20"/>
          <w:szCs w:val="20"/>
          <w:color w:val="auto"/>
        </w:rPr>
      </w:pPr>
      <w:r>
        <w:rPr>
          <w:rFonts w:ascii="Arial" w:cs="Arial" w:eastAsia="Arial" w:hAnsi="Arial"/>
          <w:sz w:val="14"/>
          <w:szCs w:val="14"/>
          <w:color w:val="auto"/>
        </w:rPr>
        <w:t>non-GAAP measures presented herein may not be comparable to other similarly titled measures of other companies. Below are additional disclosures regarding each of the non-GAAP measures reported in this press release, including reconciliations to their most directly comparable GAAP measure where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563245</wp:posOffset>
            </wp:positionV>
            <wp:extent cx="70980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588645</wp:posOffset>
            </wp:positionV>
            <wp:extent cx="70980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ADJUSTED NET INCOME (LOSS)</w:t>
      </w:r>
    </w:p>
    <w:p>
      <w:pPr>
        <w:spacing w:after="0" w:line="96" w:lineRule="exact"/>
        <w:rPr>
          <w:sz w:val="20"/>
          <w:szCs w:val="20"/>
          <w:color w:val="auto"/>
        </w:rPr>
      </w:pPr>
    </w:p>
    <w:p>
      <w:pPr>
        <w:ind w:left="40" w:right="460"/>
        <w:spacing w:after="0" w:line="221" w:lineRule="auto"/>
        <w:rPr>
          <w:sz w:val="20"/>
          <w:szCs w:val="20"/>
          <w:color w:val="auto"/>
        </w:rPr>
      </w:pPr>
      <w:r>
        <w:rPr>
          <w:rFonts w:ascii="Arial" w:cs="Arial" w:eastAsia="Arial" w:hAnsi="Arial"/>
          <w:sz w:val="14"/>
          <w:szCs w:val="14"/>
          <w:color w:val="auto"/>
        </w:rPr>
        <w:t>Adjusted net income (loss) and adjusted net income (loss) per share are non-GAAP measures. We define adjusted net income as net income excluding the effects of significant transactions and events that affect earnings but vary widely and unpredictably in nature, timing and amount. These events may recur, even across successive</w:t>
      </w:r>
    </w:p>
    <w:p>
      <w:pPr>
        <w:ind w:left="40"/>
        <w:spacing w:after="0" w:line="222" w:lineRule="auto"/>
        <w:rPr>
          <w:sz w:val="20"/>
          <w:szCs w:val="20"/>
          <w:color w:val="auto"/>
        </w:rPr>
      </w:pPr>
      <w:r>
        <w:rPr>
          <w:rFonts w:ascii="Arial" w:cs="Arial" w:eastAsia="Arial" w:hAnsi="Arial"/>
          <w:sz w:val="14"/>
          <w:szCs w:val="14"/>
          <w:color w:val="auto"/>
        </w:rPr>
        <w:t>reporting periods. Management believes these non-GAAP measures provide useful information to the industry and the investment community interested in comparing our</w:t>
      </w:r>
    </w:p>
    <w:p>
      <w:pPr>
        <w:spacing w:after="0" w:line="1" w:lineRule="exact"/>
        <w:rPr>
          <w:sz w:val="20"/>
          <w:szCs w:val="20"/>
          <w:color w:val="auto"/>
        </w:rPr>
      </w:pPr>
    </w:p>
    <w:p>
      <w:pPr>
        <w:ind w:left="40" w:right="140"/>
        <w:spacing w:after="0" w:line="211" w:lineRule="auto"/>
        <w:rPr>
          <w:sz w:val="20"/>
          <w:szCs w:val="20"/>
          <w:color w:val="auto"/>
        </w:rPr>
      </w:pPr>
      <w:r>
        <w:rPr>
          <w:rFonts w:ascii="Arial" w:cs="Arial" w:eastAsia="Arial" w:hAnsi="Arial"/>
          <w:sz w:val="14"/>
          <w:szCs w:val="14"/>
          <w:color w:val="auto"/>
        </w:rPr>
        <w:t>financial performance between periods. Reported earnings are considered representative of management's performance over the long term. Adjusted net income (loss) is not considered to be an alternative to net income (loss) reported in accordance with GAAP. The following table presents a reconciliation of the GAAP financial measure of net</w:t>
      </w:r>
    </w:p>
    <w:p>
      <w:pPr>
        <w:ind w:left="40"/>
        <w:spacing w:after="0"/>
        <w:rPr>
          <w:sz w:val="20"/>
          <w:szCs w:val="20"/>
          <w:color w:val="auto"/>
        </w:rPr>
      </w:pPr>
      <w:r>
        <w:rPr>
          <w:rFonts w:ascii="Arial" w:cs="Arial" w:eastAsia="Arial" w:hAnsi="Arial"/>
          <w:sz w:val="14"/>
          <w:szCs w:val="14"/>
          <w:color w:val="auto"/>
        </w:rPr>
        <w:t>income and net income attributable to common stock per share to the non-GAAP financial measure of adjusted net income (loss) and adjusted net income (loss) per share.</w:t>
      </w:r>
    </w:p>
    <w:p>
      <w:pPr>
        <w:spacing w:after="0" w:line="82"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4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3rd Quarter</w:t>
            </w:r>
          </w:p>
        </w:tc>
        <w:tc>
          <w:tcPr>
            <w:tcW w:w="140" w:type="dxa"/>
            <w:vAlign w:val="bottom"/>
          </w:tcPr>
          <w:p>
            <w:pPr>
              <w:spacing w:after="0"/>
              <w:rPr>
                <w:sz w:val="17"/>
                <w:szCs w:val="17"/>
                <w:color w:val="auto"/>
              </w:rPr>
            </w:pPr>
          </w:p>
        </w:tc>
        <w:tc>
          <w:tcPr>
            <w:tcW w:w="1160" w:type="dxa"/>
            <w:vAlign w:val="bottom"/>
            <w:gridSpan w:val="2"/>
          </w:tcPr>
          <w:p>
            <w:pPr>
              <w:ind w:left="40"/>
              <w:spacing w:after="0"/>
              <w:rPr>
                <w:sz w:val="20"/>
                <w:szCs w:val="20"/>
                <w:color w:val="auto"/>
              </w:rPr>
            </w:pPr>
            <w:r>
              <w:rPr>
                <w:rFonts w:ascii="Arial" w:cs="Arial" w:eastAsia="Arial" w:hAnsi="Arial"/>
                <w:sz w:val="14"/>
                <w:szCs w:val="14"/>
                <w:b w:val="1"/>
                <w:bCs w:val="1"/>
                <w:color w:val="auto"/>
              </w:rPr>
              <w:t>2nd Quarter</w:t>
            </w:r>
          </w:p>
        </w:tc>
        <w:tc>
          <w:tcPr>
            <w:tcW w:w="140" w:type="dxa"/>
            <w:vAlign w:val="bottom"/>
          </w:tcPr>
          <w:p>
            <w:pPr>
              <w:spacing w:after="0"/>
              <w:rPr>
                <w:sz w:val="17"/>
                <w:szCs w:val="17"/>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3rd Quarter</w:t>
            </w:r>
          </w:p>
        </w:tc>
        <w:tc>
          <w:tcPr>
            <w:tcW w:w="140" w:type="dxa"/>
            <w:vAlign w:val="bottom"/>
          </w:tcPr>
          <w:p>
            <w:pPr>
              <w:spacing w:after="0"/>
              <w:rPr>
                <w:sz w:val="17"/>
                <w:szCs w:val="17"/>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Nine Months</w:t>
            </w:r>
          </w:p>
        </w:tc>
        <w:tc>
          <w:tcPr>
            <w:tcW w:w="14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Nine Months</w:t>
            </w:r>
          </w:p>
        </w:tc>
      </w:tr>
      <w:tr>
        <w:trPr>
          <w:trHeight w:val="204"/>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 except per share amounts)</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r>
      <w:tr>
        <w:trPr>
          <w:trHeight w:val="195"/>
        </w:trPr>
        <w:tc>
          <w:tcPr>
            <w:tcW w:w="474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b w:val="1"/>
                <w:bCs w:val="1"/>
                <w:color w:val="auto"/>
              </w:rPr>
              <w:t>426</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190</w:t>
            </w:r>
          </w:p>
        </w:tc>
        <w:tc>
          <w:tcPr>
            <w:tcW w:w="1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107</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441</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(89)</w:t>
            </w:r>
          </w:p>
        </w:tc>
      </w:tr>
      <w:tr>
        <w:trPr>
          <w:trHeight w:val="203"/>
        </w:trPr>
        <w:tc>
          <w:tcPr>
            <w:tcW w:w="4740" w:type="dxa"/>
            <w:vAlign w:val="bottom"/>
          </w:tcPr>
          <w:p>
            <w:pPr>
              <w:ind w:left="20"/>
              <w:spacing w:after="0"/>
              <w:rPr>
                <w:sz w:val="20"/>
                <w:szCs w:val="20"/>
                <w:color w:val="auto"/>
              </w:rPr>
            </w:pPr>
            <w:r>
              <w:rPr>
                <w:rFonts w:ascii="Arial" w:cs="Arial" w:eastAsia="Arial" w:hAnsi="Arial"/>
                <w:sz w:val="14"/>
                <w:szCs w:val="14"/>
                <w:color w:val="auto"/>
              </w:rPr>
              <w:t>Net income attributable to noncontrolling interests</w:t>
            </w:r>
          </w:p>
        </w:tc>
        <w:tc>
          <w:tcPr>
            <w:tcW w:w="1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(13)</w:t>
            </w:r>
          </w:p>
        </w:tc>
      </w:tr>
      <w:tr>
        <w:trPr>
          <w:trHeight w:val="196"/>
        </w:trPr>
        <w:tc>
          <w:tcPr>
            <w:tcW w:w="4740" w:type="dxa"/>
            <w:vAlign w:val="bottom"/>
          </w:tcPr>
          <w:p>
            <w:pPr>
              <w:ind w:left="20"/>
              <w:spacing w:after="0"/>
              <w:rPr>
                <w:sz w:val="20"/>
                <w:szCs w:val="20"/>
                <w:color w:val="auto"/>
              </w:rPr>
            </w:pPr>
            <w:r>
              <w:rPr>
                <w:rFonts w:ascii="Arial" w:cs="Arial" w:eastAsia="Arial" w:hAnsi="Arial"/>
                <w:sz w:val="14"/>
                <w:szCs w:val="14"/>
                <w:color w:val="auto"/>
              </w:rPr>
              <w:t>Net income (loss) attributable to common stock</w:t>
            </w: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426</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190</w:t>
            </w: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103</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441</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(102)</w:t>
            </w:r>
          </w:p>
        </w:tc>
      </w:tr>
      <w:tr>
        <w:trPr>
          <w:trHeight w:val="197"/>
        </w:trPr>
        <w:tc>
          <w:tcPr>
            <w:tcW w:w="4740" w:type="dxa"/>
            <w:vAlign w:val="bottom"/>
          </w:tcPr>
          <w:p>
            <w:pPr>
              <w:ind w:left="20"/>
              <w:spacing w:after="0"/>
              <w:rPr>
                <w:sz w:val="20"/>
                <w:szCs w:val="20"/>
                <w:color w:val="auto"/>
              </w:rPr>
            </w:pPr>
            <w:r>
              <w:rPr>
                <w:rFonts w:ascii="Arial" w:cs="Arial" w:eastAsia="Arial" w:hAnsi="Arial"/>
                <w:sz w:val="14"/>
                <w:szCs w:val="14"/>
                <w:color w:val="auto"/>
              </w:rPr>
              <w:t>Unusual, infrequent and other items:</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8"/>
        </w:trPr>
        <w:tc>
          <w:tcPr>
            <w:tcW w:w="4740" w:type="dxa"/>
            <w:vAlign w:val="bottom"/>
          </w:tcPr>
          <w:p>
            <w:pPr>
              <w:ind w:left="140"/>
              <w:spacing w:after="0"/>
              <w:rPr>
                <w:sz w:val="20"/>
                <w:szCs w:val="20"/>
                <w:color w:val="auto"/>
              </w:rPr>
            </w:pPr>
            <w:r>
              <w:rPr>
                <w:rFonts w:ascii="Arial" w:cs="Arial" w:eastAsia="Arial" w:hAnsi="Arial"/>
                <w:sz w:val="14"/>
                <w:szCs w:val="14"/>
                <w:color w:val="auto"/>
              </w:rPr>
              <w:t>Non-cash (income) loss from commodity derivatives</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(425)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(141)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b w:val="1"/>
                <w:bCs w:val="1"/>
                <w:color w:val="auto"/>
              </w:rPr>
              <w:t>383</w:t>
            </w:r>
          </w:p>
        </w:tc>
      </w:tr>
      <w:tr>
        <w:trPr>
          <w:trHeight w:val="203"/>
        </w:trPr>
        <w:tc>
          <w:tcPr>
            <w:tcW w:w="4740" w:type="dxa"/>
            <w:vAlign w:val="bottom"/>
          </w:tcPr>
          <w:p>
            <w:pPr>
              <w:ind w:left="140"/>
              <w:spacing w:after="0"/>
              <w:rPr>
                <w:sz w:val="20"/>
                <w:szCs w:val="20"/>
                <w:color w:val="auto"/>
              </w:rPr>
            </w:pPr>
            <w:r>
              <w:rPr>
                <w:rFonts w:ascii="Arial" w:cs="Arial" w:eastAsia="Arial" w:hAnsi="Arial"/>
                <w:sz w:val="14"/>
                <w:szCs w:val="14"/>
                <w:color w:val="auto"/>
              </w:rPr>
              <w:t>Asset impairments</w:t>
            </w:r>
          </w:p>
        </w:tc>
        <w:tc>
          <w:tcPr>
            <w:tcW w:w="1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b w:val="1"/>
                <w:bCs w:val="1"/>
                <w:color w:val="auto"/>
              </w:rPr>
              <w:t>28</w:t>
            </w:r>
          </w:p>
        </w:tc>
      </w:tr>
      <w:tr>
        <w:trPr>
          <w:trHeight w:val="202"/>
        </w:trPr>
        <w:tc>
          <w:tcPr>
            <w:tcW w:w="4740" w:type="dxa"/>
            <w:vAlign w:val="bottom"/>
          </w:tcPr>
          <w:p>
            <w:pPr>
              <w:ind w:left="140"/>
              <w:spacing w:after="0"/>
              <w:rPr>
                <w:sz w:val="20"/>
                <w:szCs w:val="20"/>
                <w:color w:val="auto"/>
              </w:rPr>
            </w:pPr>
            <w:r>
              <w:rPr>
                <w:rFonts w:ascii="Arial" w:cs="Arial" w:eastAsia="Arial" w:hAnsi="Arial"/>
                <w:sz w:val="14"/>
                <w:szCs w:val="14"/>
                <w:color w:val="auto"/>
              </w:rPr>
              <w:t>Reorganization items, net</w:t>
            </w:r>
          </w:p>
        </w:tc>
        <w:tc>
          <w:tcPr>
            <w:tcW w:w="1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b w:val="1"/>
                <w:bCs w:val="1"/>
                <w:color w:val="auto"/>
              </w:rPr>
              <w:t>5</w:t>
            </w:r>
          </w:p>
        </w:tc>
      </w:tr>
      <w:tr>
        <w:trPr>
          <w:trHeight w:val="203"/>
        </w:trPr>
        <w:tc>
          <w:tcPr>
            <w:tcW w:w="4740" w:type="dxa"/>
            <w:vAlign w:val="bottom"/>
          </w:tcPr>
          <w:p>
            <w:pPr>
              <w:ind w:left="140"/>
              <w:spacing w:after="0"/>
              <w:rPr>
                <w:sz w:val="20"/>
                <w:szCs w:val="20"/>
                <w:color w:val="auto"/>
              </w:rPr>
            </w:pPr>
            <w:r>
              <w:rPr>
                <w:rFonts w:ascii="Arial" w:cs="Arial" w:eastAsia="Arial" w:hAnsi="Arial"/>
                <w:sz w:val="14"/>
                <w:szCs w:val="14"/>
                <w:color w:val="auto"/>
              </w:rPr>
              <w:t>Severance and termination costs</w:t>
            </w:r>
          </w:p>
        </w:tc>
        <w:tc>
          <w:tcPr>
            <w:tcW w:w="1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b w:val="1"/>
                <w:bCs w:val="1"/>
                <w:color w:val="auto"/>
              </w:rPr>
              <w:t>15</w:t>
            </w:r>
          </w:p>
        </w:tc>
      </w:tr>
      <w:tr>
        <w:trPr>
          <w:trHeight w:val="203"/>
        </w:trPr>
        <w:tc>
          <w:tcPr>
            <w:tcW w:w="4740" w:type="dxa"/>
            <w:vAlign w:val="bottom"/>
          </w:tcPr>
          <w:p>
            <w:pPr>
              <w:ind w:left="140"/>
              <w:spacing w:after="0"/>
              <w:rPr>
                <w:sz w:val="20"/>
                <w:szCs w:val="20"/>
                <w:color w:val="auto"/>
              </w:rPr>
            </w:pPr>
            <w:r>
              <w:rPr>
                <w:rFonts w:ascii="Arial" w:cs="Arial" w:eastAsia="Arial" w:hAnsi="Arial"/>
                <w:sz w:val="14"/>
                <w:szCs w:val="14"/>
                <w:color w:val="auto"/>
              </w:rPr>
              <w:t>Net loss on early extinguishment of debt</w:t>
            </w:r>
          </w:p>
        </w:tc>
        <w:tc>
          <w:tcPr>
            <w:tcW w:w="1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b w:val="1"/>
                <w:bCs w:val="1"/>
                <w:color w:val="auto"/>
              </w:rPr>
              <w:t>2</w:t>
            </w:r>
          </w:p>
        </w:tc>
      </w:tr>
      <w:tr>
        <w:trPr>
          <w:trHeight w:val="203"/>
        </w:trPr>
        <w:tc>
          <w:tcPr>
            <w:tcW w:w="4740" w:type="dxa"/>
            <w:vAlign w:val="bottom"/>
          </w:tcPr>
          <w:p>
            <w:pPr>
              <w:ind w:left="140"/>
              <w:spacing w:after="0"/>
              <w:rPr>
                <w:sz w:val="20"/>
                <w:szCs w:val="20"/>
                <w:color w:val="auto"/>
              </w:rPr>
            </w:pPr>
            <w:r>
              <w:rPr>
                <w:rFonts w:ascii="Arial" w:cs="Arial" w:eastAsia="Arial" w:hAnsi="Arial"/>
                <w:sz w:val="14"/>
                <w:szCs w:val="14"/>
                <w:color w:val="auto"/>
              </w:rPr>
              <w:t>Net gain on asset divestitures</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(60)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(4)</w:t>
            </w:r>
          </w:p>
        </w:tc>
      </w:tr>
      <w:tr>
        <w:trPr>
          <w:trHeight w:val="203"/>
        </w:trPr>
        <w:tc>
          <w:tcPr>
            <w:tcW w:w="4740" w:type="dxa"/>
            <w:vAlign w:val="bottom"/>
          </w:tcPr>
          <w:p>
            <w:pPr>
              <w:ind w:left="140"/>
              <w:spacing w:after="0"/>
              <w:rPr>
                <w:sz w:val="20"/>
                <w:szCs w:val="20"/>
                <w:color w:val="auto"/>
              </w:rPr>
            </w:pPr>
            <w:r>
              <w:rPr>
                <w:rFonts w:ascii="Arial" w:cs="Arial" w:eastAsia="Arial" w:hAnsi="Arial"/>
                <w:sz w:val="14"/>
                <w:szCs w:val="14"/>
                <w:color w:val="auto"/>
              </w:rPr>
              <w:t>Rig termination expenses</w:t>
            </w:r>
          </w:p>
        </w:tc>
        <w:tc>
          <w:tcPr>
            <w:tcW w:w="1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b w:val="1"/>
                <w:bCs w:val="1"/>
                <w:color w:val="auto"/>
              </w:rPr>
              <w:t>2</w:t>
            </w:r>
          </w:p>
        </w:tc>
      </w:tr>
      <w:tr>
        <w:trPr>
          <w:trHeight w:val="203"/>
        </w:trPr>
        <w:tc>
          <w:tcPr>
            <w:tcW w:w="4740" w:type="dxa"/>
            <w:vAlign w:val="bottom"/>
          </w:tcPr>
          <w:p>
            <w:pPr>
              <w:ind w:left="140"/>
              <w:spacing w:after="0"/>
              <w:rPr>
                <w:sz w:val="20"/>
                <w:szCs w:val="20"/>
                <w:color w:val="auto"/>
              </w:rPr>
            </w:pPr>
            <w:r>
              <w:rPr>
                <w:rFonts w:ascii="Arial" w:cs="Arial" w:eastAsia="Arial" w:hAnsi="Arial"/>
                <w:sz w:val="14"/>
                <w:szCs w:val="14"/>
                <w:color w:val="auto"/>
              </w:rPr>
              <w:t>Other, net</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w:t>
            </w:r>
          </w:p>
        </w:tc>
      </w:tr>
      <w:tr>
        <w:trPr>
          <w:trHeight w:val="196"/>
        </w:trPr>
        <w:tc>
          <w:tcPr>
            <w:tcW w:w="4740" w:type="dxa"/>
            <w:vAlign w:val="bottom"/>
          </w:tcPr>
          <w:p>
            <w:pPr>
              <w:ind w:left="220"/>
              <w:spacing w:after="0"/>
              <w:rPr>
                <w:sz w:val="20"/>
                <w:szCs w:val="20"/>
                <w:color w:val="auto"/>
              </w:rPr>
            </w:pPr>
            <w:r>
              <w:rPr>
                <w:rFonts w:ascii="Arial" w:cs="Arial" w:eastAsia="Arial" w:hAnsi="Arial"/>
                <w:sz w:val="14"/>
                <w:szCs w:val="14"/>
                <w:color w:val="auto"/>
              </w:rPr>
              <w:t>Total unusual, infrequent and other items</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(423)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(141)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48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(236)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b w:val="1"/>
                <w:bCs w:val="1"/>
                <w:color w:val="auto"/>
              </w:rPr>
              <w:t>433</w:t>
            </w:r>
          </w:p>
        </w:tc>
      </w:tr>
      <w:tr>
        <w:trPr>
          <w:trHeight w:val="203"/>
        </w:trPr>
        <w:tc>
          <w:tcPr>
            <w:tcW w:w="4740" w:type="dxa"/>
            <w:vAlign w:val="bottom"/>
          </w:tcPr>
          <w:p>
            <w:pPr>
              <w:ind w:left="140"/>
              <w:spacing w:after="0"/>
              <w:rPr>
                <w:sz w:val="20"/>
                <w:szCs w:val="20"/>
                <w:color w:val="auto"/>
              </w:rPr>
            </w:pPr>
            <w:r>
              <w:rPr>
                <w:rFonts w:ascii="Arial" w:cs="Arial" w:eastAsia="Arial" w:hAnsi="Arial"/>
                <w:sz w:val="14"/>
                <w:szCs w:val="14"/>
                <w:color w:val="auto"/>
              </w:rPr>
              <w:t>Income tax provision of adjustments at effective tax rate</w:t>
            </w:r>
          </w:p>
        </w:tc>
        <w:tc>
          <w:tcPr>
            <w:tcW w:w="16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b w:val="1"/>
                <w:bCs w:val="1"/>
                <w:color w:val="auto"/>
              </w:rPr>
              <w:t>120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40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67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r>
      <w:tr>
        <w:trPr>
          <w:trHeight w:val="203"/>
        </w:trPr>
        <w:tc>
          <w:tcPr>
            <w:tcW w:w="4740" w:type="dxa"/>
            <w:vAlign w:val="bottom"/>
          </w:tcPr>
          <w:p>
            <w:pPr>
              <w:ind w:left="140"/>
              <w:spacing w:after="0"/>
              <w:rPr>
                <w:sz w:val="20"/>
                <w:szCs w:val="20"/>
                <w:color w:val="auto"/>
              </w:rPr>
            </w:pPr>
            <w:r>
              <w:rPr>
                <w:rFonts w:ascii="Arial" w:cs="Arial" w:eastAsia="Arial" w:hAnsi="Arial"/>
                <w:sz w:val="14"/>
                <w:szCs w:val="14"/>
                <w:color w:val="auto"/>
              </w:rPr>
              <w:t>Income tax (benefit) provision - out of period</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r>
      <w:tr>
        <w:trPr>
          <w:trHeight w:val="56"/>
        </w:trPr>
        <w:tc>
          <w:tcPr>
            <w:tcW w:w="474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196"/>
        </w:trPr>
        <w:tc>
          <w:tcPr>
            <w:tcW w:w="4740" w:type="dxa"/>
            <w:vAlign w:val="bottom"/>
          </w:tcPr>
          <w:p>
            <w:pPr>
              <w:ind w:left="20"/>
              <w:spacing w:after="0"/>
              <w:rPr>
                <w:sz w:val="20"/>
                <w:szCs w:val="20"/>
                <w:color w:val="auto"/>
              </w:rPr>
            </w:pPr>
            <w:r>
              <w:rPr>
                <w:rFonts w:ascii="Arial" w:cs="Arial" w:eastAsia="Arial" w:hAnsi="Arial"/>
                <w:sz w:val="14"/>
                <w:szCs w:val="14"/>
                <w:color w:val="auto"/>
              </w:rPr>
              <w:t>Adjusted net income attributable to common stock</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111</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89</w:t>
            </w:r>
          </w:p>
        </w:tc>
        <w:tc>
          <w:tcPr>
            <w:tcW w:w="1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151</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291</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331</w:t>
            </w:r>
          </w:p>
        </w:tc>
      </w:tr>
      <w:tr>
        <w:trPr>
          <w:trHeight w:val="20"/>
        </w:trPr>
        <w:tc>
          <w:tcPr>
            <w:tcW w:w="4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424"/>
        </w:trPr>
        <w:tc>
          <w:tcPr>
            <w:tcW w:w="4740" w:type="dxa"/>
            <w:vAlign w:val="bottom"/>
          </w:tcPr>
          <w:p>
            <w:pPr>
              <w:ind w:left="20"/>
              <w:spacing w:after="0"/>
              <w:rPr>
                <w:sz w:val="20"/>
                <w:szCs w:val="20"/>
                <w:color w:val="auto"/>
              </w:rPr>
            </w:pPr>
            <w:r>
              <w:rPr>
                <w:rFonts w:ascii="Arial" w:cs="Arial" w:eastAsia="Arial" w:hAnsi="Arial"/>
                <w:sz w:val="14"/>
                <w:szCs w:val="14"/>
                <w:color w:val="auto"/>
              </w:rPr>
              <w:t>Net income (loss) attributable to common stock per share - basic</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b w:val="1"/>
                <w:bCs w:val="1"/>
                <w:color w:val="auto"/>
              </w:rPr>
              <w:t>5.75</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2.48</w:t>
            </w:r>
          </w:p>
        </w:tc>
        <w:tc>
          <w:tcPr>
            <w:tcW w:w="1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1.26</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5.77</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(1.23)</w:t>
            </w:r>
          </w:p>
        </w:tc>
      </w:tr>
      <w:tr>
        <w:trPr>
          <w:trHeight w:val="203"/>
        </w:trPr>
        <w:tc>
          <w:tcPr>
            <w:tcW w:w="4740" w:type="dxa"/>
            <w:vAlign w:val="bottom"/>
          </w:tcPr>
          <w:p>
            <w:pPr>
              <w:ind w:left="20"/>
              <w:spacing w:after="0"/>
              <w:rPr>
                <w:sz w:val="20"/>
                <w:szCs w:val="20"/>
                <w:color w:val="auto"/>
              </w:rPr>
            </w:pPr>
            <w:r>
              <w:rPr>
                <w:rFonts w:ascii="Arial" w:cs="Arial" w:eastAsia="Arial" w:hAnsi="Arial"/>
                <w:sz w:val="14"/>
                <w:szCs w:val="14"/>
                <w:color w:val="auto"/>
              </w:rPr>
              <w:t>Net income (loss) attributable to common stock per share - diluted</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b w:val="1"/>
                <w:bCs w:val="1"/>
                <w:color w:val="auto"/>
              </w:rPr>
              <w:t>5.58</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2.41</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1.25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5.62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(1.23)</w:t>
            </w:r>
          </w:p>
        </w:tc>
      </w:tr>
      <w:tr>
        <w:trPr>
          <w:trHeight w:val="203"/>
        </w:trPr>
        <w:tc>
          <w:tcPr>
            <w:tcW w:w="4740" w:type="dxa"/>
            <w:vAlign w:val="bottom"/>
          </w:tcPr>
          <w:p>
            <w:pPr>
              <w:ind w:left="20"/>
              <w:spacing w:after="0"/>
              <w:rPr>
                <w:sz w:val="20"/>
                <w:szCs w:val="20"/>
                <w:color w:val="auto"/>
              </w:rPr>
            </w:pPr>
            <w:r>
              <w:rPr>
                <w:rFonts w:ascii="Arial" w:cs="Arial" w:eastAsia="Arial" w:hAnsi="Arial"/>
                <w:sz w:val="14"/>
                <w:szCs w:val="14"/>
                <w:color w:val="auto"/>
              </w:rPr>
              <w:t>Adjusted net income per share - basic</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b w:val="1"/>
                <w:bCs w:val="1"/>
                <w:color w:val="auto"/>
              </w:rPr>
              <w:t>1.50</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1.16</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1.85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3.81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b w:val="1"/>
                <w:bCs w:val="1"/>
                <w:color w:val="auto"/>
              </w:rPr>
              <w:t>4.01</w:t>
            </w:r>
          </w:p>
        </w:tc>
      </w:tr>
      <w:tr>
        <w:trPr>
          <w:trHeight w:val="203"/>
        </w:trPr>
        <w:tc>
          <w:tcPr>
            <w:tcW w:w="4740" w:type="dxa"/>
            <w:vAlign w:val="bottom"/>
          </w:tcPr>
          <w:p>
            <w:pPr>
              <w:ind w:left="20"/>
              <w:spacing w:after="0"/>
              <w:rPr>
                <w:sz w:val="20"/>
                <w:szCs w:val="20"/>
                <w:color w:val="auto"/>
              </w:rPr>
            </w:pPr>
            <w:r>
              <w:rPr>
                <w:rFonts w:ascii="Arial" w:cs="Arial" w:eastAsia="Arial" w:hAnsi="Arial"/>
                <w:sz w:val="14"/>
                <w:szCs w:val="14"/>
                <w:color w:val="auto"/>
              </w:rPr>
              <w:t>Adjusted net income per share - diluted</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b w:val="1"/>
                <w:bCs w:val="1"/>
                <w:color w:val="auto"/>
              </w:rPr>
              <w:t>1.45</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1.13</w:t>
            </w:r>
          </w:p>
        </w:tc>
        <w:tc>
          <w:tcPr>
            <w:tcW w:w="1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1.83</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3.71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b w:val="1"/>
                <w:bCs w:val="1"/>
                <w:color w:val="auto"/>
              </w:rPr>
              <w:t>3.97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200"/>
          </w:cols>
          <w:pgMar w:left="340" w:top="1062" w:right="359" w:bottom="1440" w:gutter="0" w:footer="0" w:header="0"/>
        </w:sectPr>
      </w:pPr>
    </w:p>
    <w:bookmarkStart w:id="17" w:name="page18"/>
    <w:bookmarkEnd w:id="17"/>
    <w:p>
      <w:pPr>
        <w:ind w:left="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671830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697865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t>FREE CASH FLOW</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4"/>
          <w:szCs w:val="14"/>
          <w:color w:val="auto"/>
        </w:rPr>
        <w:t>Management uses free cash flow, which is defined by us as net cash provided by operating activities less capital investments, as a measure of liquidity. The following table</w:t>
      </w:r>
    </w:p>
    <w:p>
      <w:pPr>
        <w:spacing w:after="0" w:line="2" w:lineRule="exact"/>
        <w:rPr>
          <w:sz w:val="20"/>
          <w:szCs w:val="20"/>
          <w:color w:val="auto"/>
        </w:rPr>
      </w:pPr>
    </w:p>
    <w:p>
      <w:pPr>
        <w:ind w:left="20" w:right="40"/>
        <w:spacing w:after="0" w:line="211" w:lineRule="auto"/>
        <w:rPr>
          <w:sz w:val="20"/>
          <w:szCs w:val="20"/>
          <w:color w:val="auto"/>
        </w:rPr>
      </w:pPr>
      <w:r>
        <w:rPr>
          <w:rFonts w:ascii="Arial" w:cs="Arial" w:eastAsia="Arial" w:hAnsi="Arial"/>
          <w:sz w:val="14"/>
          <w:szCs w:val="14"/>
          <w:color w:val="auto"/>
        </w:rPr>
        <w:t>presents a reconciliation of our net cash provided by operating activities to free cash flow. We supplemented our non-GAAP measure of free cash flow with free cash flow of our exploration and production and corporate items (Free Cash Flow for E&amp;P, Corporate &amp; Other) which we believe is a useful measure for investors to understand the results of</w:t>
      </w:r>
    </w:p>
    <w:p>
      <w:pPr>
        <w:ind w:left="20" w:right="540"/>
        <w:spacing w:after="0" w:line="244" w:lineRule="auto"/>
        <w:rPr>
          <w:sz w:val="20"/>
          <w:szCs w:val="20"/>
          <w:color w:val="auto"/>
        </w:rPr>
      </w:pPr>
      <w:r>
        <w:rPr>
          <w:rFonts w:ascii="Arial" w:cs="Arial" w:eastAsia="Arial" w:hAnsi="Arial"/>
          <w:sz w:val="14"/>
          <w:szCs w:val="14"/>
          <w:color w:val="auto"/>
        </w:rPr>
        <w:t>our core oil and gas business. We define Free Cash Flow for E&amp;P, Corporate &amp; Other as consolidated free cash flow less results attributable to our carbon management business (CMB).</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4"/>
          <w:szCs w:val="14"/>
          <w:color w:val="auto"/>
        </w:rPr>
        <w:t>We have excluded one-time costs for bankruptcy related fees during 2021 as a supplemental measure of our free cash flow.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3rd Quarter</w:t>
            </w:r>
          </w:p>
        </w:tc>
        <w:tc>
          <w:tcPr>
            <w:tcW w:w="160" w:type="dxa"/>
            <w:vAlign w:val="bottom"/>
          </w:tcPr>
          <w:p>
            <w:pPr>
              <w:spacing w:after="0"/>
              <w:rPr>
                <w:sz w:val="17"/>
                <w:szCs w:val="17"/>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2nd Quarter</w:t>
            </w:r>
          </w:p>
        </w:tc>
        <w:tc>
          <w:tcPr>
            <w:tcW w:w="160" w:type="dxa"/>
            <w:vAlign w:val="bottom"/>
          </w:tcPr>
          <w:p>
            <w:pPr>
              <w:spacing w:after="0"/>
              <w:rPr>
                <w:sz w:val="17"/>
                <w:szCs w:val="17"/>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3rd Quarter</w:t>
            </w:r>
          </w:p>
        </w:tc>
        <w:tc>
          <w:tcPr>
            <w:tcW w:w="140" w:type="dxa"/>
            <w:vAlign w:val="bottom"/>
          </w:tcPr>
          <w:p>
            <w:pPr>
              <w:spacing w:after="0"/>
              <w:rPr>
                <w:sz w:val="17"/>
                <w:szCs w:val="17"/>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Nine Months</w:t>
            </w:r>
          </w:p>
        </w:tc>
        <w:tc>
          <w:tcPr>
            <w:tcW w:w="140" w:type="dxa"/>
            <w:vAlign w:val="bottom"/>
          </w:tcPr>
          <w:p>
            <w:pPr>
              <w:spacing w:after="0"/>
              <w:rPr>
                <w:sz w:val="17"/>
                <w:szCs w:val="17"/>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b w:val="1"/>
                <w:bCs w:val="1"/>
                <w:color w:val="auto"/>
              </w:rPr>
              <w:t>Nine Months</w:t>
            </w:r>
          </w:p>
        </w:tc>
      </w:tr>
      <w:tr>
        <w:trPr>
          <w:trHeight w:val="203"/>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r>
      <w:tr>
        <w:trPr>
          <w:trHeight w:val="398"/>
        </w:trPr>
        <w:tc>
          <w:tcPr>
            <w:tcW w:w="4580" w:type="dxa"/>
            <w:vAlign w:val="bottom"/>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b w:val="1"/>
                <w:bCs w:val="1"/>
                <w:color w:val="auto"/>
              </w:rPr>
              <w:t>235</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181</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182</w:t>
            </w: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576</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456</w:t>
            </w:r>
          </w:p>
        </w:tc>
      </w:tr>
      <w:tr>
        <w:trPr>
          <w:trHeight w:val="202"/>
        </w:trPr>
        <w:tc>
          <w:tcPr>
            <w:tcW w:w="4580" w:type="dxa"/>
            <w:vAlign w:val="bottom"/>
          </w:tcPr>
          <w:p>
            <w:pPr>
              <w:ind w:left="100"/>
              <w:spacing w:after="0"/>
              <w:rPr>
                <w:sz w:val="20"/>
                <w:szCs w:val="20"/>
                <w:color w:val="auto"/>
              </w:rPr>
            </w:pPr>
            <w:r>
              <w:rPr>
                <w:rFonts w:ascii="Arial" w:cs="Arial" w:eastAsia="Arial" w:hAnsi="Arial"/>
                <w:sz w:val="14"/>
                <w:szCs w:val="14"/>
                <w:color w:val="auto"/>
              </w:rPr>
              <w:t>Capital investments</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(107)</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(98)</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(51)</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(304)</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(128)</w:t>
            </w:r>
          </w:p>
        </w:tc>
      </w:tr>
      <w:tr>
        <w:trPr>
          <w:trHeight w:val="196"/>
        </w:trPr>
        <w:tc>
          <w:tcPr>
            <w:tcW w:w="4580" w:type="dxa"/>
            <w:vAlign w:val="bottom"/>
          </w:tcPr>
          <w:p>
            <w:pPr>
              <w:ind w:left="20"/>
              <w:spacing w:after="0"/>
              <w:rPr>
                <w:sz w:val="20"/>
                <w:szCs w:val="20"/>
                <w:color w:val="auto"/>
              </w:rPr>
            </w:pPr>
            <w:r>
              <w:rPr>
                <w:rFonts w:ascii="Arial" w:cs="Arial" w:eastAsia="Arial" w:hAnsi="Arial"/>
                <w:sz w:val="14"/>
                <w:szCs w:val="14"/>
                <w:color w:val="auto"/>
              </w:rPr>
              <w:t>Free cash flow</w:t>
            </w:r>
          </w:p>
        </w:tc>
        <w:tc>
          <w:tcPr>
            <w:tcW w:w="16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b w:val="1"/>
                <w:bCs w:val="1"/>
                <w:color w:val="auto"/>
              </w:rPr>
              <w:t>128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83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131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272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328</w:t>
            </w:r>
          </w:p>
        </w:tc>
      </w:tr>
      <w:tr>
        <w:trPr>
          <w:trHeight w:val="203"/>
        </w:trPr>
        <w:tc>
          <w:tcPr>
            <w:tcW w:w="4580" w:type="dxa"/>
            <w:vAlign w:val="bottom"/>
          </w:tcPr>
          <w:p>
            <w:pPr>
              <w:ind w:left="140"/>
              <w:spacing w:after="0"/>
              <w:rPr>
                <w:sz w:val="20"/>
                <w:szCs w:val="20"/>
                <w:color w:val="auto"/>
              </w:rPr>
            </w:pPr>
            <w:r>
              <w:rPr>
                <w:rFonts w:ascii="Arial" w:cs="Arial" w:eastAsia="Arial" w:hAnsi="Arial"/>
                <w:sz w:val="14"/>
                <w:szCs w:val="14"/>
                <w:color w:val="auto"/>
              </w:rPr>
              <w:t>One-time bankruptcy related fees</w:t>
            </w:r>
          </w:p>
        </w:tc>
        <w:tc>
          <w:tcPr>
            <w:tcW w:w="1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5</w:t>
            </w:r>
          </w:p>
        </w:tc>
      </w:tr>
      <w:tr>
        <w:trPr>
          <w:trHeight w:val="197"/>
        </w:trPr>
        <w:tc>
          <w:tcPr>
            <w:tcW w:w="4580" w:type="dxa"/>
            <w:vAlign w:val="bottom"/>
          </w:tcPr>
          <w:p>
            <w:pPr>
              <w:ind w:left="20"/>
              <w:spacing w:after="0"/>
              <w:rPr>
                <w:sz w:val="20"/>
                <w:szCs w:val="20"/>
                <w:color w:val="auto"/>
              </w:rPr>
            </w:pPr>
            <w:r>
              <w:rPr>
                <w:rFonts w:ascii="Arial" w:cs="Arial" w:eastAsia="Arial" w:hAnsi="Arial"/>
                <w:sz w:val="14"/>
                <w:szCs w:val="14"/>
                <w:color w:val="auto"/>
              </w:rPr>
              <w:t>Free cash flow, after special items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128</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83</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132</w:t>
            </w:r>
          </w:p>
        </w:tc>
        <w:tc>
          <w:tcPr>
            <w:tcW w:w="2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272</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333</w:t>
            </w:r>
          </w:p>
        </w:tc>
      </w:tr>
      <w:tr>
        <w:trPr>
          <w:trHeight w:val="20"/>
        </w:trPr>
        <w:tc>
          <w:tcPr>
            <w:tcW w:w="4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383"/>
        </w:trPr>
        <w:tc>
          <w:tcPr>
            <w:tcW w:w="4580" w:type="dxa"/>
            <w:vAlign w:val="bottom"/>
          </w:tcPr>
          <w:p>
            <w:pPr>
              <w:ind w:left="20"/>
              <w:spacing w:after="0"/>
              <w:rPr>
                <w:sz w:val="20"/>
                <w:szCs w:val="20"/>
                <w:color w:val="auto"/>
              </w:rPr>
            </w:pPr>
            <w:r>
              <w:rPr>
                <w:rFonts w:ascii="Arial" w:cs="Arial" w:eastAsia="Arial" w:hAnsi="Arial"/>
                <w:sz w:val="14"/>
                <w:szCs w:val="14"/>
                <w:color w:val="auto"/>
              </w:rPr>
              <w:t>E&amp;P, Corporate and Other Free Cash Flow</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b w:val="1"/>
                <w:bCs w:val="1"/>
                <w:color w:val="auto"/>
              </w:rPr>
              <w:t>139</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98</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132</w:t>
            </w: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301</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333</w:t>
            </w:r>
          </w:p>
        </w:tc>
      </w:tr>
      <w:tr>
        <w:trPr>
          <w:trHeight w:val="203"/>
        </w:trPr>
        <w:tc>
          <w:tcPr>
            <w:tcW w:w="4580" w:type="dxa"/>
            <w:vAlign w:val="bottom"/>
          </w:tcPr>
          <w:p>
            <w:pPr>
              <w:ind w:left="20"/>
              <w:spacing w:after="0"/>
              <w:rPr>
                <w:sz w:val="20"/>
                <w:szCs w:val="20"/>
                <w:color w:val="auto"/>
              </w:rPr>
            </w:pPr>
            <w:r>
              <w:rPr>
                <w:rFonts w:ascii="Arial" w:cs="Arial" w:eastAsia="Arial" w:hAnsi="Arial"/>
                <w:sz w:val="14"/>
                <w:szCs w:val="14"/>
                <w:color w:val="auto"/>
              </w:rPr>
              <w:t>CMB Free Cash Flow</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240"/>
          </w:cols>
          <w:pgMar w:left="320" w:top="1116" w:right="339" w:bottom="1440" w:gutter="0" w:footer="0" w:header="0"/>
        </w:sectPr>
      </w:pPr>
    </w:p>
    <w:bookmarkStart w:id="18" w:name="page19"/>
    <w:bookmarkEnd w:id="18"/>
    <w:p>
      <w:pPr>
        <w:ind w:left="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225425</wp:posOffset>
            </wp:positionH>
            <wp:positionV relativeFrom="page">
              <wp:posOffset>671830</wp:posOffset>
            </wp:positionV>
            <wp:extent cx="70980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697865</wp:posOffset>
            </wp:positionV>
            <wp:extent cx="70980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98030" cy="8255"/>
                    </a:xfrm>
                    <a:prstGeom prst="rect">
                      <a:avLst/>
                    </a:prstGeom>
                    <a:noFill/>
                  </pic:spPr>
                </pic:pic>
              </a:graphicData>
            </a:graphic>
          </wp:anchor>
        </w:drawing>
        <w:t>ADJUSTED EBITDAX</w:t>
      </w:r>
    </w:p>
    <w:p>
      <w:pPr>
        <w:spacing w:after="0" w:line="136" w:lineRule="exact"/>
        <w:rPr>
          <w:sz w:val="20"/>
          <w:szCs w:val="20"/>
          <w:color w:val="auto"/>
        </w:rPr>
      </w:pPr>
    </w:p>
    <w:p>
      <w:pPr>
        <w:ind w:left="20" w:right="40"/>
        <w:spacing w:after="0" w:line="248" w:lineRule="auto"/>
        <w:rPr>
          <w:sz w:val="20"/>
          <w:szCs w:val="20"/>
          <w:color w:val="auto"/>
        </w:rPr>
      </w:pPr>
      <w:r>
        <w:rPr>
          <w:rFonts w:ascii="Arial" w:cs="Arial" w:eastAsia="Arial" w:hAnsi="Arial"/>
          <w:sz w:val="14"/>
          <w:szCs w:val="14"/>
          <w:color w:val="auto"/>
        </w:rPr>
        <w:t>We define Adjusted EBITDAX as earnings before interest expense; income taxes; depreciation, depletion and amortization; exploration expense; other unusual, infrequent and out-of-period items; and other non-cash items. We believe this measure provides useful information in assessing our financial condition, results of operations and cash flows and is widely used by the industry, the investment community and our lenders. Although this is a non-GAAP measure, the amounts included in the calculation were computed in accordance with GAAP. Certain items excluded from this non-GAAP measure are significant components in understanding and assessing our financial performance, such as our cost of capital and tax structure, as well as depreciation, depletion and amortization of our assets. This measure should be read in conjunction with the information contained in our financial statements prepared in accordance with GAAP. A version of Adjusted EBITDAX is a material component of certain of our financial covenants under our Revolving Credit Facility and is provided in addition to, and not as an alternative for, income and liquidity measures calculated in accordance with GAAP.</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4"/>
          <w:szCs w:val="14"/>
          <w:color w:val="auto"/>
        </w:rPr>
        <w:t>The following table represents a reconciliation of the GAAP financial measures of net income and net cash provided by operating activities to the non-GAAP financial measure</w:t>
      </w:r>
    </w:p>
    <w:p>
      <w:pPr>
        <w:spacing w:after="0" w:line="15" w:lineRule="exact"/>
        <w:rPr>
          <w:sz w:val="20"/>
          <w:szCs w:val="20"/>
          <w:color w:val="auto"/>
        </w:rPr>
      </w:pPr>
    </w:p>
    <w:p>
      <w:pPr>
        <w:ind w:left="20" w:right="40"/>
        <w:spacing w:after="0" w:line="231" w:lineRule="auto"/>
        <w:rPr>
          <w:sz w:val="20"/>
          <w:szCs w:val="20"/>
          <w:color w:val="auto"/>
        </w:rPr>
      </w:pPr>
      <w:r>
        <w:rPr>
          <w:rFonts w:ascii="Arial" w:cs="Arial" w:eastAsia="Arial" w:hAnsi="Arial"/>
          <w:sz w:val="14"/>
          <w:szCs w:val="14"/>
          <w:color w:val="auto"/>
        </w:rPr>
        <w:t>of adjusted EBITDAX. We have supplemented our non-GAAP measures of consolidated adjusted EBITDAX with adjusted EBITDAX for our exploration and production and corporate items (Adjusted EBITDAX for E&amp;P, Corporate &amp; Other) which we believe is a useful measure for investors to understand the results of our core oil and gas business..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We define adjusted EBITDAX for E&amp;P, Corporate &amp; Other as consolidated adjusted EBITDAX less results attributable to our carbon management business (CMB).</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3rd Quarter</w:t>
            </w:r>
          </w:p>
        </w:tc>
        <w:tc>
          <w:tcPr>
            <w:tcW w:w="140" w:type="dxa"/>
            <w:vAlign w:val="bottom"/>
          </w:tcPr>
          <w:p>
            <w:pPr>
              <w:spacing w:after="0"/>
              <w:rPr>
                <w:sz w:val="17"/>
                <w:szCs w:val="17"/>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2nd Quarter</w:t>
            </w:r>
          </w:p>
        </w:tc>
        <w:tc>
          <w:tcPr>
            <w:tcW w:w="160" w:type="dxa"/>
            <w:vAlign w:val="bottom"/>
          </w:tcPr>
          <w:p>
            <w:pPr>
              <w:spacing w:after="0"/>
              <w:rPr>
                <w:sz w:val="17"/>
                <w:szCs w:val="17"/>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3rd Quarter</w:t>
            </w:r>
          </w:p>
        </w:tc>
        <w:tc>
          <w:tcPr>
            <w:tcW w:w="140" w:type="dxa"/>
            <w:vAlign w:val="bottom"/>
          </w:tcPr>
          <w:p>
            <w:pPr>
              <w:spacing w:after="0"/>
              <w:rPr>
                <w:sz w:val="17"/>
                <w:szCs w:val="17"/>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Nine Months</w:t>
            </w:r>
          </w:p>
        </w:tc>
        <w:tc>
          <w:tcPr>
            <w:tcW w:w="140" w:type="dxa"/>
            <w:vAlign w:val="bottom"/>
          </w:tcPr>
          <w:p>
            <w:pPr>
              <w:spacing w:after="0"/>
              <w:rPr>
                <w:sz w:val="17"/>
                <w:szCs w:val="17"/>
                <w:color w:val="auto"/>
              </w:rPr>
            </w:pPr>
          </w:p>
        </w:tc>
        <w:tc>
          <w:tcPr>
            <w:tcW w:w="1100" w:type="dxa"/>
            <w:vAlign w:val="bottom"/>
          </w:tcPr>
          <w:p>
            <w:pPr>
              <w:jc w:val="right"/>
              <w:ind w:right="108"/>
              <w:spacing w:after="0"/>
              <w:rPr>
                <w:sz w:val="20"/>
                <w:szCs w:val="20"/>
                <w:color w:val="auto"/>
              </w:rPr>
            </w:pPr>
            <w:r>
              <w:rPr>
                <w:rFonts w:ascii="Arial" w:cs="Arial" w:eastAsia="Arial" w:hAnsi="Arial"/>
                <w:sz w:val="14"/>
                <w:szCs w:val="14"/>
                <w:b w:val="1"/>
                <w:bCs w:val="1"/>
                <w:color w:val="auto"/>
              </w:rPr>
              <w:t>Nine Months</w:t>
            </w:r>
          </w:p>
        </w:tc>
      </w:tr>
      <w:tr>
        <w:trPr>
          <w:trHeight w:val="204"/>
        </w:trPr>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 except per BOE amounts)</w:t>
            </w: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r>
      <w:tr>
        <w:trPr>
          <w:trHeight w:val="195"/>
        </w:trPr>
        <w:tc>
          <w:tcPr>
            <w:tcW w:w="450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160" w:type="dxa"/>
            <w:vAlign w:val="bottom"/>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426</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b w:val="1"/>
                <w:bCs w:val="1"/>
                <w:color w:val="auto"/>
              </w:rPr>
              <w:t>190</w:t>
            </w:r>
          </w:p>
        </w:tc>
        <w:tc>
          <w:tcPr>
            <w:tcW w:w="2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107</w:t>
            </w:r>
          </w:p>
        </w:tc>
        <w:tc>
          <w:tcPr>
            <w:tcW w:w="2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441</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(89)</w:t>
            </w:r>
          </w:p>
        </w:tc>
      </w:tr>
      <w:tr>
        <w:trPr>
          <w:trHeight w:val="203"/>
        </w:trPr>
        <w:tc>
          <w:tcPr>
            <w:tcW w:w="4500" w:type="dxa"/>
            <w:vAlign w:val="bottom"/>
          </w:tcPr>
          <w:p>
            <w:pPr>
              <w:ind w:left="140"/>
              <w:spacing w:after="0"/>
              <w:rPr>
                <w:sz w:val="20"/>
                <w:szCs w:val="20"/>
                <w:color w:val="auto"/>
              </w:rPr>
            </w:pPr>
            <w:r>
              <w:rPr>
                <w:rFonts w:ascii="Arial" w:cs="Arial" w:eastAsia="Arial" w:hAnsi="Arial"/>
                <w:sz w:val="14"/>
                <w:szCs w:val="14"/>
                <w:color w:val="auto"/>
              </w:rPr>
              <w:t>Interest and debt expense, net</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b w:val="1"/>
                <w:bCs w:val="1"/>
                <w:color w:val="auto"/>
              </w:rPr>
              <w:t>13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b w:val="1"/>
                <w:bCs w:val="1"/>
                <w:color w:val="auto"/>
              </w:rPr>
              <w:t>40</w:t>
            </w:r>
          </w:p>
        </w:tc>
      </w:tr>
      <w:tr>
        <w:trPr>
          <w:trHeight w:val="203"/>
        </w:trPr>
        <w:tc>
          <w:tcPr>
            <w:tcW w:w="4500" w:type="dxa"/>
            <w:vAlign w:val="bottom"/>
          </w:tcPr>
          <w:p>
            <w:pPr>
              <w:ind w:left="140"/>
              <w:spacing w:after="0"/>
              <w:rPr>
                <w:sz w:val="20"/>
                <w:szCs w:val="20"/>
                <w:color w:val="auto"/>
              </w:rPr>
            </w:pPr>
            <w:r>
              <w:rPr>
                <w:rFonts w:ascii="Arial" w:cs="Arial" w:eastAsia="Arial" w:hAnsi="Arial"/>
                <w:sz w:val="14"/>
                <w:szCs w:val="14"/>
                <w:color w:val="auto"/>
              </w:rPr>
              <w:t>Depreciation, depletion and amortization</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50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b w:val="1"/>
                <w:bCs w:val="1"/>
                <w:color w:val="auto"/>
              </w:rPr>
              <w:t>50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54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149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b w:val="1"/>
                <w:bCs w:val="1"/>
                <w:color w:val="auto"/>
              </w:rPr>
              <w:t>160</w:t>
            </w:r>
          </w:p>
        </w:tc>
      </w:tr>
      <w:tr>
        <w:trPr>
          <w:trHeight w:val="203"/>
        </w:trPr>
        <w:tc>
          <w:tcPr>
            <w:tcW w:w="4500" w:type="dxa"/>
            <w:vAlign w:val="bottom"/>
          </w:tcPr>
          <w:p>
            <w:pPr>
              <w:ind w:left="140"/>
              <w:spacing w:after="0"/>
              <w:rPr>
                <w:sz w:val="20"/>
                <w:szCs w:val="20"/>
                <w:color w:val="auto"/>
              </w:rPr>
            </w:pPr>
            <w:r>
              <w:rPr>
                <w:rFonts w:ascii="Arial" w:cs="Arial" w:eastAsia="Arial" w:hAnsi="Arial"/>
                <w:sz w:val="14"/>
                <w:szCs w:val="14"/>
                <w:color w:val="auto"/>
              </w:rPr>
              <w:t>Income tax provision</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153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b w:val="1"/>
                <w:bCs w:val="1"/>
                <w:color w:val="auto"/>
              </w:rPr>
              <w:t>76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203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r>
      <w:tr>
        <w:trPr>
          <w:trHeight w:val="203"/>
        </w:trPr>
        <w:tc>
          <w:tcPr>
            <w:tcW w:w="4500" w:type="dxa"/>
            <w:vAlign w:val="bottom"/>
          </w:tcPr>
          <w:p>
            <w:pPr>
              <w:ind w:left="140"/>
              <w:spacing w:after="0"/>
              <w:rPr>
                <w:sz w:val="20"/>
                <w:szCs w:val="20"/>
                <w:color w:val="auto"/>
              </w:rPr>
            </w:pPr>
            <w:r>
              <w:rPr>
                <w:rFonts w:ascii="Arial" w:cs="Arial" w:eastAsia="Arial" w:hAnsi="Arial"/>
                <w:sz w:val="14"/>
                <w:szCs w:val="14"/>
                <w:color w:val="auto"/>
              </w:rPr>
              <w:t>Exploration expense</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b w:val="1"/>
                <w:bCs w:val="1"/>
                <w:color w:val="auto"/>
              </w:rPr>
              <w:t>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b w:val="1"/>
                <w:bCs w:val="1"/>
                <w:color w:val="auto"/>
              </w:rPr>
              <w:t>6</w:t>
            </w:r>
          </w:p>
        </w:tc>
      </w:tr>
      <w:tr>
        <w:trPr>
          <w:trHeight w:val="170"/>
        </w:trPr>
        <w:tc>
          <w:tcPr>
            <w:tcW w:w="4500" w:type="dxa"/>
            <w:vAlign w:val="bottom"/>
          </w:tcPr>
          <w:p>
            <w:pPr>
              <w:ind w:left="140"/>
              <w:spacing w:after="0"/>
              <w:rPr>
                <w:sz w:val="20"/>
                <w:szCs w:val="20"/>
                <w:color w:val="auto"/>
              </w:rPr>
            </w:pPr>
            <w:r>
              <w:rPr>
                <w:rFonts w:ascii="Arial" w:cs="Arial" w:eastAsia="Arial" w:hAnsi="Arial"/>
                <w:sz w:val="14"/>
                <w:szCs w:val="14"/>
                <w:color w:val="auto"/>
              </w:rPr>
              <w:t>Interest income</w:t>
            </w:r>
          </w:p>
        </w:tc>
        <w:tc>
          <w:tcPr>
            <w:tcW w:w="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r>
      <w:tr>
        <w:trPr>
          <w:trHeight w:val="242"/>
        </w:trPr>
        <w:tc>
          <w:tcPr>
            <w:tcW w:w="4500" w:type="dxa"/>
            <w:vAlign w:val="bottom"/>
          </w:tcPr>
          <w:p>
            <w:pPr>
              <w:ind w:left="140"/>
              <w:spacing w:after="0" w:line="242" w:lineRule="exact"/>
              <w:rPr>
                <w:sz w:val="20"/>
                <w:szCs w:val="20"/>
                <w:color w:val="auto"/>
              </w:rPr>
            </w:pPr>
            <w:r>
              <w:rPr>
                <w:rFonts w:ascii="Arial" w:cs="Arial" w:eastAsia="Arial" w:hAnsi="Arial"/>
                <w:sz w:val="14"/>
                <w:szCs w:val="14"/>
                <w:color w:val="auto"/>
              </w:rPr>
              <w:t xml:space="preserve">Unusual, infrequent and other items </w:t>
            </w:r>
            <w:r>
              <w:rPr>
                <w:rFonts w:ascii="Arial" w:cs="Arial" w:eastAsia="Arial" w:hAnsi="Arial"/>
                <w:sz w:val="23"/>
                <w:szCs w:val="23"/>
                <w:color w:val="auto"/>
                <w:vertAlign w:val="superscript"/>
              </w:rPr>
              <w:t>(a)</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(423)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(141)</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48</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b w:val="1"/>
                <w:bCs w:val="1"/>
                <w:color w:val="auto"/>
              </w:rPr>
              <w:t>433</w:t>
            </w:r>
          </w:p>
        </w:tc>
      </w:tr>
      <w:tr>
        <w:trPr>
          <w:trHeight w:val="190"/>
        </w:trPr>
        <w:tc>
          <w:tcPr>
            <w:tcW w:w="4500" w:type="dxa"/>
            <w:vAlign w:val="bottom"/>
          </w:tcPr>
          <w:p>
            <w:pPr>
              <w:ind w:left="140"/>
              <w:spacing w:after="0"/>
              <w:rPr>
                <w:sz w:val="20"/>
                <w:szCs w:val="20"/>
                <w:color w:val="auto"/>
              </w:rPr>
            </w:pPr>
            <w:r>
              <w:rPr>
                <w:rFonts w:ascii="Arial" w:cs="Arial" w:eastAsia="Arial" w:hAnsi="Arial"/>
                <w:sz w:val="14"/>
                <w:szCs w:val="14"/>
                <w:color w:val="auto"/>
              </w:rPr>
              <w:t>Non-cash items</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8"/>
        </w:trPr>
        <w:tc>
          <w:tcPr>
            <w:tcW w:w="4500" w:type="dxa"/>
            <w:vAlign w:val="bottom"/>
          </w:tcPr>
          <w:p>
            <w:pPr>
              <w:ind w:left="240"/>
              <w:spacing w:after="0"/>
              <w:rPr>
                <w:sz w:val="20"/>
                <w:szCs w:val="20"/>
                <w:color w:val="auto"/>
              </w:rPr>
            </w:pPr>
            <w:r>
              <w:rPr>
                <w:rFonts w:ascii="Arial" w:cs="Arial" w:eastAsia="Arial" w:hAnsi="Arial"/>
                <w:sz w:val="14"/>
                <w:szCs w:val="14"/>
                <w:color w:val="auto"/>
              </w:rPr>
              <w:t>Accretion expense</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b w:val="1"/>
                <w:bCs w:val="1"/>
                <w:color w:val="auto"/>
              </w:rPr>
              <w:t>11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b w:val="1"/>
                <w:bCs w:val="1"/>
                <w:color w:val="auto"/>
              </w:rPr>
              <w:t>39</w:t>
            </w:r>
          </w:p>
        </w:tc>
      </w:tr>
      <w:tr>
        <w:trPr>
          <w:trHeight w:val="203"/>
        </w:trPr>
        <w:tc>
          <w:tcPr>
            <w:tcW w:w="4500" w:type="dxa"/>
            <w:vAlign w:val="bottom"/>
          </w:tcPr>
          <w:p>
            <w:pPr>
              <w:ind w:left="260"/>
              <w:spacing w:after="0"/>
              <w:rPr>
                <w:sz w:val="20"/>
                <w:szCs w:val="20"/>
                <w:color w:val="auto"/>
              </w:rPr>
            </w:pPr>
            <w:r>
              <w:rPr>
                <w:rFonts w:ascii="Arial" w:cs="Arial" w:eastAsia="Arial" w:hAnsi="Arial"/>
                <w:sz w:val="14"/>
                <w:szCs w:val="14"/>
                <w:color w:val="auto"/>
              </w:rPr>
              <w:t>Stock-based compensation</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b w:val="1"/>
                <w:bCs w:val="1"/>
                <w:color w:val="auto"/>
              </w:rPr>
              <w:t>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b w:val="1"/>
                <w:bCs w:val="1"/>
                <w:color w:val="auto"/>
              </w:rPr>
              <w:t>10</w:t>
            </w:r>
          </w:p>
        </w:tc>
      </w:tr>
      <w:tr>
        <w:trPr>
          <w:trHeight w:val="203"/>
        </w:trPr>
        <w:tc>
          <w:tcPr>
            <w:tcW w:w="4500" w:type="dxa"/>
            <w:vAlign w:val="bottom"/>
          </w:tcPr>
          <w:p>
            <w:pPr>
              <w:ind w:left="260"/>
              <w:spacing w:after="0"/>
              <w:rPr>
                <w:sz w:val="20"/>
                <w:szCs w:val="20"/>
                <w:color w:val="auto"/>
              </w:rPr>
            </w:pPr>
            <w:r>
              <w:rPr>
                <w:rFonts w:ascii="Arial" w:cs="Arial" w:eastAsia="Arial" w:hAnsi="Arial"/>
                <w:sz w:val="14"/>
                <w:szCs w:val="14"/>
                <w:color w:val="auto"/>
              </w:rPr>
              <w:t>Post-retirement medical and pension</w:t>
            </w:r>
          </w:p>
        </w:tc>
        <w:tc>
          <w:tcPr>
            <w:tcW w:w="1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b w:val="1"/>
                <w:bCs w:val="1"/>
                <w:color w:val="auto"/>
              </w:rPr>
              <w:t>1</w:t>
            </w:r>
          </w:p>
        </w:tc>
      </w:tr>
      <w:tr>
        <w:trPr>
          <w:trHeight w:val="197"/>
        </w:trPr>
        <w:tc>
          <w:tcPr>
            <w:tcW w:w="4500" w:type="dxa"/>
            <w:vAlign w:val="bottom"/>
          </w:tcPr>
          <w:p>
            <w:pPr>
              <w:ind w:left="20"/>
              <w:spacing w:after="0"/>
              <w:rPr>
                <w:sz w:val="20"/>
                <w:szCs w:val="20"/>
                <w:color w:val="auto"/>
              </w:rPr>
            </w:pPr>
            <w:r>
              <w:rPr>
                <w:rFonts w:ascii="Arial" w:cs="Arial" w:eastAsia="Arial" w:hAnsi="Arial"/>
                <w:sz w:val="14"/>
                <w:szCs w:val="14"/>
                <w:b w:val="1"/>
                <w:bCs w:val="1"/>
                <w:color w:val="auto"/>
              </w:rPr>
              <w:t>Adjusted EBITDAX</w:t>
            </w: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234</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204</w:t>
            </w:r>
          </w:p>
        </w:tc>
        <w:tc>
          <w:tcPr>
            <w:tcW w:w="2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242</w:t>
            </w:r>
          </w:p>
        </w:tc>
        <w:tc>
          <w:tcPr>
            <w:tcW w:w="2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644</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600</w:t>
            </w:r>
          </w:p>
        </w:tc>
      </w:tr>
      <w:tr>
        <w:trPr>
          <w:trHeight w:val="21"/>
        </w:trPr>
        <w:tc>
          <w:tcPr>
            <w:tcW w:w="4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383"/>
        </w:trPr>
        <w:tc>
          <w:tcPr>
            <w:tcW w:w="4500" w:type="dxa"/>
            <w:vAlign w:val="bottom"/>
          </w:tcPr>
          <w:p>
            <w:pPr>
              <w:ind w:left="20"/>
              <w:spacing w:after="0"/>
              <w:rPr>
                <w:sz w:val="20"/>
                <w:szCs w:val="20"/>
                <w:color w:val="auto"/>
              </w:rPr>
            </w:pPr>
            <w:r>
              <w:rPr>
                <w:rFonts w:ascii="Arial" w:cs="Arial" w:eastAsia="Arial" w:hAnsi="Arial"/>
                <w:sz w:val="14"/>
                <w:szCs w:val="14"/>
                <w:color w:val="auto"/>
              </w:rPr>
              <w:t>Net cash used by operating activities</w:t>
            </w:r>
          </w:p>
        </w:tc>
        <w:tc>
          <w:tcPr>
            <w:tcW w:w="160" w:type="dxa"/>
            <w:vAlign w:val="bottom"/>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235</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b w:val="1"/>
                <w:bCs w:val="1"/>
                <w:color w:val="auto"/>
              </w:rPr>
              <w:t>181</w:t>
            </w:r>
          </w:p>
        </w:tc>
        <w:tc>
          <w:tcPr>
            <w:tcW w:w="2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182</w:t>
            </w: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576</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b w:val="1"/>
                <w:bCs w:val="1"/>
                <w:color w:val="auto"/>
              </w:rPr>
              <w:t>456</w:t>
            </w:r>
          </w:p>
        </w:tc>
      </w:tr>
      <w:tr>
        <w:trPr>
          <w:trHeight w:val="203"/>
        </w:trPr>
        <w:tc>
          <w:tcPr>
            <w:tcW w:w="4500" w:type="dxa"/>
            <w:vAlign w:val="bottom"/>
          </w:tcPr>
          <w:p>
            <w:pPr>
              <w:ind w:left="140"/>
              <w:spacing w:after="0"/>
              <w:rPr>
                <w:sz w:val="20"/>
                <w:szCs w:val="20"/>
                <w:color w:val="auto"/>
              </w:rPr>
            </w:pPr>
            <w:r>
              <w:rPr>
                <w:rFonts w:ascii="Arial" w:cs="Arial" w:eastAsia="Arial" w:hAnsi="Arial"/>
                <w:sz w:val="14"/>
                <w:szCs w:val="14"/>
                <w:color w:val="auto"/>
              </w:rPr>
              <w:t>Cash interest</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b w:val="1"/>
                <w:bCs w:val="1"/>
                <w:color w:val="auto"/>
              </w:rPr>
              <w:t>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48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b w:val="1"/>
                <w:bCs w:val="1"/>
                <w:color w:val="auto"/>
              </w:rPr>
              <w:t>29</w:t>
            </w:r>
          </w:p>
        </w:tc>
      </w:tr>
      <w:tr>
        <w:trPr>
          <w:trHeight w:val="203"/>
        </w:trPr>
        <w:tc>
          <w:tcPr>
            <w:tcW w:w="4500" w:type="dxa"/>
            <w:vAlign w:val="bottom"/>
          </w:tcPr>
          <w:p>
            <w:pPr>
              <w:ind w:left="140"/>
              <w:spacing w:after="0"/>
              <w:rPr>
                <w:sz w:val="20"/>
                <w:szCs w:val="20"/>
                <w:color w:val="auto"/>
              </w:rPr>
            </w:pPr>
            <w:r>
              <w:rPr>
                <w:rFonts w:ascii="Arial" w:cs="Arial" w:eastAsia="Arial" w:hAnsi="Arial"/>
                <w:sz w:val="14"/>
                <w:szCs w:val="14"/>
                <w:color w:val="auto"/>
              </w:rPr>
              <w:t>Cash income taxes</w:t>
            </w:r>
          </w:p>
        </w:tc>
        <w:tc>
          <w:tcPr>
            <w:tcW w:w="1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b w:val="1"/>
                <w:bCs w:val="1"/>
                <w:color w:val="auto"/>
              </w:rPr>
              <w:t>20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r>
      <w:tr>
        <w:trPr>
          <w:trHeight w:val="203"/>
        </w:trPr>
        <w:tc>
          <w:tcPr>
            <w:tcW w:w="4500" w:type="dxa"/>
            <w:vAlign w:val="bottom"/>
          </w:tcPr>
          <w:p>
            <w:pPr>
              <w:ind w:left="140"/>
              <w:spacing w:after="0"/>
              <w:rPr>
                <w:sz w:val="20"/>
                <w:szCs w:val="20"/>
                <w:color w:val="auto"/>
              </w:rPr>
            </w:pPr>
            <w:r>
              <w:rPr>
                <w:rFonts w:ascii="Arial" w:cs="Arial" w:eastAsia="Arial" w:hAnsi="Arial"/>
                <w:sz w:val="14"/>
                <w:szCs w:val="14"/>
                <w:color w:val="auto"/>
              </w:rPr>
              <w:t>Exploration expenditures</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b w:val="1"/>
                <w:bCs w:val="1"/>
                <w:color w:val="auto"/>
              </w:rPr>
              <w:t>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b w:val="1"/>
                <w:bCs w:val="1"/>
                <w:color w:val="auto"/>
              </w:rPr>
              <w:t>6</w:t>
            </w:r>
          </w:p>
        </w:tc>
      </w:tr>
      <w:tr>
        <w:trPr>
          <w:trHeight w:val="203"/>
        </w:trPr>
        <w:tc>
          <w:tcPr>
            <w:tcW w:w="4500" w:type="dxa"/>
            <w:vAlign w:val="bottom"/>
          </w:tcPr>
          <w:p>
            <w:pPr>
              <w:ind w:left="140"/>
              <w:spacing w:after="0"/>
              <w:rPr>
                <w:sz w:val="20"/>
                <w:szCs w:val="20"/>
                <w:color w:val="auto"/>
              </w:rPr>
            </w:pPr>
            <w:r>
              <w:rPr>
                <w:rFonts w:ascii="Arial" w:cs="Arial" w:eastAsia="Arial" w:hAnsi="Arial"/>
                <w:sz w:val="14"/>
                <w:szCs w:val="14"/>
                <w:color w:val="auto"/>
              </w:rPr>
              <w:t>Working capital changes</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b w:val="1"/>
                <w:bCs w:val="1"/>
                <w:color w:val="auto"/>
              </w:rPr>
              <w:t>109</w:t>
            </w:r>
          </w:p>
        </w:tc>
      </w:tr>
      <w:tr>
        <w:trPr>
          <w:trHeight w:val="197"/>
        </w:trPr>
        <w:tc>
          <w:tcPr>
            <w:tcW w:w="4500" w:type="dxa"/>
            <w:vAlign w:val="bottom"/>
          </w:tcPr>
          <w:p>
            <w:pPr>
              <w:ind w:left="20"/>
              <w:spacing w:after="0"/>
              <w:rPr>
                <w:sz w:val="20"/>
                <w:szCs w:val="20"/>
                <w:color w:val="auto"/>
              </w:rPr>
            </w:pPr>
            <w:r>
              <w:rPr>
                <w:rFonts w:ascii="Arial" w:cs="Arial" w:eastAsia="Arial" w:hAnsi="Arial"/>
                <w:sz w:val="14"/>
                <w:szCs w:val="14"/>
                <w:b w:val="1"/>
                <w:bCs w:val="1"/>
                <w:color w:val="auto"/>
              </w:rPr>
              <w:t>Adjusted EBITDAX</w:t>
            </w: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234</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204</w:t>
            </w:r>
          </w:p>
        </w:tc>
        <w:tc>
          <w:tcPr>
            <w:tcW w:w="2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242</w:t>
            </w:r>
          </w:p>
        </w:tc>
        <w:tc>
          <w:tcPr>
            <w:tcW w:w="2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644</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600</w:t>
            </w:r>
          </w:p>
        </w:tc>
      </w:tr>
      <w:tr>
        <w:trPr>
          <w:trHeight w:val="20"/>
        </w:trPr>
        <w:tc>
          <w:tcPr>
            <w:tcW w:w="4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75"/>
        </w:trPr>
        <w:tc>
          <w:tcPr>
            <w:tcW w:w="4500" w:type="dxa"/>
            <w:vAlign w:val="bottom"/>
          </w:tcPr>
          <w:p>
            <w:pPr>
              <w:ind w:left="20"/>
              <w:spacing w:after="0"/>
              <w:rPr>
                <w:sz w:val="20"/>
                <w:szCs w:val="20"/>
                <w:color w:val="auto"/>
              </w:rPr>
            </w:pPr>
            <w:r>
              <w:rPr>
                <w:rFonts w:ascii="Arial" w:cs="Arial" w:eastAsia="Arial" w:hAnsi="Arial"/>
                <w:sz w:val="14"/>
                <w:szCs w:val="14"/>
                <w:b w:val="1"/>
                <w:bCs w:val="1"/>
                <w:color w:val="auto"/>
              </w:rPr>
              <w:t>E&amp;P, Corporate &amp; Other Adjusted EBITDAX</w:t>
            </w:r>
          </w:p>
        </w:tc>
        <w:tc>
          <w:tcPr>
            <w:tcW w:w="160" w:type="dxa"/>
            <w:vAlign w:val="bottom"/>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239</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b w:val="1"/>
                <w:bCs w:val="1"/>
                <w:color w:val="auto"/>
              </w:rPr>
              <w:t>209</w:t>
            </w:r>
          </w:p>
        </w:tc>
        <w:tc>
          <w:tcPr>
            <w:tcW w:w="2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242</w:t>
            </w:r>
          </w:p>
        </w:tc>
        <w:tc>
          <w:tcPr>
            <w:tcW w:w="2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656</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b w:val="1"/>
                <w:bCs w:val="1"/>
                <w:color w:val="auto"/>
              </w:rPr>
              <w:t>600</w:t>
            </w:r>
          </w:p>
        </w:tc>
      </w:tr>
      <w:tr>
        <w:trPr>
          <w:trHeight w:val="203"/>
        </w:trPr>
        <w:tc>
          <w:tcPr>
            <w:tcW w:w="4500" w:type="dxa"/>
            <w:vAlign w:val="bottom"/>
          </w:tcPr>
          <w:p>
            <w:pPr>
              <w:ind w:left="20"/>
              <w:spacing w:after="0"/>
              <w:rPr>
                <w:sz w:val="20"/>
                <w:szCs w:val="20"/>
                <w:color w:val="auto"/>
              </w:rPr>
            </w:pPr>
            <w:r>
              <w:rPr>
                <w:rFonts w:ascii="Arial" w:cs="Arial" w:eastAsia="Arial" w:hAnsi="Arial"/>
                <w:sz w:val="14"/>
                <w:szCs w:val="14"/>
                <w:b w:val="1"/>
                <w:bCs w:val="1"/>
                <w:color w:val="auto"/>
              </w:rPr>
              <w:t>CMB Adjusted EBITDAX</w:t>
            </w:r>
          </w:p>
        </w:tc>
        <w:tc>
          <w:tcPr>
            <w:tcW w:w="160" w:type="dxa"/>
            <w:vAlign w:val="bottom"/>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r>
      <w:tr>
        <w:trPr>
          <w:trHeight w:val="310"/>
        </w:trPr>
        <w:tc>
          <w:tcPr>
            <w:tcW w:w="4500" w:type="dxa"/>
            <w:vAlign w:val="bottom"/>
          </w:tcPr>
          <w:p>
            <w:pPr>
              <w:ind w:left="20"/>
              <w:spacing w:after="0"/>
              <w:rPr>
                <w:sz w:val="20"/>
                <w:szCs w:val="20"/>
                <w:color w:val="auto"/>
              </w:rPr>
            </w:pPr>
            <w:r>
              <w:rPr>
                <w:rFonts w:ascii="Arial" w:cs="Arial" w:eastAsia="Arial" w:hAnsi="Arial"/>
                <w:sz w:val="14"/>
                <w:szCs w:val="14"/>
                <w:b w:val="1"/>
                <w:bCs w:val="1"/>
                <w:color w:val="auto"/>
              </w:rPr>
              <w:t>Adjusted EBITDAX per Boe</w:t>
            </w:r>
          </w:p>
        </w:tc>
        <w:tc>
          <w:tcPr>
            <w:tcW w:w="160" w:type="dxa"/>
            <w:vAlign w:val="bottom"/>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27.63</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b w:val="1"/>
                <w:bCs w:val="1"/>
                <w:color w:val="auto"/>
              </w:rPr>
              <w:t>24.61</w:t>
            </w:r>
          </w:p>
        </w:tc>
        <w:tc>
          <w:tcPr>
            <w:tcW w:w="2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25.83</w:t>
            </w: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26.06</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b w:val="1"/>
                <w:bCs w:val="1"/>
                <w:color w:val="auto"/>
              </w:rPr>
              <w:t>21.85</w:t>
            </w:r>
          </w:p>
        </w:tc>
      </w:tr>
    </w:tbl>
    <w:p>
      <w:pPr>
        <w:spacing w:after="0" w:line="2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(a) See Adjusted Net Income (Loss) reconciliation.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180"/>
          </w:cols>
          <w:pgMar w:left="360" w:top="1116" w:right="359" w:bottom="1440" w:gutter="0" w:footer="0" w:header="0"/>
        </w:sectPr>
      </w:pPr>
    </w:p>
    <w:bookmarkStart w:id="19" w:name="page20"/>
    <w:bookmarkEnd w:id="19"/>
    <w:p>
      <w:pPr>
        <w:ind w:left="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233680</wp:posOffset>
            </wp:positionH>
            <wp:positionV relativeFrom="page">
              <wp:posOffset>671830</wp:posOffset>
            </wp:positionV>
            <wp:extent cx="70891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697865</wp:posOffset>
            </wp:positionV>
            <wp:extent cx="70891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89140" cy="8255"/>
                    </a:xfrm>
                    <a:prstGeom prst="rect">
                      <a:avLst/>
                    </a:prstGeom>
                    <a:noFill/>
                  </pic:spPr>
                </pic:pic>
              </a:graphicData>
            </a:graphic>
          </wp:anchor>
        </w:drawing>
        <w:t>ADJUSTED GENERAL &amp; ADMINISTRATIVE EXPENSES</w:t>
      </w:r>
    </w:p>
    <w:p>
      <w:pPr>
        <w:spacing w:after="0" w:line="136" w:lineRule="exact"/>
        <w:rPr>
          <w:sz w:val="20"/>
          <w:szCs w:val="20"/>
          <w:color w:val="auto"/>
        </w:rPr>
      </w:pPr>
    </w:p>
    <w:p>
      <w:pPr>
        <w:ind w:left="20" w:right="60"/>
        <w:spacing w:after="0" w:line="252" w:lineRule="auto"/>
        <w:rPr>
          <w:sz w:val="20"/>
          <w:szCs w:val="20"/>
          <w:color w:val="auto"/>
        </w:rPr>
      </w:pPr>
      <w:r>
        <w:rPr>
          <w:rFonts w:ascii="Arial" w:cs="Arial" w:eastAsia="Arial" w:hAnsi="Arial"/>
          <w:sz w:val="14"/>
          <w:szCs w:val="14"/>
          <w:color w:val="auto"/>
        </w:rPr>
        <w:t>Management uses a measure called adjusted general and administrative (G&amp;A) expenses to provide useful information to investors interested in comparing our costs between periods and performance to our peers. We supplemented our non-GAAP measure of adjusted general and administrative expenses with adjusted general and administrative expenses of our exploration and production and corporate items (Adjusted General &amp; Administrative Expenses for E&amp;P, Corporate &amp; Other) which we believe is a useful measure for investors to understand the results or our core oil and gas business. We define Adjusted General &amp; Administrative Expenses for E&amp;P, Corporate &amp; Other as consolidated adjusted general and administrative expenses less results attributable to our carbon management business (CMB).</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148"/>
              <w:spacing w:after="0"/>
              <w:rPr>
                <w:sz w:val="20"/>
                <w:szCs w:val="20"/>
                <w:color w:val="auto"/>
              </w:rPr>
            </w:pPr>
            <w:r>
              <w:rPr>
                <w:rFonts w:ascii="Arial" w:cs="Arial" w:eastAsia="Arial" w:hAnsi="Arial"/>
                <w:sz w:val="14"/>
                <w:szCs w:val="14"/>
                <w:b w:val="1"/>
                <w:bCs w:val="1"/>
                <w:color w:val="auto"/>
              </w:rPr>
              <w:t>3rd Quarter</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b w:val="1"/>
                <w:bCs w:val="1"/>
                <w:color w:val="auto"/>
              </w:rPr>
              <w:t>2nd Quarter</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3rd Quarter</w:t>
            </w:r>
          </w:p>
        </w:tc>
        <w:tc>
          <w:tcPr>
            <w:tcW w:w="120" w:type="dxa"/>
            <w:vAlign w:val="bottom"/>
          </w:tcPr>
          <w:p>
            <w:pPr>
              <w:spacing w:after="0"/>
              <w:rPr>
                <w:sz w:val="17"/>
                <w:szCs w:val="17"/>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Nine Months</w:t>
            </w:r>
          </w:p>
        </w:tc>
        <w:tc>
          <w:tcPr>
            <w:tcW w:w="120" w:type="dxa"/>
            <w:vAlign w:val="bottom"/>
          </w:tcPr>
          <w:p>
            <w:pPr>
              <w:spacing w:after="0"/>
              <w:rPr>
                <w:sz w:val="17"/>
                <w:szCs w:val="17"/>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b w:val="1"/>
                <w:bCs w:val="1"/>
                <w:color w:val="auto"/>
              </w:rPr>
              <w:t>Nine Months</w:t>
            </w:r>
          </w:p>
        </w:tc>
      </w:tr>
      <w:tr>
        <w:trPr>
          <w:trHeight w:val="203"/>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r>
      <w:tr>
        <w:trPr>
          <w:trHeight w:val="195"/>
        </w:trPr>
        <w:tc>
          <w:tcPr>
            <w:tcW w:w="4520" w:type="dxa"/>
            <w:vAlign w:val="bottom"/>
          </w:tcPr>
          <w:p>
            <w:pPr>
              <w:ind w:left="20"/>
              <w:spacing w:after="0"/>
              <w:rPr>
                <w:sz w:val="20"/>
                <w:szCs w:val="20"/>
                <w:color w:val="auto"/>
              </w:rPr>
            </w:pPr>
            <w:r>
              <w:rPr>
                <w:rFonts w:ascii="Arial" w:cs="Arial" w:eastAsia="Arial" w:hAnsi="Arial"/>
                <w:sz w:val="14"/>
                <w:szCs w:val="14"/>
                <w:color w:val="auto"/>
              </w:rPr>
              <w:t>General and administrative expenses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Pr>
          <w:p>
            <w:pPr>
              <w:jc w:val="right"/>
              <w:ind w:right="8"/>
              <w:spacing w:after="0"/>
              <w:rPr>
                <w:sz w:val="20"/>
                <w:szCs w:val="20"/>
                <w:color w:val="auto"/>
              </w:rPr>
            </w:pPr>
            <w:r>
              <w:rPr>
                <w:rFonts w:ascii="Arial" w:cs="Arial" w:eastAsia="Arial" w:hAnsi="Arial"/>
                <w:sz w:val="14"/>
                <w:szCs w:val="14"/>
                <w:b w:val="1"/>
                <w:bCs w:val="1"/>
                <w:color w:val="auto"/>
              </w:rPr>
              <w:t>59</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b w:val="1"/>
                <w:bCs w:val="1"/>
                <w:color w:val="auto"/>
              </w:rPr>
              <w:t>56</w:t>
            </w:r>
          </w:p>
        </w:tc>
        <w:tc>
          <w:tcPr>
            <w:tcW w:w="4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51</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163</w:t>
            </w:r>
          </w:p>
        </w:tc>
        <w:tc>
          <w:tcPr>
            <w:tcW w:w="1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Pr>
          <w:p>
            <w:pPr>
              <w:jc w:val="right"/>
              <w:ind w:right="8"/>
              <w:spacing w:after="0"/>
              <w:rPr>
                <w:sz w:val="20"/>
                <w:szCs w:val="20"/>
                <w:color w:val="auto"/>
              </w:rPr>
            </w:pPr>
            <w:r>
              <w:rPr>
                <w:rFonts w:ascii="Arial" w:cs="Arial" w:eastAsia="Arial" w:hAnsi="Arial"/>
                <w:sz w:val="14"/>
                <w:szCs w:val="14"/>
                <w:b w:val="1"/>
                <w:bCs w:val="1"/>
                <w:color w:val="auto"/>
              </w:rPr>
              <w:t>147</w:t>
            </w:r>
          </w:p>
        </w:tc>
      </w:tr>
      <w:tr>
        <w:trPr>
          <w:trHeight w:val="203"/>
        </w:trPr>
        <w:tc>
          <w:tcPr>
            <w:tcW w:w="452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(10)</w:t>
            </w:r>
          </w:p>
        </w:tc>
      </w:tr>
      <w:tr>
        <w:trPr>
          <w:trHeight w:val="204"/>
        </w:trPr>
        <w:tc>
          <w:tcPr>
            <w:tcW w:w="4520" w:type="dxa"/>
            <w:vAlign w:val="bottom"/>
          </w:tcPr>
          <w:p>
            <w:pPr>
              <w:ind w:left="20"/>
              <w:spacing w:after="0"/>
              <w:rPr>
                <w:sz w:val="20"/>
                <w:szCs w:val="20"/>
                <w:color w:val="auto"/>
              </w:rPr>
            </w:pPr>
            <w:r>
              <w:rPr>
                <w:rFonts w:ascii="Arial" w:cs="Arial" w:eastAsia="Arial" w:hAnsi="Arial"/>
                <w:sz w:val="14"/>
                <w:szCs w:val="14"/>
                <w:color w:val="auto"/>
              </w:rPr>
              <w:t>Other</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r>
      <w:tr>
        <w:trPr>
          <w:trHeight w:val="197"/>
        </w:trPr>
        <w:tc>
          <w:tcPr>
            <w:tcW w:w="4520" w:type="dxa"/>
            <w:vAlign w:val="bottom"/>
          </w:tcPr>
          <w:p>
            <w:pPr>
              <w:ind w:left="20"/>
              <w:spacing w:after="0"/>
              <w:rPr>
                <w:sz w:val="20"/>
                <w:szCs w:val="20"/>
                <w:color w:val="auto"/>
              </w:rPr>
            </w:pPr>
            <w:r>
              <w:rPr>
                <w:rFonts w:ascii="Arial" w:cs="Arial" w:eastAsia="Arial" w:hAnsi="Arial"/>
                <w:sz w:val="14"/>
                <w:szCs w:val="14"/>
                <w:color w:val="auto"/>
              </w:rPr>
              <w:t>Adjusted G&amp;A expenses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Pr>
          <w:p>
            <w:pPr>
              <w:jc w:val="right"/>
              <w:ind w:right="8"/>
              <w:spacing w:after="0"/>
              <w:rPr>
                <w:sz w:val="20"/>
                <w:szCs w:val="20"/>
                <w:color w:val="auto"/>
              </w:rPr>
            </w:pPr>
            <w:r>
              <w:rPr>
                <w:rFonts w:ascii="Arial" w:cs="Arial" w:eastAsia="Arial" w:hAnsi="Arial"/>
                <w:sz w:val="14"/>
                <w:szCs w:val="14"/>
                <w:b w:val="1"/>
                <w:bCs w:val="1"/>
                <w:color w:val="auto"/>
              </w:rPr>
              <w:t>53</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b w:val="1"/>
                <w:bCs w:val="1"/>
                <w:color w:val="auto"/>
              </w:rPr>
              <w:t>51</w:t>
            </w:r>
          </w:p>
        </w:tc>
        <w:tc>
          <w:tcPr>
            <w:tcW w:w="480" w:type="dxa"/>
            <w:vAlign w:val="bottom"/>
            <w:gridSpan w:val="2"/>
          </w:tcPr>
          <w:p>
            <w:pPr>
              <w:jc w:val="right"/>
              <w:ind w:right="60"/>
              <w:spacing w:after="0" w:line="197" w:lineRule="exact"/>
              <w:rPr>
                <w:sz w:val="20"/>
                <w:szCs w:val="20"/>
                <w:color w:val="auto"/>
              </w:rPr>
            </w:pPr>
            <w:r>
              <w:rPr>
                <w:rFonts w:ascii="Arial" w:cs="Arial" w:eastAsia="Arial" w:hAnsi="Arial"/>
                <w:sz w:val="12"/>
                <w:szCs w:val="12"/>
                <w:color w:val="auto"/>
              </w:rPr>
              <w:t xml:space="preserve">$— </w:t>
            </w:r>
            <w:r>
              <w:rPr>
                <w:rFonts w:ascii="Arial" w:cs="Arial" w:eastAsia="Arial" w:hAnsi="Arial"/>
                <w:sz w:val="22"/>
                <w:szCs w:val="22"/>
                <w:b w:val="1"/>
                <w:bCs w:val="1"/>
                <w:color w:val="auto"/>
                <w:vertAlign w:val="superscript"/>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47</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148</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Pr>
          <w:p>
            <w:pPr>
              <w:jc w:val="right"/>
              <w:ind w:right="8"/>
              <w:spacing w:after="0"/>
              <w:rPr>
                <w:sz w:val="20"/>
                <w:szCs w:val="20"/>
                <w:color w:val="auto"/>
              </w:rPr>
            </w:pPr>
            <w:r>
              <w:rPr>
                <w:rFonts w:ascii="Arial" w:cs="Arial" w:eastAsia="Arial" w:hAnsi="Arial"/>
                <w:sz w:val="14"/>
                <w:szCs w:val="14"/>
                <w:b w:val="1"/>
                <w:bCs w:val="1"/>
                <w:color w:val="auto"/>
              </w:rPr>
              <w:t>137</w:t>
            </w:r>
          </w:p>
        </w:tc>
      </w:tr>
      <w:tr>
        <w:trPr>
          <w:trHeight w:val="20"/>
        </w:trPr>
        <w:tc>
          <w:tcPr>
            <w:tcW w:w="4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412"/>
        </w:trPr>
        <w:tc>
          <w:tcPr>
            <w:tcW w:w="4520" w:type="dxa"/>
            <w:vAlign w:val="bottom"/>
          </w:tcPr>
          <w:p>
            <w:pPr>
              <w:ind w:left="20"/>
              <w:spacing w:after="0"/>
              <w:rPr>
                <w:sz w:val="20"/>
                <w:szCs w:val="20"/>
                <w:color w:val="auto"/>
              </w:rPr>
            </w:pPr>
            <w:r>
              <w:rPr>
                <w:rFonts w:ascii="Arial" w:cs="Arial" w:eastAsia="Arial" w:hAnsi="Arial"/>
                <w:sz w:val="14"/>
                <w:szCs w:val="14"/>
                <w:color w:val="auto"/>
              </w:rPr>
              <w:t>E&amp;P, Corporate and Other Adjusted G&amp;A expenses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Pr>
          <w:p>
            <w:pPr>
              <w:jc w:val="right"/>
              <w:ind w:right="8"/>
              <w:spacing w:after="0"/>
              <w:rPr>
                <w:sz w:val="20"/>
                <w:szCs w:val="20"/>
                <w:color w:val="auto"/>
              </w:rPr>
            </w:pPr>
            <w:r>
              <w:rPr>
                <w:rFonts w:ascii="Arial" w:cs="Arial" w:eastAsia="Arial" w:hAnsi="Arial"/>
                <w:sz w:val="14"/>
                <w:szCs w:val="14"/>
                <w:b w:val="1"/>
                <w:bCs w:val="1"/>
                <w:color w:val="auto"/>
              </w:rPr>
              <w:t>48</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r>
              <w:rPr>
                <w:rFonts w:ascii="Arial" w:cs="Arial" w:eastAsia="Arial" w:hAnsi="Arial"/>
                <w:sz w:val="14"/>
                <w:szCs w:val="14"/>
                <w:b w:val="1"/>
                <w:bCs w:val="1"/>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b w:val="1"/>
                <w:bCs w:val="1"/>
                <w:color w:val="auto"/>
              </w:rPr>
              <w:t>47</w:t>
            </w:r>
          </w:p>
        </w:tc>
        <w:tc>
          <w:tcPr>
            <w:tcW w:w="4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47</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138</w:t>
            </w:r>
          </w:p>
        </w:tc>
        <w:tc>
          <w:tcPr>
            <w:tcW w:w="1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Pr>
          <w:p>
            <w:pPr>
              <w:jc w:val="right"/>
              <w:ind w:right="8"/>
              <w:spacing w:after="0"/>
              <w:rPr>
                <w:sz w:val="20"/>
                <w:szCs w:val="20"/>
                <w:color w:val="auto"/>
              </w:rPr>
            </w:pPr>
            <w:r>
              <w:rPr>
                <w:rFonts w:ascii="Arial" w:cs="Arial" w:eastAsia="Arial" w:hAnsi="Arial"/>
                <w:sz w:val="14"/>
                <w:szCs w:val="14"/>
                <w:b w:val="1"/>
                <w:bCs w:val="1"/>
                <w:color w:val="auto"/>
              </w:rPr>
              <w:t>137</w:t>
            </w:r>
          </w:p>
        </w:tc>
      </w:tr>
      <w:tr>
        <w:trPr>
          <w:trHeight w:val="200"/>
        </w:trPr>
        <w:tc>
          <w:tcPr>
            <w:tcW w:w="4520" w:type="dxa"/>
            <w:vAlign w:val="bottom"/>
          </w:tcPr>
          <w:p>
            <w:pPr>
              <w:ind w:left="20"/>
              <w:spacing w:after="0"/>
              <w:rPr>
                <w:sz w:val="20"/>
                <w:szCs w:val="20"/>
                <w:color w:val="auto"/>
              </w:rPr>
            </w:pPr>
            <w:r>
              <w:rPr>
                <w:rFonts w:ascii="Arial" w:cs="Arial" w:eastAsia="Arial" w:hAnsi="Arial"/>
                <w:sz w:val="14"/>
                <w:szCs w:val="14"/>
                <w:color w:val="auto"/>
              </w:rPr>
              <w:t>CMB Adjusted G&amp;A expenses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Pr>
          <w:p>
            <w:pPr>
              <w:jc w:val="right"/>
              <w:ind w:right="8"/>
              <w:spacing w:after="0"/>
              <w:rPr>
                <w:sz w:val="20"/>
                <w:szCs w:val="20"/>
                <w:color w:val="auto"/>
              </w:rPr>
            </w:pPr>
            <w:r>
              <w:rPr>
                <w:rFonts w:ascii="Arial" w:cs="Arial" w:eastAsia="Arial" w:hAnsi="Arial"/>
                <w:sz w:val="14"/>
                <w:szCs w:val="14"/>
                <w:b w:val="1"/>
                <w:bCs w:val="1"/>
                <w:color w:val="auto"/>
              </w:rPr>
              <w:t>5</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b w:val="1"/>
                <w:bCs w:val="1"/>
                <w:color w:val="auto"/>
              </w:rPr>
              <w:t>4</w:t>
            </w:r>
          </w:p>
        </w:tc>
        <w:tc>
          <w:tcPr>
            <w:tcW w:w="4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0891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147320</wp:posOffset>
            </wp:positionV>
            <wp:extent cx="708914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OPERATING COSTS PER BOE</w:t>
      </w:r>
    </w:p>
    <w:p>
      <w:pPr>
        <w:spacing w:after="0" w:line="136" w:lineRule="exact"/>
        <w:rPr>
          <w:sz w:val="20"/>
          <w:szCs w:val="20"/>
          <w:color w:val="auto"/>
        </w:rPr>
      </w:pPr>
    </w:p>
    <w:p>
      <w:pPr>
        <w:ind w:left="20" w:right="80"/>
        <w:spacing w:after="0" w:line="264" w:lineRule="auto"/>
        <w:rPr>
          <w:sz w:val="20"/>
          <w:szCs w:val="20"/>
          <w:color w:val="auto"/>
        </w:rPr>
      </w:pPr>
      <w:r>
        <w:rPr>
          <w:rFonts w:ascii="Arial" w:cs="Arial" w:eastAsia="Arial" w:hAnsi="Arial"/>
          <w:sz w:val="14"/>
          <w:szCs w:val="14"/>
          <w:color w:val="auto"/>
        </w:rPr>
        <w:t>The reporting of our PSC-type contracts creates a difference between reported operating costs, which are for the full field, and reported volumes, which are only our net share, inflating the per barrel operating costs.The following table presents operating costs after adjusting for the excess costs attributable to PSCs.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3rd Quarter</w:t>
            </w:r>
          </w:p>
        </w:tc>
        <w:tc>
          <w:tcPr>
            <w:tcW w:w="120" w:type="dxa"/>
            <w:vAlign w:val="bottom"/>
          </w:tcPr>
          <w:p>
            <w:pPr>
              <w:spacing w:after="0"/>
              <w:rPr>
                <w:sz w:val="17"/>
                <w:szCs w:val="17"/>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2nd Quarter</w:t>
            </w:r>
          </w:p>
        </w:tc>
        <w:tc>
          <w:tcPr>
            <w:tcW w:w="160" w:type="dxa"/>
            <w:vAlign w:val="bottom"/>
          </w:tcPr>
          <w:p>
            <w:pPr>
              <w:spacing w:after="0"/>
              <w:rPr>
                <w:sz w:val="17"/>
                <w:szCs w:val="17"/>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3rd Quarter</w:t>
            </w:r>
          </w:p>
        </w:tc>
        <w:tc>
          <w:tcPr>
            <w:tcW w:w="120" w:type="dxa"/>
            <w:vAlign w:val="bottom"/>
          </w:tcPr>
          <w:p>
            <w:pPr>
              <w:spacing w:after="0"/>
              <w:rPr>
                <w:sz w:val="17"/>
                <w:szCs w:val="17"/>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Nine Months</w:t>
            </w:r>
          </w:p>
        </w:tc>
        <w:tc>
          <w:tcPr>
            <w:tcW w:w="120" w:type="dxa"/>
            <w:vAlign w:val="bottom"/>
          </w:tcPr>
          <w:p>
            <w:pPr>
              <w:spacing w:after="0"/>
              <w:rPr>
                <w:sz w:val="17"/>
                <w:szCs w:val="17"/>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b w:val="1"/>
                <w:bCs w:val="1"/>
                <w:color w:val="auto"/>
              </w:rPr>
              <w:t>Nine Months</w:t>
            </w:r>
          </w:p>
        </w:tc>
      </w:tr>
      <w:tr>
        <w:trPr>
          <w:trHeight w:val="203"/>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per BOE)</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r>
      <w:tr>
        <w:trPr>
          <w:trHeight w:val="199"/>
        </w:trPr>
        <w:tc>
          <w:tcPr>
            <w:tcW w:w="4520" w:type="dxa"/>
            <w:vAlign w:val="bottom"/>
          </w:tcPr>
          <w:p>
            <w:pPr>
              <w:ind w:left="20"/>
              <w:spacing w:after="0" w:line="199" w:lineRule="exact"/>
              <w:rPr>
                <w:sz w:val="20"/>
                <w:szCs w:val="20"/>
                <w:color w:val="auto"/>
              </w:rPr>
            </w:pPr>
            <w:r>
              <w:rPr>
                <w:rFonts w:ascii="Arial" w:cs="Arial" w:eastAsia="Arial" w:hAnsi="Arial"/>
                <w:sz w:val="14"/>
                <w:szCs w:val="14"/>
                <w:color w:val="auto"/>
              </w:rPr>
              <w:t xml:space="preserve">Energy operating costs </w:t>
            </w:r>
            <w:r>
              <w:rPr>
                <w:rFonts w:ascii="Arial" w:cs="Arial" w:eastAsia="Arial" w:hAnsi="Arial"/>
                <w:sz w:val="18"/>
                <w:szCs w:val="18"/>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Pr>
          <w:p>
            <w:pPr>
              <w:jc w:val="right"/>
              <w:ind w:right="8"/>
              <w:spacing w:after="0"/>
              <w:rPr>
                <w:sz w:val="20"/>
                <w:szCs w:val="20"/>
                <w:color w:val="auto"/>
              </w:rPr>
            </w:pPr>
            <w:r>
              <w:rPr>
                <w:rFonts w:ascii="Arial" w:cs="Arial" w:eastAsia="Arial" w:hAnsi="Arial"/>
                <w:sz w:val="14"/>
                <w:szCs w:val="14"/>
                <w:b w:val="1"/>
                <w:bCs w:val="1"/>
                <w:color w:val="auto"/>
              </w:rPr>
              <w:t>10.96</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b w:val="1"/>
                <w:bCs w:val="1"/>
                <w:color w:val="auto"/>
              </w:rPr>
              <w:t>9.33</w:t>
            </w:r>
          </w:p>
        </w:tc>
        <w:tc>
          <w:tcPr>
            <w:tcW w:w="3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7.87</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9.83</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Pr>
          <w:p>
            <w:pPr>
              <w:jc w:val="right"/>
              <w:ind w:right="8"/>
              <w:spacing w:after="0"/>
              <w:rPr>
                <w:sz w:val="20"/>
                <w:szCs w:val="20"/>
                <w:color w:val="auto"/>
              </w:rPr>
            </w:pPr>
            <w:r>
              <w:rPr>
                <w:rFonts w:ascii="Arial" w:cs="Arial" w:eastAsia="Arial" w:hAnsi="Arial"/>
                <w:sz w:val="14"/>
                <w:szCs w:val="14"/>
                <w:b w:val="1"/>
                <w:bCs w:val="1"/>
                <w:color w:val="auto"/>
              </w:rPr>
              <w:t>6.68</w:t>
            </w:r>
          </w:p>
        </w:tc>
      </w:tr>
      <w:tr>
        <w:trPr>
          <w:trHeight w:val="203"/>
        </w:trPr>
        <w:tc>
          <w:tcPr>
            <w:tcW w:w="4520" w:type="dxa"/>
            <w:vAlign w:val="bottom"/>
          </w:tcPr>
          <w:p>
            <w:pPr>
              <w:ind w:left="20"/>
              <w:spacing w:after="0" w:line="202" w:lineRule="exact"/>
              <w:rPr>
                <w:sz w:val="20"/>
                <w:szCs w:val="20"/>
                <w:color w:val="auto"/>
              </w:rPr>
            </w:pPr>
            <w:r>
              <w:rPr>
                <w:rFonts w:ascii="Arial" w:cs="Arial" w:eastAsia="Arial" w:hAnsi="Arial"/>
                <w:sz w:val="14"/>
                <w:szCs w:val="14"/>
                <w:color w:val="auto"/>
              </w:rPr>
              <w:t xml:space="preserve">Gas processing costs </w:t>
            </w:r>
            <w:r>
              <w:rPr>
                <w:rFonts w:ascii="Arial" w:cs="Arial" w:eastAsia="Arial" w:hAnsi="Arial"/>
                <w:sz w:val="18"/>
                <w:szCs w:val="18"/>
                <w:color w:val="auto"/>
                <w:vertAlign w:val="superscript"/>
              </w:rPr>
              <w:t>(2)</w:t>
            </w:r>
          </w:p>
        </w:tc>
        <w:tc>
          <w:tcPr>
            <w:tcW w:w="14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b w:val="1"/>
                <w:bCs w:val="1"/>
                <w:color w:val="auto"/>
              </w:rPr>
              <w:t>0.49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b w:val="1"/>
                <w:bCs w:val="1"/>
                <w:color w:val="auto"/>
              </w:rPr>
              <w:t>0.54</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0.56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0.53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b w:val="1"/>
                <w:bCs w:val="1"/>
                <w:color w:val="auto"/>
              </w:rPr>
              <w:t>0.59</w:t>
            </w:r>
          </w:p>
        </w:tc>
      </w:tr>
      <w:tr>
        <w:trPr>
          <w:trHeight w:val="201"/>
        </w:trPr>
        <w:tc>
          <w:tcPr>
            <w:tcW w:w="4520" w:type="dxa"/>
            <w:vAlign w:val="bottom"/>
          </w:tcPr>
          <w:p>
            <w:pPr>
              <w:ind w:left="20"/>
              <w:spacing w:after="0" w:line="201" w:lineRule="exact"/>
              <w:rPr>
                <w:sz w:val="20"/>
                <w:szCs w:val="20"/>
                <w:color w:val="auto"/>
              </w:rPr>
            </w:pPr>
            <w:r>
              <w:rPr>
                <w:rFonts w:ascii="Arial" w:cs="Arial" w:eastAsia="Arial" w:hAnsi="Arial"/>
                <w:sz w:val="14"/>
                <w:szCs w:val="14"/>
                <w:color w:val="auto"/>
              </w:rPr>
              <w:t xml:space="preserve">Non-energy operating costs </w:t>
            </w:r>
            <w:r>
              <w:rPr>
                <w:rFonts w:ascii="Arial" w:cs="Arial" w:eastAsia="Arial" w:hAnsi="Arial"/>
                <w:sz w:val="18"/>
                <w:szCs w:val="18"/>
                <w:color w:val="auto"/>
                <w:vertAlign w:val="superscript"/>
              </w:rPr>
              <w:t>(3)</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13.82</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13.05</w:t>
            </w:r>
          </w:p>
        </w:tc>
        <w:tc>
          <w:tcPr>
            <w:tcW w:w="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11.85</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13.35</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11.77</w:t>
            </w:r>
          </w:p>
        </w:tc>
      </w:tr>
      <w:tr>
        <w:trPr>
          <w:trHeight w:val="194"/>
        </w:trPr>
        <w:tc>
          <w:tcPr>
            <w:tcW w:w="4520" w:type="dxa"/>
            <w:vAlign w:val="bottom"/>
          </w:tcPr>
          <w:p>
            <w:pPr>
              <w:ind w:left="140"/>
              <w:spacing w:after="0"/>
              <w:rPr>
                <w:sz w:val="20"/>
                <w:szCs w:val="20"/>
                <w:color w:val="auto"/>
              </w:rPr>
            </w:pPr>
            <w:r>
              <w:rPr>
                <w:rFonts w:ascii="Arial" w:cs="Arial" w:eastAsia="Arial" w:hAnsi="Arial"/>
                <w:sz w:val="14"/>
                <w:szCs w:val="14"/>
                <w:b w:val="1"/>
                <w:bCs w:val="1"/>
                <w:color w:val="auto"/>
              </w:rPr>
              <w:t>Operating costs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25.27</w:t>
            </w:r>
          </w:p>
        </w:tc>
        <w:tc>
          <w:tcPr>
            <w:tcW w:w="1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22.92</w:t>
            </w:r>
          </w:p>
        </w:tc>
        <w:tc>
          <w:tcPr>
            <w:tcW w:w="32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20.28</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23.71</w:t>
            </w:r>
          </w:p>
        </w:tc>
        <w:tc>
          <w:tcPr>
            <w:tcW w:w="1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19.04</w:t>
            </w:r>
          </w:p>
        </w:tc>
      </w:tr>
      <w:tr>
        <w:trPr>
          <w:trHeight w:val="393"/>
        </w:trPr>
        <w:tc>
          <w:tcPr>
            <w:tcW w:w="4520" w:type="dxa"/>
            <w:vAlign w:val="bottom"/>
          </w:tcPr>
          <w:p>
            <w:pPr>
              <w:ind w:left="20"/>
              <w:spacing w:after="0"/>
              <w:rPr>
                <w:sz w:val="20"/>
                <w:szCs w:val="20"/>
                <w:color w:val="auto"/>
              </w:rPr>
            </w:pPr>
            <w:r>
              <w:rPr>
                <w:rFonts w:ascii="Arial" w:cs="Arial" w:eastAsia="Arial" w:hAnsi="Arial"/>
                <w:sz w:val="14"/>
                <w:szCs w:val="14"/>
                <w:color w:val="auto"/>
              </w:rPr>
              <w:t>Costs attributable to PSCs</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09"/>
        </w:trPr>
        <w:tc>
          <w:tcPr>
            <w:tcW w:w="4520" w:type="dxa"/>
            <w:vAlign w:val="bottom"/>
          </w:tcPr>
          <w:p>
            <w:pPr>
              <w:ind w:left="140"/>
              <w:spacing w:after="0"/>
              <w:rPr>
                <w:sz w:val="20"/>
                <w:szCs w:val="20"/>
                <w:color w:val="auto"/>
              </w:rPr>
            </w:pPr>
            <w:r>
              <w:rPr>
                <w:rFonts w:ascii="Arial" w:cs="Arial" w:eastAsia="Arial" w:hAnsi="Arial"/>
                <w:sz w:val="14"/>
                <w:szCs w:val="14"/>
                <w:color w:val="auto"/>
              </w:rPr>
              <w:t>Excess energy operating costs attributable to PSCs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(0.97)</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(1.03)</w:t>
            </w:r>
          </w:p>
        </w:tc>
        <w:tc>
          <w:tcPr>
            <w:tcW w:w="3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(0.69)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(0.98)</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(0.63)</w:t>
            </w:r>
          </w:p>
        </w:tc>
      </w:tr>
      <w:tr>
        <w:trPr>
          <w:trHeight w:val="203"/>
        </w:trPr>
        <w:tc>
          <w:tcPr>
            <w:tcW w:w="4520" w:type="dxa"/>
            <w:vAlign w:val="bottom"/>
          </w:tcPr>
          <w:p>
            <w:pPr>
              <w:ind w:left="140"/>
              <w:spacing w:after="0"/>
              <w:rPr>
                <w:sz w:val="20"/>
                <w:szCs w:val="20"/>
                <w:color w:val="auto"/>
              </w:rPr>
            </w:pPr>
            <w:r>
              <w:rPr>
                <w:rFonts w:ascii="Arial" w:cs="Arial" w:eastAsia="Arial" w:hAnsi="Arial"/>
                <w:sz w:val="14"/>
                <w:szCs w:val="14"/>
                <w:color w:val="auto"/>
              </w:rPr>
              <w:t>Excess non-energy operating costs attributable to PSCs</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(1.19)</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(1.55)</w:t>
            </w:r>
          </w:p>
        </w:tc>
        <w:tc>
          <w:tcPr>
            <w:tcW w:w="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(1.15)</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(1.37)</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(1.09)</w:t>
            </w:r>
          </w:p>
        </w:tc>
      </w:tr>
      <w:tr>
        <w:trPr>
          <w:trHeight w:val="196"/>
        </w:trPr>
        <w:tc>
          <w:tcPr>
            <w:tcW w:w="4520" w:type="dxa"/>
            <w:vAlign w:val="bottom"/>
          </w:tcPr>
          <w:p>
            <w:pPr>
              <w:ind w:left="260"/>
              <w:spacing w:after="0"/>
              <w:rPr>
                <w:sz w:val="20"/>
                <w:szCs w:val="20"/>
                <w:color w:val="auto"/>
              </w:rPr>
            </w:pPr>
            <w:r>
              <w:rPr>
                <w:rFonts w:ascii="Arial" w:cs="Arial" w:eastAsia="Arial" w:hAnsi="Arial"/>
                <w:sz w:val="14"/>
                <w:szCs w:val="14"/>
                <w:b w:val="1"/>
                <w:bCs w:val="1"/>
                <w:color w:val="auto"/>
              </w:rPr>
              <w:t>Excess costs attributable to PSCs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(2.16)</w:t>
            </w:r>
          </w:p>
        </w:tc>
        <w:tc>
          <w:tcPr>
            <w:tcW w:w="1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(2.58)</w:t>
            </w:r>
          </w:p>
        </w:tc>
        <w:tc>
          <w:tcPr>
            <w:tcW w:w="3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(1.84)</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(2.35)</w:t>
            </w:r>
          </w:p>
        </w:tc>
        <w:tc>
          <w:tcPr>
            <w:tcW w:w="1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(1.72)</w:t>
            </w:r>
          </w:p>
        </w:tc>
      </w:tr>
      <w:tr>
        <w:trPr>
          <w:trHeight w:val="402"/>
        </w:trPr>
        <w:tc>
          <w:tcPr>
            <w:tcW w:w="4520" w:type="dxa"/>
            <w:vAlign w:val="bottom"/>
          </w:tcPr>
          <w:p>
            <w:pPr>
              <w:ind w:left="140"/>
              <w:spacing w:after="0"/>
              <w:rPr>
                <w:sz w:val="20"/>
                <w:szCs w:val="20"/>
                <w:color w:val="auto"/>
              </w:rPr>
            </w:pPr>
            <w:r>
              <w:rPr>
                <w:rFonts w:ascii="Arial" w:cs="Arial" w:eastAsia="Arial" w:hAnsi="Arial"/>
                <w:sz w:val="14"/>
                <w:szCs w:val="14"/>
                <w:color w:val="auto"/>
              </w:rPr>
              <w:t xml:space="preserve">Energy operating costs, excluding effect of PSCs </w:t>
            </w:r>
            <w:r>
              <w:rPr>
                <w:rFonts w:ascii="Arial" w:cs="Arial" w:eastAsia="Arial" w:hAnsi="Arial"/>
                <w:sz w:val="18"/>
                <w:szCs w:val="18"/>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Pr>
          <w:p>
            <w:pPr>
              <w:jc w:val="right"/>
              <w:ind w:right="8"/>
              <w:spacing w:after="0"/>
              <w:rPr>
                <w:sz w:val="20"/>
                <w:szCs w:val="20"/>
                <w:color w:val="auto"/>
              </w:rPr>
            </w:pPr>
            <w:r>
              <w:rPr>
                <w:rFonts w:ascii="Arial" w:cs="Arial" w:eastAsia="Arial" w:hAnsi="Arial"/>
                <w:sz w:val="14"/>
                <w:szCs w:val="14"/>
                <w:b w:val="1"/>
                <w:bCs w:val="1"/>
                <w:color w:val="auto"/>
              </w:rPr>
              <w:t>9.99</w:t>
            </w:r>
          </w:p>
        </w:tc>
        <w:tc>
          <w:tcPr>
            <w:tcW w:w="1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b w:val="1"/>
                <w:bCs w:val="1"/>
                <w:color w:val="auto"/>
              </w:rPr>
              <w:t>8.30</w:t>
            </w:r>
          </w:p>
        </w:tc>
        <w:tc>
          <w:tcPr>
            <w:tcW w:w="3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7.18</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8.85</w:t>
            </w:r>
          </w:p>
        </w:tc>
        <w:tc>
          <w:tcPr>
            <w:tcW w:w="1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Pr>
          <w:p>
            <w:pPr>
              <w:jc w:val="right"/>
              <w:ind w:right="8"/>
              <w:spacing w:after="0"/>
              <w:rPr>
                <w:sz w:val="20"/>
                <w:szCs w:val="20"/>
                <w:color w:val="auto"/>
              </w:rPr>
            </w:pPr>
            <w:r>
              <w:rPr>
                <w:rFonts w:ascii="Arial" w:cs="Arial" w:eastAsia="Arial" w:hAnsi="Arial"/>
                <w:sz w:val="14"/>
                <w:szCs w:val="14"/>
                <w:b w:val="1"/>
                <w:bCs w:val="1"/>
                <w:color w:val="auto"/>
              </w:rPr>
              <w:t>6.05</w:t>
            </w:r>
          </w:p>
        </w:tc>
      </w:tr>
      <w:tr>
        <w:trPr>
          <w:trHeight w:val="203"/>
        </w:trPr>
        <w:tc>
          <w:tcPr>
            <w:tcW w:w="4520" w:type="dxa"/>
            <w:vAlign w:val="bottom"/>
          </w:tcPr>
          <w:p>
            <w:pPr>
              <w:ind w:left="140"/>
              <w:spacing w:after="0" w:line="202" w:lineRule="exact"/>
              <w:rPr>
                <w:sz w:val="20"/>
                <w:szCs w:val="20"/>
                <w:color w:val="auto"/>
              </w:rPr>
            </w:pPr>
            <w:r>
              <w:rPr>
                <w:rFonts w:ascii="Arial" w:cs="Arial" w:eastAsia="Arial" w:hAnsi="Arial"/>
                <w:sz w:val="14"/>
                <w:szCs w:val="14"/>
                <w:color w:val="auto"/>
              </w:rPr>
              <w:t xml:space="preserve">Gas processing costs, excluding effect of PSCs </w:t>
            </w:r>
            <w:r>
              <w:rPr>
                <w:rFonts w:ascii="Arial" w:cs="Arial" w:eastAsia="Arial" w:hAnsi="Arial"/>
                <w:sz w:val="18"/>
                <w:szCs w:val="18"/>
                <w:color w:val="auto"/>
                <w:vertAlign w:val="superscript"/>
              </w:rPr>
              <w:t>(2)</w:t>
            </w:r>
          </w:p>
        </w:tc>
        <w:tc>
          <w:tcPr>
            <w:tcW w:w="14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b w:val="1"/>
                <w:bCs w:val="1"/>
                <w:color w:val="auto"/>
              </w:rPr>
              <w:t>0.49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b w:val="1"/>
                <w:bCs w:val="1"/>
                <w:color w:val="auto"/>
              </w:rPr>
              <w:t>0.54</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0.56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0.53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b w:val="1"/>
                <w:bCs w:val="1"/>
                <w:color w:val="auto"/>
              </w:rPr>
              <w:t>0.59</w:t>
            </w:r>
          </w:p>
        </w:tc>
      </w:tr>
      <w:tr>
        <w:trPr>
          <w:trHeight w:val="201"/>
        </w:trPr>
        <w:tc>
          <w:tcPr>
            <w:tcW w:w="4520" w:type="dxa"/>
            <w:vAlign w:val="bottom"/>
          </w:tcPr>
          <w:p>
            <w:pPr>
              <w:ind w:left="140"/>
              <w:spacing w:after="0" w:line="201" w:lineRule="exact"/>
              <w:rPr>
                <w:sz w:val="20"/>
                <w:szCs w:val="20"/>
                <w:color w:val="auto"/>
              </w:rPr>
            </w:pPr>
            <w:r>
              <w:rPr>
                <w:rFonts w:ascii="Arial" w:cs="Arial" w:eastAsia="Arial" w:hAnsi="Arial"/>
                <w:sz w:val="14"/>
                <w:szCs w:val="14"/>
                <w:color w:val="auto"/>
              </w:rPr>
              <w:t xml:space="preserve">Non-energy operating costs, excluding effect of PSCs </w:t>
            </w:r>
            <w:r>
              <w:rPr>
                <w:rFonts w:ascii="Arial" w:cs="Arial" w:eastAsia="Arial" w:hAnsi="Arial"/>
                <w:sz w:val="18"/>
                <w:szCs w:val="18"/>
                <w:color w:val="auto"/>
                <w:vertAlign w:val="superscript"/>
              </w:rPr>
              <w:t>(3)</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12.63</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11.50</w:t>
            </w:r>
          </w:p>
        </w:tc>
        <w:tc>
          <w:tcPr>
            <w:tcW w:w="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10.70</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11.98</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10.68</w:t>
            </w:r>
          </w:p>
        </w:tc>
      </w:tr>
      <w:tr>
        <w:trPr>
          <w:trHeight w:val="196"/>
        </w:trPr>
        <w:tc>
          <w:tcPr>
            <w:tcW w:w="4520" w:type="dxa"/>
            <w:vAlign w:val="bottom"/>
          </w:tcPr>
          <w:p>
            <w:pPr>
              <w:ind w:left="20"/>
              <w:spacing w:after="0"/>
              <w:rPr>
                <w:sz w:val="20"/>
                <w:szCs w:val="20"/>
                <w:color w:val="auto"/>
              </w:rPr>
            </w:pPr>
            <w:r>
              <w:rPr>
                <w:rFonts w:ascii="Arial" w:cs="Arial" w:eastAsia="Arial" w:hAnsi="Arial"/>
                <w:sz w:val="14"/>
                <w:szCs w:val="14"/>
                <w:b w:val="1"/>
                <w:bCs w:val="1"/>
                <w:color w:val="auto"/>
              </w:rPr>
              <w:t>Operating costs, excluding effects of PSCs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23.11</w:t>
            </w:r>
          </w:p>
        </w:tc>
        <w:tc>
          <w:tcPr>
            <w:tcW w:w="1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20.34</w:t>
            </w:r>
          </w:p>
        </w:tc>
        <w:tc>
          <w:tcPr>
            <w:tcW w:w="3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18.44</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21.36</w:t>
            </w:r>
          </w:p>
        </w:tc>
        <w:tc>
          <w:tcPr>
            <w:tcW w:w="1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17.32</w:t>
            </w:r>
          </w:p>
        </w:tc>
      </w:tr>
      <w:tr>
        <w:trPr>
          <w:trHeight w:val="20"/>
        </w:trPr>
        <w:tc>
          <w:tcPr>
            <w:tcW w:w="4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left="200" w:hanging="180"/>
        <w:spacing w:after="0"/>
        <w:tabs>
          <w:tab w:leader="none" w:pos="2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Energy operating costs consist of purchases of natural gas to generate electricity, purchased electricity and internal costs to produce electricity used in our operations.</w:t>
      </w:r>
    </w:p>
    <w:p>
      <w:pPr>
        <w:spacing w:after="0" w:line="26" w:lineRule="exact"/>
        <w:rPr>
          <w:rFonts w:ascii="Arial" w:cs="Arial" w:eastAsia="Arial" w:hAnsi="Arial"/>
          <w:sz w:val="13"/>
          <w:szCs w:val="13"/>
          <w:color w:val="auto"/>
        </w:rPr>
      </w:pPr>
    </w:p>
    <w:p>
      <w:pPr>
        <w:ind w:left="200" w:hanging="180"/>
        <w:spacing w:after="0"/>
        <w:tabs>
          <w:tab w:leader="none" w:pos="2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Gas processing costs include costs associated with compression, maintenance and other activities needed to run our gas processing facilities at Elk Hills.</w:t>
      </w:r>
    </w:p>
    <w:p>
      <w:pPr>
        <w:spacing w:after="0" w:line="26" w:lineRule="exact"/>
        <w:rPr>
          <w:rFonts w:ascii="Arial" w:cs="Arial" w:eastAsia="Arial" w:hAnsi="Arial"/>
          <w:sz w:val="13"/>
          <w:szCs w:val="13"/>
          <w:color w:val="auto"/>
        </w:rPr>
      </w:pPr>
    </w:p>
    <w:p>
      <w:pPr>
        <w:ind w:left="20" w:right="140"/>
        <w:spacing w:after="0" w:line="230" w:lineRule="auto"/>
        <w:tabs>
          <w:tab w:leader="none" w:pos="209" w:val="left"/>
        </w:tabs>
        <w:numPr>
          <w:ilvl w:val="0"/>
          <w:numId w:val="14"/>
        </w:numPr>
        <w:rPr>
          <w:rFonts w:ascii="Arial" w:cs="Arial" w:eastAsia="Arial" w:hAnsi="Arial"/>
          <w:sz w:val="13"/>
          <w:szCs w:val="13"/>
          <w:color w:val="auto"/>
        </w:rPr>
      </w:pPr>
      <w:r>
        <w:rPr>
          <w:rFonts w:ascii="Arial" w:cs="Arial" w:eastAsia="Arial" w:hAnsi="Arial"/>
          <w:sz w:val="13"/>
          <w:szCs w:val="13"/>
          <w:color w:val="auto"/>
        </w:rPr>
        <w:t>Non-energy operating costs equal total operating costs less energy and gas processing costs. Purchased natural gas used to generate steam in our steamfloods was reclassified from non-energy operating costs to energy operating costs beginning in the third quarter of 2022. All prior periods have been updated to conform to this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17</w:t>
      </w:r>
    </w:p>
    <w:p>
      <w:pPr>
        <w:sectPr>
          <w:pgSz w:w="11900" w:h="16838" w:orient="portrait"/>
          <w:cols w:equalWidth="0" w:num="1">
            <w:col w:w="11180"/>
          </w:cols>
          <w:pgMar w:left="360" w:top="1116" w:right="35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97"/>
        </w:trPr>
        <w:tc>
          <w:tcPr>
            <w:tcW w:w="36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Attachment 3</w:t>
            </w:r>
          </w:p>
        </w:tc>
      </w:tr>
      <w:tr>
        <w:trPr>
          <w:trHeight w:val="22"/>
        </w:trPr>
        <w:tc>
          <w:tcPr>
            <w:tcW w:w="36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94"/>
        </w:trPr>
        <w:tc>
          <w:tcPr>
            <w:tcW w:w="3660" w:type="dxa"/>
            <w:vAlign w:val="bottom"/>
          </w:tcPr>
          <w:p>
            <w:pPr>
              <w:ind w:left="20"/>
              <w:spacing w:after="0"/>
              <w:rPr>
                <w:sz w:val="20"/>
                <w:szCs w:val="20"/>
                <w:color w:val="auto"/>
              </w:rPr>
            </w:pPr>
            <w:r>
              <w:rPr>
                <w:rFonts w:ascii="Arial" w:cs="Arial" w:eastAsia="Arial" w:hAnsi="Arial"/>
                <w:sz w:val="14"/>
                <w:szCs w:val="14"/>
                <w:b w:val="1"/>
                <w:bCs w:val="1"/>
                <w:color w:val="auto"/>
              </w:rPr>
              <w:t>PRODUCTION STATISTICS</w:t>
            </w: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03"/>
        </w:trPr>
        <w:tc>
          <w:tcPr>
            <w:tcW w:w="3660" w:type="dxa"/>
            <w:vAlign w:val="bottom"/>
          </w:tcPr>
          <w:p>
            <w:pPr>
              <w:ind w:left="20"/>
              <w:spacing w:after="0"/>
              <w:rPr>
                <w:sz w:val="20"/>
                <w:szCs w:val="20"/>
                <w:color w:val="auto"/>
              </w:rPr>
            </w:pPr>
            <w:r>
              <w:rPr>
                <w:rFonts w:ascii="Arial" w:cs="Arial" w:eastAsia="Arial" w:hAnsi="Arial"/>
                <w:sz w:val="14"/>
                <w:szCs w:val="14"/>
                <w:b w:val="1"/>
                <w:bCs w:val="1"/>
                <w:color w:val="auto"/>
              </w:rPr>
              <w:t>Net</w:t>
            </w:r>
          </w:p>
        </w:tc>
        <w:tc>
          <w:tcPr>
            <w:tcW w:w="15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3rd Quarter</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2nd Quarter</w:t>
            </w: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3rd Quarter</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Nine Months</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Nine Months</w:t>
            </w:r>
          </w:p>
        </w:tc>
      </w:tr>
      <w:tr>
        <w:trPr>
          <w:trHeight w:val="204"/>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Oil, NGLs and Natural Gas Production Per Day</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r>
      <w:tr>
        <w:trPr>
          <w:trHeight w:val="195"/>
        </w:trPr>
        <w:tc>
          <w:tcPr>
            <w:tcW w:w="3660" w:type="dxa"/>
            <w:vAlign w:val="bottom"/>
          </w:tcPr>
          <w:p>
            <w:pPr>
              <w:ind w:left="20"/>
              <w:spacing w:after="0"/>
              <w:rPr>
                <w:sz w:val="20"/>
                <w:szCs w:val="20"/>
                <w:color w:val="auto"/>
              </w:rPr>
            </w:pPr>
            <w:r>
              <w:rPr>
                <w:rFonts w:ascii="Arial" w:cs="Arial" w:eastAsia="Arial" w:hAnsi="Arial"/>
                <w:sz w:val="14"/>
                <w:szCs w:val="14"/>
                <w:b w:val="1"/>
                <w:bCs w:val="1"/>
                <w:color w:val="auto"/>
              </w:rPr>
              <w:t>Oil (MBbl/d)</w:t>
            </w: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03"/>
        </w:trPr>
        <w:tc>
          <w:tcPr>
            <w:tcW w:w="3660" w:type="dxa"/>
            <w:vAlign w:val="bottom"/>
          </w:tcPr>
          <w:p>
            <w:pPr>
              <w:ind w:left="60"/>
              <w:spacing w:after="0"/>
              <w:rPr>
                <w:sz w:val="20"/>
                <w:szCs w:val="20"/>
                <w:color w:val="auto"/>
              </w:rPr>
            </w:pPr>
            <w:r>
              <w:rPr>
                <w:rFonts w:ascii="Arial" w:cs="Arial" w:eastAsia="Arial" w:hAnsi="Arial"/>
                <w:sz w:val="14"/>
                <w:szCs w:val="14"/>
                <w:color w:val="auto"/>
              </w:rPr>
              <w:t>San Joaquin Basin</w:t>
            </w:r>
          </w:p>
        </w:tc>
        <w:tc>
          <w:tcPr>
            <w:tcW w:w="1420" w:type="dxa"/>
            <w:vAlign w:val="bottom"/>
          </w:tcPr>
          <w:p>
            <w:pPr>
              <w:jc w:val="right"/>
              <w:ind w:right="8"/>
              <w:spacing w:after="0"/>
              <w:rPr>
                <w:sz w:val="20"/>
                <w:szCs w:val="20"/>
                <w:color w:val="auto"/>
              </w:rPr>
            </w:pPr>
            <w:r>
              <w:rPr>
                <w:rFonts w:ascii="Arial" w:cs="Arial" w:eastAsia="Arial" w:hAnsi="Arial"/>
                <w:sz w:val="14"/>
                <w:szCs w:val="14"/>
                <w:b w:val="1"/>
                <w:bCs w:val="1"/>
                <w:color w:val="auto"/>
              </w:rPr>
              <w:t>36</w:t>
            </w:r>
          </w:p>
        </w:tc>
        <w:tc>
          <w:tcPr>
            <w:tcW w:w="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38</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40</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37</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39</w:t>
            </w:r>
          </w:p>
        </w:tc>
      </w:tr>
      <w:tr>
        <w:trPr>
          <w:trHeight w:val="203"/>
        </w:trPr>
        <w:tc>
          <w:tcPr>
            <w:tcW w:w="3660" w:type="dxa"/>
            <w:vAlign w:val="bottom"/>
          </w:tcPr>
          <w:p>
            <w:pPr>
              <w:ind w:left="60"/>
              <w:spacing w:after="0"/>
              <w:rPr>
                <w:sz w:val="20"/>
                <w:szCs w:val="20"/>
                <w:color w:val="auto"/>
              </w:rPr>
            </w:pPr>
            <w:r>
              <w:rPr>
                <w:rFonts w:ascii="Arial" w:cs="Arial" w:eastAsia="Arial" w:hAnsi="Arial"/>
                <w:sz w:val="14"/>
                <w:szCs w:val="14"/>
                <w:color w:val="auto"/>
              </w:rPr>
              <w:t>Los Angeles Basin</w:t>
            </w:r>
          </w:p>
        </w:tc>
        <w:tc>
          <w:tcPr>
            <w:tcW w:w="1420" w:type="dxa"/>
            <w:vAlign w:val="bottom"/>
          </w:tcPr>
          <w:p>
            <w:pPr>
              <w:jc w:val="right"/>
              <w:ind w:right="8"/>
              <w:spacing w:after="0"/>
              <w:rPr>
                <w:sz w:val="20"/>
                <w:szCs w:val="20"/>
                <w:color w:val="auto"/>
              </w:rPr>
            </w:pPr>
            <w:r>
              <w:rPr>
                <w:rFonts w:ascii="Arial" w:cs="Arial" w:eastAsia="Arial" w:hAnsi="Arial"/>
                <w:sz w:val="14"/>
                <w:szCs w:val="14"/>
                <w:b w:val="1"/>
                <w:bCs w:val="1"/>
                <w:color w:val="auto"/>
              </w:rPr>
              <w:t>19</w:t>
            </w:r>
          </w:p>
        </w:tc>
        <w:tc>
          <w:tcPr>
            <w:tcW w:w="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16</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19</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18</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19</w:t>
            </w:r>
          </w:p>
        </w:tc>
      </w:tr>
      <w:tr>
        <w:trPr>
          <w:trHeight w:val="203"/>
        </w:trPr>
        <w:tc>
          <w:tcPr>
            <w:tcW w:w="3660" w:type="dxa"/>
            <w:vAlign w:val="bottom"/>
          </w:tcPr>
          <w:p>
            <w:pPr>
              <w:ind w:left="60"/>
              <w:spacing w:after="0"/>
              <w:rPr>
                <w:sz w:val="20"/>
                <w:szCs w:val="20"/>
                <w:color w:val="auto"/>
              </w:rPr>
            </w:pPr>
            <w:r>
              <w:rPr>
                <w:rFonts w:ascii="Arial" w:cs="Arial" w:eastAsia="Arial" w:hAnsi="Arial"/>
                <w:sz w:val="14"/>
                <w:szCs w:val="14"/>
                <w:color w:val="auto"/>
              </w:rPr>
              <w:t>Ventura Basin</w:t>
            </w:r>
          </w:p>
        </w:tc>
        <w:tc>
          <w:tcPr>
            <w:tcW w:w="15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5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280" w:type="dxa"/>
            <w:vAlign w:val="bottom"/>
          </w:tcPr>
          <w:p>
            <w:pPr>
              <w:spacing w:after="0"/>
              <w:rPr>
                <w:sz w:val="17"/>
                <w:szCs w:val="17"/>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3</w:t>
            </w:r>
          </w:p>
        </w:tc>
      </w:tr>
      <w:tr>
        <w:trPr>
          <w:trHeight w:val="196"/>
        </w:trPr>
        <w:tc>
          <w:tcPr>
            <w:tcW w:w="3660" w:type="dxa"/>
            <w:vAlign w:val="bottom"/>
          </w:tcPr>
          <w:p>
            <w:pPr>
              <w:ind w:left="60"/>
              <w:spacing w:after="0"/>
              <w:rPr>
                <w:sz w:val="20"/>
                <w:szCs w:val="20"/>
                <w:color w:val="auto"/>
              </w:rPr>
            </w:pPr>
            <w:r>
              <w:rPr>
                <w:rFonts w:ascii="Arial" w:cs="Arial" w:eastAsia="Arial" w:hAnsi="Arial"/>
                <w:sz w:val="14"/>
                <w:szCs w:val="14"/>
                <w:color w:val="auto"/>
              </w:rPr>
              <w:t>Total</w:t>
            </w:r>
          </w:p>
        </w:tc>
        <w:tc>
          <w:tcPr>
            <w:tcW w:w="14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55</w:t>
            </w:r>
          </w:p>
        </w:tc>
        <w:tc>
          <w:tcPr>
            <w:tcW w:w="80" w:type="dxa"/>
            <w:vAlign w:val="bottom"/>
          </w:tcPr>
          <w:p>
            <w:pPr>
              <w:spacing w:after="0"/>
              <w:rPr>
                <w:sz w:val="17"/>
                <w:szCs w:val="17"/>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54</w:t>
            </w:r>
          </w:p>
        </w:tc>
        <w:tc>
          <w:tcPr>
            <w:tcW w:w="100" w:type="dxa"/>
            <w:vAlign w:val="bottom"/>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62</w:t>
            </w:r>
          </w:p>
        </w:tc>
        <w:tc>
          <w:tcPr>
            <w:tcW w:w="280" w:type="dxa"/>
            <w:vAlign w:val="bottom"/>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55</w:t>
            </w:r>
          </w:p>
        </w:tc>
        <w:tc>
          <w:tcPr>
            <w:tcW w:w="100" w:type="dxa"/>
            <w:vAlign w:val="bottom"/>
          </w:tcPr>
          <w:p>
            <w:pPr>
              <w:spacing w:after="0"/>
              <w:rPr>
                <w:sz w:val="17"/>
                <w:szCs w:val="17"/>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61</w:t>
            </w:r>
          </w:p>
        </w:tc>
      </w:tr>
      <w:tr>
        <w:trPr>
          <w:trHeight w:val="364"/>
        </w:trPr>
        <w:tc>
          <w:tcPr>
            <w:tcW w:w="3660" w:type="dxa"/>
            <w:vAlign w:val="bottom"/>
          </w:tcPr>
          <w:p>
            <w:pPr>
              <w:ind w:left="20"/>
              <w:spacing w:after="0"/>
              <w:rPr>
                <w:sz w:val="20"/>
                <w:szCs w:val="20"/>
                <w:color w:val="auto"/>
              </w:rPr>
            </w:pPr>
            <w:r>
              <w:rPr>
                <w:rFonts w:ascii="Arial" w:cs="Arial" w:eastAsia="Arial" w:hAnsi="Arial"/>
                <w:sz w:val="14"/>
                <w:szCs w:val="14"/>
                <w:b w:val="1"/>
                <w:bCs w:val="1"/>
                <w:color w:val="auto"/>
              </w:rPr>
              <w:t>NGLs (MBbl/d)</w:t>
            </w: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3660" w:type="dxa"/>
            <w:vAlign w:val="bottom"/>
          </w:tcPr>
          <w:p>
            <w:pPr>
              <w:ind w:left="60"/>
              <w:spacing w:after="0"/>
              <w:rPr>
                <w:sz w:val="20"/>
                <w:szCs w:val="20"/>
                <w:color w:val="auto"/>
              </w:rPr>
            </w:pPr>
            <w:r>
              <w:rPr>
                <w:rFonts w:ascii="Arial" w:cs="Arial" w:eastAsia="Arial" w:hAnsi="Arial"/>
                <w:sz w:val="14"/>
                <w:szCs w:val="14"/>
                <w:color w:val="auto"/>
              </w:rPr>
              <w:t>San Joaquin Basin</w:t>
            </w:r>
          </w:p>
        </w:tc>
        <w:tc>
          <w:tcPr>
            <w:tcW w:w="1420" w:type="dxa"/>
            <w:vAlign w:val="bottom"/>
          </w:tcPr>
          <w:p>
            <w:pPr>
              <w:jc w:val="right"/>
              <w:ind w:right="8"/>
              <w:spacing w:after="0"/>
              <w:rPr>
                <w:sz w:val="20"/>
                <w:szCs w:val="20"/>
                <w:color w:val="auto"/>
              </w:rPr>
            </w:pPr>
            <w:r>
              <w:rPr>
                <w:rFonts w:ascii="Arial" w:cs="Arial" w:eastAsia="Arial" w:hAnsi="Arial"/>
                <w:sz w:val="14"/>
                <w:szCs w:val="14"/>
                <w:b w:val="1"/>
                <w:bCs w:val="1"/>
                <w:color w:val="auto"/>
              </w:rPr>
              <w:t>12</w:t>
            </w:r>
          </w:p>
        </w:tc>
        <w:tc>
          <w:tcPr>
            <w:tcW w:w="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13</w:t>
            </w:r>
          </w:p>
        </w:tc>
      </w:tr>
      <w:tr>
        <w:trPr>
          <w:trHeight w:val="203"/>
        </w:trPr>
        <w:tc>
          <w:tcPr>
            <w:tcW w:w="3660" w:type="dxa"/>
            <w:vAlign w:val="bottom"/>
          </w:tcPr>
          <w:p>
            <w:pPr>
              <w:ind w:left="20"/>
              <w:spacing w:after="0"/>
              <w:rPr>
                <w:sz w:val="20"/>
                <w:szCs w:val="20"/>
                <w:color w:val="auto"/>
              </w:rPr>
            </w:pPr>
            <w:r>
              <w:rPr>
                <w:rFonts w:ascii="Arial" w:cs="Arial" w:eastAsia="Arial" w:hAnsi="Arial"/>
                <w:sz w:val="14"/>
                <w:szCs w:val="14"/>
                <w:color w:val="auto"/>
              </w:rPr>
              <w:t>Ventura Basin</w:t>
            </w:r>
          </w:p>
        </w:tc>
        <w:tc>
          <w:tcPr>
            <w:tcW w:w="15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5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w:t>
            </w:r>
          </w:p>
        </w:tc>
        <w:tc>
          <w:tcPr>
            <w:tcW w:w="14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196"/>
        </w:trPr>
        <w:tc>
          <w:tcPr>
            <w:tcW w:w="3660" w:type="dxa"/>
            <w:vAlign w:val="bottom"/>
          </w:tcPr>
          <w:p>
            <w:pPr>
              <w:ind w:left="60"/>
              <w:spacing w:after="0"/>
              <w:rPr>
                <w:sz w:val="20"/>
                <w:szCs w:val="20"/>
                <w:color w:val="auto"/>
              </w:rPr>
            </w:pPr>
            <w:r>
              <w:rPr>
                <w:rFonts w:ascii="Arial" w:cs="Arial" w:eastAsia="Arial" w:hAnsi="Arial"/>
                <w:sz w:val="14"/>
                <w:szCs w:val="14"/>
                <w:color w:val="auto"/>
              </w:rPr>
              <w:t>Total</w:t>
            </w:r>
          </w:p>
        </w:tc>
        <w:tc>
          <w:tcPr>
            <w:tcW w:w="14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12</w:t>
            </w:r>
          </w:p>
        </w:tc>
        <w:tc>
          <w:tcPr>
            <w:tcW w:w="80" w:type="dxa"/>
            <w:vAlign w:val="bottom"/>
          </w:tcPr>
          <w:p>
            <w:pPr>
              <w:spacing w:after="0"/>
              <w:rPr>
                <w:sz w:val="17"/>
                <w:szCs w:val="17"/>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12</w:t>
            </w:r>
          </w:p>
        </w:tc>
        <w:tc>
          <w:tcPr>
            <w:tcW w:w="100" w:type="dxa"/>
            <w:vAlign w:val="bottom"/>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13</w:t>
            </w:r>
          </w:p>
        </w:tc>
        <w:tc>
          <w:tcPr>
            <w:tcW w:w="280" w:type="dxa"/>
            <w:vAlign w:val="bottom"/>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7"/>
                <w:szCs w:val="17"/>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13</w:t>
            </w:r>
          </w:p>
        </w:tc>
      </w:tr>
      <w:tr>
        <w:trPr>
          <w:trHeight w:val="364"/>
        </w:trPr>
        <w:tc>
          <w:tcPr>
            <w:tcW w:w="3660" w:type="dxa"/>
            <w:vAlign w:val="bottom"/>
          </w:tcPr>
          <w:p>
            <w:pPr>
              <w:ind w:left="20"/>
              <w:spacing w:after="0"/>
              <w:rPr>
                <w:sz w:val="20"/>
                <w:szCs w:val="20"/>
                <w:color w:val="auto"/>
              </w:rPr>
            </w:pPr>
            <w:r>
              <w:rPr>
                <w:rFonts w:ascii="Arial" w:cs="Arial" w:eastAsia="Arial" w:hAnsi="Arial"/>
                <w:sz w:val="14"/>
                <w:szCs w:val="14"/>
                <w:b w:val="1"/>
                <w:bCs w:val="1"/>
                <w:color w:val="auto"/>
              </w:rPr>
              <w:t>Natural Gas (MMcf/d)</w:t>
            </w: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3660" w:type="dxa"/>
            <w:vAlign w:val="bottom"/>
          </w:tcPr>
          <w:p>
            <w:pPr>
              <w:ind w:left="60"/>
              <w:spacing w:after="0"/>
              <w:rPr>
                <w:sz w:val="20"/>
                <w:szCs w:val="20"/>
                <w:color w:val="auto"/>
              </w:rPr>
            </w:pPr>
            <w:r>
              <w:rPr>
                <w:rFonts w:ascii="Arial" w:cs="Arial" w:eastAsia="Arial" w:hAnsi="Arial"/>
                <w:sz w:val="14"/>
                <w:szCs w:val="14"/>
                <w:color w:val="auto"/>
              </w:rPr>
              <w:t>San Joaquin Basin</w:t>
            </w:r>
          </w:p>
        </w:tc>
        <w:tc>
          <w:tcPr>
            <w:tcW w:w="1420" w:type="dxa"/>
            <w:vAlign w:val="bottom"/>
          </w:tcPr>
          <w:p>
            <w:pPr>
              <w:jc w:val="right"/>
              <w:ind w:right="8"/>
              <w:spacing w:after="0"/>
              <w:rPr>
                <w:sz w:val="20"/>
                <w:szCs w:val="20"/>
                <w:color w:val="auto"/>
              </w:rPr>
            </w:pPr>
            <w:r>
              <w:rPr>
                <w:rFonts w:ascii="Arial" w:cs="Arial" w:eastAsia="Arial" w:hAnsi="Arial"/>
                <w:sz w:val="14"/>
                <w:szCs w:val="14"/>
                <w:b w:val="1"/>
                <w:bCs w:val="1"/>
                <w:color w:val="auto"/>
              </w:rPr>
              <w:t>131</w:t>
            </w:r>
          </w:p>
        </w:tc>
        <w:tc>
          <w:tcPr>
            <w:tcW w:w="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132</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135</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128</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135</w:t>
            </w:r>
          </w:p>
        </w:tc>
      </w:tr>
      <w:tr>
        <w:trPr>
          <w:trHeight w:val="203"/>
        </w:trPr>
        <w:tc>
          <w:tcPr>
            <w:tcW w:w="3660" w:type="dxa"/>
            <w:vAlign w:val="bottom"/>
          </w:tcPr>
          <w:p>
            <w:pPr>
              <w:ind w:left="60"/>
              <w:spacing w:after="0"/>
              <w:rPr>
                <w:sz w:val="20"/>
                <w:szCs w:val="20"/>
                <w:color w:val="auto"/>
              </w:rPr>
            </w:pPr>
            <w:r>
              <w:rPr>
                <w:rFonts w:ascii="Arial" w:cs="Arial" w:eastAsia="Arial" w:hAnsi="Arial"/>
                <w:sz w:val="14"/>
                <w:szCs w:val="14"/>
                <w:color w:val="auto"/>
              </w:rPr>
              <w:t>Los Angeles Basin</w:t>
            </w:r>
          </w:p>
        </w:tc>
        <w:tc>
          <w:tcPr>
            <w:tcW w:w="1420" w:type="dxa"/>
            <w:vAlign w:val="bottom"/>
          </w:tcPr>
          <w:p>
            <w:pPr>
              <w:jc w:val="right"/>
              <w:ind w:right="8"/>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w:t>
            </w:r>
          </w:p>
        </w:tc>
      </w:tr>
      <w:tr>
        <w:trPr>
          <w:trHeight w:val="203"/>
        </w:trPr>
        <w:tc>
          <w:tcPr>
            <w:tcW w:w="3660" w:type="dxa"/>
            <w:vAlign w:val="bottom"/>
          </w:tcPr>
          <w:p>
            <w:pPr>
              <w:ind w:left="60"/>
              <w:spacing w:after="0"/>
              <w:rPr>
                <w:sz w:val="20"/>
                <w:szCs w:val="20"/>
                <w:color w:val="auto"/>
              </w:rPr>
            </w:pPr>
            <w:r>
              <w:rPr>
                <w:rFonts w:ascii="Arial" w:cs="Arial" w:eastAsia="Arial" w:hAnsi="Arial"/>
                <w:sz w:val="14"/>
                <w:szCs w:val="14"/>
                <w:color w:val="auto"/>
              </w:rPr>
              <w:t>Ventura Basin</w:t>
            </w:r>
          </w:p>
        </w:tc>
        <w:tc>
          <w:tcPr>
            <w:tcW w:w="15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5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280" w:type="dxa"/>
            <w:vAlign w:val="bottom"/>
          </w:tcPr>
          <w:p>
            <w:pPr>
              <w:spacing w:after="0"/>
              <w:rPr>
                <w:sz w:val="17"/>
                <w:szCs w:val="17"/>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5</w:t>
            </w:r>
          </w:p>
        </w:tc>
      </w:tr>
      <w:tr>
        <w:trPr>
          <w:trHeight w:val="203"/>
        </w:trPr>
        <w:tc>
          <w:tcPr>
            <w:tcW w:w="3660" w:type="dxa"/>
            <w:vAlign w:val="bottom"/>
          </w:tcPr>
          <w:p>
            <w:pPr>
              <w:ind w:left="60"/>
              <w:spacing w:after="0"/>
              <w:rPr>
                <w:sz w:val="20"/>
                <w:szCs w:val="20"/>
                <w:color w:val="auto"/>
              </w:rPr>
            </w:pPr>
            <w:r>
              <w:rPr>
                <w:rFonts w:ascii="Arial" w:cs="Arial" w:eastAsia="Arial" w:hAnsi="Arial"/>
                <w:sz w:val="14"/>
                <w:szCs w:val="14"/>
                <w:color w:val="auto"/>
              </w:rPr>
              <w:t>Sacramento Basin</w:t>
            </w: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17</w:t>
            </w:r>
          </w:p>
        </w:tc>
        <w:tc>
          <w:tcPr>
            <w:tcW w:w="80" w:type="dxa"/>
            <w:vAlign w:val="bottom"/>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w:t>
            </w: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w:t>
            </w:r>
          </w:p>
        </w:tc>
        <w:tc>
          <w:tcPr>
            <w:tcW w:w="28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w:t>
            </w:r>
          </w:p>
        </w:tc>
        <w:tc>
          <w:tcPr>
            <w:tcW w:w="100" w:type="dxa"/>
            <w:vAlign w:val="bottom"/>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w:t>
            </w:r>
          </w:p>
        </w:tc>
      </w:tr>
      <w:tr>
        <w:trPr>
          <w:trHeight w:val="196"/>
        </w:trPr>
        <w:tc>
          <w:tcPr>
            <w:tcW w:w="3660" w:type="dxa"/>
            <w:vAlign w:val="bottom"/>
          </w:tcPr>
          <w:p>
            <w:pPr>
              <w:ind w:left="60"/>
              <w:spacing w:after="0"/>
              <w:rPr>
                <w:sz w:val="20"/>
                <w:szCs w:val="20"/>
                <w:color w:val="auto"/>
              </w:rPr>
            </w:pPr>
            <w:r>
              <w:rPr>
                <w:rFonts w:ascii="Arial" w:cs="Arial" w:eastAsia="Arial" w:hAnsi="Arial"/>
                <w:sz w:val="14"/>
                <w:szCs w:val="14"/>
                <w:color w:val="auto"/>
              </w:rPr>
              <w:t>Total</w:t>
            </w:r>
          </w:p>
        </w:tc>
        <w:tc>
          <w:tcPr>
            <w:tcW w:w="1420" w:type="dxa"/>
            <w:vAlign w:val="bottom"/>
          </w:tcPr>
          <w:p>
            <w:pPr>
              <w:jc w:val="right"/>
              <w:ind w:right="8"/>
              <w:spacing w:after="0"/>
              <w:rPr>
                <w:sz w:val="20"/>
                <w:szCs w:val="20"/>
                <w:color w:val="auto"/>
              </w:rPr>
            </w:pPr>
            <w:r>
              <w:rPr>
                <w:rFonts w:ascii="Arial" w:cs="Arial" w:eastAsia="Arial" w:hAnsi="Arial"/>
                <w:sz w:val="14"/>
                <w:szCs w:val="14"/>
                <w:b w:val="1"/>
                <w:bCs w:val="1"/>
                <w:color w:val="auto"/>
              </w:rPr>
              <w:t>149</w:t>
            </w:r>
          </w:p>
        </w:tc>
        <w:tc>
          <w:tcPr>
            <w:tcW w:w="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151</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160</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147</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160</w:t>
            </w:r>
          </w:p>
        </w:tc>
      </w:tr>
      <w:tr>
        <w:trPr>
          <w:trHeight w:val="164"/>
        </w:trPr>
        <w:tc>
          <w:tcPr>
            <w:tcW w:w="3660" w:type="dxa"/>
            <w:vAlign w:val="bottom"/>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r>
      <w:tr>
        <w:trPr>
          <w:trHeight w:val="196"/>
        </w:trPr>
        <w:tc>
          <w:tcPr>
            <w:tcW w:w="3660" w:type="dxa"/>
            <w:vAlign w:val="bottom"/>
          </w:tcPr>
          <w:p>
            <w:pPr>
              <w:ind w:left="20"/>
              <w:spacing w:after="0"/>
              <w:rPr>
                <w:sz w:val="20"/>
                <w:szCs w:val="20"/>
                <w:color w:val="auto"/>
              </w:rPr>
            </w:pPr>
            <w:r>
              <w:rPr>
                <w:rFonts w:ascii="Arial" w:cs="Arial" w:eastAsia="Arial" w:hAnsi="Arial"/>
                <w:sz w:val="14"/>
                <w:szCs w:val="14"/>
                <w:b w:val="1"/>
                <w:bCs w:val="1"/>
                <w:color w:val="auto"/>
              </w:rPr>
              <w:t>Total Production (MBoe/d)</w:t>
            </w: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92</w:t>
            </w:r>
          </w:p>
        </w:tc>
        <w:tc>
          <w:tcPr>
            <w:tcW w:w="80" w:type="dxa"/>
            <w:vAlign w:val="bottom"/>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91</w:t>
            </w: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102</w:t>
            </w:r>
          </w:p>
        </w:tc>
        <w:tc>
          <w:tcPr>
            <w:tcW w:w="28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91</w:t>
            </w:r>
          </w:p>
        </w:tc>
        <w:tc>
          <w:tcPr>
            <w:tcW w:w="100" w:type="dxa"/>
            <w:vAlign w:val="bottom"/>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101</w:t>
            </w:r>
          </w:p>
        </w:tc>
      </w:tr>
      <w:tr>
        <w:trPr>
          <w:trHeight w:val="21"/>
        </w:trPr>
        <w:tc>
          <w:tcPr>
            <w:tcW w:w="36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748"/>
        </w:trPr>
        <w:tc>
          <w:tcPr>
            <w:tcW w:w="3660" w:type="dxa"/>
            <w:vAlign w:val="bottom"/>
          </w:tcPr>
          <w:p>
            <w:pPr>
              <w:ind w:left="20"/>
              <w:spacing w:after="0"/>
              <w:rPr>
                <w:sz w:val="20"/>
                <w:szCs w:val="20"/>
                <w:color w:val="auto"/>
              </w:rPr>
            </w:pPr>
            <w:r>
              <w:rPr>
                <w:rFonts w:ascii="Arial" w:cs="Arial" w:eastAsia="Arial" w:hAnsi="Arial"/>
                <w:sz w:val="14"/>
                <w:szCs w:val="14"/>
                <w:b w:val="1"/>
                <w:bCs w:val="1"/>
                <w:color w:val="auto"/>
              </w:rPr>
              <w:t>Gross Operated and Net Non-Operated</w:t>
            </w:r>
          </w:p>
        </w:tc>
        <w:tc>
          <w:tcPr>
            <w:tcW w:w="15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3rd Quarter</w:t>
            </w: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2nd Quarter</w:t>
            </w:r>
          </w:p>
        </w:tc>
        <w:tc>
          <w:tcPr>
            <w:tcW w:w="16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3rd Quarter</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Nine Months</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Nine Months</w:t>
            </w:r>
          </w:p>
        </w:tc>
      </w:tr>
      <w:tr>
        <w:trPr>
          <w:trHeight w:val="203"/>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Oil, NGLs and Natural Gas Production Per Day</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2021</w:t>
            </w:r>
          </w:p>
        </w:tc>
      </w:tr>
      <w:tr>
        <w:trPr>
          <w:trHeight w:val="195"/>
        </w:trPr>
        <w:tc>
          <w:tcPr>
            <w:tcW w:w="3660" w:type="dxa"/>
            <w:vAlign w:val="bottom"/>
          </w:tcPr>
          <w:p>
            <w:pPr>
              <w:ind w:left="20"/>
              <w:spacing w:after="0"/>
              <w:rPr>
                <w:sz w:val="20"/>
                <w:szCs w:val="20"/>
                <w:color w:val="auto"/>
              </w:rPr>
            </w:pPr>
            <w:r>
              <w:rPr>
                <w:rFonts w:ascii="Arial" w:cs="Arial" w:eastAsia="Arial" w:hAnsi="Arial"/>
                <w:sz w:val="14"/>
                <w:szCs w:val="14"/>
                <w:b w:val="1"/>
                <w:bCs w:val="1"/>
                <w:color w:val="auto"/>
              </w:rPr>
              <w:t>Oil (MBbl/d)</w:t>
            </w: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03"/>
        </w:trPr>
        <w:tc>
          <w:tcPr>
            <w:tcW w:w="3660" w:type="dxa"/>
            <w:vAlign w:val="bottom"/>
          </w:tcPr>
          <w:p>
            <w:pPr>
              <w:ind w:left="60"/>
              <w:spacing w:after="0"/>
              <w:rPr>
                <w:sz w:val="20"/>
                <w:szCs w:val="20"/>
                <w:color w:val="auto"/>
              </w:rPr>
            </w:pPr>
            <w:r>
              <w:rPr>
                <w:rFonts w:ascii="Arial" w:cs="Arial" w:eastAsia="Arial" w:hAnsi="Arial"/>
                <w:sz w:val="14"/>
                <w:szCs w:val="14"/>
                <w:color w:val="auto"/>
              </w:rPr>
              <w:t>San Joaquin Basin</w:t>
            </w:r>
          </w:p>
        </w:tc>
        <w:tc>
          <w:tcPr>
            <w:tcW w:w="1420" w:type="dxa"/>
            <w:vAlign w:val="bottom"/>
          </w:tcPr>
          <w:p>
            <w:pPr>
              <w:jc w:val="right"/>
              <w:ind w:right="8"/>
              <w:spacing w:after="0"/>
              <w:rPr>
                <w:sz w:val="20"/>
                <w:szCs w:val="20"/>
                <w:color w:val="auto"/>
              </w:rPr>
            </w:pPr>
            <w:r>
              <w:rPr>
                <w:rFonts w:ascii="Arial" w:cs="Arial" w:eastAsia="Arial" w:hAnsi="Arial"/>
                <w:sz w:val="14"/>
                <w:szCs w:val="14"/>
                <w:b w:val="1"/>
                <w:bCs w:val="1"/>
                <w:color w:val="auto"/>
              </w:rPr>
              <w:t>40</w:t>
            </w:r>
          </w:p>
        </w:tc>
        <w:tc>
          <w:tcPr>
            <w:tcW w:w="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42</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45</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41</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44</w:t>
            </w:r>
          </w:p>
        </w:tc>
      </w:tr>
      <w:tr>
        <w:trPr>
          <w:trHeight w:val="203"/>
        </w:trPr>
        <w:tc>
          <w:tcPr>
            <w:tcW w:w="3660" w:type="dxa"/>
            <w:vAlign w:val="bottom"/>
          </w:tcPr>
          <w:p>
            <w:pPr>
              <w:ind w:left="60"/>
              <w:spacing w:after="0"/>
              <w:rPr>
                <w:sz w:val="20"/>
                <w:szCs w:val="20"/>
                <w:color w:val="auto"/>
              </w:rPr>
            </w:pPr>
            <w:r>
              <w:rPr>
                <w:rFonts w:ascii="Arial" w:cs="Arial" w:eastAsia="Arial" w:hAnsi="Arial"/>
                <w:sz w:val="14"/>
                <w:szCs w:val="14"/>
                <w:color w:val="auto"/>
              </w:rPr>
              <w:t>Los Angeles Basin</w:t>
            </w:r>
          </w:p>
        </w:tc>
        <w:tc>
          <w:tcPr>
            <w:tcW w:w="1420" w:type="dxa"/>
            <w:vAlign w:val="bottom"/>
          </w:tcPr>
          <w:p>
            <w:pPr>
              <w:jc w:val="right"/>
              <w:ind w:right="8"/>
              <w:spacing w:after="0"/>
              <w:rPr>
                <w:sz w:val="20"/>
                <w:szCs w:val="20"/>
                <w:color w:val="auto"/>
              </w:rPr>
            </w:pPr>
            <w:r>
              <w:rPr>
                <w:rFonts w:ascii="Arial" w:cs="Arial" w:eastAsia="Arial" w:hAnsi="Arial"/>
                <w:sz w:val="14"/>
                <w:szCs w:val="14"/>
                <w:b w:val="1"/>
                <w:bCs w:val="1"/>
                <w:color w:val="auto"/>
              </w:rPr>
              <w:t>26</w:t>
            </w:r>
          </w:p>
        </w:tc>
        <w:tc>
          <w:tcPr>
            <w:tcW w:w="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25</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26</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26</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27</w:t>
            </w:r>
          </w:p>
        </w:tc>
      </w:tr>
      <w:tr>
        <w:trPr>
          <w:trHeight w:val="203"/>
        </w:trPr>
        <w:tc>
          <w:tcPr>
            <w:tcW w:w="3660" w:type="dxa"/>
            <w:vAlign w:val="bottom"/>
          </w:tcPr>
          <w:p>
            <w:pPr>
              <w:ind w:left="60"/>
              <w:spacing w:after="0"/>
              <w:rPr>
                <w:sz w:val="20"/>
                <w:szCs w:val="20"/>
                <w:color w:val="auto"/>
              </w:rPr>
            </w:pPr>
            <w:r>
              <w:rPr>
                <w:rFonts w:ascii="Arial" w:cs="Arial" w:eastAsia="Arial" w:hAnsi="Arial"/>
                <w:sz w:val="14"/>
                <w:szCs w:val="14"/>
                <w:color w:val="auto"/>
              </w:rPr>
              <w:t>Ventura Basin</w:t>
            </w:r>
          </w:p>
        </w:tc>
        <w:tc>
          <w:tcPr>
            <w:tcW w:w="15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5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280" w:type="dxa"/>
            <w:vAlign w:val="bottom"/>
          </w:tcPr>
          <w:p>
            <w:pPr>
              <w:spacing w:after="0"/>
              <w:rPr>
                <w:sz w:val="17"/>
                <w:szCs w:val="17"/>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3</w:t>
            </w:r>
          </w:p>
        </w:tc>
      </w:tr>
      <w:tr>
        <w:trPr>
          <w:trHeight w:val="196"/>
        </w:trPr>
        <w:tc>
          <w:tcPr>
            <w:tcW w:w="3660" w:type="dxa"/>
            <w:vAlign w:val="bottom"/>
          </w:tcPr>
          <w:p>
            <w:pPr>
              <w:ind w:left="60"/>
              <w:spacing w:after="0"/>
              <w:rPr>
                <w:sz w:val="20"/>
                <w:szCs w:val="20"/>
                <w:color w:val="auto"/>
              </w:rPr>
            </w:pPr>
            <w:r>
              <w:rPr>
                <w:rFonts w:ascii="Arial" w:cs="Arial" w:eastAsia="Arial" w:hAnsi="Arial"/>
                <w:sz w:val="14"/>
                <w:szCs w:val="14"/>
                <w:color w:val="auto"/>
              </w:rPr>
              <w:t>Total</w:t>
            </w:r>
          </w:p>
        </w:tc>
        <w:tc>
          <w:tcPr>
            <w:tcW w:w="14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66</w:t>
            </w:r>
          </w:p>
        </w:tc>
        <w:tc>
          <w:tcPr>
            <w:tcW w:w="80" w:type="dxa"/>
            <w:vAlign w:val="bottom"/>
          </w:tcPr>
          <w:p>
            <w:pPr>
              <w:spacing w:after="0"/>
              <w:rPr>
                <w:sz w:val="17"/>
                <w:szCs w:val="17"/>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67</w:t>
            </w:r>
          </w:p>
        </w:tc>
        <w:tc>
          <w:tcPr>
            <w:tcW w:w="100" w:type="dxa"/>
            <w:vAlign w:val="bottom"/>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74</w:t>
            </w:r>
          </w:p>
        </w:tc>
        <w:tc>
          <w:tcPr>
            <w:tcW w:w="280" w:type="dxa"/>
            <w:vAlign w:val="bottom"/>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67</w:t>
            </w:r>
          </w:p>
        </w:tc>
        <w:tc>
          <w:tcPr>
            <w:tcW w:w="100" w:type="dxa"/>
            <w:vAlign w:val="bottom"/>
          </w:tcPr>
          <w:p>
            <w:pPr>
              <w:spacing w:after="0"/>
              <w:rPr>
                <w:sz w:val="17"/>
                <w:szCs w:val="17"/>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74</w:t>
            </w:r>
          </w:p>
        </w:tc>
      </w:tr>
      <w:tr>
        <w:trPr>
          <w:trHeight w:val="364"/>
        </w:trPr>
        <w:tc>
          <w:tcPr>
            <w:tcW w:w="3660" w:type="dxa"/>
            <w:vAlign w:val="bottom"/>
          </w:tcPr>
          <w:p>
            <w:pPr>
              <w:ind w:left="20"/>
              <w:spacing w:after="0"/>
              <w:rPr>
                <w:sz w:val="20"/>
                <w:szCs w:val="20"/>
                <w:color w:val="auto"/>
              </w:rPr>
            </w:pPr>
            <w:r>
              <w:rPr>
                <w:rFonts w:ascii="Arial" w:cs="Arial" w:eastAsia="Arial" w:hAnsi="Arial"/>
                <w:sz w:val="14"/>
                <w:szCs w:val="14"/>
                <w:b w:val="1"/>
                <w:bCs w:val="1"/>
                <w:color w:val="auto"/>
              </w:rPr>
              <w:t>NGLs (MBbl/d)</w:t>
            </w: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3660" w:type="dxa"/>
            <w:vAlign w:val="bottom"/>
          </w:tcPr>
          <w:p>
            <w:pPr>
              <w:ind w:left="60"/>
              <w:spacing w:after="0"/>
              <w:rPr>
                <w:sz w:val="20"/>
                <w:szCs w:val="20"/>
                <w:color w:val="auto"/>
              </w:rPr>
            </w:pPr>
            <w:r>
              <w:rPr>
                <w:rFonts w:ascii="Arial" w:cs="Arial" w:eastAsia="Arial" w:hAnsi="Arial"/>
                <w:sz w:val="14"/>
                <w:szCs w:val="14"/>
                <w:color w:val="auto"/>
              </w:rPr>
              <w:t>San Joaquin Basin</w:t>
            </w:r>
          </w:p>
        </w:tc>
        <w:tc>
          <w:tcPr>
            <w:tcW w:w="1420" w:type="dxa"/>
            <w:vAlign w:val="bottom"/>
          </w:tcPr>
          <w:p>
            <w:pPr>
              <w:jc w:val="right"/>
              <w:ind w:right="8"/>
              <w:spacing w:after="0"/>
              <w:rPr>
                <w:sz w:val="20"/>
                <w:szCs w:val="20"/>
                <w:color w:val="auto"/>
              </w:rPr>
            </w:pPr>
            <w:r>
              <w:rPr>
                <w:rFonts w:ascii="Arial" w:cs="Arial" w:eastAsia="Arial" w:hAnsi="Arial"/>
                <w:sz w:val="14"/>
                <w:szCs w:val="14"/>
                <w:b w:val="1"/>
                <w:bCs w:val="1"/>
                <w:color w:val="auto"/>
              </w:rPr>
              <w:t>13</w:t>
            </w:r>
          </w:p>
        </w:tc>
        <w:tc>
          <w:tcPr>
            <w:tcW w:w="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13</w:t>
            </w:r>
          </w:p>
        </w:tc>
      </w:tr>
      <w:tr>
        <w:trPr>
          <w:trHeight w:val="203"/>
        </w:trPr>
        <w:tc>
          <w:tcPr>
            <w:tcW w:w="3660" w:type="dxa"/>
            <w:vAlign w:val="bottom"/>
          </w:tcPr>
          <w:p>
            <w:pPr>
              <w:ind w:left="20"/>
              <w:spacing w:after="0"/>
              <w:rPr>
                <w:sz w:val="20"/>
                <w:szCs w:val="20"/>
                <w:color w:val="auto"/>
              </w:rPr>
            </w:pPr>
            <w:r>
              <w:rPr>
                <w:rFonts w:ascii="Arial" w:cs="Arial" w:eastAsia="Arial" w:hAnsi="Arial"/>
                <w:sz w:val="14"/>
                <w:szCs w:val="14"/>
                <w:color w:val="auto"/>
              </w:rPr>
              <w:t>Ventura Basin</w:t>
            </w:r>
          </w:p>
        </w:tc>
        <w:tc>
          <w:tcPr>
            <w:tcW w:w="15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5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6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w:t>
            </w:r>
          </w:p>
        </w:tc>
        <w:tc>
          <w:tcPr>
            <w:tcW w:w="14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w:t>
            </w:r>
          </w:p>
        </w:tc>
      </w:tr>
      <w:tr>
        <w:trPr>
          <w:trHeight w:val="196"/>
        </w:trPr>
        <w:tc>
          <w:tcPr>
            <w:tcW w:w="3660" w:type="dxa"/>
            <w:vAlign w:val="bottom"/>
          </w:tcPr>
          <w:p>
            <w:pPr>
              <w:ind w:left="60"/>
              <w:spacing w:after="0"/>
              <w:rPr>
                <w:sz w:val="20"/>
                <w:szCs w:val="20"/>
                <w:color w:val="auto"/>
              </w:rPr>
            </w:pPr>
            <w:r>
              <w:rPr>
                <w:rFonts w:ascii="Arial" w:cs="Arial" w:eastAsia="Arial" w:hAnsi="Arial"/>
                <w:sz w:val="14"/>
                <w:szCs w:val="14"/>
                <w:color w:val="auto"/>
              </w:rPr>
              <w:t>Total</w:t>
            </w:r>
          </w:p>
        </w:tc>
        <w:tc>
          <w:tcPr>
            <w:tcW w:w="14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13</w:t>
            </w:r>
          </w:p>
        </w:tc>
        <w:tc>
          <w:tcPr>
            <w:tcW w:w="80" w:type="dxa"/>
            <w:vAlign w:val="bottom"/>
          </w:tcPr>
          <w:p>
            <w:pPr>
              <w:spacing w:after="0"/>
              <w:rPr>
                <w:sz w:val="17"/>
                <w:szCs w:val="17"/>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14</w:t>
            </w:r>
          </w:p>
        </w:tc>
        <w:tc>
          <w:tcPr>
            <w:tcW w:w="280" w:type="dxa"/>
            <w:vAlign w:val="bottom"/>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12</w:t>
            </w:r>
          </w:p>
        </w:tc>
        <w:tc>
          <w:tcPr>
            <w:tcW w:w="100" w:type="dxa"/>
            <w:vAlign w:val="bottom"/>
          </w:tcPr>
          <w:p>
            <w:pPr>
              <w:spacing w:after="0"/>
              <w:rPr>
                <w:sz w:val="17"/>
                <w:szCs w:val="17"/>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14</w:t>
            </w:r>
          </w:p>
        </w:tc>
      </w:tr>
      <w:tr>
        <w:trPr>
          <w:trHeight w:val="364"/>
        </w:trPr>
        <w:tc>
          <w:tcPr>
            <w:tcW w:w="3660" w:type="dxa"/>
            <w:vAlign w:val="bottom"/>
          </w:tcPr>
          <w:p>
            <w:pPr>
              <w:ind w:left="20"/>
              <w:spacing w:after="0"/>
              <w:rPr>
                <w:sz w:val="20"/>
                <w:szCs w:val="20"/>
                <w:color w:val="auto"/>
              </w:rPr>
            </w:pPr>
            <w:r>
              <w:rPr>
                <w:rFonts w:ascii="Arial" w:cs="Arial" w:eastAsia="Arial" w:hAnsi="Arial"/>
                <w:sz w:val="14"/>
                <w:szCs w:val="14"/>
                <w:b w:val="1"/>
                <w:bCs w:val="1"/>
                <w:color w:val="auto"/>
              </w:rPr>
              <w:t>Natural Gas (MMcf/d)</w:t>
            </w: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3660" w:type="dxa"/>
            <w:vAlign w:val="bottom"/>
          </w:tcPr>
          <w:p>
            <w:pPr>
              <w:ind w:left="60"/>
              <w:spacing w:after="0"/>
              <w:rPr>
                <w:sz w:val="20"/>
                <w:szCs w:val="20"/>
                <w:color w:val="auto"/>
              </w:rPr>
            </w:pPr>
            <w:r>
              <w:rPr>
                <w:rFonts w:ascii="Arial" w:cs="Arial" w:eastAsia="Arial" w:hAnsi="Arial"/>
                <w:sz w:val="14"/>
                <w:szCs w:val="14"/>
                <w:color w:val="auto"/>
              </w:rPr>
              <w:t>San Joaquin Basin</w:t>
            </w:r>
          </w:p>
        </w:tc>
        <w:tc>
          <w:tcPr>
            <w:tcW w:w="1420" w:type="dxa"/>
            <w:vAlign w:val="bottom"/>
          </w:tcPr>
          <w:p>
            <w:pPr>
              <w:jc w:val="right"/>
              <w:ind w:right="8"/>
              <w:spacing w:after="0"/>
              <w:rPr>
                <w:sz w:val="20"/>
                <w:szCs w:val="20"/>
                <w:color w:val="auto"/>
              </w:rPr>
            </w:pPr>
            <w:r>
              <w:rPr>
                <w:rFonts w:ascii="Arial" w:cs="Arial" w:eastAsia="Arial" w:hAnsi="Arial"/>
                <w:sz w:val="14"/>
                <w:szCs w:val="14"/>
                <w:b w:val="1"/>
                <w:bCs w:val="1"/>
                <w:color w:val="auto"/>
              </w:rPr>
              <w:t>140</w:t>
            </w:r>
          </w:p>
        </w:tc>
        <w:tc>
          <w:tcPr>
            <w:tcW w:w="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141</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144</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137</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143</w:t>
            </w:r>
          </w:p>
        </w:tc>
      </w:tr>
      <w:tr>
        <w:trPr>
          <w:trHeight w:val="203"/>
        </w:trPr>
        <w:tc>
          <w:tcPr>
            <w:tcW w:w="3660" w:type="dxa"/>
            <w:vAlign w:val="bottom"/>
          </w:tcPr>
          <w:p>
            <w:pPr>
              <w:ind w:left="60"/>
              <w:spacing w:after="0"/>
              <w:rPr>
                <w:sz w:val="20"/>
                <w:szCs w:val="20"/>
                <w:color w:val="auto"/>
              </w:rPr>
            </w:pPr>
            <w:r>
              <w:rPr>
                <w:rFonts w:ascii="Arial" w:cs="Arial" w:eastAsia="Arial" w:hAnsi="Arial"/>
                <w:sz w:val="14"/>
                <w:szCs w:val="14"/>
                <w:color w:val="auto"/>
              </w:rPr>
              <w:t>Los Angeles Basin</w:t>
            </w:r>
          </w:p>
        </w:tc>
        <w:tc>
          <w:tcPr>
            <w:tcW w:w="1420" w:type="dxa"/>
            <w:vAlign w:val="bottom"/>
          </w:tcPr>
          <w:p>
            <w:pPr>
              <w:jc w:val="right"/>
              <w:ind w:right="8"/>
              <w:spacing w:after="0"/>
              <w:rPr>
                <w:sz w:val="20"/>
                <w:szCs w:val="20"/>
                <w:color w:val="auto"/>
              </w:rPr>
            </w:pPr>
            <w:r>
              <w:rPr>
                <w:rFonts w:ascii="Arial" w:cs="Arial" w:eastAsia="Arial" w:hAnsi="Arial"/>
                <w:sz w:val="14"/>
                <w:szCs w:val="14"/>
                <w:b w:val="1"/>
                <w:bCs w:val="1"/>
                <w:color w:val="auto"/>
              </w:rPr>
              <w:t>7</w:t>
            </w:r>
          </w:p>
        </w:tc>
        <w:tc>
          <w:tcPr>
            <w:tcW w:w="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8</w:t>
            </w:r>
          </w:p>
        </w:tc>
      </w:tr>
      <w:tr>
        <w:trPr>
          <w:trHeight w:val="203"/>
        </w:trPr>
        <w:tc>
          <w:tcPr>
            <w:tcW w:w="3660" w:type="dxa"/>
            <w:vAlign w:val="bottom"/>
          </w:tcPr>
          <w:p>
            <w:pPr>
              <w:ind w:left="60"/>
              <w:spacing w:after="0"/>
              <w:rPr>
                <w:sz w:val="20"/>
                <w:szCs w:val="20"/>
                <w:color w:val="auto"/>
              </w:rPr>
            </w:pPr>
            <w:r>
              <w:rPr>
                <w:rFonts w:ascii="Arial" w:cs="Arial" w:eastAsia="Arial" w:hAnsi="Arial"/>
                <w:sz w:val="14"/>
                <w:szCs w:val="14"/>
                <w:color w:val="auto"/>
              </w:rPr>
              <w:t>Ventura Basin</w:t>
            </w:r>
          </w:p>
        </w:tc>
        <w:tc>
          <w:tcPr>
            <w:tcW w:w="15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5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280" w:type="dxa"/>
            <w:vAlign w:val="bottom"/>
          </w:tcPr>
          <w:p>
            <w:pPr>
              <w:spacing w:after="0"/>
              <w:rPr>
                <w:sz w:val="17"/>
                <w:szCs w:val="17"/>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5</w:t>
            </w:r>
          </w:p>
        </w:tc>
      </w:tr>
      <w:tr>
        <w:trPr>
          <w:trHeight w:val="203"/>
        </w:trPr>
        <w:tc>
          <w:tcPr>
            <w:tcW w:w="3660" w:type="dxa"/>
            <w:vAlign w:val="bottom"/>
          </w:tcPr>
          <w:p>
            <w:pPr>
              <w:ind w:left="60"/>
              <w:spacing w:after="0"/>
              <w:rPr>
                <w:sz w:val="20"/>
                <w:szCs w:val="20"/>
                <w:color w:val="auto"/>
              </w:rPr>
            </w:pPr>
            <w:r>
              <w:rPr>
                <w:rFonts w:ascii="Arial" w:cs="Arial" w:eastAsia="Arial" w:hAnsi="Arial"/>
                <w:sz w:val="14"/>
                <w:szCs w:val="14"/>
                <w:color w:val="auto"/>
              </w:rPr>
              <w:t>Sacramento Basin</w:t>
            </w: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21</w:t>
            </w:r>
          </w:p>
        </w:tc>
        <w:tc>
          <w:tcPr>
            <w:tcW w:w="80" w:type="dxa"/>
            <w:vAlign w:val="bottom"/>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w:t>
            </w: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w:t>
            </w:r>
          </w:p>
        </w:tc>
        <w:tc>
          <w:tcPr>
            <w:tcW w:w="28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w:t>
            </w:r>
          </w:p>
        </w:tc>
        <w:tc>
          <w:tcPr>
            <w:tcW w:w="100" w:type="dxa"/>
            <w:vAlign w:val="bottom"/>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w:t>
            </w:r>
          </w:p>
        </w:tc>
      </w:tr>
      <w:tr>
        <w:trPr>
          <w:trHeight w:val="196"/>
        </w:trPr>
        <w:tc>
          <w:tcPr>
            <w:tcW w:w="3660" w:type="dxa"/>
            <w:vAlign w:val="bottom"/>
          </w:tcPr>
          <w:p>
            <w:pPr>
              <w:ind w:left="60"/>
              <w:spacing w:after="0"/>
              <w:rPr>
                <w:sz w:val="20"/>
                <w:szCs w:val="20"/>
                <w:color w:val="auto"/>
              </w:rPr>
            </w:pPr>
            <w:r>
              <w:rPr>
                <w:rFonts w:ascii="Arial" w:cs="Arial" w:eastAsia="Arial" w:hAnsi="Arial"/>
                <w:sz w:val="14"/>
                <w:szCs w:val="14"/>
                <w:color w:val="auto"/>
              </w:rPr>
              <w:t>Total</w:t>
            </w:r>
          </w:p>
        </w:tc>
        <w:tc>
          <w:tcPr>
            <w:tcW w:w="1420" w:type="dxa"/>
            <w:vAlign w:val="bottom"/>
          </w:tcPr>
          <w:p>
            <w:pPr>
              <w:jc w:val="right"/>
              <w:ind w:right="8"/>
              <w:spacing w:after="0"/>
              <w:rPr>
                <w:sz w:val="20"/>
                <w:szCs w:val="20"/>
                <w:color w:val="auto"/>
              </w:rPr>
            </w:pPr>
            <w:r>
              <w:rPr>
                <w:rFonts w:ascii="Arial" w:cs="Arial" w:eastAsia="Arial" w:hAnsi="Arial"/>
                <w:sz w:val="14"/>
                <w:szCs w:val="14"/>
                <w:b w:val="1"/>
                <w:bCs w:val="1"/>
                <w:color w:val="auto"/>
              </w:rPr>
              <w:t>168</w:t>
            </w:r>
          </w:p>
        </w:tc>
        <w:tc>
          <w:tcPr>
            <w:tcW w:w="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170</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180</w:t>
            </w:r>
          </w:p>
        </w:tc>
        <w:tc>
          <w:tcPr>
            <w:tcW w:w="28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166</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180</w:t>
            </w:r>
          </w:p>
        </w:tc>
      </w:tr>
      <w:tr>
        <w:trPr>
          <w:trHeight w:val="164"/>
        </w:trPr>
        <w:tc>
          <w:tcPr>
            <w:tcW w:w="3660" w:type="dxa"/>
            <w:vAlign w:val="bottom"/>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r>
      <w:tr>
        <w:trPr>
          <w:trHeight w:val="196"/>
        </w:trPr>
        <w:tc>
          <w:tcPr>
            <w:tcW w:w="3660" w:type="dxa"/>
            <w:vAlign w:val="bottom"/>
          </w:tcPr>
          <w:p>
            <w:pPr>
              <w:ind w:left="20"/>
              <w:spacing w:after="0"/>
              <w:rPr>
                <w:sz w:val="20"/>
                <w:szCs w:val="20"/>
                <w:color w:val="auto"/>
              </w:rPr>
            </w:pPr>
            <w:r>
              <w:rPr>
                <w:rFonts w:ascii="Arial" w:cs="Arial" w:eastAsia="Arial" w:hAnsi="Arial"/>
                <w:sz w:val="14"/>
                <w:szCs w:val="14"/>
                <w:b w:val="1"/>
                <w:bCs w:val="1"/>
                <w:color w:val="auto"/>
              </w:rPr>
              <w:t>Total Production (MBoe/d)</w:t>
            </w: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107</w:t>
            </w:r>
          </w:p>
        </w:tc>
        <w:tc>
          <w:tcPr>
            <w:tcW w:w="80" w:type="dxa"/>
            <w:vAlign w:val="bottom"/>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108</w:t>
            </w: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118</w:t>
            </w:r>
          </w:p>
        </w:tc>
        <w:tc>
          <w:tcPr>
            <w:tcW w:w="28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107</w:t>
            </w:r>
          </w:p>
        </w:tc>
        <w:tc>
          <w:tcPr>
            <w:tcW w:w="100" w:type="dxa"/>
            <w:vAlign w:val="bottom"/>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118</w:t>
            </w:r>
          </w:p>
        </w:tc>
      </w:tr>
      <w:tr>
        <w:trPr>
          <w:trHeight w:val="20"/>
        </w:trPr>
        <w:tc>
          <w:tcPr>
            <w:tcW w:w="36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20"/>
        <w:spacing w:after="0"/>
        <w:rPr>
          <w:sz w:val="20"/>
          <w:szCs w:val="20"/>
          <w:color w:val="auto"/>
        </w:rPr>
      </w:pPr>
      <w:r>
        <w:rPr>
          <w:rFonts w:ascii="Arial" w:cs="Arial" w:eastAsia="Arial" w:hAnsi="Arial"/>
          <w:sz w:val="14"/>
          <w:szCs w:val="14"/>
          <w:color w:val="auto"/>
        </w:rPr>
        <w:t>Note: MBbl/d refers to thousands of barrels per day; MMcf/d refers to millions of cubic feet per day; MBoe/d refers to thousands of barrels of oil equivalent (Boe) per day.</w:t>
      </w:r>
    </w:p>
    <w:p>
      <w:pPr>
        <w:spacing w:after="0" w:line="2" w:lineRule="exact"/>
        <w:rPr>
          <w:sz w:val="20"/>
          <w:szCs w:val="20"/>
          <w:color w:val="auto"/>
        </w:rPr>
      </w:pPr>
    </w:p>
    <w:p>
      <w:pPr>
        <w:ind w:left="20" w:right="580"/>
        <w:spacing w:after="0" w:line="231" w:lineRule="auto"/>
        <w:rPr>
          <w:sz w:val="20"/>
          <w:szCs w:val="20"/>
          <w:color w:val="auto"/>
        </w:rPr>
      </w:pPr>
      <w:r>
        <w:rPr>
          <w:rFonts w:ascii="Arial" w:cs="Arial" w:eastAsia="Arial" w:hAnsi="Arial"/>
          <w:sz w:val="14"/>
          <w:szCs w:val="14"/>
          <w:color w:val="auto"/>
        </w:rPr>
        <w:t>Natural gas volumes have been converted to Boe based on the equivalence of energy content of six thousand cubic feet of natural gas to one barrel of oil. Barrels of oil equivalence does not necessarily result in price equivalence.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18</w:t>
      </w:r>
    </w:p>
    <w:p>
      <w:pPr>
        <w:sectPr>
          <w:pgSz w:w="11900" w:h="16838" w:orient="portrait"/>
          <w:cols w:equalWidth="0" w:num="1">
            <w:col w:w="11240"/>
          </w:cols>
          <w:pgMar w:left="320" w:top="1305"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97"/>
        </w:trPr>
        <w:tc>
          <w:tcPr>
            <w:tcW w:w="35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Attachment 4</w:t>
            </w:r>
          </w:p>
        </w:tc>
      </w:tr>
      <w:tr>
        <w:trPr>
          <w:trHeight w:val="22"/>
        </w:trPr>
        <w:tc>
          <w:tcPr>
            <w:tcW w:w="3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94"/>
        </w:trPr>
        <w:tc>
          <w:tcPr>
            <w:tcW w:w="3520" w:type="dxa"/>
            <w:vAlign w:val="bottom"/>
          </w:tcPr>
          <w:p>
            <w:pPr>
              <w:ind w:left="20"/>
              <w:spacing w:after="0"/>
              <w:rPr>
                <w:sz w:val="20"/>
                <w:szCs w:val="20"/>
                <w:color w:val="auto"/>
              </w:rPr>
            </w:pPr>
            <w:r>
              <w:rPr>
                <w:rFonts w:ascii="Arial" w:cs="Arial" w:eastAsia="Arial" w:hAnsi="Arial"/>
                <w:sz w:val="14"/>
                <w:szCs w:val="14"/>
                <w:b w:val="1"/>
                <w:bCs w:val="1"/>
                <w:color w:val="auto"/>
              </w:rPr>
              <w:t>PRICE STATISTICS</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03"/>
        </w:trPr>
        <w:tc>
          <w:tcPr>
            <w:tcW w:w="3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3rd Quarter</w:t>
            </w:r>
          </w:p>
        </w:tc>
        <w:tc>
          <w:tcPr>
            <w:tcW w:w="200" w:type="dxa"/>
            <w:vAlign w:val="bottom"/>
          </w:tcPr>
          <w:p>
            <w:pPr>
              <w:spacing w:after="0"/>
              <w:rPr>
                <w:sz w:val="17"/>
                <w:szCs w:val="17"/>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2nd Quarter</w:t>
            </w:r>
          </w:p>
        </w:tc>
        <w:tc>
          <w:tcPr>
            <w:tcW w:w="220" w:type="dxa"/>
            <w:vAlign w:val="bottom"/>
          </w:tcPr>
          <w:p>
            <w:pPr>
              <w:spacing w:after="0"/>
              <w:rPr>
                <w:sz w:val="17"/>
                <w:szCs w:val="17"/>
                <w:color w:val="auto"/>
              </w:rPr>
            </w:pPr>
          </w:p>
        </w:tc>
        <w:tc>
          <w:tcPr>
            <w:tcW w:w="1380" w:type="dxa"/>
            <w:vAlign w:val="bottom"/>
            <w:gridSpan w:val="2"/>
          </w:tcPr>
          <w:p>
            <w:pPr>
              <w:ind w:left="140"/>
              <w:spacing w:after="0"/>
              <w:rPr>
                <w:sz w:val="20"/>
                <w:szCs w:val="20"/>
                <w:color w:val="auto"/>
              </w:rPr>
            </w:pPr>
            <w:r>
              <w:rPr>
                <w:rFonts w:ascii="Arial" w:cs="Arial" w:eastAsia="Arial" w:hAnsi="Arial"/>
                <w:sz w:val="14"/>
                <w:szCs w:val="14"/>
                <w:b w:val="1"/>
                <w:bCs w:val="1"/>
                <w:color w:val="auto"/>
              </w:rPr>
              <w:t>3rd Quarter</w:t>
            </w:r>
          </w:p>
        </w:tc>
        <w:tc>
          <w:tcPr>
            <w:tcW w:w="160" w:type="dxa"/>
            <w:vAlign w:val="bottom"/>
          </w:tcPr>
          <w:p>
            <w:pPr>
              <w:spacing w:after="0"/>
              <w:rPr>
                <w:sz w:val="17"/>
                <w:szCs w:val="17"/>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Nine Months</w:t>
            </w:r>
          </w:p>
        </w:tc>
        <w:tc>
          <w:tcPr>
            <w:tcW w:w="200" w:type="dxa"/>
            <w:vAlign w:val="bottom"/>
          </w:tcPr>
          <w:p>
            <w:pPr>
              <w:spacing w:after="0"/>
              <w:rPr>
                <w:sz w:val="17"/>
                <w:szCs w:val="17"/>
                <w:color w:val="auto"/>
              </w:rPr>
            </w:pPr>
          </w:p>
        </w:tc>
        <w:tc>
          <w:tcPr>
            <w:tcW w:w="1300" w:type="dxa"/>
            <w:vAlign w:val="bottom"/>
          </w:tcPr>
          <w:p>
            <w:pPr>
              <w:jc w:val="right"/>
              <w:ind w:right="248"/>
              <w:spacing w:after="0"/>
              <w:rPr>
                <w:sz w:val="20"/>
                <w:szCs w:val="20"/>
                <w:color w:val="auto"/>
              </w:rPr>
            </w:pPr>
            <w:r>
              <w:rPr>
                <w:rFonts w:ascii="Arial" w:cs="Arial" w:eastAsia="Arial" w:hAnsi="Arial"/>
                <w:sz w:val="14"/>
                <w:szCs w:val="14"/>
                <w:b w:val="1"/>
                <w:bCs w:val="1"/>
                <w:color w:val="auto"/>
              </w:rPr>
              <w:t>Nine Months</w:t>
            </w:r>
          </w:p>
        </w:tc>
      </w:tr>
      <w:tr>
        <w:trPr>
          <w:trHeight w:val="203"/>
        </w:trPr>
        <w:tc>
          <w:tcPr>
            <w:tcW w:w="35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2021</w:t>
            </w:r>
          </w:p>
        </w:tc>
      </w:tr>
      <w:tr>
        <w:trPr>
          <w:trHeight w:val="183"/>
        </w:trPr>
        <w:tc>
          <w:tcPr>
            <w:tcW w:w="3520" w:type="dxa"/>
            <w:vAlign w:val="bottom"/>
          </w:tcPr>
          <w:p>
            <w:pPr>
              <w:ind w:left="20"/>
              <w:spacing w:after="0"/>
              <w:rPr>
                <w:sz w:val="20"/>
                <w:szCs w:val="20"/>
                <w:color w:val="auto"/>
              </w:rPr>
            </w:pPr>
            <w:r>
              <w:rPr>
                <w:rFonts w:ascii="Arial" w:cs="Arial" w:eastAsia="Arial" w:hAnsi="Arial"/>
                <w:sz w:val="14"/>
                <w:szCs w:val="14"/>
                <w:b w:val="1"/>
                <w:bCs w:val="1"/>
                <w:color w:val="auto"/>
              </w:rPr>
              <w:t>Oil ($ per Bbl)</w:t>
            </w: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03"/>
        </w:trPr>
        <w:tc>
          <w:tcPr>
            <w:tcW w:w="3520" w:type="dxa"/>
            <w:vAlign w:val="bottom"/>
          </w:tcPr>
          <w:p>
            <w:pPr>
              <w:ind w:left="20"/>
              <w:spacing w:after="0"/>
              <w:rPr>
                <w:sz w:val="20"/>
                <w:szCs w:val="20"/>
                <w:color w:val="auto"/>
              </w:rPr>
            </w:pPr>
            <w:r>
              <w:rPr>
                <w:rFonts w:ascii="Arial" w:cs="Arial" w:eastAsia="Arial" w:hAnsi="Arial"/>
                <w:sz w:val="14"/>
                <w:szCs w:val="14"/>
                <w:color w:val="auto"/>
              </w:rPr>
              <w:t>Realized price with derivative settlements</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128"/>
              <w:spacing w:after="0"/>
              <w:rPr>
                <w:sz w:val="20"/>
                <w:szCs w:val="20"/>
                <w:color w:val="auto"/>
              </w:rPr>
            </w:pPr>
            <w:r>
              <w:rPr>
                <w:rFonts w:ascii="Arial" w:cs="Arial" w:eastAsia="Arial" w:hAnsi="Arial"/>
                <w:sz w:val="14"/>
                <w:szCs w:val="14"/>
                <w:b w:val="1"/>
                <w:bCs w:val="1"/>
                <w:color w:val="auto"/>
              </w:rPr>
              <w:t>62.45</w:t>
            </w:r>
          </w:p>
        </w:tc>
        <w:tc>
          <w:tcPr>
            <w:tcW w:w="10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240" w:type="dxa"/>
            <w:vAlign w:val="bottom"/>
          </w:tcPr>
          <w:p>
            <w:pPr>
              <w:jc w:val="right"/>
              <w:ind w:right="108"/>
              <w:spacing w:after="0"/>
              <w:rPr>
                <w:sz w:val="20"/>
                <w:szCs w:val="20"/>
                <w:color w:val="auto"/>
              </w:rPr>
            </w:pPr>
            <w:r>
              <w:rPr>
                <w:rFonts w:ascii="Arial" w:cs="Arial" w:eastAsia="Arial" w:hAnsi="Arial"/>
                <w:sz w:val="14"/>
                <w:szCs w:val="14"/>
                <w:b w:val="1"/>
                <w:bCs w:val="1"/>
                <w:color w:val="auto"/>
              </w:rPr>
              <w:t>63.17</w:t>
            </w:r>
          </w:p>
        </w:tc>
        <w:tc>
          <w:tcPr>
            <w:tcW w:w="2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108"/>
              <w:spacing w:after="0"/>
              <w:rPr>
                <w:sz w:val="20"/>
                <w:szCs w:val="20"/>
                <w:color w:val="auto"/>
              </w:rPr>
            </w:pPr>
            <w:r>
              <w:rPr>
                <w:rFonts w:ascii="Arial" w:cs="Arial" w:eastAsia="Arial" w:hAnsi="Arial"/>
                <w:sz w:val="14"/>
                <w:szCs w:val="14"/>
                <w:b w:val="1"/>
                <w:bCs w:val="1"/>
                <w:color w:val="auto"/>
              </w:rPr>
              <w:t>55.42</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108"/>
              <w:spacing w:after="0"/>
              <w:rPr>
                <w:sz w:val="20"/>
                <w:szCs w:val="20"/>
                <w:color w:val="auto"/>
              </w:rPr>
            </w:pPr>
            <w:r>
              <w:rPr>
                <w:rFonts w:ascii="Arial" w:cs="Arial" w:eastAsia="Arial" w:hAnsi="Arial"/>
                <w:sz w:val="14"/>
                <w:szCs w:val="14"/>
                <w:b w:val="1"/>
                <w:bCs w:val="1"/>
                <w:color w:val="auto"/>
              </w:rPr>
              <w:t>61.96</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ind w:right="108"/>
              <w:spacing w:after="0"/>
              <w:rPr>
                <w:sz w:val="20"/>
                <w:szCs w:val="20"/>
                <w:color w:val="auto"/>
              </w:rPr>
            </w:pPr>
            <w:r>
              <w:rPr>
                <w:rFonts w:ascii="Arial" w:cs="Arial" w:eastAsia="Arial" w:hAnsi="Arial"/>
                <w:sz w:val="14"/>
                <w:szCs w:val="14"/>
                <w:b w:val="1"/>
                <w:bCs w:val="1"/>
                <w:color w:val="auto"/>
              </w:rPr>
              <w:t>54.43</w:t>
            </w:r>
          </w:p>
        </w:tc>
      </w:tr>
      <w:tr>
        <w:trPr>
          <w:trHeight w:val="203"/>
        </w:trPr>
        <w:tc>
          <w:tcPr>
            <w:tcW w:w="3520" w:type="dxa"/>
            <w:vAlign w:val="bottom"/>
          </w:tcPr>
          <w:p>
            <w:pPr>
              <w:ind w:left="20"/>
              <w:spacing w:after="0"/>
              <w:rPr>
                <w:sz w:val="20"/>
                <w:szCs w:val="20"/>
                <w:color w:val="auto"/>
              </w:rPr>
            </w:pPr>
            <w:r>
              <w:rPr>
                <w:rFonts w:ascii="Arial" w:cs="Arial" w:eastAsia="Arial" w:hAnsi="Arial"/>
                <w:sz w:val="14"/>
                <w:szCs w:val="14"/>
                <w:color w:val="auto"/>
              </w:rPr>
              <w:t>Realized price without derivative settlements</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128"/>
              <w:spacing w:after="0"/>
              <w:rPr>
                <w:sz w:val="20"/>
                <w:szCs w:val="20"/>
                <w:color w:val="auto"/>
              </w:rPr>
            </w:pPr>
            <w:r>
              <w:rPr>
                <w:rFonts w:ascii="Arial" w:cs="Arial" w:eastAsia="Arial" w:hAnsi="Arial"/>
                <w:sz w:val="14"/>
                <w:szCs w:val="14"/>
                <w:b w:val="1"/>
                <w:bCs w:val="1"/>
                <w:color w:val="auto"/>
              </w:rPr>
              <w:t>97.96</w:t>
            </w:r>
          </w:p>
        </w:tc>
        <w:tc>
          <w:tcPr>
            <w:tcW w:w="10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240" w:type="dxa"/>
            <w:vAlign w:val="bottom"/>
          </w:tcPr>
          <w:p>
            <w:pPr>
              <w:jc w:val="right"/>
              <w:ind w:right="108"/>
              <w:spacing w:after="0"/>
              <w:rPr>
                <w:sz w:val="20"/>
                <w:szCs w:val="20"/>
                <w:color w:val="auto"/>
              </w:rPr>
            </w:pPr>
            <w:r>
              <w:rPr>
                <w:rFonts w:ascii="Arial" w:cs="Arial" w:eastAsia="Arial" w:hAnsi="Arial"/>
                <w:sz w:val="14"/>
                <w:szCs w:val="14"/>
                <w:b w:val="1"/>
                <w:bCs w:val="1"/>
                <w:color w:val="auto"/>
              </w:rPr>
              <w:t>112.32</w:t>
            </w:r>
          </w:p>
        </w:tc>
        <w:tc>
          <w:tcPr>
            <w:tcW w:w="2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108"/>
              <w:spacing w:after="0"/>
              <w:rPr>
                <w:sz w:val="20"/>
                <w:szCs w:val="20"/>
                <w:color w:val="auto"/>
              </w:rPr>
            </w:pPr>
            <w:r>
              <w:rPr>
                <w:rFonts w:ascii="Arial" w:cs="Arial" w:eastAsia="Arial" w:hAnsi="Arial"/>
                <w:sz w:val="14"/>
                <w:szCs w:val="14"/>
                <w:b w:val="1"/>
                <w:bCs w:val="1"/>
                <w:color w:val="auto"/>
              </w:rPr>
              <w:t>72.89</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108"/>
              <w:spacing w:after="0"/>
              <w:rPr>
                <w:sz w:val="20"/>
                <w:szCs w:val="20"/>
                <w:color w:val="auto"/>
              </w:rPr>
            </w:pPr>
            <w:r>
              <w:rPr>
                <w:rFonts w:ascii="Arial" w:cs="Arial" w:eastAsia="Arial" w:hAnsi="Arial"/>
                <w:sz w:val="14"/>
                <w:szCs w:val="14"/>
                <w:b w:val="1"/>
                <w:bCs w:val="1"/>
                <w:color w:val="auto"/>
              </w:rPr>
              <w:t>102.01</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ind w:right="108"/>
              <w:spacing w:after="0"/>
              <w:rPr>
                <w:sz w:val="20"/>
                <w:szCs w:val="20"/>
                <w:color w:val="auto"/>
              </w:rPr>
            </w:pPr>
            <w:r>
              <w:rPr>
                <w:rFonts w:ascii="Arial" w:cs="Arial" w:eastAsia="Arial" w:hAnsi="Arial"/>
                <w:sz w:val="14"/>
                <w:szCs w:val="14"/>
                <w:b w:val="1"/>
                <w:bCs w:val="1"/>
                <w:color w:val="auto"/>
              </w:rPr>
              <w:t>67.62</w:t>
            </w:r>
          </w:p>
        </w:tc>
      </w:tr>
      <w:tr>
        <w:trPr>
          <w:trHeight w:val="257"/>
        </w:trPr>
        <w:tc>
          <w:tcPr>
            <w:tcW w:w="3520" w:type="dxa"/>
            <w:vAlign w:val="bottom"/>
          </w:tcPr>
          <w:p>
            <w:pPr>
              <w:ind w:left="20"/>
              <w:spacing w:after="0"/>
              <w:rPr>
                <w:sz w:val="20"/>
                <w:szCs w:val="20"/>
                <w:color w:val="auto"/>
              </w:rPr>
            </w:pPr>
            <w:r>
              <w:rPr>
                <w:rFonts w:ascii="Arial" w:cs="Arial" w:eastAsia="Arial" w:hAnsi="Arial"/>
                <w:sz w:val="14"/>
                <w:szCs w:val="14"/>
                <w:color w:val="auto"/>
              </w:rPr>
              <w:t>NGLs ($/Bbl)</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128"/>
              <w:spacing w:after="0"/>
              <w:rPr>
                <w:sz w:val="20"/>
                <w:szCs w:val="20"/>
                <w:color w:val="auto"/>
              </w:rPr>
            </w:pPr>
            <w:r>
              <w:rPr>
                <w:rFonts w:ascii="Arial" w:cs="Arial" w:eastAsia="Arial" w:hAnsi="Arial"/>
                <w:sz w:val="14"/>
                <w:szCs w:val="14"/>
                <w:b w:val="1"/>
                <w:bCs w:val="1"/>
                <w:color w:val="auto"/>
              </w:rPr>
              <w:t>57.68</w:t>
            </w:r>
          </w:p>
        </w:tc>
        <w:tc>
          <w:tcPr>
            <w:tcW w:w="100" w:type="dxa"/>
            <w:vAlign w:val="bottom"/>
          </w:tcPr>
          <w:p>
            <w:pPr>
              <w:spacing w:after="0"/>
              <w:rPr>
                <w:sz w:val="22"/>
                <w:szCs w:val="22"/>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240" w:type="dxa"/>
            <w:vAlign w:val="bottom"/>
          </w:tcPr>
          <w:p>
            <w:pPr>
              <w:jc w:val="right"/>
              <w:ind w:right="108"/>
              <w:spacing w:after="0"/>
              <w:rPr>
                <w:sz w:val="20"/>
                <w:szCs w:val="20"/>
                <w:color w:val="auto"/>
              </w:rPr>
            </w:pPr>
            <w:r>
              <w:rPr>
                <w:rFonts w:ascii="Arial" w:cs="Arial" w:eastAsia="Arial" w:hAnsi="Arial"/>
                <w:sz w:val="14"/>
                <w:szCs w:val="14"/>
                <w:b w:val="1"/>
                <w:bCs w:val="1"/>
                <w:color w:val="auto"/>
              </w:rPr>
              <w:t>68.29</w:t>
            </w:r>
          </w:p>
        </w:tc>
        <w:tc>
          <w:tcPr>
            <w:tcW w:w="2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108"/>
              <w:spacing w:after="0"/>
              <w:rPr>
                <w:sz w:val="20"/>
                <w:szCs w:val="20"/>
                <w:color w:val="auto"/>
              </w:rPr>
            </w:pPr>
            <w:r>
              <w:rPr>
                <w:rFonts w:ascii="Arial" w:cs="Arial" w:eastAsia="Arial" w:hAnsi="Arial"/>
                <w:sz w:val="14"/>
                <w:szCs w:val="14"/>
                <w:b w:val="1"/>
                <w:bCs w:val="1"/>
                <w:color w:val="auto"/>
              </w:rPr>
              <w:t>53.74</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108"/>
              <w:spacing w:after="0"/>
              <w:rPr>
                <w:sz w:val="20"/>
                <w:szCs w:val="20"/>
                <w:color w:val="auto"/>
              </w:rPr>
            </w:pPr>
            <w:r>
              <w:rPr>
                <w:rFonts w:ascii="Arial" w:cs="Arial" w:eastAsia="Arial" w:hAnsi="Arial"/>
                <w:sz w:val="14"/>
                <w:szCs w:val="14"/>
                <w:b w:val="1"/>
                <w:bCs w:val="1"/>
                <w:color w:val="auto"/>
              </w:rPr>
              <w:t>66.98</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ind w:right="108"/>
              <w:spacing w:after="0"/>
              <w:rPr>
                <w:sz w:val="20"/>
                <w:szCs w:val="20"/>
                <w:color w:val="auto"/>
              </w:rPr>
            </w:pPr>
            <w:r>
              <w:rPr>
                <w:rFonts w:ascii="Arial" w:cs="Arial" w:eastAsia="Arial" w:hAnsi="Arial"/>
                <w:sz w:val="14"/>
                <w:szCs w:val="14"/>
                <w:b w:val="1"/>
                <w:bCs w:val="1"/>
                <w:color w:val="auto"/>
              </w:rPr>
              <w:t>49.20</w:t>
            </w:r>
          </w:p>
        </w:tc>
      </w:tr>
      <w:tr>
        <w:trPr>
          <w:trHeight w:val="251"/>
        </w:trPr>
        <w:tc>
          <w:tcPr>
            <w:tcW w:w="3520" w:type="dxa"/>
            <w:vAlign w:val="bottom"/>
          </w:tcPr>
          <w:p>
            <w:pPr>
              <w:ind w:left="20"/>
              <w:spacing w:after="0"/>
              <w:rPr>
                <w:sz w:val="20"/>
                <w:szCs w:val="20"/>
                <w:color w:val="auto"/>
              </w:rPr>
            </w:pPr>
            <w:r>
              <w:rPr>
                <w:rFonts w:ascii="Arial" w:cs="Arial" w:eastAsia="Arial" w:hAnsi="Arial"/>
                <w:sz w:val="14"/>
                <w:szCs w:val="14"/>
                <w:color w:val="auto"/>
              </w:rPr>
              <w:t>Natural gas ($/Mcf)</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08"/>
        </w:trPr>
        <w:tc>
          <w:tcPr>
            <w:tcW w:w="3520" w:type="dxa"/>
            <w:vAlign w:val="bottom"/>
          </w:tcPr>
          <w:p>
            <w:pPr>
              <w:ind w:left="20"/>
              <w:spacing w:after="0"/>
              <w:rPr>
                <w:sz w:val="20"/>
                <w:szCs w:val="20"/>
                <w:color w:val="auto"/>
              </w:rPr>
            </w:pPr>
            <w:r>
              <w:rPr>
                <w:rFonts w:ascii="Arial" w:cs="Arial" w:eastAsia="Arial" w:hAnsi="Arial"/>
                <w:sz w:val="14"/>
                <w:szCs w:val="14"/>
                <w:color w:val="auto"/>
              </w:rPr>
              <w:t>Realized price with derivative settlements</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128"/>
              <w:spacing w:after="0"/>
              <w:rPr>
                <w:sz w:val="20"/>
                <w:szCs w:val="20"/>
                <w:color w:val="auto"/>
              </w:rPr>
            </w:pPr>
            <w:r>
              <w:rPr>
                <w:rFonts w:ascii="Arial" w:cs="Arial" w:eastAsia="Arial" w:hAnsi="Arial"/>
                <w:sz w:val="14"/>
                <w:szCs w:val="14"/>
                <w:b w:val="1"/>
                <w:bCs w:val="1"/>
                <w:color w:val="auto"/>
              </w:rPr>
              <w:t>8.58</w:t>
            </w:r>
          </w:p>
        </w:tc>
        <w:tc>
          <w:tcPr>
            <w:tcW w:w="100" w:type="dxa"/>
            <w:vAlign w:val="bottom"/>
          </w:tcPr>
          <w:p>
            <w:pPr>
              <w:spacing w:after="0"/>
              <w:rPr>
                <w:sz w:val="18"/>
                <w:szCs w:val="18"/>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240" w:type="dxa"/>
            <w:vAlign w:val="bottom"/>
          </w:tcPr>
          <w:p>
            <w:pPr>
              <w:jc w:val="right"/>
              <w:ind w:right="108"/>
              <w:spacing w:after="0"/>
              <w:rPr>
                <w:sz w:val="20"/>
                <w:szCs w:val="20"/>
                <w:color w:val="auto"/>
              </w:rPr>
            </w:pPr>
            <w:r>
              <w:rPr>
                <w:rFonts w:ascii="Arial" w:cs="Arial" w:eastAsia="Arial" w:hAnsi="Arial"/>
                <w:sz w:val="14"/>
                <w:szCs w:val="14"/>
                <w:b w:val="1"/>
                <w:bCs w:val="1"/>
                <w:color w:val="auto"/>
              </w:rPr>
              <w:t>6.72</w:t>
            </w:r>
          </w:p>
        </w:tc>
        <w:tc>
          <w:tcPr>
            <w:tcW w:w="200" w:type="dxa"/>
            <w:vAlign w:val="bottom"/>
          </w:tcPr>
          <w:p>
            <w:pPr>
              <w:spacing w:after="0"/>
              <w:rPr>
                <w:sz w:val="18"/>
                <w:szCs w:val="18"/>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108"/>
              <w:spacing w:after="0"/>
              <w:rPr>
                <w:sz w:val="20"/>
                <w:szCs w:val="20"/>
                <w:color w:val="auto"/>
              </w:rPr>
            </w:pPr>
            <w:r>
              <w:rPr>
                <w:rFonts w:ascii="Arial" w:cs="Arial" w:eastAsia="Arial" w:hAnsi="Arial"/>
                <w:sz w:val="14"/>
                <w:szCs w:val="14"/>
                <w:b w:val="1"/>
                <w:bCs w:val="1"/>
                <w:color w:val="auto"/>
              </w:rPr>
              <w:t>4.64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108"/>
              <w:spacing w:after="0"/>
              <w:rPr>
                <w:sz w:val="20"/>
                <w:szCs w:val="20"/>
                <w:color w:val="auto"/>
              </w:rPr>
            </w:pPr>
            <w:r>
              <w:rPr>
                <w:rFonts w:ascii="Arial" w:cs="Arial" w:eastAsia="Arial" w:hAnsi="Arial"/>
                <w:sz w:val="14"/>
                <w:szCs w:val="14"/>
                <w:b w:val="1"/>
                <w:bCs w:val="1"/>
                <w:color w:val="auto"/>
              </w:rPr>
              <w:t>7.21</w:t>
            </w:r>
          </w:p>
        </w:tc>
        <w:tc>
          <w:tcPr>
            <w:tcW w:w="10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ind w:right="108"/>
              <w:spacing w:after="0"/>
              <w:rPr>
                <w:sz w:val="20"/>
                <w:szCs w:val="20"/>
                <w:color w:val="auto"/>
              </w:rPr>
            </w:pPr>
            <w:r>
              <w:rPr>
                <w:rFonts w:ascii="Arial" w:cs="Arial" w:eastAsia="Arial" w:hAnsi="Arial"/>
                <w:sz w:val="14"/>
                <w:szCs w:val="14"/>
                <w:b w:val="1"/>
                <w:bCs w:val="1"/>
                <w:color w:val="auto"/>
              </w:rPr>
              <w:t>3.64</w:t>
            </w:r>
          </w:p>
        </w:tc>
      </w:tr>
      <w:tr>
        <w:trPr>
          <w:trHeight w:val="203"/>
        </w:trPr>
        <w:tc>
          <w:tcPr>
            <w:tcW w:w="3520" w:type="dxa"/>
            <w:vAlign w:val="bottom"/>
          </w:tcPr>
          <w:p>
            <w:pPr>
              <w:ind w:left="20"/>
              <w:spacing w:after="0"/>
              <w:rPr>
                <w:sz w:val="20"/>
                <w:szCs w:val="20"/>
                <w:color w:val="auto"/>
              </w:rPr>
            </w:pPr>
            <w:r>
              <w:rPr>
                <w:rFonts w:ascii="Arial" w:cs="Arial" w:eastAsia="Arial" w:hAnsi="Arial"/>
                <w:sz w:val="14"/>
                <w:szCs w:val="14"/>
                <w:color w:val="auto"/>
              </w:rPr>
              <w:t>Realized price without derivative settlements</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128"/>
              <w:spacing w:after="0"/>
              <w:rPr>
                <w:sz w:val="20"/>
                <w:szCs w:val="20"/>
                <w:color w:val="auto"/>
              </w:rPr>
            </w:pPr>
            <w:r>
              <w:rPr>
                <w:rFonts w:ascii="Arial" w:cs="Arial" w:eastAsia="Arial" w:hAnsi="Arial"/>
                <w:sz w:val="14"/>
                <w:szCs w:val="14"/>
                <w:b w:val="1"/>
                <w:bCs w:val="1"/>
                <w:color w:val="auto"/>
              </w:rPr>
              <w:t>8.80</w:t>
            </w:r>
          </w:p>
        </w:tc>
        <w:tc>
          <w:tcPr>
            <w:tcW w:w="10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240" w:type="dxa"/>
            <w:vAlign w:val="bottom"/>
          </w:tcPr>
          <w:p>
            <w:pPr>
              <w:jc w:val="right"/>
              <w:ind w:right="108"/>
              <w:spacing w:after="0"/>
              <w:rPr>
                <w:sz w:val="20"/>
                <w:szCs w:val="20"/>
                <w:color w:val="auto"/>
              </w:rPr>
            </w:pPr>
            <w:r>
              <w:rPr>
                <w:rFonts w:ascii="Arial" w:cs="Arial" w:eastAsia="Arial" w:hAnsi="Arial"/>
                <w:sz w:val="14"/>
                <w:szCs w:val="14"/>
                <w:b w:val="1"/>
                <w:bCs w:val="1"/>
                <w:color w:val="auto"/>
              </w:rPr>
              <w:t>6.85</w:t>
            </w:r>
          </w:p>
        </w:tc>
        <w:tc>
          <w:tcPr>
            <w:tcW w:w="2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108"/>
              <w:spacing w:after="0"/>
              <w:rPr>
                <w:sz w:val="20"/>
                <w:szCs w:val="20"/>
                <w:color w:val="auto"/>
              </w:rPr>
            </w:pPr>
            <w:r>
              <w:rPr>
                <w:rFonts w:ascii="Arial" w:cs="Arial" w:eastAsia="Arial" w:hAnsi="Arial"/>
                <w:sz w:val="14"/>
                <w:szCs w:val="14"/>
                <w:b w:val="1"/>
                <w:bCs w:val="1"/>
                <w:color w:val="auto"/>
              </w:rPr>
              <w:t>4.66</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108"/>
              <w:spacing w:after="0"/>
              <w:rPr>
                <w:sz w:val="20"/>
                <w:szCs w:val="20"/>
                <w:color w:val="auto"/>
              </w:rPr>
            </w:pPr>
            <w:r>
              <w:rPr>
                <w:rFonts w:ascii="Arial" w:cs="Arial" w:eastAsia="Arial" w:hAnsi="Arial"/>
                <w:sz w:val="14"/>
                <w:szCs w:val="14"/>
                <w:b w:val="1"/>
                <w:bCs w:val="1"/>
                <w:color w:val="auto"/>
              </w:rPr>
              <w:t>7.33</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300" w:type="dxa"/>
            <w:vAlign w:val="bottom"/>
          </w:tcPr>
          <w:p>
            <w:pPr>
              <w:jc w:val="right"/>
              <w:ind w:right="108"/>
              <w:spacing w:after="0"/>
              <w:rPr>
                <w:sz w:val="20"/>
                <w:szCs w:val="20"/>
                <w:color w:val="auto"/>
              </w:rPr>
            </w:pPr>
            <w:r>
              <w:rPr>
                <w:rFonts w:ascii="Arial" w:cs="Arial" w:eastAsia="Arial" w:hAnsi="Arial"/>
                <w:sz w:val="14"/>
                <w:szCs w:val="14"/>
                <w:b w:val="1"/>
                <w:bCs w:val="1"/>
                <w:color w:val="auto"/>
              </w:rPr>
              <w:t>3.67</w:t>
            </w:r>
          </w:p>
        </w:tc>
      </w:tr>
    </w:tbl>
    <w:p>
      <w:pPr>
        <w:spacing w:after="0" w:line="22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Index Prices</w:t>
      </w:r>
    </w:p>
    <w:p>
      <w:pPr>
        <w:sectPr>
          <w:pgSz w:w="11900" w:h="16838" w:orient="portrait"/>
          <w:cols w:equalWidth="0" w:num="1">
            <w:col w:w="11240"/>
          </w:cols>
          <w:pgMar w:left="320" w:top="1062" w:right="339" w:bottom="1440" w:gutter="0" w:footer="0" w:header="0"/>
        </w:sectPr>
      </w:pPr>
    </w:p>
    <w:p>
      <w:pPr>
        <w:spacing w:after="0" w:line="42"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3420" w:type="dxa"/>
            <w:vAlign w:val="bottom"/>
          </w:tcPr>
          <w:p>
            <w:pPr>
              <w:ind w:left="40"/>
              <w:spacing w:after="0"/>
              <w:rPr>
                <w:sz w:val="20"/>
                <w:szCs w:val="20"/>
                <w:color w:val="auto"/>
              </w:rPr>
            </w:pPr>
            <w:r>
              <w:rPr>
                <w:rFonts w:ascii="Arial" w:cs="Arial" w:eastAsia="Arial" w:hAnsi="Arial"/>
                <w:sz w:val="14"/>
                <w:szCs w:val="14"/>
                <w:color w:val="auto"/>
              </w:rPr>
              <w:t>Brent oil ($/Bbl)</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3"/>
        </w:trPr>
        <w:tc>
          <w:tcPr>
            <w:tcW w:w="3420" w:type="dxa"/>
            <w:vAlign w:val="bottom"/>
          </w:tcPr>
          <w:p>
            <w:pPr>
              <w:ind w:left="40"/>
              <w:spacing w:after="0"/>
              <w:rPr>
                <w:sz w:val="20"/>
                <w:szCs w:val="20"/>
                <w:color w:val="auto"/>
              </w:rPr>
            </w:pPr>
            <w:r>
              <w:rPr>
                <w:rFonts w:ascii="Arial" w:cs="Arial" w:eastAsia="Arial" w:hAnsi="Arial"/>
                <w:sz w:val="14"/>
                <w:szCs w:val="14"/>
                <w:color w:val="auto"/>
              </w:rPr>
              <w:t>WTI oil ($/Bbl)</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5"/>
        </w:trPr>
        <w:tc>
          <w:tcPr>
            <w:tcW w:w="3420" w:type="dxa"/>
            <w:vAlign w:val="bottom"/>
          </w:tcPr>
          <w:p>
            <w:pPr>
              <w:ind w:left="40"/>
              <w:spacing w:after="0" w:line="155" w:lineRule="exact"/>
              <w:rPr>
                <w:sz w:val="20"/>
                <w:szCs w:val="20"/>
                <w:color w:val="auto"/>
              </w:rPr>
            </w:pPr>
            <w:r>
              <w:rPr>
                <w:rFonts w:ascii="Arial" w:cs="Arial" w:eastAsia="Arial" w:hAnsi="Arial"/>
                <w:sz w:val="14"/>
                <w:szCs w:val="14"/>
                <w:color w:val="auto"/>
              </w:rPr>
              <w:t>NYMEX Henry Hub contract month average</w:t>
            </w:r>
          </w:p>
        </w:tc>
        <w:tc>
          <w:tcPr>
            <w:tcW w:w="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3420" w:type="dxa"/>
            <w:vAlign w:val="bottom"/>
          </w:tcPr>
          <w:p>
            <w:pPr>
              <w:spacing w:after="0"/>
              <w:rPr>
                <w:sz w:val="20"/>
                <w:szCs w:val="20"/>
                <w:color w:val="auto"/>
              </w:rPr>
            </w:pPr>
            <w:r>
              <w:rPr>
                <w:rFonts w:ascii="Arial" w:cs="Arial" w:eastAsia="Arial" w:hAnsi="Arial"/>
                <w:sz w:val="14"/>
                <w:szCs w:val="14"/>
                <w:color w:val="auto"/>
              </w:rPr>
              <w:t>($/MMBtu)</w:t>
            </w:r>
          </w:p>
        </w:tc>
        <w:tc>
          <w:tcPr>
            <w:tcW w:w="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420" w:type="dxa"/>
            <w:vAlign w:val="bottom"/>
          </w:tcPr>
          <w:p>
            <w:pPr>
              <w:ind w:left="40"/>
              <w:spacing w:after="0" w:line="149" w:lineRule="exact"/>
              <w:rPr>
                <w:sz w:val="20"/>
                <w:szCs w:val="20"/>
                <w:color w:val="auto"/>
              </w:rPr>
            </w:pPr>
            <w:r>
              <w:rPr>
                <w:rFonts w:ascii="Arial" w:cs="Arial" w:eastAsia="Arial" w:hAnsi="Arial"/>
                <w:sz w:val="14"/>
                <w:szCs w:val="14"/>
                <w:color w:val="auto"/>
              </w:rPr>
              <w:t>NYMEX Henry Hub average monthly settled price</w:t>
            </w:r>
          </w:p>
        </w:tc>
        <w:tc>
          <w:tcPr>
            <w:tcW w:w="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0"/>
        </w:trPr>
        <w:tc>
          <w:tcPr>
            <w:tcW w:w="3420" w:type="dxa"/>
            <w:vAlign w:val="bottom"/>
          </w:tcPr>
          <w:p>
            <w:pPr>
              <w:spacing w:after="0"/>
              <w:rPr>
                <w:sz w:val="20"/>
                <w:szCs w:val="20"/>
                <w:color w:val="auto"/>
              </w:rPr>
            </w:pPr>
            <w:r>
              <w:rPr>
                <w:rFonts w:ascii="Arial" w:cs="Arial" w:eastAsia="Arial" w:hAnsi="Arial"/>
                <w:sz w:val="14"/>
                <w:szCs w:val="14"/>
                <w:color w:val="auto"/>
              </w:rPr>
              <w:t>($/MMBtu)</w:t>
            </w:r>
          </w:p>
        </w:tc>
        <w:tc>
          <w:tcPr>
            <w:tcW w:w="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11"/>
        </w:trPr>
        <w:tc>
          <w:tcPr>
            <w:tcW w:w="3420" w:type="dxa"/>
            <w:vAlign w:val="bottom"/>
          </w:tcPr>
          <w:p>
            <w:pPr>
              <w:spacing w:after="0"/>
              <w:rPr>
                <w:sz w:val="20"/>
                <w:szCs w:val="20"/>
                <w:color w:val="auto"/>
              </w:rPr>
            </w:pPr>
            <w:r>
              <w:rPr>
                <w:rFonts w:ascii="Arial" w:cs="Arial" w:eastAsia="Arial" w:hAnsi="Arial"/>
                <w:sz w:val="14"/>
                <w:szCs w:val="14"/>
                <w:b w:val="1"/>
                <w:bCs w:val="1"/>
                <w:color w:val="auto"/>
              </w:rPr>
              <w:t>Realized Prices as Percentage of Index Prices</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3420" w:type="dxa"/>
            <w:vAlign w:val="bottom"/>
          </w:tcPr>
          <w:p>
            <w:pPr>
              <w:spacing w:after="0" w:line="155" w:lineRule="exact"/>
              <w:rPr>
                <w:sz w:val="20"/>
                <w:szCs w:val="20"/>
                <w:color w:val="auto"/>
              </w:rPr>
            </w:pPr>
            <w:r>
              <w:rPr>
                <w:rFonts w:ascii="Arial" w:cs="Arial" w:eastAsia="Arial" w:hAnsi="Arial"/>
                <w:sz w:val="14"/>
                <w:szCs w:val="14"/>
                <w:color w:val="auto"/>
              </w:rPr>
              <w:t>Oil with derivative settlements as a percentage of</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420" w:type="dxa"/>
            <w:vAlign w:val="bottom"/>
          </w:tcPr>
          <w:p>
            <w:pPr>
              <w:spacing w:after="0"/>
              <w:rPr>
                <w:sz w:val="20"/>
                <w:szCs w:val="20"/>
                <w:color w:val="auto"/>
              </w:rPr>
            </w:pPr>
            <w:r>
              <w:rPr>
                <w:rFonts w:ascii="Arial" w:cs="Arial" w:eastAsia="Arial" w:hAnsi="Arial"/>
                <w:sz w:val="14"/>
                <w:szCs w:val="14"/>
                <w:color w:val="auto"/>
              </w:rPr>
              <w:t>Brent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line="149" w:lineRule="exact"/>
              <w:rPr>
                <w:sz w:val="20"/>
                <w:szCs w:val="20"/>
                <w:color w:val="auto"/>
              </w:rPr>
            </w:pPr>
            <w:r>
              <w:rPr>
                <w:rFonts w:ascii="Arial" w:cs="Arial" w:eastAsia="Arial" w:hAnsi="Arial"/>
                <w:sz w:val="14"/>
                <w:szCs w:val="14"/>
                <w:color w:val="auto"/>
              </w:rPr>
              <w:t>Oil without derivative settlements as a percentage of</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420" w:type="dxa"/>
            <w:vAlign w:val="bottom"/>
          </w:tcPr>
          <w:p>
            <w:pPr>
              <w:spacing w:after="0"/>
              <w:rPr>
                <w:sz w:val="20"/>
                <w:szCs w:val="20"/>
                <w:color w:val="auto"/>
              </w:rPr>
            </w:pPr>
            <w:r>
              <w:rPr>
                <w:rFonts w:ascii="Arial" w:cs="Arial" w:eastAsia="Arial" w:hAnsi="Arial"/>
                <w:sz w:val="14"/>
                <w:szCs w:val="14"/>
                <w:color w:val="auto"/>
              </w:rPr>
              <w:t>Brent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20"/>
        <w:spacing w:after="0"/>
        <w:rPr>
          <w:sz w:val="20"/>
          <w:szCs w:val="20"/>
          <w:color w:val="auto"/>
        </w:rPr>
      </w:pPr>
      <w:r>
        <w:rPr>
          <w:rFonts w:ascii="Arial" w:cs="Arial" w:eastAsia="Arial" w:hAnsi="Arial"/>
          <w:sz w:val="14"/>
          <w:szCs w:val="14"/>
          <w:color w:val="auto"/>
        </w:rPr>
        <w:t>Oil with derivative settlements as a percentage of WTI</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Oil without derivative settlements as a percentage of</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color w:val="auto"/>
        </w:rPr>
        <w:t>WTI</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NGLs as a percentage of Brent</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NGLs as a percentage of WTI</w:t>
      </w:r>
    </w:p>
    <w:p>
      <w:pPr>
        <w:spacing w:after="0" w:line="96" w:lineRule="exact"/>
        <w:rPr>
          <w:sz w:val="20"/>
          <w:szCs w:val="20"/>
          <w:color w:val="auto"/>
        </w:rPr>
      </w:pPr>
    </w:p>
    <w:p>
      <w:pPr>
        <w:ind w:left="20" w:right="700"/>
        <w:spacing w:after="0" w:line="252" w:lineRule="auto"/>
        <w:rPr>
          <w:sz w:val="20"/>
          <w:szCs w:val="20"/>
          <w:color w:val="auto"/>
        </w:rPr>
      </w:pPr>
      <w:r>
        <w:rPr>
          <w:rFonts w:ascii="Arial" w:cs="Arial" w:eastAsia="Arial" w:hAnsi="Arial"/>
          <w:sz w:val="14"/>
          <w:szCs w:val="14"/>
          <w:color w:val="auto"/>
        </w:rPr>
        <w:t>Natural gas with derivative settlements as a percentage of NYMEX contract month average</w:t>
      </w:r>
    </w:p>
    <w:p>
      <w:pPr>
        <w:spacing w:after="0" w:line="1" w:lineRule="exact"/>
        <w:rPr>
          <w:sz w:val="20"/>
          <w:szCs w:val="20"/>
          <w:color w:val="auto"/>
        </w:rPr>
      </w:pPr>
    </w:p>
    <w:p>
      <w:pPr>
        <w:ind w:left="20" w:right="320"/>
        <w:spacing w:after="0" w:line="263" w:lineRule="auto"/>
        <w:rPr>
          <w:sz w:val="20"/>
          <w:szCs w:val="20"/>
          <w:color w:val="auto"/>
        </w:rPr>
      </w:pPr>
      <w:r>
        <w:rPr>
          <w:rFonts w:ascii="Arial" w:cs="Arial" w:eastAsia="Arial" w:hAnsi="Arial"/>
          <w:sz w:val="14"/>
          <w:szCs w:val="14"/>
          <w:color w:val="auto"/>
        </w:rPr>
        <w:t>Natural gas with derivative settlements as a percentage of NYMEX average monthly settled price</w:t>
      </w:r>
    </w:p>
    <w:p>
      <w:pPr>
        <w:spacing w:after="0" w:line="37" w:lineRule="exact"/>
        <w:rPr>
          <w:sz w:val="20"/>
          <w:szCs w:val="20"/>
          <w:color w:val="auto"/>
        </w:rPr>
      </w:pPr>
    </w:p>
    <w:p>
      <w:pPr>
        <w:ind w:left="20" w:right="700"/>
        <w:spacing w:after="0" w:line="252" w:lineRule="auto"/>
        <w:rPr>
          <w:sz w:val="20"/>
          <w:szCs w:val="20"/>
          <w:color w:val="auto"/>
        </w:rPr>
      </w:pPr>
      <w:r>
        <w:rPr>
          <w:rFonts w:ascii="Arial" w:cs="Arial" w:eastAsia="Arial" w:hAnsi="Arial"/>
          <w:sz w:val="14"/>
          <w:szCs w:val="14"/>
          <w:color w:val="auto"/>
        </w:rPr>
        <w:t>Natural gas without derivative settlements as a percentage of NYMEX contract month average</w:t>
      </w:r>
    </w:p>
    <w:p>
      <w:pPr>
        <w:spacing w:after="0" w:line="1" w:lineRule="exact"/>
        <w:rPr>
          <w:sz w:val="20"/>
          <w:szCs w:val="20"/>
          <w:color w:val="auto"/>
        </w:rPr>
      </w:pPr>
    </w:p>
    <w:p>
      <w:pPr>
        <w:ind w:left="20" w:right="320"/>
        <w:spacing w:after="0" w:line="263" w:lineRule="auto"/>
        <w:rPr>
          <w:sz w:val="20"/>
          <w:szCs w:val="20"/>
          <w:color w:val="auto"/>
        </w:rPr>
      </w:pPr>
      <w:r>
        <w:rPr>
          <w:rFonts w:ascii="Arial" w:cs="Arial" w:eastAsia="Arial" w:hAnsi="Arial"/>
          <w:sz w:val="14"/>
          <w:szCs w:val="14"/>
          <w:color w:val="auto"/>
        </w:rPr>
        <w:t>Natural gas without derivative settlements as a percentage of NYMEX average monthly settled price</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600" w:type="dxa"/>
            <w:vAlign w:val="bottom"/>
          </w:tcPr>
          <w:p>
            <w:pPr>
              <w:jc w:val="right"/>
              <w:ind w:right="168"/>
              <w:spacing w:after="0"/>
              <w:rPr>
                <w:sz w:val="20"/>
                <w:szCs w:val="20"/>
                <w:color w:val="auto"/>
              </w:rPr>
            </w:pPr>
            <w:r>
              <w:rPr>
                <w:rFonts w:ascii="Arial" w:cs="Arial" w:eastAsia="Arial" w:hAnsi="Arial"/>
                <w:sz w:val="14"/>
                <w:szCs w:val="14"/>
                <w:b w:val="1"/>
                <w:bCs w:val="1"/>
                <w:color w:val="auto"/>
                <w:w w:val="96"/>
              </w:rPr>
              <w:t>97.81</w:t>
            </w:r>
          </w:p>
        </w:tc>
        <w:tc>
          <w:tcPr>
            <w:tcW w:w="520" w:type="dxa"/>
            <w:vAlign w:val="bottom"/>
          </w:tcPr>
          <w:p>
            <w:pPr>
              <w:jc w:val="right"/>
              <w:ind w:right="30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208"/>
              <w:spacing w:after="0"/>
              <w:rPr>
                <w:sz w:val="20"/>
                <w:szCs w:val="20"/>
                <w:color w:val="auto"/>
              </w:rPr>
            </w:pPr>
            <w:r>
              <w:rPr>
                <w:rFonts w:ascii="Arial" w:cs="Arial" w:eastAsia="Arial" w:hAnsi="Arial"/>
                <w:sz w:val="14"/>
                <w:szCs w:val="14"/>
                <w:b w:val="1"/>
                <w:bCs w:val="1"/>
                <w:color w:val="auto"/>
              </w:rPr>
              <w:t>111.79</w:t>
            </w:r>
          </w:p>
        </w:tc>
        <w:tc>
          <w:tcPr>
            <w:tcW w:w="620" w:type="dxa"/>
            <w:vAlign w:val="bottom"/>
          </w:tcPr>
          <w:p>
            <w:pPr>
              <w:jc w:val="right"/>
              <w:ind w:right="34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168"/>
              <w:spacing w:after="0"/>
              <w:rPr>
                <w:sz w:val="20"/>
                <w:szCs w:val="20"/>
                <w:color w:val="auto"/>
              </w:rPr>
            </w:pPr>
            <w:r>
              <w:rPr>
                <w:rFonts w:ascii="Arial" w:cs="Arial" w:eastAsia="Arial" w:hAnsi="Arial"/>
                <w:sz w:val="14"/>
                <w:szCs w:val="14"/>
                <w:b w:val="1"/>
                <w:bCs w:val="1"/>
                <w:color w:val="auto"/>
              </w:rPr>
              <w:t>73.23</w:t>
            </w:r>
          </w:p>
        </w:tc>
        <w:tc>
          <w:tcPr>
            <w:tcW w:w="440" w:type="dxa"/>
            <w:vAlign w:val="bottom"/>
          </w:tcPr>
          <w:p>
            <w:pPr>
              <w:jc w:val="right"/>
              <w:ind w:right="22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168"/>
              <w:spacing w:after="0"/>
              <w:rPr>
                <w:sz w:val="20"/>
                <w:szCs w:val="20"/>
                <w:color w:val="auto"/>
              </w:rPr>
            </w:pPr>
            <w:r>
              <w:rPr>
                <w:rFonts w:ascii="Arial" w:cs="Arial" w:eastAsia="Arial" w:hAnsi="Arial"/>
                <w:sz w:val="14"/>
                <w:szCs w:val="14"/>
                <w:b w:val="1"/>
                <w:bCs w:val="1"/>
                <w:color w:val="auto"/>
              </w:rPr>
              <w:t>102.33</w:t>
            </w:r>
          </w:p>
        </w:tc>
        <w:tc>
          <w:tcPr>
            <w:tcW w:w="560" w:type="dxa"/>
            <w:vAlign w:val="bottom"/>
          </w:tcPr>
          <w:p>
            <w:pPr>
              <w:jc w:val="right"/>
              <w:ind w:right="34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67.78</w:t>
            </w:r>
          </w:p>
        </w:tc>
      </w:tr>
      <w:tr>
        <w:trPr>
          <w:trHeight w:val="203"/>
        </w:trPr>
        <w:tc>
          <w:tcPr>
            <w:tcW w:w="600" w:type="dxa"/>
            <w:vAlign w:val="bottom"/>
          </w:tcPr>
          <w:p>
            <w:pPr>
              <w:jc w:val="right"/>
              <w:ind w:right="168"/>
              <w:spacing w:after="0"/>
              <w:rPr>
                <w:sz w:val="20"/>
                <w:szCs w:val="20"/>
                <w:color w:val="auto"/>
              </w:rPr>
            </w:pPr>
            <w:r>
              <w:rPr>
                <w:rFonts w:ascii="Arial" w:cs="Arial" w:eastAsia="Arial" w:hAnsi="Arial"/>
                <w:sz w:val="14"/>
                <w:szCs w:val="14"/>
                <w:b w:val="1"/>
                <w:bCs w:val="1"/>
                <w:color w:val="auto"/>
                <w:w w:val="96"/>
              </w:rPr>
              <w:t>91.56</w:t>
            </w:r>
          </w:p>
        </w:tc>
        <w:tc>
          <w:tcPr>
            <w:tcW w:w="520" w:type="dxa"/>
            <w:vAlign w:val="bottom"/>
          </w:tcPr>
          <w:p>
            <w:pPr>
              <w:jc w:val="right"/>
              <w:ind w:right="30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208"/>
              <w:spacing w:after="0"/>
              <w:rPr>
                <w:sz w:val="20"/>
                <w:szCs w:val="20"/>
                <w:color w:val="auto"/>
              </w:rPr>
            </w:pPr>
            <w:r>
              <w:rPr>
                <w:rFonts w:ascii="Arial" w:cs="Arial" w:eastAsia="Arial" w:hAnsi="Arial"/>
                <w:sz w:val="14"/>
                <w:szCs w:val="14"/>
                <w:b w:val="1"/>
                <w:bCs w:val="1"/>
                <w:color w:val="auto"/>
              </w:rPr>
              <w:t>108.41</w:t>
            </w:r>
          </w:p>
        </w:tc>
        <w:tc>
          <w:tcPr>
            <w:tcW w:w="620" w:type="dxa"/>
            <w:vAlign w:val="bottom"/>
          </w:tcPr>
          <w:p>
            <w:pPr>
              <w:jc w:val="right"/>
              <w:ind w:right="34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168"/>
              <w:spacing w:after="0"/>
              <w:rPr>
                <w:sz w:val="20"/>
                <w:szCs w:val="20"/>
                <w:color w:val="auto"/>
              </w:rPr>
            </w:pPr>
            <w:r>
              <w:rPr>
                <w:rFonts w:ascii="Arial" w:cs="Arial" w:eastAsia="Arial" w:hAnsi="Arial"/>
                <w:sz w:val="14"/>
                <w:szCs w:val="14"/>
                <w:b w:val="1"/>
                <w:bCs w:val="1"/>
                <w:color w:val="auto"/>
              </w:rPr>
              <w:t>70.56</w:t>
            </w:r>
          </w:p>
        </w:tc>
        <w:tc>
          <w:tcPr>
            <w:tcW w:w="440" w:type="dxa"/>
            <w:vAlign w:val="bottom"/>
          </w:tcPr>
          <w:p>
            <w:pPr>
              <w:jc w:val="right"/>
              <w:ind w:right="22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168"/>
              <w:spacing w:after="0"/>
              <w:rPr>
                <w:sz w:val="20"/>
                <w:szCs w:val="20"/>
                <w:color w:val="auto"/>
              </w:rPr>
            </w:pPr>
            <w:r>
              <w:rPr>
                <w:rFonts w:ascii="Arial" w:cs="Arial" w:eastAsia="Arial" w:hAnsi="Arial"/>
                <w:sz w:val="14"/>
                <w:szCs w:val="14"/>
                <w:b w:val="1"/>
                <w:bCs w:val="1"/>
                <w:color w:val="auto"/>
              </w:rPr>
              <w:t>98.09</w:t>
            </w:r>
          </w:p>
        </w:tc>
        <w:tc>
          <w:tcPr>
            <w:tcW w:w="560" w:type="dxa"/>
            <w:vAlign w:val="bottom"/>
          </w:tcPr>
          <w:p>
            <w:pPr>
              <w:jc w:val="right"/>
              <w:ind w:right="34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64.82</w:t>
            </w:r>
          </w:p>
        </w:tc>
      </w:tr>
      <w:tr>
        <w:trPr>
          <w:trHeight w:val="338"/>
        </w:trPr>
        <w:tc>
          <w:tcPr>
            <w:tcW w:w="600" w:type="dxa"/>
            <w:vAlign w:val="bottom"/>
          </w:tcPr>
          <w:p>
            <w:pPr>
              <w:jc w:val="right"/>
              <w:ind w:right="168"/>
              <w:spacing w:after="0"/>
              <w:rPr>
                <w:sz w:val="20"/>
                <w:szCs w:val="20"/>
                <w:color w:val="auto"/>
              </w:rPr>
            </w:pPr>
            <w:r>
              <w:rPr>
                <w:rFonts w:ascii="Arial" w:cs="Arial" w:eastAsia="Arial" w:hAnsi="Arial"/>
                <w:sz w:val="14"/>
                <w:szCs w:val="14"/>
                <w:b w:val="1"/>
                <w:bCs w:val="1"/>
                <w:color w:val="auto"/>
              </w:rPr>
              <w:t>7.85</w:t>
            </w:r>
          </w:p>
        </w:tc>
        <w:tc>
          <w:tcPr>
            <w:tcW w:w="520" w:type="dxa"/>
            <w:vAlign w:val="bottom"/>
          </w:tcPr>
          <w:p>
            <w:pPr>
              <w:jc w:val="right"/>
              <w:ind w:right="30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208"/>
              <w:spacing w:after="0"/>
              <w:rPr>
                <w:sz w:val="20"/>
                <w:szCs w:val="20"/>
                <w:color w:val="auto"/>
              </w:rPr>
            </w:pPr>
            <w:r>
              <w:rPr>
                <w:rFonts w:ascii="Arial" w:cs="Arial" w:eastAsia="Arial" w:hAnsi="Arial"/>
                <w:sz w:val="14"/>
                <w:szCs w:val="14"/>
                <w:b w:val="1"/>
                <w:bCs w:val="1"/>
                <w:color w:val="auto"/>
              </w:rPr>
              <w:t>6.62</w:t>
            </w:r>
          </w:p>
        </w:tc>
        <w:tc>
          <w:tcPr>
            <w:tcW w:w="620" w:type="dxa"/>
            <w:vAlign w:val="bottom"/>
          </w:tcPr>
          <w:p>
            <w:pPr>
              <w:jc w:val="right"/>
              <w:ind w:right="34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168"/>
              <w:spacing w:after="0"/>
              <w:rPr>
                <w:sz w:val="20"/>
                <w:szCs w:val="20"/>
                <w:color w:val="auto"/>
              </w:rPr>
            </w:pPr>
            <w:r>
              <w:rPr>
                <w:rFonts w:ascii="Arial" w:cs="Arial" w:eastAsia="Arial" w:hAnsi="Arial"/>
                <w:sz w:val="14"/>
                <w:szCs w:val="14"/>
                <w:b w:val="1"/>
                <w:bCs w:val="1"/>
                <w:color w:val="auto"/>
              </w:rPr>
              <w:t>3.71</w:t>
            </w:r>
          </w:p>
        </w:tc>
        <w:tc>
          <w:tcPr>
            <w:tcW w:w="440" w:type="dxa"/>
            <w:vAlign w:val="bottom"/>
          </w:tcPr>
          <w:p>
            <w:pPr>
              <w:jc w:val="right"/>
              <w:ind w:right="22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168"/>
              <w:spacing w:after="0"/>
              <w:rPr>
                <w:sz w:val="20"/>
                <w:szCs w:val="20"/>
                <w:color w:val="auto"/>
              </w:rPr>
            </w:pPr>
            <w:r>
              <w:rPr>
                <w:rFonts w:ascii="Arial" w:cs="Arial" w:eastAsia="Arial" w:hAnsi="Arial"/>
                <w:sz w:val="14"/>
                <w:szCs w:val="14"/>
                <w:b w:val="1"/>
                <w:bCs w:val="1"/>
                <w:color w:val="auto"/>
              </w:rPr>
              <w:t>6.22</w:t>
            </w:r>
          </w:p>
        </w:tc>
        <w:tc>
          <w:tcPr>
            <w:tcW w:w="560" w:type="dxa"/>
            <w:vAlign w:val="bottom"/>
          </w:tcPr>
          <w:p>
            <w:pPr>
              <w:jc w:val="right"/>
              <w:ind w:right="34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3.06</w:t>
            </w:r>
          </w:p>
        </w:tc>
      </w:tr>
      <w:tr>
        <w:trPr>
          <w:trHeight w:val="338"/>
        </w:trPr>
        <w:tc>
          <w:tcPr>
            <w:tcW w:w="600" w:type="dxa"/>
            <w:vAlign w:val="bottom"/>
          </w:tcPr>
          <w:p>
            <w:pPr>
              <w:jc w:val="right"/>
              <w:ind w:right="168"/>
              <w:spacing w:after="0"/>
              <w:rPr>
                <w:sz w:val="20"/>
                <w:szCs w:val="20"/>
                <w:color w:val="auto"/>
              </w:rPr>
            </w:pPr>
            <w:r>
              <w:rPr>
                <w:rFonts w:ascii="Arial" w:cs="Arial" w:eastAsia="Arial" w:hAnsi="Arial"/>
                <w:sz w:val="14"/>
                <w:szCs w:val="14"/>
                <w:b w:val="1"/>
                <w:bCs w:val="1"/>
                <w:color w:val="auto"/>
              </w:rPr>
              <w:t>8.20</w:t>
            </w:r>
          </w:p>
        </w:tc>
        <w:tc>
          <w:tcPr>
            <w:tcW w:w="520" w:type="dxa"/>
            <w:vAlign w:val="bottom"/>
          </w:tcPr>
          <w:p>
            <w:pPr>
              <w:jc w:val="right"/>
              <w:ind w:right="308"/>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208"/>
              <w:spacing w:after="0"/>
              <w:rPr>
                <w:sz w:val="20"/>
                <w:szCs w:val="20"/>
                <w:color w:val="auto"/>
              </w:rPr>
            </w:pPr>
            <w:r>
              <w:rPr>
                <w:rFonts w:ascii="Arial" w:cs="Arial" w:eastAsia="Arial" w:hAnsi="Arial"/>
                <w:sz w:val="14"/>
                <w:szCs w:val="14"/>
                <w:b w:val="1"/>
                <w:bCs w:val="1"/>
                <w:color w:val="auto"/>
              </w:rPr>
              <w:t>7.17</w:t>
            </w:r>
          </w:p>
        </w:tc>
        <w:tc>
          <w:tcPr>
            <w:tcW w:w="620" w:type="dxa"/>
            <w:vAlign w:val="bottom"/>
          </w:tcPr>
          <w:p>
            <w:pPr>
              <w:jc w:val="right"/>
              <w:ind w:right="34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168"/>
              <w:spacing w:after="0"/>
              <w:rPr>
                <w:sz w:val="20"/>
                <w:szCs w:val="20"/>
                <w:color w:val="auto"/>
              </w:rPr>
            </w:pPr>
            <w:r>
              <w:rPr>
                <w:rFonts w:ascii="Arial" w:cs="Arial" w:eastAsia="Arial" w:hAnsi="Arial"/>
                <w:sz w:val="14"/>
                <w:szCs w:val="14"/>
                <w:b w:val="1"/>
                <w:bCs w:val="1"/>
                <w:color w:val="auto"/>
              </w:rPr>
              <w:t>4.01</w:t>
            </w:r>
          </w:p>
        </w:tc>
        <w:tc>
          <w:tcPr>
            <w:tcW w:w="440" w:type="dxa"/>
            <w:vAlign w:val="bottom"/>
          </w:tcPr>
          <w:p>
            <w:pPr>
              <w:jc w:val="right"/>
              <w:ind w:right="22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168"/>
              <w:spacing w:after="0"/>
              <w:rPr>
                <w:sz w:val="20"/>
                <w:szCs w:val="20"/>
                <w:color w:val="auto"/>
              </w:rPr>
            </w:pPr>
            <w:r>
              <w:rPr>
                <w:rFonts w:ascii="Arial" w:cs="Arial" w:eastAsia="Arial" w:hAnsi="Arial"/>
                <w:sz w:val="14"/>
                <w:szCs w:val="14"/>
                <w:b w:val="1"/>
                <w:bCs w:val="1"/>
                <w:color w:val="auto"/>
              </w:rPr>
              <w:t>6.77</w:t>
            </w:r>
          </w:p>
        </w:tc>
        <w:tc>
          <w:tcPr>
            <w:tcW w:w="560" w:type="dxa"/>
            <w:vAlign w:val="bottom"/>
          </w:tcPr>
          <w:p>
            <w:pPr>
              <w:jc w:val="right"/>
              <w:ind w:right="34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3.18</w:t>
            </w:r>
          </w:p>
        </w:tc>
      </w:tr>
      <w:tr>
        <w:trPr>
          <w:trHeight w:val="756"/>
        </w:trPr>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64 %</w:t>
            </w:r>
          </w:p>
        </w:tc>
        <w:tc>
          <w:tcPr>
            <w:tcW w:w="52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b w:val="1"/>
                <w:bCs w:val="1"/>
                <w:color w:val="auto"/>
              </w:rPr>
              <w:t>57 %</w:t>
            </w:r>
          </w:p>
        </w:tc>
        <w:tc>
          <w:tcPr>
            <w:tcW w:w="6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76 %</w:t>
            </w:r>
          </w:p>
        </w:tc>
        <w:tc>
          <w:tcPr>
            <w:tcW w:w="440" w:type="dxa"/>
            <w:vAlign w:val="bottom"/>
          </w:tcPr>
          <w:p>
            <w:pPr>
              <w:spacing w:after="0"/>
              <w:rPr>
                <w:sz w:val="24"/>
                <w:szCs w:val="24"/>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61 %</w:t>
            </w:r>
          </w:p>
        </w:tc>
        <w:tc>
          <w:tcPr>
            <w:tcW w:w="5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80 %</w:t>
            </w:r>
          </w:p>
        </w:tc>
      </w:tr>
      <w:tr>
        <w:trPr>
          <w:trHeight w:val="338"/>
        </w:trPr>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100 %</w:t>
            </w:r>
          </w:p>
        </w:tc>
        <w:tc>
          <w:tcPr>
            <w:tcW w:w="52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b w:val="1"/>
                <w:bCs w:val="1"/>
                <w:color w:val="auto"/>
              </w:rPr>
              <w:t>100 %</w:t>
            </w:r>
          </w:p>
        </w:tc>
        <w:tc>
          <w:tcPr>
            <w:tcW w:w="6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100 %</w:t>
            </w:r>
          </w:p>
        </w:tc>
        <w:tc>
          <w:tcPr>
            <w:tcW w:w="440" w:type="dxa"/>
            <w:vAlign w:val="bottom"/>
          </w:tcPr>
          <w:p>
            <w:pPr>
              <w:spacing w:after="0"/>
              <w:rPr>
                <w:sz w:val="24"/>
                <w:szCs w:val="24"/>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100 %</w:t>
            </w:r>
          </w:p>
        </w:tc>
        <w:tc>
          <w:tcPr>
            <w:tcW w:w="5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100 %</w:t>
            </w:r>
          </w:p>
        </w:tc>
      </w:tr>
      <w:tr>
        <w:trPr>
          <w:trHeight w:val="257"/>
        </w:trPr>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68 %</w:t>
            </w:r>
          </w:p>
        </w:tc>
        <w:tc>
          <w:tcPr>
            <w:tcW w:w="52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b w:val="1"/>
                <w:bCs w:val="1"/>
                <w:color w:val="auto"/>
              </w:rPr>
              <w:t>58 %</w:t>
            </w:r>
          </w:p>
        </w:tc>
        <w:tc>
          <w:tcPr>
            <w:tcW w:w="6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79 %</w:t>
            </w:r>
          </w:p>
        </w:tc>
        <w:tc>
          <w:tcPr>
            <w:tcW w:w="44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63 %</w:t>
            </w:r>
          </w:p>
        </w:tc>
        <w:tc>
          <w:tcPr>
            <w:tcW w:w="5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84 %</w:t>
            </w:r>
          </w:p>
        </w:tc>
      </w:tr>
      <w:tr>
        <w:trPr>
          <w:trHeight w:val="338"/>
        </w:trPr>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107 %</w:t>
            </w:r>
          </w:p>
        </w:tc>
        <w:tc>
          <w:tcPr>
            <w:tcW w:w="52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b w:val="1"/>
                <w:bCs w:val="1"/>
                <w:color w:val="auto"/>
              </w:rPr>
              <w:t>104 %</w:t>
            </w:r>
          </w:p>
        </w:tc>
        <w:tc>
          <w:tcPr>
            <w:tcW w:w="6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103 %</w:t>
            </w:r>
          </w:p>
        </w:tc>
        <w:tc>
          <w:tcPr>
            <w:tcW w:w="440" w:type="dxa"/>
            <w:vAlign w:val="bottom"/>
          </w:tcPr>
          <w:p>
            <w:pPr>
              <w:spacing w:after="0"/>
              <w:rPr>
                <w:sz w:val="24"/>
                <w:szCs w:val="24"/>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104 %</w:t>
            </w:r>
          </w:p>
        </w:tc>
        <w:tc>
          <w:tcPr>
            <w:tcW w:w="5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104 %</w:t>
            </w:r>
          </w:p>
        </w:tc>
      </w:tr>
      <w:tr>
        <w:trPr>
          <w:trHeight w:val="256"/>
        </w:trPr>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59 %</w:t>
            </w:r>
          </w:p>
        </w:tc>
        <w:tc>
          <w:tcPr>
            <w:tcW w:w="52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b w:val="1"/>
                <w:bCs w:val="1"/>
                <w:color w:val="auto"/>
              </w:rPr>
              <w:t>61 %</w:t>
            </w:r>
          </w:p>
        </w:tc>
        <w:tc>
          <w:tcPr>
            <w:tcW w:w="6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73 %</w:t>
            </w:r>
          </w:p>
        </w:tc>
        <w:tc>
          <w:tcPr>
            <w:tcW w:w="44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65 %</w:t>
            </w:r>
          </w:p>
        </w:tc>
        <w:tc>
          <w:tcPr>
            <w:tcW w:w="5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73 %</w:t>
            </w:r>
          </w:p>
        </w:tc>
      </w:tr>
      <w:tr>
        <w:trPr>
          <w:trHeight w:val="203"/>
        </w:trPr>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63 %</w:t>
            </w:r>
          </w:p>
        </w:tc>
        <w:tc>
          <w:tcPr>
            <w:tcW w:w="520" w:type="dxa"/>
            <w:vAlign w:val="bottom"/>
          </w:tcPr>
          <w:p>
            <w:pPr>
              <w:spacing w:after="0"/>
              <w:rPr>
                <w:sz w:val="17"/>
                <w:szCs w:val="17"/>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b w:val="1"/>
                <w:bCs w:val="1"/>
                <w:color w:val="auto"/>
              </w:rPr>
              <w:t>63 %</w:t>
            </w:r>
          </w:p>
        </w:tc>
        <w:tc>
          <w:tcPr>
            <w:tcW w:w="6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76 %</w:t>
            </w:r>
          </w:p>
        </w:tc>
        <w:tc>
          <w:tcPr>
            <w:tcW w:w="440" w:type="dxa"/>
            <w:vAlign w:val="bottom"/>
          </w:tcPr>
          <w:p>
            <w:pPr>
              <w:spacing w:after="0"/>
              <w:rPr>
                <w:sz w:val="17"/>
                <w:szCs w:val="17"/>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68 %</w:t>
            </w:r>
          </w:p>
        </w:tc>
        <w:tc>
          <w:tcPr>
            <w:tcW w:w="5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76 %</w:t>
            </w:r>
          </w:p>
        </w:tc>
      </w:tr>
      <w:tr>
        <w:trPr>
          <w:trHeight w:val="391"/>
        </w:trPr>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109 %</w:t>
            </w:r>
          </w:p>
        </w:tc>
        <w:tc>
          <w:tcPr>
            <w:tcW w:w="52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b w:val="1"/>
                <w:bCs w:val="1"/>
                <w:color w:val="auto"/>
              </w:rPr>
              <w:t>102 %</w:t>
            </w:r>
          </w:p>
        </w:tc>
        <w:tc>
          <w:tcPr>
            <w:tcW w:w="6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125 %</w:t>
            </w:r>
          </w:p>
        </w:tc>
        <w:tc>
          <w:tcPr>
            <w:tcW w:w="440" w:type="dxa"/>
            <w:vAlign w:val="bottom"/>
          </w:tcPr>
          <w:p>
            <w:pPr>
              <w:spacing w:after="0"/>
              <w:rPr>
                <w:sz w:val="24"/>
                <w:szCs w:val="24"/>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116 %</w:t>
            </w:r>
          </w:p>
        </w:tc>
        <w:tc>
          <w:tcPr>
            <w:tcW w:w="5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119 %</w:t>
            </w:r>
          </w:p>
        </w:tc>
      </w:tr>
      <w:tr>
        <w:trPr>
          <w:trHeight w:val="338"/>
        </w:trPr>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105 %</w:t>
            </w:r>
          </w:p>
        </w:tc>
        <w:tc>
          <w:tcPr>
            <w:tcW w:w="52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b w:val="1"/>
                <w:bCs w:val="1"/>
                <w:color w:val="auto"/>
              </w:rPr>
              <w:t>94 %</w:t>
            </w:r>
          </w:p>
        </w:tc>
        <w:tc>
          <w:tcPr>
            <w:tcW w:w="6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116 %</w:t>
            </w:r>
          </w:p>
        </w:tc>
        <w:tc>
          <w:tcPr>
            <w:tcW w:w="440" w:type="dxa"/>
            <w:vAlign w:val="bottom"/>
          </w:tcPr>
          <w:p>
            <w:pPr>
              <w:spacing w:after="0"/>
              <w:rPr>
                <w:sz w:val="24"/>
                <w:szCs w:val="24"/>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106 %</w:t>
            </w:r>
          </w:p>
        </w:tc>
        <w:tc>
          <w:tcPr>
            <w:tcW w:w="5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114 %</w:t>
            </w:r>
          </w:p>
        </w:tc>
      </w:tr>
      <w:tr>
        <w:trPr>
          <w:trHeight w:val="392"/>
        </w:trPr>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112 %</w:t>
            </w:r>
          </w:p>
        </w:tc>
        <w:tc>
          <w:tcPr>
            <w:tcW w:w="52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b w:val="1"/>
                <w:bCs w:val="1"/>
                <w:color w:val="auto"/>
              </w:rPr>
              <w:t>103 %</w:t>
            </w:r>
          </w:p>
        </w:tc>
        <w:tc>
          <w:tcPr>
            <w:tcW w:w="6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126 %</w:t>
            </w:r>
          </w:p>
        </w:tc>
        <w:tc>
          <w:tcPr>
            <w:tcW w:w="440" w:type="dxa"/>
            <w:vAlign w:val="bottom"/>
          </w:tcPr>
          <w:p>
            <w:pPr>
              <w:spacing w:after="0"/>
              <w:rPr>
                <w:sz w:val="24"/>
                <w:szCs w:val="24"/>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118 %</w:t>
            </w:r>
          </w:p>
        </w:tc>
        <w:tc>
          <w:tcPr>
            <w:tcW w:w="5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120 %</w:t>
            </w:r>
          </w:p>
        </w:tc>
      </w:tr>
      <w:tr>
        <w:trPr>
          <w:trHeight w:val="338"/>
        </w:trPr>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107 %</w:t>
            </w:r>
          </w:p>
        </w:tc>
        <w:tc>
          <w:tcPr>
            <w:tcW w:w="52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b w:val="1"/>
                <w:bCs w:val="1"/>
                <w:color w:val="auto"/>
              </w:rPr>
              <w:t>96 %</w:t>
            </w:r>
          </w:p>
        </w:tc>
        <w:tc>
          <w:tcPr>
            <w:tcW w:w="6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116 %</w:t>
            </w:r>
          </w:p>
        </w:tc>
        <w:tc>
          <w:tcPr>
            <w:tcW w:w="440" w:type="dxa"/>
            <w:vAlign w:val="bottom"/>
          </w:tcPr>
          <w:p>
            <w:pPr>
              <w:spacing w:after="0"/>
              <w:rPr>
                <w:sz w:val="24"/>
                <w:szCs w:val="24"/>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108 %</w:t>
            </w:r>
          </w:p>
        </w:tc>
        <w:tc>
          <w:tcPr>
            <w:tcW w:w="5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115 %</w:t>
            </w:r>
          </w:p>
        </w:tc>
      </w:tr>
    </w:tbl>
    <w:p>
      <w:pPr>
        <w:spacing w:after="0" w:line="222" w:lineRule="exact"/>
        <w:rPr>
          <w:sz w:val="20"/>
          <w:szCs w:val="20"/>
          <w:color w:val="auto"/>
        </w:rPr>
      </w:pPr>
    </w:p>
    <w:p>
      <w:pPr>
        <w:sectPr>
          <w:pgSz w:w="11900" w:h="16838" w:orient="portrait"/>
          <w:cols w:equalWidth="0" w:num="2">
            <w:col w:w="3700" w:space="720"/>
            <w:col w:w="6820"/>
          </w:cols>
          <w:pgMar w:left="320" w:top="106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19</w:t>
      </w:r>
    </w:p>
    <w:p>
      <w:pPr>
        <w:sectPr>
          <w:pgSz w:w="11900" w:h="16838" w:orient="portrait"/>
          <w:cols w:equalWidth="0" w:num="1">
            <w:col w:w="11240"/>
          </w:cols>
          <w:pgMar w:left="320" w:top="1062" w:right="339" w:bottom="1440"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197"/>
        </w:trPr>
        <w:tc>
          <w:tcPr>
            <w:tcW w:w="4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Attachment 5</w:t>
            </w:r>
          </w:p>
        </w:tc>
        <w:tc>
          <w:tcPr>
            <w:tcW w:w="0" w:type="dxa"/>
            <w:vAlign w:val="bottom"/>
          </w:tcPr>
          <w:p>
            <w:pPr>
              <w:spacing w:after="0"/>
              <w:rPr>
                <w:sz w:val="1"/>
                <w:szCs w:val="1"/>
                <w:color w:val="auto"/>
              </w:rPr>
            </w:pPr>
          </w:p>
        </w:tc>
      </w:tr>
      <w:tr>
        <w:trPr>
          <w:trHeight w:val="22"/>
        </w:trPr>
        <w:tc>
          <w:tcPr>
            <w:tcW w:w="4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4260" w:type="dxa"/>
            <w:vAlign w:val="bottom"/>
          </w:tcPr>
          <w:p>
            <w:pPr>
              <w:ind w:left="20"/>
              <w:spacing w:after="0"/>
              <w:rPr>
                <w:sz w:val="20"/>
                <w:szCs w:val="20"/>
                <w:color w:val="auto"/>
              </w:rPr>
            </w:pPr>
            <w:r>
              <w:rPr>
                <w:rFonts w:ascii="Arial" w:cs="Arial" w:eastAsia="Arial" w:hAnsi="Arial"/>
                <w:sz w:val="14"/>
                <w:szCs w:val="14"/>
                <w:b w:val="1"/>
                <w:bCs w:val="1"/>
                <w:color w:val="auto"/>
              </w:rPr>
              <w:t>THIRD QUARTER 2022 DRILLING ACTIVITY</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60" w:type="dxa"/>
            <w:vAlign w:val="bottom"/>
          </w:tcPr>
          <w:p>
            <w:pPr>
              <w:spacing w:after="0"/>
              <w:rPr>
                <w:sz w:val="17"/>
                <w:szCs w:val="17"/>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San Joaquin</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Los Angeles</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Ventura</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Sacramento</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260" w:type="dxa"/>
            <w:vAlign w:val="bottom"/>
          </w:tcPr>
          <w:p>
            <w:pPr>
              <w:ind w:left="20"/>
              <w:spacing w:after="0"/>
              <w:rPr>
                <w:sz w:val="20"/>
                <w:szCs w:val="20"/>
                <w:color w:val="auto"/>
              </w:rPr>
            </w:pPr>
            <w:r>
              <w:rPr>
                <w:rFonts w:ascii="Arial" w:cs="Arial" w:eastAsia="Arial" w:hAnsi="Arial"/>
                <w:sz w:val="14"/>
                <w:szCs w:val="14"/>
                <w:b w:val="1"/>
                <w:bCs w:val="1"/>
                <w:color w:val="auto"/>
              </w:rPr>
              <w:t>Wells Drilled</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Basin</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Basin</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Basin</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Basin</w:t>
            </w:r>
          </w:p>
        </w:tc>
        <w:tc>
          <w:tcPr>
            <w:tcW w:w="1240" w:type="dxa"/>
            <w:vAlign w:val="bottom"/>
          </w:tcPr>
          <w:p>
            <w:pPr>
              <w:ind w:lef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38"/>
        </w:trPr>
        <w:tc>
          <w:tcPr>
            <w:tcW w:w="426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Development Wells</w:t>
            </w: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260" w:type="dxa"/>
            <w:vAlign w:val="bottom"/>
          </w:tcPr>
          <w:p>
            <w:pPr>
              <w:ind w:left="140"/>
              <w:spacing w:after="0"/>
              <w:rPr>
                <w:sz w:val="20"/>
                <w:szCs w:val="20"/>
                <w:color w:val="auto"/>
              </w:rPr>
            </w:pPr>
            <w:r>
              <w:rPr>
                <w:rFonts w:ascii="Arial" w:cs="Arial" w:eastAsia="Arial" w:hAnsi="Arial"/>
                <w:sz w:val="14"/>
                <w:szCs w:val="14"/>
                <w:color w:val="auto"/>
              </w:rPr>
              <w:t>Primary</w:t>
            </w:r>
          </w:p>
        </w:tc>
        <w:tc>
          <w:tcPr>
            <w:tcW w:w="1320" w:type="dxa"/>
            <w:vAlign w:val="bottom"/>
          </w:tcPr>
          <w:p>
            <w:pPr>
              <w:jc w:val="center"/>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3"/>
        </w:trPr>
        <w:tc>
          <w:tcPr>
            <w:tcW w:w="4260" w:type="dxa"/>
            <w:vAlign w:val="bottom"/>
          </w:tcPr>
          <w:p>
            <w:pPr>
              <w:ind w:left="140"/>
              <w:spacing w:after="0"/>
              <w:rPr>
                <w:sz w:val="20"/>
                <w:szCs w:val="20"/>
                <w:color w:val="auto"/>
              </w:rPr>
            </w:pPr>
            <w:r>
              <w:rPr>
                <w:rFonts w:ascii="Arial" w:cs="Arial" w:eastAsia="Arial" w:hAnsi="Arial"/>
                <w:sz w:val="14"/>
                <w:szCs w:val="14"/>
                <w:color w:val="auto"/>
              </w:rPr>
              <w:t>Waterflood</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300" w:type="dxa"/>
            <w:vAlign w:val="bottom"/>
          </w:tcPr>
          <w:p>
            <w:pPr>
              <w:jc w:val="center"/>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spacing w:after="0"/>
              <w:rPr>
                <w:sz w:val="20"/>
                <w:szCs w:val="20"/>
                <w:color w:val="auto"/>
              </w:rPr>
            </w:pPr>
            <w:r>
              <w:rPr>
                <w:rFonts w:ascii="Arial" w:cs="Arial" w:eastAsia="Arial" w:hAnsi="Arial"/>
                <w:sz w:val="14"/>
                <w:szCs w:val="14"/>
                <w:color w:val="auto"/>
                <w:w w:val="89"/>
              </w:rPr>
              <w:t>11</w:t>
            </w:r>
          </w:p>
        </w:tc>
        <w:tc>
          <w:tcPr>
            <w:tcW w:w="0" w:type="dxa"/>
            <w:vAlign w:val="bottom"/>
          </w:tcPr>
          <w:p>
            <w:pPr>
              <w:spacing w:after="0"/>
              <w:rPr>
                <w:sz w:val="1"/>
                <w:szCs w:val="1"/>
                <w:color w:val="auto"/>
              </w:rPr>
            </w:pPr>
          </w:p>
        </w:tc>
      </w:tr>
      <w:tr>
        <w:trPr>
          <w:trHeight w:val="207"/>
        </w:trPr>
        <w:tc>
          <w:tcPr>
            <w:tcW w:w="4260" w:type="dxa"/>
            <w:vAlign w:val="bottom"/>
          </w:tcPr>
          <w:p>
            <w:pPr>
              <w:ind w:left="140"/>
              <w:spacing w:after="0"/>
              <w:rPr>
                <w:sz w:val="20"/>
                <w:szCs w:val="20"/>
                <w:color w:val="auto"/>
              </w:rPr>
            </w:pPr>
            <w:r>
              <w:rPr>
                <w:rFonts w:ascii="Arial" w:cs="Arial" w:eastAsia="Arial" w:hAnsi="Arial"/>
                <w:sz w:val="14"/>
                <w:szCs w:val="14"/>
                <w:color w:val="auto"/>
              </w:rPr>
              <w:t>Steamflood</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0"/>
        </w:trPr>
        <w:tc>
          <w:tcPr>
            <w:tcW w:w="4260" w:type="dxa"/>
            <w:vAlign w:val="bottom"/>
          </w:tcPr>
          <w:p>
            <w:pPr>
              <w:ind w:left="20"/>
              <w:spacing w:after="0" w:line="200" w:lineRule="exact"/>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18"/>
                <w:szCs w:val="18"/>
                <w:b w:val="1"/>
                <w:bCs w:val="1"/>
                <w:color w:val="auto"/>
                <w:vertAlign w:val="superscript"/>
              </w:rPr>
              <w:t>(1)</w:t>
            </w:r>
          </w:p>
        </w:tc>
        <w:tc>
          <w:tcPr>
            <w:tcW w:w="1320" w:type="dxa"/>
            <w:vAlign w:val="bottom"/>
          </w:tcPr>
          <w:p>
            <w:pPr>
              <w:jc w:val="center"/>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0"/>
        </w:trPr>
        <w:tc>
          <w:tcPr>
            <w:tcW w:w="4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NINE MONTH 2022 DRILLING ACTIVITY</w:t>
            </w: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80"/>
        </w:trPr>
        <w:tc>
          <w:tcPr>
            <w:tcW w:w="426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260" w:type="dxa"/>
            <w:vAlign w:val="bottom"/>
          </w:tcPr>
          <w:p>
            <w:pPr>
              <w:spacing w:after="0"/>
              <w:rPr>
                <w:sz w:val="17"/>
                <w:szCs w:val="17"/>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San Joaquin</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Los Angeles</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Ventura</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Sacramento</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260" w:type="dxa"/>
            <w:vAlign w:val="bottom"/>
          </w:tcPr>
          <w:p>
            <w:pPr>
              <w:ind w:left="20"/>
              <w:spacing w:after="0"/>
              <w:rPr>
                <w:sz w:val="20"/>
                <w:szCs w:val="20"/>
                <w:color w:val="auto"/>
              </w:rPr>
            </w:pPr>
            <w:r>
              <w:rPr>
                <w:rFonts w:ascii="Arial" w:cs="Arial" w:eastAsia="Arial" w:hAnsi="Arial"/>
                <w:sz w:val="14"/>
                <w:szCs w:val="14"/>
                <w:b w:val="1"/>
                <w:bCs w:val="1"/>
                <w:color w:val="auto"/>
              </w:rPr>
              <w:t>Wells Drilled</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Basin</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Basin</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Basin</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Basin</w:t>
            </w:r>
          </w:p>
        </w:tc>
        <w:tc>
          <w:tcPr>
            <w:tcW w:w="1240" w:type="dxa"/>
            <w:vAlign w:val="bottom"/>
          </w:tcPr>
          <w:p>
            <w:pPr>
              <w:ind w:lef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38"/>
        </w:trPr>
        <w:tc>
          <w:tcPr>
            <w:tcW w:w="426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Development Wells</w:t>
            </w: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260" w:type="dxa"/>
            <w:vAlign w:val="bottom"/>
          </w:tcPr>
          <w:p>
            <w:pPr>
              <w:ind w:left="140"/>
              <w:spacing w:after="0"/>
              <w:rPr>
                <w:sz w:val="20"/>
                <w:szCs w:val="20"/>
                <w:color w:val="auto"/>
              </w:rPr>
            </w:pPr>
            <w:r>
              <w:rPr>
                <w:rFonts w:ascii="Arial" w:cs="Arial" w:eastAsia="Arial" w:hAnsi="Arial"/>
                <w:sz w:val="14"/>
                <w:szCs w:val="14"/>
                <w:color w:val="auto"/>
              </w:rPr>
              <w:t>Primary</w:t>
            </w:r>
          </w:p>
        </w:tc>
        <w:tc>
          <w:tcPr>
            <w:tcW w:w="1320" w:type="dxa"/>
            <w:vAlign w:val="bottom"/>
          </w:tcPr>
          <w:p>
            <w:pPr>
              <w:jc w:val="center"/>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7"/>
                <w:szCs w:val="17"/>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03"/>
        </w:trPr>
        <w:tc>
          <w:tcPr>
            <w:tcW w:w="4260" w:type="dxa"/>
            <w:vAlign w:val="bottom"/>
          </w:tcPr>
          <w:p>
            <w:pPr>
              <w:ind w:left="140"/>
              <w:spacing w:after="0"/>
              <w:rPr>
                <w:sz w:val="20"/>
                <w:szCs w:val="20"/>
                <w:color w:val="auto"/>
              </w:rPr>
            </w:pPr>
            <w:r>
              <w:rPr>
                <w:rFonts w:ascii="Arial" w:cs="Arial" w:eastAsia="Arial" w:hAnsi="Arial"/>
                <w:sz w:val="14"/>
                <w:szCs w:val="14"/>
                <w:color w:val="auto"/>
              </w:rPr>
              <w:t>Waterflood</w:t>
            </w:r>
          </w:p>
        </w:tc>
        <w:tc>
          <w:tcPr>
            <w:tcW w:w="1320" w:type="dxa"/>
            <w:vAlign w:val="bottom"/>
          </w:tcPr>
          <w:p>
            <w:pPr>
              <w:jc w:val="center"/>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06"/>
        </w:trPr>
        <w:tc>
          <w:tcPr>
            <w:tcW w:w="4260" w:type="dxa"/>
            <w:vAlign w:val="bottom"/>
          </w:tcPr>
          <w:p>
            <w:pPr>
              <w:ind w:left="140"/>
              <w:spacing w:after="0"/>
              <w:rPr>
                <w:sz w:val="20"/>
                <w:szCs w:val="20"/>
                <w:color w:val="auto"/>
              </w:rPr>
            </w:pPr>
            <w:r>
              <w:rPr>
                <w:rFonts w:ascii="Arial" w:cs="Arial" w:eastAsia="Arial" w:hAnsi="Arial"/>
                <w:sz w:val="14"/>
                <w:szCs w:val="14"/>
                <w:color w:val="auto"/>
              </w:rPr>
              <w:t>Steamflood</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00"/>
        </w:trPr>
        <w:tc>
          <w:tcPr>
            <w:tcW w:w="4260" w:type="dxa"/>
            <w:vAlign w:val="bottom"/>
          </w:tcPr>
          <w:p>
            <w:pPr>
              <w:ind w:left="20"/>
              <w:spacing w:after="0" w:line="200" w:lineRule="exact"/>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18"/>
                <w:szCs w:val="18"/>
                <w:b w:val="1"/>
                <w:bCs w:val="1"/>
                <w:color w:val="auto"/>
                <w:vertAlign w:val="superscript"/>
              </w:rPr>
              <w:t>(1)</w:t>
            </w:r>
          </w:p>
        </w:tc>
        <w:tc>
          <w:tcPr>
            <w:tcW w:w="1320" w:type="dxa"/>
            <w:vAlign w:val="bottom"/>
          </w:tcPr>
          <w:p>
            <w:pPr>
              <w:jc w:val="center"/>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240" w:type="dxa"/>
            <w:vAlign w:val="bottom"/>
          </w:tcPr>
          <w:p>
            <w:pPr>
              <w:jc w:val="center"/>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60" w:hanging="147"/>
        <w:spacing w:after="0"/>
        <w:tabs>
          <w:tab w:leader="none" w:pos="16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Includes steam injectors and drilled but uncompleted wells, which are not included in the SEC definition of wells drilled.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20</w:t>
      </w:r>
    </w:p>
    <w:p>
      <w:pPr>
        <w:sectPr>
          <w:pgSz w:w="11900" w:h="16838" w:orient="portrait"/>
          <w:cols w:equalWidth="0" w:num="1">
            <w:col w:w="11140"/>
          </w:cols>
          <w:pgMar w:left="380" w:top="1062" w:right="37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97"/>
        </w:trPr>
        <w:tc>
          <w:tcPr>
            <w:tcW w:w="4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Attachment 6</w:t>
            </w:r>
          </w:p>
        </w:tc>
      </w:tr>
      <w:tr>
        <w:trPr>
          <w:trHeight w:val="21"/>
        </w:trPr>
        <w:tc>
          <w:tcPr>
            <w:tcW w:w="4200" w:type="dxa"/>
            <w:vAlign w:val="bottom"/>
            <w:tcBorders>
              <w:bottom w:val="single" w:sz="8" w:color="auto"/>
            </w:tcBorders>
            <w:gridSpan w:val="2"/>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4"/>
        </w:trPr>
        <w:tc>
          <w:tcPr>
            <w:tcW w:w="4200" w:type="dxa"/>
            <w:vAlign w:val="bottom"/>
            <w:gridSpan w:val="2"/>
          </w:tcPr>
          <w:p>
            <w:pPr>
              <w:ind w:left="20"/>
              <w:spacing w:after="0"/>
              <w:rPr>
                <w:sz w:val="20"/>
                <w:szCs w:val="20"/>
                <w:color w:val="auto"/>
              </w:rPr>
            </w:pPr>
            <w:r>
              <w:rPr>
                <w:rFonts w:ascii="Arial" w:cs="Arial" w:eastAsia="Arial" w:hAnsi="Arial"/>
                <w:sz w:val="14"/>
                <w:szCs w:val="14"/>
                <w:b w:val="1"/>
                <w:bCs w:val="1"/>
                <w:color w:val="auto"/>
              </w:rPr>
              <w:t>OIL HEDGES AS OF SEPTEMBER 30, 2022</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420"/>
        </w:trPr>
        <w:tc>
          <w:tcPr>
            <w:tcW w:w="41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Q4 2022</w:t>
            </w:r>
          </w:p>
        </w:tc>
        <w:tc>
          <w:tcPr>
            <w:tcW w:w="100" w:type="dxa"/>
            <w:vAlign w:val="bottom"/>
          </w:tcPr>
          <w:p>
            <w:pPr>
              <w:spacing w:after="0"/>
              <w:rPr>
                <w:sz w:val="24"/>
                <w:szCs w:val="2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Q1 2023</w:t>
            </w:r>
          </w:p>
        </w:tc>
        <w:tc>
          <w:tcPr>
            <w:tcW w:w="100" w:type="dxa"/>
            <w:vAlign w:val="bottom"/>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Q2 2023</w:t>
            </w:r>
          </w:p>
        </w:tc>
        <w:tc>
          <w:tcPr>
            <w:tcW w:w="100" w:type="dxa"/>
            <w:vAlign w:val="bottom"/>
          </w:tcPr>
          <w:p>
            <w:pPr>
              <w:spacing w:after="0"/>
              <w:rPr>
                <w:sz w:val="24"/>
                <w:szCs w:val="2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Q3 2023</w:t>
            </w:r>
          </w:p>
        </w:tc>
        <w:tc>
          <w:tcPr>
            <w:tcW w:w="100" w:type="dxa"/>
            <w:vAlign w:val="bottom"/>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Q4 2023</w:t>
            </w:r>
          </w:p>
        </w:tc>
        <w:tc>
          <w:tcPr>
            <w:tcW w:w="80" w:type="dxa"/>
            <w:vAlign w:val="bottom"/>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2024</w:t>
            </w:r>
          </w:p>
        </w:tc>
      </w:tr>
      <w:tr>
        <w:trPr>
          <w:trHeight w:val="438"/>
        </w:trPr>
        <w:tc>
          <w:tcPr>
            <w:tcW w:w="4200" w:type="dxa"/>
            <w:vAlign w:val="bottom"/>
            <w:gridSpan w:val="2"/>
          </w:tcPr>
          <w:p>
            <w:pPr>
              <w:ind w:left="20"/>
              <w:spacing w:after="0"/>
              <w:rPr>
                <w:sz w:val="20"/>
                <w:szCs w:val="20"/>
                <w:color w:val="auto"/>
              </w:rPr>
            </w:pPr>
            <w:r>
              <w:rPr>
                <w:rFonts w:ascii="Arial" w:cs="Arial" w:eastAsia="Arial" w:hAnsi="Arial"/>
                <w:sz w:val="14"/>
                <w:szCs w:val="14"/>
                <w:b w:val="1"/>
                <w:bCs w:val="1"/>
                <w:color w:val="auto"/>
              </w:rPr>
              <w:t>Sold Calls</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7"/>
        </w:trPr>
        <w:tc>
          <w:tcPr>
            <w:tcW w:w="4200" w:type="dxa"/>
            <w:vAlign w:val="bottom"/>
            <w:gridSpan w:val="2"/>
          </w:tcPr>
          <w:p>
            <w:pPr>
              <w:ind w:left="140"/>
              <w:spacing w:after="0"/>
              <w:rPr>
                <w:sz w:val="20"/>
                <w:szCs w:val="20"/>
                <w:color w:val="auto"/>
              </w:rPr>
            </w:pPr>
            <w:r>
              <w:rPr>
                <w:rFonts w:ascii="Arial" w:cs="Arial" w:eastAsia="Arial" w:hAnsi="Arial"/>
                <w:sz w:val="14"/>
                <w:szCs w:val="14"/>
                <w:color w:val="auto"/>
              </w:rPr>
              <w:t>Barrels per day</w:t>
            </w:r>
          </w:p>
        </w:tc>
        <w:tc>
          <w:tcPr>
            <w:tcW w:w="1100" w:type="dxa"/>
            <w:vAlign w:val="bottom"/>
          </w:tcPr>
          <w:p>
            <w:pPr>
              <w:jc w:val="center"/>
              <w:spacing w:after="0"/>
              <w:rPr>
                <w:sz w:val="20"/>
                <w:szCs w:val="20"/>
                <w:color w:val="auto"/>
              </w:rPr>
            </w:pPr>
            <w:r>
              <w:rPr>
                <w:rFonts w:ascii="Arial" w:cs="Arial" w:eastAsia="Arial" w:hAnsi="Arial"/>
                <w:sz w:val="14"/>
                <w:szCs w:val="14"/>
                <w:color w:val="auto"/>
              </w:rPr>
              <w:t>25,167</w:t>
            </w: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18,322</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17,837</w:t>
            </w: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17,363</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5,747</w:t>
            </w:r>
          </w:p>
        </w:tc>
        <w:tc>
          <w:tcPr>
            <w:tcW w:w="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203"/>
        </w:trPr>
        <w:tc>
          <w:tcPr>
            <w:tcW w:w="4200" w:type="dxa"/>
            <w:vAlign w:val="bottom"/>
            <w:gridSpan w:val="2"/>
          </w:tcPr>
          <w:p>
            <w:pPr>
              <w:ind w:left="140"/>
              <w:spacing w:after="0"/>
              <w:rPr>
                <w:sz w:val="20"/>
                <w:szCs w:val="20"/>
                <w:color w:val="auto"/>
              </w:rPr>
            </w:pPr>
            <w:r>
              <w:rPr>
                <w:rFonts w:ascii="Arial" w:cs="Arial" w:eastAsia="Arial" w:hAnsi="Arial"/>
                <w:sz w:val="14"/>
                <w:szCs w:val="14"/>
                <w:color w:val="auto"/>
              </w:rPr>
              <w:t>Weighted-average Brent price per barrel</w:t>
            </w:r>
          </w:p>
        </w:tc>
        <w:tc>
          <w:tcPr>
            <w:tcW w:w="1100" w:type="dxa"/>
            <w:vAlign w:val="bottom"/>
          </w:tcPr>
          <w:p>
            <w:pPr>
              <w:jc w:val="center"/>
              <w:spacing w:after="0"/>
              <w:rPr>
                <w:sz w:val="20"/>
                <w:szCs w:val="20"/>
                <w:color w:val="auto"/>
              </w:rPr>
            </w:pPr>
            <w:r>
              <w:rPr>
                <w:rFonts w:ascii="Arial" w:cs="Arial" w:eastAsia="Arial" w:hAnsi="Arial"/>
                <w:sz w:val="14"/>
                <w:szCs w:val="14"/>
                <w:color w:val="auto"/>
              </w:rPr>
              <w:t>$57.82</w:t>
            </w: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$57.28</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$60.00</w:t>
            </w: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$57.06</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$57.06</w:t>
            </w:r>
          </w:p>
        </w:tc>
        <w:tc>
          <w:tcPr>
            <w:tcW w:w="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465"/>
        </w:trPr>
        <w:tc>
          <w:tcPr>
            <w:tcW w:w="4200" w:type="dxa"/>
            <w:vAlign w:val="bottom"/>
            <w:gridSpan w:val="2"/>
          </w:tcPr>
          <w:p>
            <w:pPr>
              <w:ind w:left="20"/>
              <w:spacing w:after="0"/>
              <w:rPr>
                <w:sz w:val="20"/>
                <w:szCs w:val="20"/>
                <w:color w:val="auto"/>
              </w:rPr>
            </w:pPr>
            <w:r>
              <w:rPr>
                <w:rFonts w:ascii="Arial" w:cs="Arial" w:eastAsia="Arial" w:hAnsi="Arial"/>
                <w:sz w:val="14"/>
                <w:szCs w:val="14"/>
                <w:b w:val="1"/>
                <w:bCs w:val="1"/>
                <w:color w:val="auto"/>
              </w:rPr>
              <w:t>Swaps</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7"/>
        </w:trPr>
        <w:tc>
          <w:tcPr>
            <w:tcW w:w="4200" w:type="dxa"/>
            <w:vAlign w:val="bottom"/>
            <w:gridSpan w:val="2"/>
          </w:tcPr>
          <w:p>
            <w:pPr>
              <w:ind w:left="140"/>
              <w:spacing w:after="0"/>
              <w:rPr>
                <w:sz w:val="20"/>
                <w:szCs w:val="20"/>
                <w:color w:val="auto"/>
              </w:rPr>
            </w:pPr>
            <w:r>
              <w:rPr>
                <w:rFonts w:ascii="Arial" w:cs="Arial" w:eastAsia="Arial" w:hAnsi="Arial"/>
                <w:sz w:val="14"/>
                <w:szCs w:val="14"/>
                <w:color w:val="auto"/>
              </w:rPr>
              <w:t>Barrels per day</w:t>
            </w:r>
          </w:p>
        </w:tc>
        <w:tc>
          <w:tcPr>
            <w:tcW w:w="1100" w:type="dxa"/>
            <w:vAlign w:val="bottom"/>
          </w:tcPr>
          <w:p>
            <w:pPr>
              <w:jc w:val="center"/>
              <w:spacing w:after="0"/>
              <w:rPr>
                <w:sz w:val="20"/>
                <w:szCs w:val="20"/>
                <w:color w:val="auto"/>
              </w:rPr>
            </w:pPr>
            <w:r>
              <w:rPr>
                <w:rFonts w:ascii="Arial" w:cs="Arial" w:eastAsia="Arial" w:hAnsi="Arial"/>
                <w:sz w:val="14"/>
                <w:szCs w:val="14"/>
                <w:color w:val="auto"/>
              </w:rPr>
              <w:t>17,263</w:t>
            </w: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14,620</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14,475</w:t>
            </w: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14,697</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26,094</w:t>
            </w:r>
          </w:p>
        </w:tc>
        <w:tc>
          <w:tcPr>
            <w:tcW w:w="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1,492</w:t>
            </w:r>
          </w:p>
        </w:tc>
      </w:tr>
      <w:tr>
        <w:trPr>
          <w:trHeight w:val="203"/>
        </w:trPr>
        <w:tc>
          <w:tcPr>
            <w:tcW w:w="4200" w:type="dxa"/>
            <w:vAlign w:val="bottom"/>
            <w:gridSpan w:val="2"/>
          </w:tcPr>
          <w:p>
            <w:pPr>
              <w:ind w:left="140"/>
              <w:spacing w:after="0"/>
              <w:rPr>
                <w:sz w:val="20"/>
                <w:szCs w:val="20"/>
                <w:color w:val="auto"/>
              </w:rPr>
            </w:pPr>
            <w:r>
              <w:rPr>
                <w:rFonts w:ascii="Arial" w:cs="Arial" w:eastAsia="Arial" w:hAnsi="Arial"/>
                <w:sz w:val="14"/>
                <w:szCs w:val="14"/>
                <w:color w:val="auto"/>
              </w:rPr>
              <w:t>Weighted-average Brent price per barrel</w:t>
            </w:r>
          </w:p>
        </w:tc>
        <w:tc>
          <w:tcPr>
            <w:tcW w:w="1100" w:type="dxa"/>
            <w:vAlign w:val="bottom"/>
          </w:tcPr>
          <w:p>
            <w:pPr>
              <w:jc w:val="center"/>
              <w:spacing w:after="0"/>
              <w:rPr>
                <w:sz w:val="20"/>
                <w:szCs w:val="20"/>
                <w:color w:val="auto"/>
              </w:rPr>
            </w:pPr>
            <w:r>
              <w:rPr>
                <w:rFonts w:ascii="Arial" w:cs="Arial" w:eastAsia="Arial" w:hAnsi="Arial"/>
                <w:sz w:val="14"/>
                <w:szCs w:val="14"/>
                <w:color w:val="auto"/>
              </w:rPr>
              <w:t>$58.79</w:t>
            </w: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$67.36</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$66.36</w:t>
            </w: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$66.27</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$69.14</w:t>
            </w:r>
          </w:p>
        </w:tc>
        <w:tc>
          <w:tcPr>
            <w:tcW w:w="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$79.06</w:t>
            </w:r>
          </w:p>
        </w:tc>
      </w:tr>
      <w:tr>
        <w:trPr>
          <w:trHeight w:val="471"/>
        </w:trPr>
        <w:tc>
          <w:tcPr>
            <w:tcW w:w="420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Net Purchased Puts </w:t>
            </w:r>
            <w:r>
              <w:rPr>
                <w:rFonts w:ascii="Arial" w:cs="Arial" w:eastAsia="Arial" w:hAnsi="Arial"/>
                <w:sz w:val="18"/>
                <w:szCs w:val="18"/>
                <w:b w:val="1"/>
                <w:bCs w:val="1"/>
                <w:color w:val="auto"/>
                <w:vertAlign w:val="superscript"/>
              </w:rPr>
              <w:t>1</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0"/>
        </w:trPr>
        <w:tc>
          <w:tcPr>
            <w:tcW w:w="4200" w:type="dxa"/>
            <w:vAlign w:val="bottom"/>
            <w:gridSpan w:val="2"/>
          </w:tcPr>
          <w:p>
            <w:pPr>
              <w:ind w:left="140"/>
              <w:spacing w:after="0"/>
              <w:rPr>
                <w:sz w:val="20"/>
                <w:szCs w:val="20"/>
                <w:color w:val="auto"/>
              </w:rPr>
            </w:pPr>
            <w:r>
              <w:rPr>
                <w:rFonts w:ascii="Arial" w:cs="Arial" w:eastAsia="Arial" w:hAnsi="Arial"/>
                <w:sz w:val="14"/>
                <w:szCs w:val="14"/>
                <w:color w:val="auto"/>
              </w:rPr>
              <w:t>Barrels per day</w:t>
            </w:r>
          </w:p>
        </w:tc>
        <w:tc>
          <w:tcPr>
            <w:tcW w:w="1100" w:type="dxa"/>
            <w:vAlign w:val="bottom"/>
          </w:tcPr>
          <w:p>
            <w:pPr>
              <w:jc w:val="center"/>
              <w:spacing w:after="0"/>
              <w:rPr>
                <w:sz w:val="20"/>
                <w:szCs w:val="20"/>
                <w:color w:val="auto"/>
              </w:rPr>
            </w:pPr>
            <w:r>
              <w:rPr>
                <w:rFonts w:ascii="Arial" w:cs="Arial" w:eastAsia="Arial" w:hAnsi="Arial"/>
                <w:sz w:val="14"/>
                <w:szCs w:val="14"/>
                <w:color w:val="auto"/>
              </w:rPr>
              <w:t>25,167</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18,322</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17,837</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17,363</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5,747</w:t>
            </w:r>
          </w:p>
        </w:tc>
        <w:tc>
          <w:tcPr>
            <w:tcW w:w="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1,724</w:t>
            </w:r>
          </w:p>
        </w:tc>
      </w:tr>
      <w:tr>
        <w:trPr>
          <w:trHeight w:val="203"/>
        </w:trPr>
        <w:tc>
          <w:tcPr>
            <w:tcW w:w="4200" w:type="dxa"/>
            <w:vAlign w:val="bottom"/>
            <w:gridSpan w:val="2"/>
          </w:tcPr>
          <w:p>
            <w:pPr>
              <w:ind w:left="140"/>
              <w:spacing w:after="0"/>
              <w:rPr>
                <w:sz w:val="20"/>
                <w:szCs w:val="20"/>
                <w:color w:val="auto"/>
              </w:rPr>
            </w:pPr>
            <w:r>
              <w:rPr>
                <w:rFonts w:ascii="Arial" w:cs="Arial" w:eastAsia="Arial" w:hAnsi="Arial"/>
                <w:sz w:val="14"/>
                <w:szCs w:val="14"/>
                <w:color w:val="auto"/>
              </w:rPr>
              <w:t>Weighted-average Brent price per barrel</w:t>
            </w:r>
          </w:p>
        </w:tc>
        <w:tc>
          <w:tcPr>
            <w:tcW w:w="1100" w:type="dxa"/>
            <w:vAlign w:val="bottom"/>
          </w:tcPr>
          <w:p>
            <w:pPr>
              <w:jc w:val="center"/>
              <w:spacing w:after="0"/>
              <w:rPr>
                <w:sz w:val="20"/>
                <w:szCs w:val="20"/>
                <w:color w:val="auto"/>
              </w:rPr>
            </w:pPr>
            <w:r>
              <w:rPr>
                <w:rFonts w:ascii="Arial" w:cs="Arial" w:eastAsia="Arial" w:hAnsi="Arial"/>
                <w:sz w:val="14"/>
                <w:szCs w:val="14"/>
                <w:color w:val="auto"/>
              </w:rPr>
              <w:t>$64.47</w:t>
            </w: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$76.25</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$76.25</w:t>
            </w: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4"/>
                <w:szCs w:val="14"/>
                <w:color w:val="auto"/>
              </w:rPr>
              <w:t>$76.25</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$76.25</w:t>
            </w:r>
          </w:p>
        </w:tc>
        <w:tc>
          <w:tcPr>
            <w:tcW w:w="8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$75.00</w:t>
            </w:r>
          </w:p>
        </w:tc>
      </w:tr>
      <w:tr>
        <w:trPr>
          <w:trHeight w:val="465"/>
        </w:trPr>
        <w:tc>
          <w:tcPr>
            <w:tcW w:w="4200" w:type="dxa"/>
            <w:vAlign w:val="bottom"/>
            <w:gridSpan w:val="2"/>
          </w:tcPr>
          <w:p>
            <w:pPr>
              <w:ind w:left="20"/>
              <w:spacing w:after="0"/>
              <w:rPr>
                <w:sz w:val="20"/>
                <w:szCs w:val="20"/>
                <w:color w:val="auto"/>
              </w:rPr>
            </w:pPr>
            <w:r>
              <w:rPr>
                <w:rFonts w:ascii="Arial" w:cs="Arial" w:eastAsia="Arial" w:hAnsi="Arial"/>
                <w:sz w:val="14"/>
                <w:szCs w:val="14"/>
                <w:b w:val="1"/>
                <w:bCs w:val="1"/>
                <w:color w:val="auto"/>
              </w:rPr>
              <w:t>Sold Puts</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7"/>
        </w:trPr>
        <w:tc>
          <w:tcPr>
            <w:tcW w:w="4200" w:type="dxa"/>
            <w:vAlign w:val="bottom"/>
            <w:gridSpan w:val="2"/>
          </w:tcPr>
          <w:p>
            <w:pPr>
              <w:ind w:left="140"/>
              <w:spacing w:after="0"/>
              <w:rPr>
                <w:sz w:val="20"/>
                <w:szCs w:val="20"/>
                <w:color w:val="auto"/>
              </w:rPr>
            </w:pPr>
            <w:r>
              <w:rPr>
                <w:rFonts w:ascii="Arial" w:cs="Arial" w:eastAsia="Arial" w:hAnsi="Arial"/>
                <w:sz w:val="14"/>
                <w:szCs w:val="14"/>
                <w:color w:val="auto"/>
              </w:rPr>
              <w:t>Barrels per day</w:t>
            </w:r>
          </w:p>
        </w:tc>
        <w:tc>
          <w:tcPr>
            <w:tcW w:w="1100" w:type="dxa"/>
            <w:vAlign w:val="bottom"/>
          </w:tcPr>
          <w:p>
            <w:pPr>
              <w:jc w:val="center"/>
              <w:spacing w:after="0"/>
              <w:rPr>
                <w:sz w:val="20"/>
                <w:szCs w:val="20"/>
                <w:color w:val="auto"/>
              </w:rPr>
            </w:pPr>
            <w:r>
              <w:rPr>
                <w:rFonts w:ascii="Arial" w:cs="Arial" w:eastAsia="Arial" w:hAnsi="Arial"/>
                <w:sz w:val="14"/>
                <w:szCs w:val="14"/>
                <w:color w:val="auto"/>
              </w:rPr>
              <w:t>1,348</w:t>
            </w:r>
          </w:p>
        </w:tc>
        <w:tc>
          <w:tcPr>
            <w:tcW w:w="100" w:type="dxa"/>
            <w:vAlign w:val="bottom"/>
          </w:tcPr>
          <w:p>
            <w:pPr>
              <w:spacing w:after="0"/>
              <w:rPr>
                <w:sz w:val="17"/>
                <w:szCs w:val="17"/>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1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100" w:type="dxa"/>
            <w:vAlign w:val="bottom"/>
          </w:tcPr>
          <w:p>
            <w:pPr>
              <w:jc w:val="center"/>
              <w:spacing w:after="0"/>
              <w:rPr>
                <w:sz w:val="20"/>
                <w:szCs w:val="20"/>
                <w:color w:val="auto"/>
              </w:rPr>
            </w:pPr>
            <w:r>
              <w:rPr>
                <w:rFonts w:ascii="Arial" w:cs="Arial" w:eastAsia="Arial" w:hAnsi="Arial"/>
                <w:sz w:val="14"/>
                <w:szCs w:val="14"/>
                <w:color w:val="auto"/>
                <w:w w:val="99"/>
              </w:rPr>
              <w:t>—</w:t>
            </w:r>
          </w:p>
        </w:tc>
      </w:tr>
      <w:tr>
        <w:trPr>
          <w:trHeight w:val="203"/>
        </w:trPr>
        <w:tc>
          <w:tcPr>
            <w:tcW w:w="4200" w:type="dxa"/>
            <w:vAlign w:val="bottom"/>
            <w:gridSpan w:val="2"/>
          </w:tcPr>
          <w:p>
            <w:pPr>
              <w:ind w:left="140"/>
              <w:spacing w:after="0"/>
              <w:rPr>
                <w:sz w:val="20"/>
                <w:szCs w:val="20"/>
                <w:color w:val="auto"/>
              </w:rPr>
            </w:pPr>
            <w:r>
              <w:rPr>
                <w:rFonts w:ascii="Arial" w:cs="Arial" w:eastAsia="Arial" w:hAnsi="Arial"/>
                <w:sz w:val="14"/>
                <w:szCs w:val="14"/>
                <w:color w:val="auto"/>
              </w:rPr>
              <w:t>Weighted-average Brent price per barrel</w:t>
            </w:r>
          </w:p>
        </w:tc>
        <w:tc>
          <w:tcPr>
            <w:tcW w:w="1100" w:type="dxa"/>
            <w:vAlign w:val="bottom"/>
          </w:tcPr>
          <w:p>
            <w:pPr>
              <w:jc w:val="center"/>
              <w:spacing w:after="0"/>
              <w:rPr>
                <w:sz w:val="20"/>
                <w:szCs w:val="20"/>
                <w:color w:val="auto"/>
              </w:rPr>
            </w:pPr>
            <w:r>
              <w:rPr>
                <w:rFonts w:ascii="Arial" w:cs="Arial" w:eastAsia="Arial" w:hAnsi="Arial"/>
                <w:sz w:val="14"/>
                <w:szCs w:val="14"/>
                <w:color w:val="auto"/>
              </w:rPr>
              <w:t>$32.00</w:t>
            </w:r>
          </w:p>
        </w:tc>
        <w:tc>
          <w:tcPr>
            <w:tcW w:w="100" w:type="dxa"/>
            <w:vAlign w:val="bottom"/>
          </w:tcPr>
          <w:p>
            <w:pPr>
              <w:spacing w:after="0"/>
              <w:rPr>
                <w:sz w:val="17"/>
                <w:szCs w:val="17"/>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1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1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w:t>
            </w:r>
          </w:p>
        </w:tc>
        <w:tc>
          <w:tcPr>
            <w:tcW w:w="1100" w:type="dxa"/>
            <w:vAlign w:val="bottom"/>
          </w:tcPr>
          <w:p>
            <w:pPr>
              <w:jc w:val="center"/>
              <w:spacing w:after="0"/>
              <w:rPr>
                <w:sz w:val="20"/>
                <w:szCs w:val="20"/>
                <w:color w:val="auto"/>
              </w:rPr>
            </w:pPr>
            <w:r>
              <w:rPr>
                <w:rFonts w:ascii="Arial" w:cs="Arial" w:eastAsia="Arial" w:hAnsi="Arial"/>
                <w:sz w:val="14"/>
                <w:szCs w:val="14"/>
                <w:color w:val="auto"/>
                <w:w w:val="99"/>
              </w:rPr>
              <w:t>—</w:t>
            </w:r>
          </w:p>
        </w:tc>
      </w:tr>
    </w:tbl>
    <w:p>
      <w:pPr>
        <w:spacing w:after="0" w:line="242" w:lineRule="exact"/>
        <w:rPr>
          <w:sz w:val="20"/>
          <w:szCs w:val="20"/>
          <w:color w:val="auto"/>
        </w:rPr>
      </w:pPr>
    </w:p>
    <w:p>
      <w:pPr>
        <w:ind w:left="100" w:hanging="74"/>
        <w:spacing w:after="0"/>
        <w:tabs>
          <w:tab w:leader="none" w:pos="100" w:val="left"/>
        </w:tabs>
        <w:numPr>
          <w:ilvl w:val="0"/>
          <w:numId w:val="16"/>
        </w:numPr>
        <w:rPr>
          <w:rFonts w:ascii="Arial" w:cs="Arial" w:eastAsia="Arial" w:hAnsi="Arial"/>
          <w:sz w:val="16"/>
          <w:szCs w:val="16"/>
          <w:color w:val="auto"/>
          <w:vertAlign w:val="superscript"/>
        </w:rPr>
      </w:pPr>
      <w:r>
        <w:rPr>
          <w:rFonts w:ascii="Arial" w:cs="Arial" w:eastAsia="Arial" w:hAnsi="Arial"/>
          <w:sz w:val="13"/>
          <w:szCs w:val="13"/>
          <w:color w:val="auto"/>
        </w:rPr>
        <w:t>Purchased and sold puts with the same strike price have been presented on a net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21</w:t>
      </w:r>
    </w:p>
    <w:p>
      <w:pPr>
        <w:sectPr>
          <w:pgSz w:w="11900" w:h="16838" w:orient="portrait"/>
          <w:cols w:equalWidth="0" w:num="1">
            <w:col w:w="11240"/>
          </w:cols>
          <w:pgMar w:left="320" w:top="1305"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97"/>
        </w:trPr>
        <w:tc>
          <w:tcPr>
            <w:tcW w:w="49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Attachment 7</w:t>
            </w:r>
          </w:p>
        </w:tc>
      </w:tr>
      <w:tr>
        <w:trPr>
          <w:trHeight w:val="22"/>
        </w:trPr>
        <w:tc>
          <w:tcPr>
            <w:tcW w:w="49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gridSpan w:val="3"/>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61"/>
        </w:trPr>
        <w:tc>
          <w:tcPr>
            <w:tcW w:w="4900" w:type="dxa"/>
            <w:vAlign w:val="bottom"/>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2022 Estimated</w:t>
            </w:r>
          </w:p>
        </w:tc>
        <w:tc>
          <w:tcPr>
            <w:tcW w:w="9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r>
      <w:tr>
        <w:trPr>
          <w:trHeight w:val="198"/>
        </w:trPr>
        <w:tc>
          <w:tcPr>
            <w:tcW w:w="4900" w:type="dxa"/>
            <w:vAlign w:val="bottom"/>
          </w:tcPr>
          <w:p>
            <w:pPr>
              <w:ind w:left="20"/>
              <w:spacing w:after="0" w:line="198" w:lineRule="exact"/>
              <w:rPr>
                <w:sz w:val="20"/>
                <w:szCs w:val="20"/>
                <w:color w:val="auto"/>
              </w:rPr>
            </w:pPr>
            <w:r>
              <w:rPr>
                <w:rFonts w:ascii="Arial" w:cs="Arial" w:eastAsia="Arial" w:hAnsi="Arial"/>
                <w:sz w:val="14"/>
                <w:szCs w:val="14"/>
                <w:b w:val="1"/>
                <w:bCs w:val="1"/>
                <w:color w:val="auto"/>
              </w:rPr>
              <w:t>TOTAL CRC GUIDANCE</w:t>
            </w:r>
            <w:r>
              <w:rPr>
                <w:rFonts w:ascii="Arial" w:cs="Arial" w:eastAsia="Arial" w:hAnsi="Arial"/>
                <w:sz w:val="18"/>
                <w:szCs w:val="18"/>
                <w:b w:val="1"/>
                <w:bCs w:val="1"/>
                <w:color w:val="auto"/>
                <w:vertAlign w:val="superscript"/>
              </w:rPr>
              <w:t>1</w:t>
            </w:r>
          </w:p>
        </w:tc>
        <w:tc>
          <w:tcPr>
            <w:tcW w:w="2020" w:type="dxa"/>
            <w:vAlign w:val="bottom"/>
            <w:gridSpan w:val="2"/>
            <w:shd w:val="clear" w:color="auto" w:fill="DBDBDB"/>
          </w:tcPr>
          <w:p>
            <w:pPr>
              <w:ind w:left="560"/>
              <w:spacing w:after="0"/>
              <w:rPr>
                <w:sz w:val="20"/>
                <w:szCs w:val="20"/>
                <w:color w:val="auto"/>
              </w:rPr>
            </w:pPr>
            <w:r>
              <w:rPr>
                <w:rFonts w:ascii="Arial" w:cs="Arial" w:eastAsia="Arial" w:hAnsi="Arial"/>
                <w:sz w:val="14"/>
                <w:szCs w:val="14"/>
                <w:b w:val="1"/>
                <w:bCs w:val="1"/>
                <w:color w:val="auto"/>
              </w:rPr>
              <w:t>Consolidated</w:t>
            </w:r>
          </w:p>
        </w:tc>
        <w:tc>
          <w:tcPr>
            <w:tcW w:w="120" w:type="dxa"/>
            <w:vAlign w:val="bottom"/>
          </w:tcPr>
          <w:p>
            <w:pPr>
              <w:spacing w:after="0"/>
              <w:rPr>
                <w:sz w:val="17"/>
                <w:szCs w:val="17"/>
                <w:color w:val="auto"/>
              </w:rPr>
            </w:pPr>
          </w:p>
        </w:tc>
        <w:tc>
          <w:tcPr>
            <w:tcW w:w="21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CMB</w:t>
            </w:r>
          </w:p>
        </w:tc>
        <w:tc>
          <w:tcPr>
            <w:tcW w:w="2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E&amp;P, Corporate &amp; Other</w:t>
            </w:r>
          </w:p>
        </w:tc>
      </w:tr>
      <w:tr>
        <w:trPr>
          <w:trHeight w:val="188"/>
        </w:trPr>
        <w:tc>
          <w:tcPr>
            <w:tcW w:w="4900" w:type="dxa"/>
            <w:vAlign w:val="bottom"/>
          </w:tcPr>
          <w:p>
            <w:pPr>
              <w:ind w:left="140"/>
              <w:spacing w:after="0"/>
              <w:rPr>
                <w:sz w:val="20"/>
                <w:szCs w:val="20"/>
                <w:color w:val="auto"/>
              </w:rPr>
            </w:pPr>
            <w:r>
              <w:rPr>
                <w:rFonts w:ascii="Arial" w:cs="Arial" w:eastAsia="Arial" w:hAnsi="Arial"/>
                <w:sz w:val="14"/>
                <w:szCs w:val="14"/>
                <w:color w:val="auto"/>
              </w:rPr>
              <w:t>Net Total Production (MBoe/d)</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94</w:t>
            </w:r>
          </w:p>
        </w:tc>
        <w:tc>
          <w:tcPr>
            <w:tcW w:w="10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- 91</w:t>
            </w:r>
          </w:p>
        </w:tc>
        <w:tc>
          <w:tcPr>
            <w:tcW w:w="12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94</w:t>
            </w:r>
          </w:p>
        </w:tc>
        <w:tc>
          <w:tcPr>
            <w:tcW w:w="10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- 91</w:t>
            </w:r>
          </w:p>
        </w:tc>
      </w:tr>
      <w:tr>
        <w:trPr>
          <w:trHeight w:val="210"/>
        </w:trPr>
        <w:tc>
          <w:tcPr>
            <w:tcW w:w="4900" w:type="dxa"/>
            <w:vAlign w:val="bottom"/>
          </w:tcPr>
          <w:p>
            <w:pPr>
              <w:ind w:left="140"/>
              <w:spacing w:after="0"/>
              <w:rPr>
                <w:sz w:val="20"/>
                <w:szCs w:val="20"/>
                <w:color w:val="auto"/>
              </w:rPr>
            </w:pPr>
            <w:r>
              <w:rPr>
                <w:rFonts w:ascii="Arial" w:cs="Arial" w:eastAsia="Arial" w:hAnsi="Arial"/>
                <w:sz w:val="14"/>
                <w:szCs w:val="14"/>
                <w:color w:val="auto"/>
              </w:rPr>
              <w:t>Net Oil Production (MBbl/d)</w:t>
            </w: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58</w:t>
            </w:r>
          </w:p>
        </w:tc>
        <w:tc>
          <w:tcPr>
            <w:tcW w:w="10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- 53</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58</w:t>
            </w:r>
          </w:p>
        </w:tc>
        <w:tc>
          <w:tcPr>
            <w:tcW w:w="1060" w:type="dxa"/>
            <w:vAlign w:val="bottom"/>
          </w:tcPr>
          <w:p>
            <w:pPr>
              <w:ind w:left="20"/>
              <w:spacing w:after="0"/>
              <w:rPr>
                <w:sz w:val="20"/>
                <w:szCs w:val="20"/>
                <w:color w:val="auto"/>
              </w:rPr>
            </w:pPr>
            <w:r>
              <w:rPr>
                <w:rFonts w:ascii="Arial" w:cs="Arial" w:eastAsia="Arial" w:hAnsi="Arial"/>
                <w:sz w:val="14"/>
                <w:szCs w:val="14"/>
                <w:color w:val="auto"/>
              </w:rPr>
              <w:t>- 53</w:t>
            </w:r>
          </w:p>
        </w:tc>
      </w:tr>
      <w:tr>
        <w:trPr>
          <w:trHeight w:val="195"/>
        </w:trPr>
        <w:tc>
          <w:tcPr>
            <w:tcW w:w="4900" w:type="dxa"/>
            <w:vAlign w:val="bottom"/>
          </w:tcPr>
          <w:p>
            <w:pPr>
              <w:ind w:left="140"/>
              <w:spacing w:after="0"/>
              <w:rPr>
                <w:sz w:val="20"/>
                <w:szCs w:val="20"/>
                <w:color w:val="auto"/>
              </w:rPr>
            </w:pPr>
            <w:r>
              <w:rPr>
                <w:rFonts w:ascii="Arial" w:cs="Arial" w:eastAsia="Arial" w:hAnsi="Arial"/>
                <w:sz w:val="14"/>
                <w:szCs w:val="14"/>
                <w:color w:val="auto"/>
              </w:rPr>
              <w:t>Operating Costs ($ millions)</w:t>
            </w:r>
          </w:p>
        </w:tc>
        <w:tc>
          <w:tcPr>
            <w:tcW w:w="960" w:type="dxa"/>
            <w:vAlign w:val="bottom"/>
          </w:tcPr>
          <w:p>
            <w:pPr>
              <w:jc w:val="right"/>
              <w:spacing w:after="0"/>
              <w:rPr>
                <w:sz w:val="20"/>
                <w:szCs w:val="20"/>
                <w:color w:val="auto"/>
              </w:rPr>
            </w:pPr>
            <w:r>
              <w:rPr>
                <w:rFonts w:ascii="Arial" w:cs="Arial" w:eastAsia="Arial" w:hAnsi="Arial"/>
                <w:sz w:val="14"/>
                <w:szCs w:val="14"/>
                <w:color w:val="auto"/>
              </w:rPr>
              <w:t>$760</w:t>
            </w:r>
          </w:p>
        </w:tc>
        <w:tc>
          <w:tcPr>
            <w:tcW w:w="1060" w:type="dxa"/>
            <w:vAlign w:val="bottom"/>
          </w:tcPr>
          <w:p>
            <w:pPr>
              <w:ind w:left="20"/>
              <w:spacing w:after="0"/>
              <w:rPr>
                <w:sz w:val="20"/>
                <w:szCs w:val="20"/>
                <w:color w:val="auto"/>
              </w:rPr>
            </w:pPr>
            <w:r>
              <w:rPr>
                <w:rFonts w:ascii="Arial" w:cs="Arial" w:eastAsia="Arial" w:hAnsi="Arial"/>
                <w:sz w:val="14"/>
                <w:szCs w:val="14"/>
                <w:color w:val="auto"/>
              </w:rPr>
              <w:t>- $790</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$760</w:t>
            </w:r>
          </w:p>
        </w:tc>
        <w:tc>
          <w:tcPr>
            <w:tcW w:w="1060" w:type="dxa"/>
            <w:vAlign w:val="bottom"/>
          </w:tcPr>
          <w:p>
            <w:pPr>
              <w:ind w:left="20"/>
              <w:spacing w:after="0"/>
              <w:rPr>
                <w:sz w:val="20"/>
                <w:szCs w:val="20"/>
                <w:color w:val="auto"/>
              </w:rPr>
            </w:pPr>
            <w:r>
              <w:rPr>
                <w:rFonts w:ascii="Arial" w:cs="Arial" w:eastAsia="Arial" w:hAnsi="Arial"/>
                <w:sz w:val="14"/>
                <w:szCs w:val="14"/>
                <w:color w:val="auto"/>
              </w:rPr>
              <w:t>- $790</w:t>
            </w:r>
          </w:p>
        </w:tc>
      </w:tr>
      <w:tr>
        <w:trPr>
          <w:trHeight w:val="210"/>
        </w:trPr>
        <w:tc>
          <w:tcPr>
            <w:tcW w:w="4900" w:type="dxa"/>
            <w:vAlign w:val="bottom"/>
          </w:tcPr>
          <w:p>
            <w:pPr>
              <w:ind w:left="140"/>
              <w:spacing w:after="0"/>
              <w:rPr>
                <w:sz w:val="20"/>
                <w:szCs w:val="20"/>
                <w:color w:val="auto"/>
              </w:rPr>
            </w:pPr>
            <w:r>
              <w:rPr>
                <w:rFonts w:ascii="Arial" w:cs="Arial" w:eastAsia="Arial" w:hAnsi="Arial"/>
                <w:sz w:val="14"/>
                <w:szCs w:val="14"/>
                <w:color w:val="auto"/>
              </w:rPr>
              <w:t>CMB Expenses</w:t>
            </w:r>
            <w:r>
              <w:rPr>
                <w:rFonts w:ascii="Arial" w:cs="Arial" w:eastAsia="Arial" w:hAnsi="Arial"/>
                <w:sz w:val="18"/>
                <w:szCs w:val="18"/>
                <w:color w:val="auto"/>
                <w:vertAlign w:val="superscript"/>
              </w:rPr>
              <w:t>2</w:t>
            </w:r>
            <w:r>
              <w:rPr>
                <w:rFonts w:ascii="Arial" w:cs="Arial" w:eastAsia="Arial" w:hAnsi="Arial"/>
                <w:sz w:val="14"/>
                <w:szCs w:val="14"/>
                <w:color w:val="auto"/>
              </w:rPr>
              <w:t xml:space="preserve"> ($ millions)</w:t>
            </w: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w:t>
            </w:r>
          </w:p>
        </w:tc>
        <w:tc>
          <w:tcPr>
            <w:tcW w:w="10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$20</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$10</w:t>
            </w:r>
          </w:p>
        </w:tc>
        <w:tc>
          <w:tcPr>
            <w:tcW w:w="1040" w:type="dxa"/>
            <w:vAlign w:val="bottom"/>
          </w:tcPr>
          <w:p>
            <w:pPr>
              <w:ind w:left="20"/>
              <w:spacing w:after="0"/>
              <w:rPr>
                <w:sz w:val="20"/>
                <w:szCs w:val="20"/>
                <w:color w:val="auto"/>
              </w:rPr>
            </w:pPr>
            <w:r>
              <w:rPr>
                <w:rFonts w:ascii="Arial" w:cs="Arial" w:eastAsia="Arial" w:hAnsi="Arial"/>
                <w:sz w:val="14"/>
                <w:szCs w:val="14"/>
                <w:color w:val="auto"/>
              </w:rPr>
              <w:t>- $20</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195"/>
        </w:trPr>
        <w:tc>
          <w:tcPr>
            <w:tcW w:w="4900" w:type="dxa"/>
            <w:vAlign w:val="bottom"/>
          </w:tcPr>
          <w:p>
            <w:pPr>
              <w:ind w:left="140"/>
              <w:spacing w:after="0"/>
              <w:rPr>
                <w:sz w:val="20"/>
                <w:szCs w:val="20"/>
                <w:color w:val="auto"/>
              </w:rPr>
            </w:pPr>
            <w:r>
              <w:rPr>
                <w:rFonts w:ascii="Arial" w:cs="Arial" w:eastAsia="Arial" w:hAnsi="Arial"/>
                <w:sz w:val="14"/>
                <w:szCs w:val="14"/>
                <w:color w:val="auto"/>
              </w:rPr>
              <w:t>Adjusted General and Administrative Expenses ($ millions)</w:t>
            </w:r>
          </w:p>
        </w:tc>
        <w:tc>
          <w:tcPr>
            <w:tcW w:w="960" w:type="dxa"/>
            <w:vAlign w:val="bottom"/>
          </w:tcPr>
          <w:p>
            <w:pPr>
              <w:jc w:val="right"/>
              <w:spacing w:after="0"/>
              <w:rPr>
                <w:sz w:val="20"/>
                <w:szCs w:val="20"/>
                <w:color w:val="auto"/>
              </w:rPr>
            </w:pPr>
            <w:r>
              <w:rPr>
                <w:rFonts w:ascii="Arial" w:cs="Arial" w:eastAsia="Arial" w:hAnsi="Arial"/>
                <w:sz w:val="14"/>
                <w:szCs w:val="14"/>
                <w:color w:val="auto"/>
              </w:rPr>
              <w:t>$195</w:t>
            </w:r>
          </w:p>
        </w:tc>
        <w:tc>
          <w:tcPr>
            <w:tcW w:w="1060" w:type="dxa"/>
            <w:vAlign w:val="bottom"/>
          </w:tcPr>
          <w:p>
            <w:pPr>
              <w:ind w:left="20"/>
              <w:spacing w:after="0"/>
              <w:rPr>
                <w:sz w:val="20"/>
                <w:szCs w:val="20"/>
                <w:color w:val="auto"/>
              </w:rPr>
            </w:pPr>
            <w:r>
              <w:rPr>
                <w:rFonts w:ascii="Arial" w:cs="Arial" w:eastAsia="Arial" w:hAnsi="Arial"/>
                <w:sz w:val="14"/>
                <w:szCs w:val="14"/>
                <w:color w:val="auto"/>
              </w:rPr>
              <w:t>- $210</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$10</w:t>
            </w:r>
          </w:p>
        </w:tc>
        <w:tc>
          <w:tcPr>
            <w:tcW w:w="1040" w:type="dxa"/>
            <w:vAlign w:val="bottom"/>
          </w:tcPr>
          <w:p>
            <w:pPr>
              <w:ind w:left="20"/>
              <w:spacing w:after="0"/>
              <w:rPr>
                <w:sz w:val="20"/>
                <w:szCs w:val="20"/>
                <w:color w:val="auto"/>
              </w:rPr>
            </w:pPr>
            <w:r>
              <w:rPr>
                <w:rFonts w:ascii="Arial" w:cs="Arial" w:eastAsia="Arial" w:hAnsi="Arial"/>
                <w:sz w:val="14"/>
                <w:szCs w:val="14"/>
                <w:color w:val="auto"/>
              </w:rPr>
              <w:t>- $15</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$185</w:t>
            </w:r>
          </w:p>
        </w:tc>
        <w:tc>
          <w:tcPr>
            <w:tcW w:w="1060" w:type="dxa"/>
            <w:vAlign w:val="bottom"/>
          </w:tcPr>
          <w:p>
            <w:pPr>
              <w:ind w:left="20"/>
              <w:spacing w:after="0"/>
              <w:rPr>
                <w:sz w:val="20"/>
                <w:szCs w:val="20"/>
                <w:color w:val="auto"/>
              </w:rPr>
            </w:pPr>
            <w:r>
              <w:rPr>
                <w:rFonts w:ascii="Arial" w:cs="Arial" w:eastAsia="Arial" w:hAnsi="Arial"/>
                <w:sz w:val="14"/>
                <w:szCs w:val="14"/>
                <w:color w:val="auto"/>
              </w:rPr>
              <w:t>- $195</w:t>
            </w:r>
          </w:p>
        </w:tc>
      </w:tr>
      <w:tr>
        <w:trPr>
          <w:trHeight w:val="210"/>
        </w:trPr>
        <w:tc>
          <w:tcPr>
            <w:tcW w:w="4900" w:type="dxa"/>
            <w:vAlign w:val="bottom"/>
          </w:tcPr>
          <w:p>
            <w:pPr>
              <w:ind w:left="140"/>
              <w:spacing w:after="0"/>
              <w:rPr>
                <w:sz w:val="20"/>
                <w:szCs w:val="20"/>
                <w:color w:val="auto"/>
              </w:rPr>
            </w:pPr>
            <w:r>
              <w:rPr>
                <w:rFonts w:ascii="Arial" w:cs="Arial" w:eastAsia="Arial" w:hAnsi="Arial"/>
                <w:sz w:val="14"/>
                <w:szCs w:val="14"/>
                <w:color w:val="auto"/>
              </w:rPr>
              <w:t>Capital ($ millions)</w:t>
            </w: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$380</w:t>
            </w:r>
          </w:p>
        </w:tc>
        <w:tc>
          <w:tcPr>
            <w:tcW w:w="10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$400</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$20</w:t>
            </w:r>
          </w:p>
        </w:tc>
        <w:tc>
          <w:tcPr>
            <w:tcW w:w="1040" w:type="dxa"/>
            <w:vAlign w:val="bottom"/>
          </w:tcPr>
          <w:p>
            <w:pPr>
              <w:ind w:left="20"/>
              <w:spacing w:after="0"/>
              <w:rPr>
                <w:sz w:val="20"/>
                <w:szCs w:val="20"/>
                <w:color w:val="auto"/>
              </w:rPr>
            </w:pPr>
            <w:r>
              <w:rPr>
                <w:rFonts w:ascii="Arial" w:cs="Arial" w:eastAsia="Arial" w:hAnsi="Arial"/>
                <w:sz w:val="14"/>
                <w:szCs w:val="14"/>
                <w:color w:val="auto"/>
              </w:rPr>
              <w:t>- $30</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$360</w:t>
            </w:r>
          </w:p>
        </w:tc>
        <w:tc>
          <w:tcPr>
            <w:tcW w:w="1060" w:type="dxa"/>
            <w:vAlign w:val="bottom"/>
          </w:tcPr>
          <w:p>
            <w:pPr>
              <w:ind w:left="20"/>
              <w:spacing w:after="0"/>
              <w:rPr>
                <w:sz w:val="20"/>
                <w:szCs w:val="20"/>
                <w:color w:val="auto"/>
              </w:rPr>
            </w:pPr>
            <w:r>
              <w:rPr>
                <w:rFonts w:ascii="Arial" w:cs="Arial" w:eastAsia="Arial" w:hAnsi="Arial"/>
                <w:sz w:val="14"/>
                <w:szCs w:val="14"/>
                <w:color w:val="auto"/>
              </w:rPr>
              <w:t>- $370</w:t>
            </w:r>
          </w:p>
        </w:tc>
      </w:tr>
      <w:tr>
        <w:trPr>
          <w:trHeight w:val="195"/>
        </w:trPr>
        <w:tc>
          <w:tcPr>
            <w:tcW w:w="4900" w:type="dxa"/>
            <w:vAlign w:val="bottom"/>
          </w:tcPr>
          <w:p>
            <w:pPr>
              <w:ind w:left="140"/>
              <w:spacing w:after="0"/>
              <w:rPr>
                <w:sz w:val="20"/>
                <w:szCs w:val="20"/>
                <w:color w:val="auto"/>
              </w:rPr>
            </w:pPr>
            <w:r>
              <w:rPr>
                <w:rFonts w:ascii="Arial" w:cs="Arial" w:eastAsia="Arial" w:hAnsi="Arial"/>
                <w:sz w:val="14"/>
                <w:szCs w:val="14"/>
                <w:color w:val="auto"/>
              </w:rPr>
              <w:t>Adjusted EBITDAX ($ millions)</w:t>
            </w:r>
          </w:p>
        </w:tc>
        <w:tc>
          <w:tcPr>
            <w:tcW w:w="960" w:type="dxa"/>
            <w:vAlign w:val="bottom"/>
          </w:tcPr>
          <w:p>
            <w:pPr>
              <w:jc w:val="right"/>
              <w:spacing w:after="0"/>
              <w:rPr>
                <w:sz w:val="20"/>
                <w:szCs w:val="20"/>
                <w:color w:val="auto"/>
              </w:rPr>
            </w:pPr>
            <w:r>
              <w:rPr>
                <w:rFonts w:ascii="Arial" w:cs="Arial" w:eastAsia="Arial" w:hAnsi="Arial"/>
                <w:sz w:val="14"/>
                <w:szCs w:val="14"/>
                <w:color w:val="auto"/>
              </w:rPr>
              <w:t>$835</w:t>
            </w:r>
          </w:p>
        </w:tc>
        <w:tc>
          <w:tcPr>
            <w:tcW w:w="1060" w:type="dxa"/>
            <w:vAlign w:val="bottom"/>
          </w:tcPr>
          <w:p>
            <w:pPr>
              <w:ind w:left="20"/>
              <w:spacing w:after="0"/>
              <w:rPr>
                <w:sz w:val="20"/>
                <w:szCs w:val="20"/>
                <w:color w:val="auto"/>
              </w:rPr>
            </w:pPr>
            <w:r>
              <w:rPr>
                <w:rFonts w:ascii="Arial" w:cs="Arial" w:eastAsia="Arial" w:hAnsi="Arial"/>
                <w:sz w:val="14"/>
                <w:szCs w:val="14"/>
                <w:color w:val="auto"/>
              </w:rPr>
              <w:t>- $890</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($20)</w:t>
            </w:r>
          </w:p>
        </w:tc>
        <w:tc>
          <w:tcPr>
            <w:tcW w:w="1040" w:type="dxa"/>
            <w:vAlign w:val="bottom"/>
          </w:tcPr>
          <w:p>
            <w:pPr>
              <w:ind w:left="20"/>
              <w:spacing w:after="0"/>
              <w:rPr>
                <w:sz w:val="20"/>
                <w:szCs w:val="20"/>
                <w:color w:val="auto"/>
              </w:rPr>
            </w:pPr>
            <w:r>
              <w:rPr>
                <w:rFonts w:ascii="Arial" w:cs="Arial" w:eastAsia="Arial" w:hAnsi="Arial"/>
                <w:sz w:val="14"/>
                <w:szCs w:val="14"/>
                <w:color w:val="auto"/>
              </w:rPr>
              <w:t>- ($35)</w:t>
            </w:r>
          </w:p>
        </w:tc>
        <w:tc>
          <w:tcPr>
            <w:tcW w:w="140" w:type="dxa"/>
            <w:vAlign w:val="bottom"/>
          </w:tcPr>
          <w:p>
            <w:pPr>
              <w:spacing w:after="0"/>
              <w:rPr>
                <w:sz w:val="16"/>
                <w:szCs w:val="16"/>
                <w:color w:val="auto"/>
              </w:rPr>
            </w:pPr>
          </w:p>
        </w:tc>
        <w:tc>
          <w:tcPr>
            <w:tcW w:w="2040" w:type="dxa"/>
            <w:vAlign w:val="bottom"/>
            <w:gridSpan w:val="2"/>
          </w:tcPr>
          <w:p>
            <w:pPr>
              <w:jc w:val="right"/>
              <w:ind w:right="548"/>
              <w:spacing w:after="0"/>
              <w:rPr>
                <w:sz w:val="20"/>
                <w:szCs w:val="20"/>
                <w:color w:val="auto"/>
              </w:rPr>
            </w:pPr>
            <w:r>
              <w:rPr>
                <w:rFonts w:ascii="Arial" w:cs="Arial" w:eastAsia="Arial" w:hAnsi="Arial"/>
                <w:sz w:val="14"/>
                <w:szCs w:val="14"/>
                <w:color w:val="auto"/>
              </w:rPr>
              <w:t>$870 -- $910</w:t>
            </w:r>
          </w:p>
        </w:tc>
      </w:tr>
      <w:tr>
        <w:trPr>
          <w:trHeight w:val="210"/>
        </w:trPr>
        <w:tc>
          <w:tcPr>
            <w:tcW w:w="4900" w:type="dxa"/>
            <w:vAlign w:val="bottom"/>
          </w:tcPr>
          <w:p>
            <w:pPr>
              <w:ind w:left="140"/>
              <w:spacing w:after="0"/>
              <w:rPr>
                <w:sz w:val="20"/>
                <w:szCs w:val="20"/>
                <w:color w:val="auto"/>
              </w:rPr>
            </w:pPr>
            <w:r>
              <w:rPr>
                <w:rFonts w:ascii="Arial" w:cs="Arial" w:eastAsia="Arial" w:hAnsi="Arial"/>
                <w:sz w:val="14"/>
                <w:szCs w:val="14"/>
                <w:color w:val="auto"/>
              </w:rPr>
              <w:t>Free Cash Flow ($ millions)</w:t>
            </w: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$325</w:t>
            </w:r>
          </w:p>
        </w:tc>
        <w:tc>
          <w:tcPr>
            <w:tcW w:w="10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$370</w:t>
            </w: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rPr>
              <w:t>($40)</w:t>
            </w:r>
          </w:p>
        </w:tc>
        <w:tc>
          <w:tcPr>
            <w:tcW w:w="1040" w:type="dxa"/>
            <w:vAlign w:val="bottom"/>
          </w:tcPr>
          <w:p>
            <w:pPr>
              <w:ind w:left="20"/>
              <w:spacing w:after="0"/>
              <w:rPr>
                <w:sz w:val="20"/>
                <w:szCs w:val="20"/>
                <w:color w:val="auto"/>
              </w:rPr>
            </w:pPr>
            <w:r>
              <w:rPr>
                <w:rFonts w:ascii="Arial" w:cs="Arial" w:eastAsia="Arial" w:hAnsi="Arial"/>
                <w:sz w:val="14"/>
                <w:szCs w:val="14"/>
                <w:color w:val="auto"/>
              </w:rPr>
              <w:t>- ($65)</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$390</w:t>
            </w:r>
          </w:p>
        </w:tc>
        <w:tc>
          <w:tcPr>
            <w:tcW w:w="1060" w:type="dxa"/>
            <w:vAlign w:val="bottom"/>
          </w:tcPr>
          <w:p>
            <w:pPr>
              <w:ind w:left="20"/>
              <w:spacing w:after="0"/>
              <w:rPr>
                <w:sz w:val="20"/>
                <w:szCs w:val="20"/>
                <w:color w:val="auto"/>
              </w:rPr>
            </w:pPr>
            <w:r>
              <w:rPr>
                <w:rFonts w:ascii="Arial" w:cs="Arial" w:eastAsia="Arial" w:hAnsi="Arial"/>
                <w:sz w:val="14"/>
                <w:szCs w:val="14"/>
                <w:color w:val="auto"/>
              </w:rPr>
              <w:t>- $410</w:t>
            </w:r>
          </w:p>
        </w:tc>
      </w:tr>
    </w:tbl>
    <w:p>
      <w:pPr>
        <w:spacing w:after="0" w:line="72" w:lineRule="exact"/>
        <w:rPr>
          <w:sz w:val="20"/>
          <w:szCs w:val="20"/>
          <w:color w:val="auto"/>
        </w:rPr>
      </w:pPr>
    </w:p>
    <w:p>
      <w:pPr>
        <w:ind w:right="60"/>
        <w:spacing w:after="0" w:line="251" w:lineRule="auto"/>
        <w:rPr>
          <w:sz w:val="20"/>
          <w:szCs w:val="20"/>
          <w:color w:val="auto"/>
        </w:rPr>
      </w:pPr>
      <w:r>
        <w:rPr>
          <w:rFonts w:ascii="Arial" w:cs="Arial" w:eastAsia="Arial" w:hAnsi="Arial"/>
          <w:sz w:val="14"/>
          <w:szCs w:val="14"/>
          <w:color w:val="auto"/>
        </w:rPr>
        <w:t>See Attachment 2 for management's disclosure of its use of these non-GAAP measures and how these measures provide useful information to investors about CRC's results of operations and financial condition. CRC has supplemented its non-GAAP measures of consolidated adjusted EBITDAX and consolidated free cash flow with adjusted EBITDAX</w:t>
      </w:r>
    </w:p>
    <w:p>
      <w:pPr>
        <w:spacing w:after="0" w:line="1" w:lineRule="exact"/>
        <w:rPr>
          <w:sz w:val="20"/>
          <w:szCs w:val="20"/>
          <w:color w:val="auto"/>
        </w:rPr>
      </w:pPr>
    </w:p>
    <w:p>
      <w:pPr>
        <w:ind w:right="260"/>
        <w:spacing w:after="0" w:line="231" w:lineRule="auto"/>
        <w:rPr>
          <w:sz w:val="20"/>
          <w:szCs w:val="20"/>
          <w:color w:val="auto"/>
        </w:rPr>
      </w:pPr>
      <w:r>
        <w:rPr>
          <w:rFonts w:ascii="Arial" w:cs="Arial" w:eastAsia="Arial" w:hAnsi="Arial"/>
          <w:sz w:val="14"/>
          <w:szCs w:val="14"/>
          <w:color w:val="auto"/>
        </w:rPr>
        <w:t>for its exploration and production and corporate items (Adjusted EBITDAX for E&amp;P, Corporate &amp; Other) and free cash flow from our exploration and production and corporate items (free cash flow from E&amp;P, Corporate &amp; Other) which CRC believes are useful measures for investors to understand the results of its core oil and gas business. CRC</w:t>
      </w:r>
    </w:p>
    <w:p>
      <w:pPr>
        <w:spacing w:after="0" w:line="1" w:lineRule="exact"/>
        <w:rPr>
          <w:sz w:val="20"/>
          <w:szCs w:val="20"/>
          <w:color w:val="auto"/>
        </w:rPr>
      </w:pPr>
    </w:p>
    <w:p>
      <w:pPr>
        <w:ind w:right="20"/>
        <w:spacing w:after="0" w:line="264" w:lineRule="auto"/>
        <w:rPr>
          <w:sz w:val="20"/>
          <w:szCs w:val="20"/>
          <w:color w:val="auto"/>
        </w:rPr>
      </w:pPr>
      <w:r>
        <w:rPr>
          <w:rFonts w:ascii="Arial" w:cs="Arial" w:eastAsia="Arial" w:hAnsi="Arial"/>
          <w:sz w:val="14"/>
          <w:szCs w:val="14"/>
          <w:color w:val="auto"/>
        </w:rPr>
        <w:t>defines adjusted EBITDAX for E&amp;P, Corporate &amp; Other as consolidated adjusted EBITDAX less results attributable to its carbon management business (CMB). CRC defines free cash flow from E&amp;P, Corporate &amp; Other as consolidated free cash flow less results attributable to CMB.</w:t>
      </w:r>
    </w:p>
    <w:p>
      <w:pPr>
        <w:spacing w:after="0" w:line="10"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47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242424"/>
              </w:rPr>
              <w:t>2022 Estimated</w:t>
            </w:r>
          </w:p>
        </w:tc>
        <w:tc>
          <w:tcPr>
            <w:tcW w:w="3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r>
      <w:tr>
        <w:trPr>
          <w:trHeight w:val="196"/>
        </w:trPr>
        <w:tc>
          <w:tcPr>
            <w:tcW w:w="4760" w:type="dxa"/>
            <w:vAlign w:val="bottom"/>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1860" w:type="dxa"/>
            <w:vAlign w:val="bottom"/>
            <w:tcBorders>
              <w:bottom w:val="single" w:sz="8" w:color="auto"/>
            </w:tcBorders>
            <w:gridSpan w:val="4"/>
            <w:shd w:val="clear" w:color="auto" w:fill="DBDBDB"/>
          </w:tcPr>
          <w:p>
            <w:pPr>
              <w:ind w:left="360"/>
              <w:spacing w:after="0"/>
              <w:rPr>
                <w:sz w:val="20"/>
                <w:szCs w:val="20"/>
                <w:color w:val="auto"/>
              </w:rPr>
            </w:pPr>
            <w:r>
              <w:rPr>
                <w:rFonts w:ascii="Arial" w:cs="Arial" w:eastAsia="Arial" w:hAnsi="Arial"/>
                <w:sz w:val="14"/>
                <w:szCs w:val="14"/>
                <w:b w:val="1"/>
                <w:bCs w:val="1"/>
                <w:color w:val="242424"/>
              </w:rPr>
              <w:t>Consolidated</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b w:val="1"/>
                <w:bCs w:val="1"/>
                <w:color w:val="242424"/>
              </w:rPr>
              <w:t>CMB</w:t>
            </w:r>
          </w:p>
        </w:tc>
        <w:tc>
          <w:tcPr>
            <w:tcW w:w="3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6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242424"/>
              </w:rPr>
              <w:t>E&amp;P, Corporate &amp; Other</w:t>
            </w:r>
          </w:p>
        </w:tc>
      </w:tr>
      <w:tr>
        <w:trPr>
          <w:trHeight w:val="191"/>
        </w:trPr>
        <w:tc>
          <w:tcPr>
            <w:tcW w:w="4760" w:type="dxa"/>
            <w:vAlign w:val="bottom"/>
          </w:tcPr>
          <w:p>
            <w:pPr>
              <w:spacing w:after="0"/>
              <w:rPr>
                <w:sz w:val="20"/>
                <w:szCs w:val="20"/>
                <w:color w:val="auto"/>
              </w:rPr>
            </w:pPr>
            <w:r>
              <w:rPr>
                <w:rFonts w:ascii="Arial" w:cs="Arial" w:eastAsia="Arial" w:hAnsi="Arial"/>
                <w:sz w:val="13"/>
                <w:szCs w:val="13"/>
                <w:i w:val="1"/>
                <w:iCs w:val="1"/>
                <w:color w:val="auto"/>
              </w:rPr>
              <w:t>($ millions)</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Low</w:t>
            </w:r>
          </w:p>
        </w:tc>
        <w:tc>
          <w:tcPr>
            <w:tcW w:w="80" w:type="dxa"/>
            <w:vAlign w:val="bottom"/>
            <w:tcBorders>
              <w:bottom w:val="single" w:sz="8" w:color="DBDBDB"/>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High</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Low</w:t>
            </w:r>
          </w:p>
        </w:tc>
        <w:tc>
          <w:tcPr>
            <w:tcW w:w="80" w:type="dxa"/>
            <w:vAlign w:val="bottom"/>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High</w:t>
            </w:r>
          </w:p>
        </w:tc>
        <w:tc>
          <w:tcPr>
            <w:tcW w:w="3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Low</w:t>
            </w:r>
          </w:p>
        </w:tc>
        <w:tc>
          <w:tcPr>
            <w:tcW w:w="3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High</w:t>
            </w:r>
          </w:p>
        </w:tc>
      </w:tr>
      <w:tr>
        <w:trPr>
          <w:trHeight w:val="203"/>
        </w:trPr>
        <w:tc>
          <w:tcPr>
            <w:tcW w:w="4760" w:type="dxa"/>
            <w:vAlign w:val="bottom"/>
          </w:tcPr>
          <w:p>
            <w:pPr>
              <w:spacing w:after="0"/>
              <w:rPr>
                <w:sz w:val="20"/>
                <w:szCs w:val="20"/>
                <w:color w:val="auto"/>
              </w:rPr>
            </w:pPr>
            <w:r>
              <w:rPr>
                <w:rFonts w:ascii="Arial" w:cs="Arial" w:eastAsia="Arial" w:hAnsi="Arial"/>
                <w:sz w:val="14"/>
                <w:szCs w:val="14"/>
                <w:color w:val="auto"/>
              </w:rPr>
              <w:t>Net cash provided (used) by operating activities</w:t>
            </w: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DBDBDB"/>
          </w:tcPr>
          <w:p>
            <w:pPr>
              <w:jc w:val="center"/>
              <w:ind w:left="308"/>
              <w:spacing w:after="0"/>
              <w:rPr>
                <w:sz w:val="20"/>
                <w:szCs w:val="20"/>
                <w:color w:val="auto"/>
              </w:rPr>
            </w:pPr>
            <w:r>
              <w:rPr>
                <w:rFonts w:ascii="Arial" w:cs="Arial" w:eastAsia="Arial" w:hAnsi="Arial"/>
                <w:sz w:val="14"/>
                <w:szCs w:val="14"/>
                <w:color w:val="auto"/>
              </w:rPr>
              <w:t>725</w:t>
            </w:r>
          </w:p>
        </w:tc>
        <w:tc>
          <w:tcPr>
            <w:tcW w:w="80" w:type="dxa"/>
            <w:vAlign w:val="bottom"/>
            <w:shd w:val="clear" w:color="auto" w:fill="DBDBDB"/>
          </w:tcPr>
          <w:p>
            <w:pPr>
              <w:spacing w:after="0"/>
              <w:rPr>
                <w:sz w:val="17"/>
                <w:szCs w:val="17"/>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DBDBDB"/>
          </w:tcPr>
          <w:p>
            <w:pPr>
              <w:jc w:val="center"/>
              <w:ind w:left="308"/>
              <w:spacing w:after="0"/>
              <w:rPr>
                <w:sz w:val="20"/>
                <w:szCs w:val="20"/>
                <w:color w:val="auto"/>
              </w:rPr>
            </w:pPr>
            <w:r>
              <w:rPr>
                <w:rFonts w:ascii="Arial" w:cs="Arial" w:eastAsia="Arial" w:hAnsi="Arial"/>
                <w:sz w:val="14"/>
                <w:szCs w:val="14"/>
                <w:color w:val="auto"/>
              </w:rPr>
              <w:t>750</w:t>
            </w: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(35)</w:t>
            </w:r>
          </w:p>
        </w:tc>
        <w:tc>
          <w:tcPr>
            <w:tcW w:w="80" w:type="dxa"/>
            <w:vAlign w:val="bottom"/>
          </w:tcPr>
          <w:p>
            <w:pPr>
              <w:spacing w:after="0"/>
              <w:rPr>
                <w:sz w:val="17"/>
                <w:szCs w:val="17"/>
                <w:color w:val="auto"/>
              </w:rPr>
            </w:pPr>
          </w:p>
        </w:tc>
        <w:tc>
          <w:tcPr>
            <w:tcW w:w="66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(20)</w:t>
            </w:r>
          </w:p>
        </w:tc>
        <w:tc>
          <w:tcPr>
            <w:tcW w:w="140" w:type="dxa"/>
            <w:vAlign w:val="bottom"/>
          </w:tcPr>
          <w:p>
            <w:pPr>
              <w:spacing w:after="0"/>
              <w:rPr>
                <w:sz w:val="17"/>
                <w:szCs w:val="17"/>
                <w:color w:val="auto"/>
              </w:rPr>
            </w:pPr>
          </w:p>
        </w:tc>
        <w:tc>
          <w:tcPr>
            <w:tcW w:w="62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360" w:type="dxa"/>
            <w:vAlign w:val="bottom"/>
          </w:tcPr>
          <w:p>
            <w:pPr>
              <w:jc w:val="center"/>
              <w:spacing w:after="0"/>
              <w:rPr>
                <w:sz w:val="20"/>
                <w:szCs w:val="20"/>
                <w:color w:val="auto"/>
              </w:rPr>
            </w:pPr>
            <w:r>
              <w:rPr>
                <w:rFonts w:ascii="Arial" w:cs="Arial" w:eastAsia="Arial" w:hAnsi="Arial"/>
                <w:sz w:val="14"/>
                <w:szCs w:val="14"/>
                <w:color w:val="auto"/>
              </w:rPr>
              <w:t>760</w:t>
            </w:r>
          </w:p>
        </w:tc>
        <w:tc>
          <w:tcPr>
            <w:tcW w:w="8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center"/>
              <w:ind w:left="348"/>
              <w:spacing w:after="0"/>
              <w:rPr>
                <w:sz w:val="20"/>
                <w:szCs w:val="20"/>
                <w:color w:val="auto"/>
              </w:rPr>
            </w:pPr>
            <w:r>
              <w:rPr>
                <w:rFonts w:ascii="Arial" w:cs="Arial" w:eastAsia="Arial" w:hAnsi="Arial"/>
                <w:sz w:val="14"/>
                <w:szCs w:val="14"/>
                <w:color w:val="auto"/>
              </w:rPr>
              <w:t>770</w:t>
            </w:r>
          </w:p>
        </w:tc>
      </w:tr>
      <w:tr>
        <w:trPr>
          <w:trHeight w:val="198"/>
        </w:trPr>
        <w:tc>
          <w:tcPr>
            <w:tcW w:w="4760" w:type="dxa"/>
            <w:vAlign w:val="bottom"/>
          </w:tcPr>
          <w:p>
            <w:pPr>
              <w:spacing w:after="0"/>
              <w:rPr>
                <w:sz w:val="20"/>
                <w:szCs w:val="20"/>
                <w:color w:val="auto"/>
              </w:rPr>
            </w:pPr>
            <w:r>
              <w:rPr>
                <w:rFonts w:ascii="Arial" w:cs="Arial" w:eastAsia="Arial" w:hAnsi="Arial"/>
                <w:sz w:val="14"/>
                <w:szCs w:val="14"/>
                <w:color w:val="auto"/>
              </w:rPr>
              <w:t>Capital investments</w:t>
            </w: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color w:val="auto"/>
              </w:rPr>
              <w:t>(400)</w:t>
            </w:r>
          </w:p>
        </w:tc>
        <w:tc>
          <w:tcPr>
            <w:tcW w:w="80" w:type="dxa"/>
            <w:vAlign w:val="bottom"/>
            <w:tcBorders>
              <w:bottom w:val="single" w:sz="8" w:color="DBDBDB"/>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color w:val="auto"/>
              </w:rPr>
              <w:t>(380)</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8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4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(370)</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color w:val="auto"/>
              </w:rPr>
              <w:t>(360)</w:t>
            </w:r>
          </w:p>
        </w:tc>
      </w:tr>
      <w:tr>
        <w:trPr>
          <w:trHeight w:val="220"/>
        </w:trPr>
        <w:tc>
          <w:tcPr>
            <w:tcW w:w="4760" w:type="dxa"/>
            <w:vAlign w:val="bottom"/>
          </w:tcPr>
          <w:p>
            <w:pPr>
              <w:spacing w:after="0"/>
              <w:rPr>
                <w:sz w:val="20"/>
                <w:szCs w:val="20"/>
                <w:color w:val="auto"/>
              </w:rPr>
            </w:pPr>
            <w:r>
              <w:rPr>
                <w:rFonts w:ascii="Arial" w:cs="Arial" w:eastAsia="Arial" w:hAnsi="Arial"/>
                <w:sz w:val="14"/>
                <w:szCs w:val="14"/>
                <w:b w:val="1"/>
                <w:bCs w:val="1"/>
                <w:color w:val="auto"/>
              </w:rPr>
              <w:t>Estimated free cash flow</w:t>
            </w: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DBDBDB"/>
          </w:tcPr>
          <w:p>
            <w:pPr>
              <w:jc w:val="center"/>
              <w:ind w:left="308"/>
              <w:spacing w:after="0"/>
              <w:rPr>
                <w:sz w:val="20"/>
                <w:szCs w:val="20"/>
                <w:color w:val="auto"/>
              </w:rPr>
            </w:pPr>
            <w:r>
              <w:rPr>
                <w:rFonts w:ascii="Arial" w:cs="Arial" w:eastAsia="Arial" w:hAnsi="Arial"/>
                <w:sz w:val="14"/>
                <w:szCs w:val="14"/>
                <w:color w:val="auto"/>
              </w:rPr>
              <w:t>325</w:t>
            </w:r>
          </w:p>
        </w:tc>
        <w:tc>
          <w:tcPr>
            <w:tcW w:w="80" w:type="dxa"/>
            <w:vAlign w:val="bottom"/>
            <w:shd w:val="clear" w:color="auto" w:fill="DBDBDB"/>
          </w:tcPr>
          <w:p>
            <w:pPr>
              <w:spacing w:after="0"/>
              <w:rPr>
                <w:sz w:val="19"/>
                <w:szCs w:val="19"/>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DBDBDB"/>
          </w:tcPr>
          <w:p>
            <w:pPr>
              <w:jc w:val="center"/>
              <w:ind w:left="308"/>
              <w:spacing w:after="0"/>
              <w:rPr>
                <w:sz w:val="20"/>
                <w:szCs w:val="20"/>
                <w:color w:val="auto"/>
              </w:rPr>
            </w:pPr>
            <w:r>
              <w:rPr>
                <w:rFonts w:ascii="Arial" w:cs="Arial" w:eastAsia="Arial" w:hAnsi="Arial"/>
                <w:sz w:val="14"/>
                <w:szCs w:val="14"/>
                <w:color w:val="auto"/>
              </w:rPr>
              <w:t>370</w:t>
            </w: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(65)</w:t>
            </w:r>
          </w:p>
        </w:tc>
        <w:tc>
          <w:tcPr>
            <w:tcW w:w="80" w:type="dxa"/>
            <w:vAlign w:val="bottom"/>
          </w:tcPr>
          <w:p>
            <w:pPr>
              <w:spacing w:after="0"/>
              <w:rPr>
                <w:sz w:val="19"/>
                <w:szCs w:val="19"/>
                <w:color w:val="auto"/>
              </w:rPr>
            </w:pPr>
          </w:p>
        </w:tc>
        <w:tc>
          <w:tcPr>
            <w:tcW w:w="66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(40)</w:t>
            </w:r>
          </w:p>
        </w:tc>
        <w:tc>
          <w:tcPr>
            <w:tcW w:w="140" w:type="dxa"/>
            <w:vAlign w:val="bottom"/>
          </w:tcPr>
          <w:p>
            <w:pPr>
              <w:spacing w:after="0"/>
              <w:rPr>
                <w:sz w:val="19"/>
                <w:szCs w:val="19"/>
                <w:color w:val="auto"/>
              </w:rPr>
            </w:pPr>
          </w:p>
        </w:tc>
        <w:tc>
          <w:tcPr>
            <w:tcW w:w="62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360" w:type="dxa"/>
            <w:vAlign w:val="bottom"/>
          </w:tcPr>
          <w:p>
            <w:pPr>
              <w:jc w:val="center"/>
              <w:spacing w:after="0"/>
              <w:rPr>
                <w:sz w:val="20"/>
                <w:szCs w:val="20"/>
                <w:color w:val="auto"/>
              </w:rPr>
            </w:pPr>
            <w:r>
              <w:rPr>
                <w:rFonts w:ascii="Arial" w:cs="Arial" w:eastAsia="Arial" w:hAnsi="Arial"/>
                <w:sz w:val="14"/>
                <w:szCs w:val="14"/>
                <w:color w:val="auto"/>
              </w:rPr>
              <w:t>390</w:t>
            </w:r>
          </w:p>
        </w:tc>
        <w:tc>
          <w:tcPr>
            <w:tcW w:w="80" w:type="dxa"/>
            <w:vAlign w:val="bottom"/>
          </w:tcPr>
          <w:p>
            <w:pPr>
              <w:spacing w:after="0"/>
              <w:rPr>
                <w:sz w:val="19"/>
                <w:szCs w:val="19"/>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center"/>
              <w:ind w:left="348"/>
              <w:spacing w:after="0"/>
              <w:rPr>
                <w:sz w:val="20"/>
                <w:szCs w:val="20"/>
                <w:color w:val="auto"/>
              </w:rPr>
            </w:pPr>
            <w:r>
              <w:rPr>
                <w:rFonts w:ascii="Arial" w:cs="Arial" w:eastAsia="Arial" w:hAnsi="Arial"/>
                <w:sz w:val="14"/>
                <w:szCs w:val="14"/>
                <w:color w:val="auto"/>
              </w:rPr>
              <w:t>410</w:t>
            </w:r>
          </w:p>
        </w:tc>
      </w:tr>
      <w:tr>
        <w:trPr>
          <w:trHeight w:val="20"/>
        </w:trPr>
        <w:tc>
          <w:tcPr>
            <w:tcW w:w="4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22</w:t>
      </w:r>
    </w:p>
    <w:p>
      <w:pPr>
        <w:sectPr>
          <w:pgSz w:w="11900" w:h="16838" w:orient="portrait"/>
          <w:cols w:equalWidth="0" w:num="1">
            <w:col w:w="11240"/>
          </w:cols>
          <w:pgMar w:left="320" w:top="1062"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97"/>
        </w:trPr>
        <w:tc>
          <w:tcPr>
            <w:tcW w:w="47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242424"/>
              </w:rPr>
              <w:t>2022 Estimated</w:t>
            </w: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60" w:type="dxa"/>
            <w:vAlign w:val="bottom"/>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1860" w:type="dxa"/>
            <w:vAlign w:val="bottom"/>
            <w:tcBorders>
              <w:bottom w:val="single" w:sz="8" w:color="auto"/>
            </w:tcBorders>
            <w:gridSpan w:val="4"/>
            <w:shd w:val="clear" w:color="auto" w:fill="DBDBDB"/>
          </w:tcPr>
          <w:p>
            <w:pPr>
              <w:jc w:val="right"/>
              <w:ind w:right="528"/>
              <w:spacing w:after="0"/>
              <w:rPr>
                <w:sz w:val="20"/>
                <w:szCs w:val="20"/>
                <w:color w:val="auto"/>
              </w:rPr>
            </w:pPr>
            <w:r>
              <w:rPr>
                <w:rFonts w:ascii="Arial" w:cs="Arial" w:eastAsia="Arial" w:hAnsi="Arial"/>
                <w:sz w:val="14"/>
                <w:szCs w:val="14"/>
                <w:b w:val="1"/>
                <w:bCs w:val="1"/>
                <w:color w:val="242424"/>
              </w:rPr>
              <w:t>Consolidated</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jc w:val="center"/>
              <w:ind w:left="448"/>
              <w:spacing w:after="0"/>
              <w:rPr>
                <w:sz w:val="20"/>
                <w:szCs w:val="20"/>
                <w:color w:val="auto"/>
              </w:rPr>
            </w:pPr>
            <w:r>
              <w:rPr>
                <w:rFonts w:ascii="Arial" w:cs="Arial" w:eastAsia="Arial" w:hAnsi="Arial"/>
                <w:sz w:val="14"/>
                <w:szCs w:val="14"/>
                <w:b w:val="1"/>
                <w:bCs w:val="1"/>
                <w:color w:val="242424"/>
              </w:rPr>
              <w:t>CMB</w:t>
            </w:r>
          </w:p>
        </w:tc>
        <w:tc>
          <w:tcPr>
            <w:tcW w:w="7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4"/>
          </w:tcPr>
          <w:p>
            <w:pPr>
              <w:jc w:val="right"/>
              <w:ind w:right="148"/>
              <w:spacing w:after="0"/>
              <w:rPr>
                <w:sz w:val="20"/>
                <w:szCs w:val="20"/>
                <w:color w:val="auto"/>
              </w:rPr>
            </w:pPr>
            <w:r>
              <w:rPr>
                <w:rFonts w:ascii="Arial" w:cs="Arial" w:eastAsia="Arial" w:hAnsi="Arial"/>
                <w:sz w:val="14"/>
                <w:szCs w:val="14"/>
                <w:b w:val="1"/>
                <w:bCs w:val="1"/>
                <w:color w:val="242424"/>
              </w:rPr>
              <w:t>E&amp;P, Corporate &amp; Other</w:t>
            </w:r>
          </w:p>
        </w:tc>
        <w:tc>
          <w:tcPr>
            <w:tcW w:w="0" w:type="dxa"/>
            <w:vAlign w:val="bottom"/>
          </w:tcPr>
          <w:p>
            <w:pPr>
              <w:spacing w:after="0"/>
              <w:rPr>
                <w:sz w:val="1"/>
                <w:szCs w:val="1"/>
                <w:color w:val="auto"/>
              </w:rPr>
            </w:pPr>
          </w:p>
        </w:tc>
      </w:tr>
      <w:tr>
        <w:trPr>
          <w:trHeight w:val="190"/>
        </w:trPr>
        <w:tc>
          <w:tcPr>
            <w:tcW w:w="4760" w:type="dxa"/>
            <w:vAlign w:val="bottom"/>
          </w:tcPr>
          <w:p>
            <w:pPr>
              <w:spacing w:after="0"/>
              <w:rPr>
                <w:sz w:val="20"/>
                <w:szCs w:val="20"/>
                <w:color w:val="auto"/>
              </w:rPr>
            </w:pPr>
            <w:r>
              <w:rPr>
                <w:rFonts w:ascii="Arial" w:cs="Arial" w:eastAsia="Arial" w:hAnsi="Arial"/>
                <w:sz w:val="13"/>
                <w:szCs w:val="13"/>
                <w:i w:val="1"/>
                <w:iCs w:val="1"/>
                <w:color w:val="auto"/>
              </w:rPr>
              <w:t>($ millions)</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242424"/>
              </w:rPr>
              <w:t>Low</w:t>
            </w:r>
          </w:p>
        </w:tc>
        <w:tc>
          <w:tcPr>
            <w:tcW w:w="80" w:type="dxa"/>
            <w:vAlign w:val="bottom"/>
            <w:tcBorders>
              <w:bottom w:val="single" w:sz="8" w:color="DBDBDB"/>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242424"/>
              </w:rPr>
              <w:t>High</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242424"/>
              </w:rPr>
              <w:t>Low</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242424"/>
              </w:rPr>
              <w:t>High</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242424"/>
              </w:rPr>
              <w:t>Low</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242424"/>
              </w:rPr>
              <w:t>High</w:t>
            </w:r>
          </w:p>
        </w:tc>
        <w:tc>
          <w:tcPr>
            <w:tcW w:w="0" w:type="dxa"/>
            <w:vAlign w:val="bottom"/>
          </w:tcPr>
          <w:p>
            <w:pPr>
              <w:spacing w:after="0"/>
              <w:rPr>
                <w:sz w:val="1"/>
                <w:szCs w:val="1"/>
                <w:color w:val="auto"/>
              </w:rPr>
            </w:pPr>
          </w:p>
        </w:tc>
      </w:tr>
      <w:tr>
        <w:trPr>
          <w:trHeight w:val="203"/>
        </w:trPr>
        <w:tc>
          <w:tcPr>
            <w:tcW w:w="4760" w:type="dxa"/>
            <w:vAlign w:val="bottom"/>
          </w:tcPr>
          <w:p>
            <w:pPr>
              <w:spacing w:after="0"/>
              <w:rPr>
                <w:sz w:val="20"/>
                <w:szCs w:val="20"/>
                <w:color w:val="auto"/>
              </w:rPr>
            </w:pPr>
            <w:r>
              <w:rPr>
                <w:rFonts w:ascii="Arial" w:cs="Arial" w:eastAsia="Arial" w:hAnsi="Arial"/>
                <w:sz w:val="14"/>
                <w:szCs w:val="14"/>
                <w:color w:val="auto"/>
              </w:rPr>
              <w:t>Net income</w:t>
            </w: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612</w:t>
            </w:r>
          </w:p>
        </w:tc>
        <w:tc>
          <w:tcPr>
            <w:tcW w:w="80" w:type="dxa"/>
            <w:vAlign w:val="bottom"/>
            <w:shd w:val="clear" w:color="auto" w:fill="DBDBDB"/>
          </w:tcPr>
          <w:p>
            <w:pPr>
              <w:spacing w:after="0"/>
              <w:rPr>
                <w:sz w:val="17"/>
                <w:szCs w:val="17"/>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650</w:t>
            </w:r>
          </w:p>
        </w:tc>
        <w:tc>
          <w:tcPr>
            <w:tcW w:w="3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center"/>
              <w:ind w:left="368"/>
              <w:spacing w:after="0"/>
              <w:rPr>
                <w:sz w:val="20"/>
                <w:szCs w:val="20"/>
                <w:color w:val="auto"/>
              </w:rPr>
            </w:pPr>
            <w:r>
              <w:rPr>
                <w:rFonts w:ascii="Arial" w:cs="Arial" w:eastAsia="Arial" w:hAnsi="Arial"/>
                <w:sz w:val="14"/>
                <w:szCs w:val="14"/>
                <w:color w:val="auto"/>
                <w:w w:val="96"/>
              </w:rPr>
              <w:t>(35)</w:t>
            </w:r>
          </w:p>
        </w:tc>
        <w:tc>
          <w:tcPr>
            <w:tcW w:w="8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center"/>
              <w:ind w:left="388"/>
              <w:spacing w:after="0"/>
              <w:rPr>
                <w:sz w:val="20"/>
                <w:szCs w:val="20"/>
                <w:color w:val="auto"/>
              </w:rPr>
            </w:pPr>
            <w:r>
              <w:rPr>
                <w:rFonts w:ascii="Arial" w:cs="Arial" w:eastAsia="Arial" w:hAnsi="Arial"/>
                <w:sz w:val="14"/>
                <w:szCs w:val="14"/>
                <w:color w:val="auto"/>
              </w:rPr>
              <w:t>(20)</w:t>
            </w:r>
          </w:p>
        </w:tc>
        <w:tc>
          <w:tcPr>
            <w:tcW w:w="1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647</w:t>
            </w:r>
          </w:p>
        </w:tc>
        <w:tc>
          <w:tcPr>
            <w:tcW w:w="8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670</w:t>
            </w:r>
          </w:p>
        </w:tc>
        <w:tc>
          <w:tcPr>
            <w:tcW w:w="0" w:type="dxa"/>
            <w:vAlign w:val="bottom"/>
          </w:tcPr>
          <w:p>
            <w:pPr>
              <w:spacing w:after="0"/>
              <w:rPr>
                <w:sz w:val="1"/>
                <w:szCs w:val="1"/>
                <w:color w:val="auto"/>
              </w:rPr>
            </w:pPr>
          </w:p>
        </w:tc>
      </w:tr>
      <w:tr>
        <w:trPr>
          <w:trHeight w:val="194"/>
        </w:trPr>
        <w:tc>
          <w:tcPr>
            <w:tcW w:w="4760" w:type="dxa"/>
            <w:vAlign w:val="bottom"/>
          </w:tcPr>
          <w:p>
            <w:pPr>
              <w:ind w:left="120"/>
              <w:spacing w:after="0"/>
              <w:rPr>
                <w:sz w:val="20"/>
                <w:szCs w:val="20"/>
                <w:color w:val="auto"/>
              </w:rPr>
            </w:pPr>
            <w:r>
              <w:rPr>
                <w:rFonts w:ascii="Arial" w:cs="Arial" w:eastAsia="Arial" w:hAnsi="Arial"/>
                <w:sz w:val="14"/>
                <w:szCs w:val="14"/>
                <w:color w:val="auto"/>
              </w:rPr>
              <w:t>Interest and debt expense, net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11"/>
        </w:trPr>
        <w:tc>
          <w:tcPr>
            <w:tcW w:w="4760" w:type="dxa"/>
            <w:vAlign w:val="bottom"/>
          </w:tcPr>
          <w:p>
            <w:pPr>
              <w:ind w:left="120"/>
              <w:spacing w:after="0"/>
              <w:rPr>
                <w:sz w:val="20"/>
                <w:szCs w:val="20"/>
                <w:color w:val="auto"/>
              </w:rPr>
            </w:pPr>
            <w:r>
              <w:rPr>
                <w:rFonts w:ascii="Arial" w:cs="Arial" w:eastAsia="Arial" w:hAnsi="Arial"/>
                <w:sz w:val="14"/>
                <w:szCs w:val="14"/>
                <w:color w:val="auto"/>
              </w:rPr>
              <w:t>Depreciation, depletion and amortization</w:t>
            </w:r>
          </w:p>
        </w:tc>
        <w:tc>
          <w:tcPr>
            <w:tcW w:w="220" w:type="dxa"/>
            <w:vAlign w:val="bottom"/>
            <w:shd w:val="clear" w:color="auto" w:fill="DBDBDB"/>
          </w:tcPr>
          <w:p>
            <w:pPr>
              <w:spacing w:after="0"/>
              <w:rPr>
                <w:sz w:val="18"/>
                <w:szCs w:val="18"/>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200</w:t>
            </w:r>
          </w:p>
        </w:tc>
        <w:tc>
          <w:tcPr>
            <w:tcW w:w="8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202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194"/>
        </w:trPr>
        <w:tc>
          <w:tcPr>
            <w:tcW w:w="4760" w:type="dxa"/>
            <w:vAlign w:val="bottom"/>
          </w:tcPr>
          <w:p>
            <w:pPr>
              <w:ind w:left="120"/>
              <w:spacing w:after="0"/>
              <w:rPr>
                <w:sz w:val="20"/>
                <w:szCs w:val="20"/>
                <w:color w:val="auto"/>
              </w:rPr>
            </w:pPr>
            <w:r>
              <w:rPr>
                <w:rFonts w:ascii="Arial" w:cs="Arial" w:eastAsia="Arial" w:hAnsi="Arial"/>
                <w:sz w:val="14"/>
                <w:szCs w:val="14"/>
                <w:color w:val="auto"/>
              </w:rPr>
              <w:t>Exploration expense</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11"/>
        </w:trPr>
        <w:tc>
          <w:tcPr>
            <w:tcW w:w="4760" w:type="dxa"/>
            <w:vAlign w:val="bottom"/>
          </w:tcPr>
          <w:p>
            <w:pPr>
              <w:ind w:left="120"/>
              <w:spacing w:after="0"/>
              <w:rPr>
                <w:sz w:val="20"/>
                <w:szCs w:val="20"/>
                <w:color w:val="auto"/>
              </w:rPr>
            </w:pPr>
            <w:r>
              <w:rPr>
                <w:rFonts w:ascii="Arial" w:cs="Arial" w:eastAsia="Arial" w:hAnsi="Arial"/>
                <w:sz w:val="14"/>
                <w:szCs w:val="14"/>
                <w:color w:val="auto"/>
              </w:rPr>
              <w:t>Income taxes</w:t>
            </w:r>
          </w:p>
        </w:tc>
        <w:tc>
          <w:tcPr>
            <w:tcW w:w="220" w:type="dxa"/>
            <w:vAlign w:val="bottom"/>
            <w:shd w:val="clear" w:color="auto" w:fill="DBDBDB"/>
          </w:tcPr>
          <w:p>
            <w:pPr>
              <w:spacing w:after="0"/>
              <w:rPr>
                <w:sz w:val="18"/>
                <w:szCs w:val="18"/>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273</w:t>
            </w:r>
          </w:p>
        </w:tc>
        <w:tc>
          <w:tcPr>
            <w:tcW w:w="8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277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277</w:t>
            </w:r>
          </w:p>
        </w:tc>
        <w:tc>
          <w:tcPr>
            <w:tcW w:w="0" w:type="dxa"/>
            <w:vAlign w:val="bottom"/>
          </w:tcPr>
          <w:p>
            <w:pPr>
              <w:spacing w:after="0"/>
              <w:rPr>
                <w:sz w:val="1"/>
                <w:szCs w:val="1"/>
                <w:color w:val="auto"/>
              </w:rPr>
            </w:pPr>
          </w:p>
        </w:tc>
      </w:tr>
      <w:tr>
        <w:trPr>
          <w:trHeight w:val="194"/>
        </w:trPr>
        <w:tc>
          <w:tcPr>
            <w:tcW w:w="4760" w:type="dxa"/>
            <w:vAlign w:val="bottom"/>
          </w:tcPr>
          <w:p>
            <w:pPr>
              <w:ind w:left="120"/>
              <w:spacing w:after="0"/>
              <w:rPr>
                <w:sz w:val="20"/>
                <w:szCs w:val="20"/>
                <w:color w:val="auto"/>
              </w:rPr>
            </w:pPr>
            <w:r>
              <w:rPr>
                <w:rFonts w:ascii="Arial" w:cs="Arial" w:eastAsia="Arial" w:hAnsi="Arial"/>
                <w:sz w:val="14"/>
                <w:szCs w:val="14"/>
                <w:color w:val="auto"/>
              </w:rPr>
              <w:t>Unusual, infrequent and other items</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760" w:type="dxa"/>
            <w:vAlign w:val="bottom"/>
          </w:tcPr>
          <w:p>
            <w:pPr>
              <w:ind w:left="240"/>
              <w:spacing w:after="0"/>
              <w:rPr>
                <w:sz w:val="20"/>
                <w:szCs w:val="20"/>
                <w:color w:val="auto"/>
              </w:rPr>
            </w:pPr>
            <w:r>
              <w:rPr>
                <w:rFonts w:ascii="Arial" w:cs="Arial" w:eastAsia="Arial" w:hAnsi="Arial"/>
                <w:sz w:val="14"/>
                <w:szCs w:val="14"/>
                <w:color w:val="auto"/>
              </w:rPr>
              <w:t>Non-cash derivative gain</w:t>
            </w:r>
          </w:p>
        </w:tc>
        <w:tc>
          <w:tcPr>
            <w:tcW w:w="220" w:type="dxa"/>
            <w:vAlign w:val="bottom"/>
            <w:shd w:val="clear" w:color="auto" w:fill="DBDBDB"/>
          </w:tcPr>
          <w:p>
            <w:pPr>
              <w:spacing w:after="0"/>
              <w:rPr>
                <w:sz w:val="18"/>
                <w:szCs w:val="18"/>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(318)</w:t>
            </w:r>
          </w:p>
        </w:tc>
        <w:tc>
          <w:tcPr>
            <w:tcW w:w="8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(315)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(318)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(315)</w:t>
            </w:r>
          </w:p>
        </w:tc>
        <w:tc>
          <w:tcPr>
            <w:tcW w:w="0" w:type="dxa"/>
            <w:vAlign w:val="bottom"/>
          </w:tcPr>
          <w:p>
            <w:pPr>
              <w:spacing w:after="0"/>
              <w:rPr>
                <w:sz w:val="1"/>
                <w:szCs w:val="1"/>
                <w:color w:val="auto"/>
              </w:rPr>
            </w:pPr>
          </w:p>
        </w:tc>
      </w:tr>
      <w:tr>
        <w:trPr>
          <w:trHeight w:val="194"/>
        </w:trPr>
        <w:tc>
          <w:tcPr>
            <w:tcW w:w="4760" w:type="dxa"/>
            <w:vAlign w:val="bottom"/>
          </w:tcPr>
          <w:p>
            <w:pPr>
              <w:ind w:left="240"/>
              <w:spacing w:after="0"/>
              <w:rPr>
                <w:sz w:val="20"/>
                <w:szCs w:val="20"/>
                <w:color w:val="auto"/>
              </w:rPr>
            </w:pPr>
            <w:r>
              <w:rPr>
                <w:rFonts w:ascii="Arial" w:cs="Arial" w:eastAsia="Arial" w:hAnsi="Arial"/>
                <w:sz w:val="14"/>
                <w:szCs w:val="14"/>
                <w:color w:val="auto"/>
              </w:rPr>
              <w:t>Gain on asset divestitures</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11"/>
        </w:trPr>
        <w:tc>
          <w:tcPr>
            <w:tcW w:w="4760" w:type="dxa"/>
            <w:vAlign w:val="bottom"/>
          </w:tcPr>
          <w:p>
            <w:pPr>
              <w:ind w:left="240"/>
              <w:spacing w:after="0"/>
              <w:rPr>
                <w:sz w:val="20"/>
                <w:szCs w:val="20"/>
                <w:color w:val="auto"/>
              </w:rPr>
            </w:pPr>
            <w:r>
              <w:rPr>
                <w:rFonts w:ascii="Arial" w:cs="Arial" w:eastAsia="Arial" w:hAnsi="Arial"/>
                <w:sz w:val="14"/>
                <w:szCs w:val="14"/>
                <w:color w:val="auto"/>
              </w:rPr>
              <w:t>Other</w:t>
            </w:r>
          </w:p>
        </w:tc>
        <w:tc>
          <w:tcPr>
            <w:tcW w:w="220" w:type="dxa"/>
            <w:vAlign w:val="bottom"/>
            <w:shd w:val="clear" w:color="auto" w:fill="DBDBDB"/>
          </w:tcPr>
          <w:p>
            <w:pPr>
              <w:spacing w:after="0"/>
              <w:rPr>
                <w:sz w:val="18"/>
                <w:szCs w:val="18"/>
                <w:color w:val="auto"/>
              </w:rPr>
            </w:pPr>
          </w:p>
        </w:tc>
        <w:tc>
          <w:tcPr>
            <w:tcW w:w="7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10</w:t>
            </w:r>
          </w:p>
        </w:tc>
        <w:tc>
          <w:tcPr>
            <w:tcW w:w="8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7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4"/>
        </w:trPr>
        <w:tc>
          <w:tcPr>
            <w:tcW w:w="4760" w:type="dxa"/>
            <w:vAlign w:val="bottom"/>
          </w:tcPr>
          <w:p>
            <w:pPr>
              <w:ind w:left="120"/>
              <w:spacing w:after="0"/>
              <w:rPr>
                <w:sz w:val="20"/>
                <w:szCs w:val="20"/>
                <w:color w:val="auto"/>
              </w:rPr>
            </w:pPr>
            <w:r>
              <w:rPr>
                <w:rFonts w:ascii="Arial" w:cs="Arial" w:eastAsia="Arial" w:hAnsi="Arial"/>
                <w:sz w:val="14"/>
                <w:szCs w:val="14"/>
                <w:color w:val="auto"/>
              </w:rPr>
              <w:t>Other non-cash items</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760" w:type="dxa"/>
            <w:vAlign w:val="bottom"/>
          </w:tcPr>
          <w:p>
            <w:pPr>
              <w:ind w:left="240"/>
              <w:spacing w:after="0"/>
              <w:rPr>
                <w:sz w:val="20"/>
                <w:szCs w:val="20"/>
                <w:color w:val="auto"/>
              </w:rPr>
            </w:pPr>
            <w:r>
              <w:rPr>
                <w:rFonts w:ascii="Arial" w:cs="Arial" w:eastAsia="Arial" w:hAnsi="Arial"/>
                <w:sz w:val="14"/>
                <w:szCs w:val="14"/>
                <w:color w:val="auto"/>
              </w:rPr>
              <w:t>Accretion expense</w:t>
            </w:r>
          </w:p>
        </w:tc>
        <w:tc>
          <w:tcPr>
            <w:tcW w:w="220" w:type="dxa"/>
            <w:vAlign w:val="bottom"/>
            <w:shd w:val="clear" w:color="auto" w:fill="DBDBDB"/>
          </w:tcPr>
          <w:p>
            <w:pPr>
              <w:spacing w:after="0"/>
              <w:rPr>
                <w:sz w:val="18"/>
                <w:szCs w:val="18"/>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43</w:t>
            </w:r>
          </w:p>
        </w:tc>
        <w:tc>
          <w:tcPr>
            <w:tcW w:w="8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94"/>
        </w:trPr>
        <w:tc>
          <w:tcPr>
            <w:tcW w:w="4760" w:type="dxa"/>
            <w:vAlign w:val="bottom"/>
          </w:tcPr>
          <w:p>
            <w:pPr>
              <w:ind w:left="240"/>
              <w:spacing w:after="0"/>
              <w:rPr>
                <w:sz w:val="20"/>
                <w:szCs w:val="20"/>
                <w:color w:val="auto"/>
              </w:rPr>
            </w:pPr>
            <w:r>
              <w:rPr>
                <w:rFonts w:ascii="Arial" w:cs="Arial" w:eastAsia="Arial" w:hAnsi="Arial"/>
                <w:sz w:val="14"/>
                <w:szCs w:val="14"/>
                <w:color w:val="auto"/>
              </w:rPr>
              <w:t>Stock-based compensation</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07"/>
        </w:trPr>
        <w:tc>
          <w:tcPr>
            <w:tcW w:w="4760" w:type="dxa"/>
            <w:vAlign w:val="bottom"/>
          </w:tcPr>
          <w:p>
            <w:pPr>
              <w:ind w:left="240"/>
              <w:spacing w:after="0"/>
              <w:rPr>
                <w:sz w:val="20"/>
                <w:szCs w:val="20"/>
                <w:color w:val="auto"/>
              </w:rPr>
            </w:pPr>
            <w:r>
              <w:rPr>
                <w:rFonts w:ascii="Arial" w:cs="Arial" w:eastAsia="Arial" w:hAnsi="Arial"/>
                <w:sz w:val="14"/>
                <w:szCs w:val="14"/>
                <w:color w:val="auto"/>
              </w:rPr>
              <w:t>Post-retirement medical and pension</w:t>
            </w:r>
          </w:p>
        </w:tc>
        <w:tc>
          <w:tcPr>
            <w:tcW w:w="220" w:type="dxa"/>
            <w:vAlign w:val="bottom"/>
            <w:tcBorders>
              <w:bottom w:val="single" w:sz="8" w:color="auto"/>
            </w:tcBorders>
            <w:shd w:val="clear" w:color="auto" w:fill="DBDBDB"/>
          </w:tcPr>
          <w:p>
            <w:pPr>
              <w:spacing w:after="0"/>
              <w:rPr>
                <w:sz w:val="17"/>
                <w:szCs w:val="17"/>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0"/>
        </w:trPr>
        <w:tc>
          <w:tcPr>
            <w:tcW w:w="4760" w:type="dxa"/>
            <w:vAlign w:val="bottom"/>
          </w:tcPr>
          <w:p>
            <w:pPr>
              <w:spacing w:after="0"/>
              <w:rPr>
                <w:sz w:val="20"/>
                <w:szCs w:val="20"/>
                <w:color w:val="auto"/>
              </w:rPr>
            </w:pPr>
            <w:r>
              <w:rPr>
                <w:rFonts w:ascii="Arial" w:cs="Arial" w:eastAsia="Arial" w:hAnsi="Arial"/>
                <w:sz w:val="14"/>
                <w:szCs w:val="14"/>
                <w:b w:val="1"/>
                <w:bCs w:val="1"/>
                <w:color w:val="auto"/>
              </w:rPr>
              <w:t>Estimated adjusted EBITDAX</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835</w:t>
            </w:r>
          </w:p>
        </w:tc>
        <w:tc>
          <w:tcPr>
            <w:tcW w:w="8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890</w:t>
            </w:r>
          </w:p>
        </w:tc>
        <w:tc>
          <w:tcPr>
            <w:tcW w:w="3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center"/>
              <w:ind w:left="368"/>
              <w:spacing w:after="0"/>
              <w:rPr>
                <w:sz w:val="20"/>
                <w:szCs w:val="20"/>
                <w:color w:val="auto"/>
              </w:rPr>
            </w:pPr>
            <w:r>
              <w:rPr>
                <w:rFonts w:ascii="Arial" w:cs="Arial" w:eastAsia="Arial" w:hAnsi="Arial"/>
                <w:sz w:val="14"/>
                <w:szCs w:val="14"/>
                <w:color w:val="auto"/>
                <w:w w:val="96"/>
              </w:rPr>
              <w:t>(35)</w:t>
            </w:r>
          </w:p>
        </w:tc>
        <w:tc>
          <w:tcPr>
            <w:tcW w:w="8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center"/>
              <w:ind w:left="388"/>
              <w:spacing w:after="0"/>
              <w:rPr>
                <w:sz w:val="20"/>
                <w:szCs w:val="20"/>
                <w:color w:val="auto"/>
              </w:rPr>
            </w:pPr>
            <w:r>
              <w:rPr>
                <w:rFonts w:ascii="Arial" w:cs="Arial" w:eastAsia="Arial" w:hAnsi="Arial"/>
                <w:sz w:val="14"/>
                <w:szCs w:val="14"/>
                <w:color w:val="auto"/>
              </w:rPr>
              <w:t>(20)</w:t>
            </w:r>
          </w:p>
        </w:tc>
        <w:tc>
          <w:tcPr>
            <w:tcW w:w="1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870</w:t>
            </w:r>
          </w:p>
        </w:tc>
        <w:tc>
          <w:tcPr>
            <w:tcW w:w="8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910</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4760" w:type="dxa"/>
            <w:vAlign w:val="bottom"/>
            <w:vMerge w:val="restart"/>
          </w:tcPr>
          <w:p>
            <w:pPr>
              <w:spacing w:after="0"/>
              <w:rPr>
                <w:sz w:val="20"/>
                <w:szCs w:val="20"/>
                <w:color w:val="auto"/>
              </w:rPr>
            </w:pPr>
            <w:r>
              <w:rPr>
                <w:rFonts w:ascii="Arial" w:cs="Arial" w:eastAsia="Arial" w:hAnsi="Arial"/>
                <w:sz w:val="14"/>
                <w:szCs w:val="14"/>
                <w:color w:val="auto"/>
              </w:rPr>
              <w:t>Net cash provided (used) by operating activities</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gridSpan w:val="2"/>
            <w:vMerge w:val="restart"/>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center"/>
              <w:ind w:left="368"/>
              <w:spacing w:after="0"/>
              <w:rPr>
                <w:sz w:val="20"/>
                <w:szCs w:val="20"/>
                <w:color w:val="auto"/>
              </w:rPr>
            </w:pPr>
            <w:r>
              <w:rPr>
                <w:rFonts w:ascii="Arial" w:cs="Arial" w:eastAsia="Arial" w:hAnsi="Arial"/>
                <w:sz w:val="14"/>
                <w:szCs w:val="14"/>
                <w:color w:val="auto"/>
                <w:w w:val="96"/>
              </w:rPr>
              <w:t>(35)</w:t>
            </w:r>
          </w:p>
        </w:tc>
        <w:tc>
          <w:tcPr>
            <w:tcW w:w="80" w:type="dxa"/>
            <w:vAlign w:val="bottom"/>
          </w:tcPr>
          <w:p>
            <w:pPr>
              <w:spacing w:after="0"/>
              <w:rPr>
                <w:sz w:val="14"/>
                <w:szCs w:val="14"/>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center"/>
              <w:ind w:left="388"/>
              <w:spacing w:after="0"/>
              <w:rPr>
                <w:sz w:val="20"/>
                <w:szCs w:val="20"/>
                <w:color w:val="auto"/>
              </w:rPr>
            </w:pPr>
            <w:r>
              <w:rPr>
                <w:rFonts w:ascii="Arial" w:cs="Arial" w:eastAsia="Arial" w:hAnsi="Arial"/>
                <w:sz w:val="14"/>
                <w:szCs w:val="14"/>
                <w:color w:val="auto"/>
              </w:rPr>
              <w:t>(20)</w:t>
            </w:r>
          </w:p>
        </w:tc>
        <w:tc>
          <w:tcPr>
            <w:tcW w:w="14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760</w:t>
            </w:r>
          </w:p>
        </w:tc>
        <w:tc>
          <w:tcPr>
            <w:tcW w:w="80" w:type="dxa"/>
            <w:vAlign w:val="bottom"/>
          </w:tcPr>
          <w:p>
            <w:pPr>
              <w:spacing w:after="0"/>
              <w:rPr>
                <w:sz w:val="14"/>
                <w:szCs w:val="14"/>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770</w:t>
            </w:r>
          </w:p>
        </w:tc>
        <w:tc>
          <w:tcPr>
            <w:tcW w:w="0" w:type="dxa"/>
            <w:vAlign w:val="bottom"/>
          </w:tcPr>
          <w:p>
            <w:pPr>
              <w:spacing w:after="0"/>
              <w:rPr>
                <w:sz w:val="1"/>
                <w:szCs w:val="1"/>
                <w:color w:val="auto"/>
              </w:rPr>
            </w:pPr>
          </w:p>
        </w:tc>
      </w:tr>
      <w:tr>
        <w:trPr>
          <w:trHeight w:val="203"/>
        </w:trPr>
        <w:tc>
          <w:tcPr>
            <w:tcW w:w="4760" w:type="dxa"/>
            <w:vAlign w:val="bottom"/>
            <w:vMerge w:val="continue"/>
          </w:tcPr>
          <w:p>
            <w:pPr>
              <w:spacing w:after="0"/>
              <w:rPr>
                <w:sz w:val="17"/>
                <w:szCs w:val="17"/>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725</w:t>
            </w:r>
          </w:p>
        </w:tc>
        <w:tc>
          <w:tcPr>
            <w:tcW w:w="80" w:type="dxa"/>
            <w:vAlign w:val="bottom"/>
            <w:shd w:val="clear" w:color="auto" w:fill="DBDBDB"/>
          </w:tcPr>
          <w:p>
            <w:pPr>
              <w:spacing w:after="0"/>
              <w:rPr>
                <w:sz w:val="17"/>
                <w:szCs w:val="17"/>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750</w:t>
            </w:r>
          </w:p>
        </w:tc>
        <w:tc>
          <w:tcPr>
            <w:tcW w:w="360" w:type="dxa"/>
            <w:vAlign w:val="bottom"/>
            <w:gridSpan w:val="2"/>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760" w:type="dxa"/>
            <w:vAlign w:val="bottom"/>
          </w:tcPr>
          <w:p>
            <w:pPr>
              <w:ind w:left="120"/>
              <w:spacing w:after="0"/>
              <w:rPr>
                <w:sz w:val="20"/>
                <w:szCs w:val="20"/>
                <w:color w:val="auto"/>
              </w:rPr>
            </w:pPr>
            <w:r>
              <w:rPr>
                <w:rFonts w:ascii="Arial" w:cs="Arial" w:eastAsia="Arial" w:hAnsi="Arial"/>
                <w:sz w:val="14"/>
                <w:szCs w:val="14"/>
                <w:color w:val="auto"/>
              </w:rPr>
              <w:t>Cash interest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11"/>
        </w:trPr>
        <w:tc>
          <w:tcPr>
            <w:tcW w:w="4760" w:type="dxa"/>
            <w:vAlign w:val="bottom"/>
          </w:tcPr>
          <w:p>
            <w:pPr>
              <w:ind w:left="120"/>
              <w:spacing w:after="0"/>
              <w:rPr>
                <w:sz w:val="20"/>
                <w:szCs w:val="20"/>
                <w:color w:val="auto"/>
              </w:rPr>
            </w:pPr>
            <w:r>
              <w:rPr>
                <w:rFonts w:ascii="Arial" w:cs="Arial" w:eastAsia="Arial" w:hAnsi="Arial"/>
                <w:sz w:val="14"/>
                <w:szCs w:val="14"/>
                <w:color w:val="auto"/>
              </w:rPr>
              <w:t>Cash income taxes</w:t>
            </w:r>
          </w:p>
        </w:tc>
        <w:tc>
          <w:tcPr>
            <w:tcW w:w="220" w:type="dxa"/>
            <w:vAlign w:val="bottom"/>
            <w:shd w:val="clear" w:color="auto" w:fill="DBDBDB"/>
          </w:tcPr>
          <w:p>
            <w:pPr>
              <w:spacing w:after="0"/>
              <w:rPr>
                <w:sz w:val="18"/>
                <w:szCs w:val="18"/>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30</w:t>
            </w:r>
          </w:p>
        </w:tc>
        <w:tc>
          <w:tcPr>
            <w:tcW w:w="8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94"/>
        </w:trPr>
        <w:tc>
          <w:tcPr>
            <w:tcW w:w="4760" w:type="dxa"/>
            <w:vAlign w:val="bottom"/>
          </w:tcPr>
          <w:p>
            <w:pPr>
              <w:ind w:left="120"/>
              <w:spacing w:after="0"/>
              <w:rPr>
                <w:sz w:val="20"/>
                <w:szCs w:val="20"/>
                <w:color w:val="auto"/>
              </w:rPr>
            </w:pPr>
            <w:r>
              <w:rPr>
                <w:rFonts w:ascii="Arial" w:cs="Arial" w:eastAsia="Arial" w:hAnsi="Arial"/>
                <w:sz w:val="14"/>
                <w:szCs w:val="14"/>
                <w:color w:val="auto"/>
              </w:rPr>
              <w:t>Exploration expenditures</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7"/>
        </w:trPr>
        <w:tc>
          <w:tcPr>
            <w:tcW w:w="4760" w:type="dxa"/>
            <w:vAlign w:val="bottom"/>
          </w:tcPr>
          <w:p>
            <w:pPr>
              <w:ind w:left="120"/>
              <w:spacing w:after="0"/>
              <w:rPr>
                <w:sz w:val="20"/>
                <w:szCs w:val="20"/>
                <w:color w:val="auto"/>
              </w:rPr>
            </w:pPr>
            <w:r>
              <w:rPr>
                <w:rFonts w:ascii="Arial" w:cs="Arial" w:eastAsia="Arial" w:hAnsi="Arial"/>
                <w:sz w:val="14"/>
                <w:szCs w:val="14"/>
                <w:color w:val="auto"/>
              </w:rPr>
              <w:t>Working capital changes</w:t>
            </w:r>
          </w:p>
        </w:tc>
        <w:tc>
          <w:tcPr>
            <w:tcW w:w="220" w:type="dxa"/>
            <w:vAlign w:val="bottom"/>
            <w:tcBorders>
              <w:bottom w:val="single" w:sz="8" w:color="auto"/>
            </w:tcBorders>
            <w:shd w:val="clear" w:color="auto" w:fill="DBDBDB"/>
          </w:tcPr>
          <w:p>
            <w:pPr>
              <w:spacing w:after="0"/>
              <w:rPr>
                <w:sz w:val="17"/>
                <w:szCs w:val="17"/>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25</w:t>
            </w:r>
          </w:p>
        </w:tc>
        <w:tc>
          <w:tcPr>
            <w:tcW w:w="80" w:type="dxa"/>
            <w:vAlign w:val="bottom"/>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00"/>
        </w:trPr>
        <w:tc>
          <w:tcPr>
            <w:tcW w:w="4760" w:type="dxa"/>
            <w:vAlign w:val="bottom"/>
          </w:tcPr>
          <w:p>
            <w:pPr>
              <w:spacing w:after="0"/>
              <w:rPr>
                <w:sz w:val="20"/>
                <w:szCs w:val="20"/>
                <w:color w:val="auto"/>
              </w:rPr>
            </w:pPr>
            <w:r>
              <w:rPr>
                <w:rFonts w:ascii="Arial" w:cs="Arial" w:eastAsia="Arial" w:hAnsi="Arial"/>
                <w:sz w:val="14"/>
                <w:szCs w:val="14"/>
                <w:b w:val="1"/>
                <w:bCs w:val="1"/>
                <w:color w:val="auto"/>
              </w:rPr>
              <w:t>Estimated adjusted EBITDAX</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835</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890</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center"/>
              <w:ind w:left="368"/>
              <w:spacing w:after="0"/>
              <w:rPr>
                <w:sz w:val="20"/>
                <w:szCs w:val="20"/>
                <w:color w:val="auto"/>
              </w:rPr>
            </w:pPr>
            <w:r>
              <w:rPr>
                <w:rFonts w:ascii="Arial" w:cs="Arial" w:eastAsia="Arial" w:hAnsi="Arial"/>
                <w:sz w:val="14"/>
                <w:szCs w:val="14"/>
                <w:color w:val="auto"/>
                <w:w w:val="96"/>
              </w:rPr>
              <w:t>(35)</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center"/>
              <w:ind w:left="388"/>
              <w:spacing w:after="0"/>
              <w:rPr>
                <w:sz w:val="20"/>
                <w:szCs w:val="20"/>
                <w:color w:val="auto"/>
              </w:rPr>
            </w:pPr>
            <w:r>
              <w:rPr>
                <w:rFonts w:ascii="Arial" w:cs="Arial" w:eastAsia="Arial" w:hAnsi="Arial"/>
                <w:sz w:val="14"/>
                <w:szCs w:val="14"/>
                <w:color w:val="auto"/>
              </w:rPr>
              <w:t>(20)</w:t>
            </w:r>
          </w:p>
        </w:tc>
        <w:tc>
          <w:tcPr>
            <w:tcW w:w="14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870</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910</w:t>
            </w:r>
          </w:p>
        </w:tc>
        <w:tc>
          <w:tcPr>
            <w:tcW w:w="0" w:type="dxa"/>
            <w:vAlign w:val="bottom"/>
          </w:tcPr>
          <w:p>
            <w:pPr>
              <w:spacing w:after="0"/>
              <w:rPr>
                <w:sz w:val="1"/>
                <w:szCs w:val="1"/>
                <w:color w:val="auto"/>
              </w:rPr>
            </w:pPr>
          </w:p>
        </w:tc>
      </w:tr>
      <w:tr>
        <w:trPr>
          <w:trHeight w:val="21"/>
        </w:trPr>
        <w:tc>
          <w:tcPr>
            <w:tcW w:w="4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0"/>
        </w:trPr>
        <w:tc>
          <w:tcPr>
            <w:tcW w:w="47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rPr>
              <w:t>2022 Estimated</w:t>
            </w: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760" w:type="dxa"/>
            <w:vAlign w:val="bottom"/>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1860" w:type="dxa"/>
            <w:vAlign w:val="bottom"/>
            <w:tcBorders>
              <w:bottom w:val="single" w:sz="8" w:color="auto"/>
            </w:tcBorders>
            <w:gridSpan w:val="4"/>
            <w:shd w:val="clear" w:color="auto" w:fill="DBDBDB"/>
          </w:tcPr>
          <w:p>
            <w:pPr>
              <w:jc w:val="right"/>
              <w:ind w:right="528"/>
              <w:spacing w:after="0"/>
              <w:rPr>
                <w:sz w:val="20"/>
                <w:szCs w:val="20"/>
                <w:color w:val="auto"/>
              </w:rPr>
            </w:pPr>
            <w:r>
              <w:rPr>
                <w:rFonts w:ascii="Arial" w:cs="Arial" w:eastAsia="Arial" w:hAnsi="Arial"/>
                <w:sz w:val="14"/>
                <w:szCs w:val="14"/>
                <w:b w:val="1"/>
                <w:bCs w:val="1"/>
                <w:color w:val="auto"/>
              </w:rPr>
              <w:t>Consolidated</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jc w:val="center"/>
              <w:ind w:left="448"/>
              <w:spacing w:after="0"/>
              <w:rPr>
                <w:sz w:val="20"/>
                <w:szCs w:val="20"/>
                <w:color w:val="auto"/>
              </w:rPr>
            </w:pPr>
            <w:r>
              <w:rPr>
                <w:rFonts w:ascii="Arial" w:cs="Arial" w:eastAsia="Arial" w:hAnsi="Arial"/>
                <w:sz w:val="14"/>
                <w:szCs w:val="14"/>
                <w:b w:val="1"/>
                <w:bCs w:val="1"/>
                <w:color w:val="auto"/>
              </w:rPr>
              <w:t>CMB</w:t>
            </w:r>
          </w:p>
        </w:tc>
        <w:tc>
          <w:tcPr>
            <w:tcW w:w="7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4"/>
          </w:tcPr>
          <w:p>
            <w:pPr>
              <w:jc w:val="right"/>
              <w:ind w:right="148"/>
              <w:spacing w:after="0"/>
              <w:rPr>
                <w:sz w:val="20"/>
                <w:szCs w:val="20"/>
                <w:color w:val="auto"/>
              </w:rPr>
            </w:pPr>
            <w:r>
              <w:rPr>
                <w:rFonts w:ascii="Arial" w:cs="Arial" w:eastAsia="Arial" w:hAnsi="Arial"/>
                <w:sz w:val="14"/>
                <w:szCs w:val="14"/>
                <w:b w:val="1"/>
                <w:bCs w:val="1"/>
                <w:color w:val="auto"/>
              </w:rPr>
              <w:t>E&amp;P, Corporate &amp; Other</w:t>
            </w:r>
          </w:p>
        </w:tc>
        <w:tc>
          <w:tcPr>
            <w:tcW w:w="0" w:type="dxa"/>
            <w:vAlign w:val="bottom"/>
          </w:tcPr>
          <w:p>
            <w:pPr>
              <w:spacing w:after="0"/>
              <w:rPr>
                <w:sz w:val="1"/>
                <w:szCs w:val="1"/>
                <w:color w:val="auto"/>
              </w:rPr>
            </w:pPr>
          </w:p>
        </w:tc>
      </w:tr>
      <w:tr>
        <w:trPr>
          <w:trHeight w:val="190"/>
        </w:trPr>
        <w:tc>
          <w:tcPr>
            <w:tcW w:w="4760" w:type="dxa"/>
            <w:vAlign w:val="bottom"/>
          </w:tcPr>
          <w:p>
            <w:pPr>
              <w:spacing w:after="0"/>
              <w:rPr>
                <w:sz w:val="20"/>
                <w:szCs w:val="20"/>
                <w:color w:val="auto"/>
              </w:rPr>
            </w:pPr>
            <w:r>
              <w:rPr>
                <w:rFonts w:ascii="Arial" w:cs="Arial" w:eastAsia="Arial" w:hAnsi="Arial"/>
                <w:sz w:val="13"/>
                <w:szCs w:val="13"/>
                <w:i w:val="1"/>
                <w:iCs w:val="1"/>
                <w:color w:val="auto"/>
              </w:rPr>
              <w:t>($ millions)</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Low</w:t>
            </w:r>
          </w:p>
        </w:tc>
        <w:tc>
          <w:tcPr>
            <w:tcW w:w="80" w:type="dxa"/>
            <w:vAlign w:val="bottom"/>
            <w:tcBorders>
              <w:bottom w:val="single" w:sz="8" w:color="DBDBDB"/>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High</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Low</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High</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Low</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High</w:t>
            </w:r>
          </w:p>
        </w:tc>
        <w:tc>
          <w:tcPr>
            <w:tcW w:w="0" w:type="dxa"/>
            <w:vAlign w:val="bottom"/>
          </w:tcPr>
          <w:p>
            <w:pPr>
              <w:spacing w:after="0"/>
              <w:rPr>
                <w:sz w:val="1"/>
                <w:szCs w:val="1"/>
                <w:color w:val="auto"/>
              </w:rPr>
            </w:pPr>
          </w:p>
        </w:tc>
      </w:tr>
      <w:tr>
        <w:trPr>
          <w:trHeight w:val="203"/>
        </w:trPr>
        <w:tc>
          <w:tcPr>
            <w:tcW w:w="4760" w:type="dxa"/>
            <w:vAlign w:val="bottom"/>
          </w:tcPr>
          <w:p>
            <w:pPr>
              <w:spacing w:after="0"/>
              <w:rPr>
                <w:sz w:val="20"/>
                <w:szCs w:val="20"/>
                <w:color w:val="auto"/>
              </w:rPr>
            </w:pPr>
            <w:r>
              <w:rPr>
                <w:rFonts w:ascii="Arial" w:cs="Arial" w:eastAsia="Arial" w:hAnsi="Arial"/>
                <w:sz w:val="14"/>
                <w:szCs w:val="14"/>
                <w:color w:val="auto"/>
              </w:rPr>
              <w:t>General and administrative expenses</w:t>
            </w: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220</w:t>
            </w:r>
          </w:p>
        </w:tc>
        <w:tc>
          <w:tcPr>
            <w:tcW w:w="80" w:type="dxa"/>
            <w:vAlign w:val="bottom"/>
            <w:shd w:val="clear" w:color="auto" w:fill="DBDBDB"/>
          </w:tcPr>
          <w:p>
            <w:pPr>
              <w:spacing w:after="0"/>
              <w:rPr>
                <w:sz w:val="17"/>
                <w:szCs w:val="17"/>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230</w:t>
            </w:r>
          </w:p>
        </w:tc>
        <w:tc>
          <w:tcPr>
            <w:tcW w:w="3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center"/>
              <w:ind w:left="368"/>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center"/>
              <w:ind w:left="408"/>
              <w:spacing w:after="0"/>
              <w:rPr>
                <w:sz w:val="20"/>
                <w:szCs w:val="20"/>
                <w:color w:val="auto"/>
              </w:rPr>
            </w:pPr>
            <w:r>
              <w:rPr>
                <w:rFonts w:ascii="Arial" w:cs="Arial" w:eastAsia="Arial" w:hAnsi="Arial"/>
                <w:sz w:val="14"/>
                <w:szCs w:val="14"/>
                <w:color w:val="auto"/>
              </w:rPr>
              <w:t>15</w:t>
            </w:r>
          </w:p>
        </w:tc>
        <w:tc>
          <w:tcPr>
            <w:tcW w:w="1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210</w:t>
            </w:r>
          </w:p>
        </w:tc>
        <w:tc>
          <w:tcPr>
            <w:tcW w:w="8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195"/>
        </w:trPr>
        <w:tc>
          <w:tcPr>
            <w:tcW w:w="4760" w:type="dxa"/>
            <w:vAlign w:val="bottom"/>
          </w:tcPr>
          <w:p>
            <w:pPr>
              <w:spacing w:after="0"/>
              <w:rPr>
                <w:sz w:val="20"/>
                <w:szCs w:val="20"/>
                <w:color w:val="auto"/>
              </w:rPr>
            </w:pPr>
            <w:r>
              <w:rPr>
                <w:rFonts w:ascii="Arial" w:cs="Arial" w:eastAsia="Arial" w:hAnsi="Arial"/>
                <w:sz w:val="14"/>
                <w:szCs w:val="14"/>
                <w:color w:val="auto"/>
              </w:rPr>
              <w:t>Equity-settled stock-based compensation</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06"/>
        </w:trPr>
        <w:tc>
          <w:tcPr>
            <w:tcW w:w="4760" w:type="dxa"/>
            <w:vAlign w:val="bottom"/>
          </w:tcPr>
          <w:p>
            <w:pPr>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auto"/>
            </w:tcBorders>
            <w:shd w:val="clear" w:color="auto" w:fill="DBDBDB"/>
          </w:tcPr>
          <w:p>
            <w:pPr>
              <w:spacing w:after="0"/>
              <w:rPr>
                <w:sz w:val="17"/>
                <w:szCs w:val="17"/>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0"/>
        </w:trPr>
        <w:tc>
          <w:tcPr>
            <w:tcW w:w="4760" w:type="dxa"/>
            <w:vAlign w:val="bottom"/>
          </w:tcPr>
          <w:p>
            <w:pPr>
              <w:spacing w:after="0"/>
              <w:rPr>
                <w:sz w:val="20"/>
                <w:szCs w:val="20"/>
                <w:color w:val="auto"/>
              </w:rPr>
            </w:pPr>
            <w:r>
              <w:rPr>
                <w:rFonts w:ascii="Arial" w:cs="Arial" w:eastAsia="Arial" w:hAnsi="Arial"/>
                <w:sz w:val="14"/>
                <w:szCs w:val="14"/>
                <w:b w:val="1"/>
                <w:bCs w:val="1"/>
                <w:color w:val="auto"/>
              </w:rPr>
              <w:t>Adjusted general and administrative expenses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195</w:t>
            </w:r>
          </w:p>
        </w:tc>
        <w:tc>
          <w:tcPr>
            <w:tcW w:w="8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210</w:t>
            </w:r>
          </w:p>
        </w:tc>
        <w:tc>
          <w:tcPr>
            <w:tcW w:w="3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center"/>
              <w:ind w:left="368"/>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center"/>
              <w:ind w:left="408"/>
              <w:spacing w:after="0"/>
              <w:rPr>
                <w:sz w:val="20"/>
                <w:szCs w:val="20"/>
                <w:color w:val="auto"/>
              </w:rPr>
            </w:pPr>
            <w:r>
              <w:rPr>
                <w:rFonts w:ascii="Arial" w:cs="Arial" w:eastAsia="Arial" w:hAnsi="Arial"/>
                <w:sz w:val="14"/>
                <w:szCs w:val="14"/>
                <w:color w:val="auto"/>
              </w:rPr>
              <w:t>15</w:t>
            </w:r>
          </w:p>
        </w:tc>
        <w:tc>
          <w:tcPr>
            <w:tcW w:w="1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185</w:t>
            </w:r>
          </w:p>
        </w:tc>
        <w:tc>
          <w:tcPr>
            <w:tcW w:w="8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right="120" w:firstLine="6"/>
        <w:spacing w:after="0" w:line="206" w:lineRule="auto"/>
        <w:tabs>
          <w:tab w:leader="none" w:pos="80" w:val="left"/>
        </w:tabs>
        <w:numPr>
          <w:ilvl w:val="0"/>
          <w:numId w:val="17"/>
        </w:numPr>
        <w:rPr>
          <w:rFonts w:ascii="Arial" w:cs="Arial" w:eastAsia="Arial" w:hAnsi="Arial"/>
          <w:sz w:val="16"/>
          <w:szCs w:val="16"/>
          <w:color w:val="auto"/>
          <w:vertAlign w:val="superscript"/>
        </w:rPr>
      </w:pPr>
      <w:r>
        <w:rPr>
          <w:rFonts w:ascii="Arial" w:cs="Arial" w:eastAsia="Arial" w:hAnsi="Arial"/>
          <w:sz w:val="13"/>
          <w:szCs w:val="13"/>
          <w:color w:val="auto"/>
        </w:rPr>
        <w:t>Current guidance assumes a 2022 Brent price of $99.75 per barrel of oil, NGL realizations as a percentage of Brent consistent with prior years and a NYMEX gas price of $6.47 per mcf. CRC's share of production under PSC contracts decreases when commodity prices rise and increases when prices fall.</w:t>
      </w:r>
    </w:p>
    <w:p>
      <w:pPr>
        <w:spacing w:after="0" w:line="6" w:lineRule="exact"/>
        <w:rPr>
          <w:sz w:val="20"/>
          <w:szCs w:val="20"/>
          <w:color w:val="auto"/>
        </w:rPr>
      </w:pPr>
    </w:p>
    <w:p>
      <w:pPr>
        <w:ind w:left="80" w:hanging="74"/>
        <w:spacing w:after="0"/>
        <w:tabs>
          <w:tab w:leader="none" w:pos="80" w:val="left"/>
        </w:tabs>
        <w:numPr>
          <w:ilvl w:val="0"/>
          <w:numId w:val="18"/>
        </w:numPr>
        <w:rPr>
          <w:rFonts w:ascii="Arial" w:cs="Arial" w:eastAsia="Arial" w:hAnsi="Arial"/>
          <w:sz w:val="16"/>
          <w:szCs w:val="16"/>
          <w:color w:val="auto"/>
          <w:vertAlign w:val="superscript"/>
        </w:rPr>
      </w:pPr>
      <w:r>
        <w:rPr>
          <w:rFonts w:ascii="Arial" w:cs="Arial" w:eastAsia="Arial" w:hAnsi="Arial"/>
          <w:sz w:val="13"/>
          <w:szCs w:val="13"/>
          <w:color w:val="auto"/>
        </w:rPr>
        <w:t>CMB Expenses include start-up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23</w:t>
      </w:r>
    </w:p>
    <w:sectPr>
      <w:pgSz w:w="11900" w:h="16838" w:orient="portrait"/>
      <w:cols w:equalWidth="0" w:num="1">
        <w:col w:w="11220"/>
      </w:cols>
      <w:pgMar w:left="340" w:top="106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decimal"/>
      <w:start w:val="104"/>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1"/>
      <w:numFmt w:val="bullet"/>
      <w:start w:val="1"/>
    </w:lvl>
  </w:abstractNum>
  <w:abstractNum w:abstractNumId="9">
    <w:nsid w:val="DED7263"/>
    <w:multiLevelType w:val="hybridMultilevel"/>
    <w:lvl w:ilvl="0">
      <w:lvlJc w:val="left"/>
      <w:lvlText w:val="2"/>
      <w:numFmt w:val="bullet"/>
      <w:start w:val="1"/>
    </w:lvl>
  </w:abstractNum>
  <w:abstractNum w:abstractNumId="10">
    <w:nsid w:val="7FDCC233"/>
    <w:multiLevelType w:val="hybridMultilevel"/>
    <w:lvl w:ilvl="0">
      <w:lvlJc w:val="left"/>
      <w:lvlText w:val="3"/>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bullet"/>
      <w:start w:val="1"/>
    </w:lvl>
  </w:abstractNum>
  <w:abstractNum w:abstractNumId="16">
    <w:nsid w:val="519B500D"/>
    <w:multiLevelType w:val="hybridMultilevel"/>
    <w:lvl w:ilvl="0">
      <w:lvlJc w:val="left"/>
      <w:lvlText w:val="1"/>
      <w:numFmt w:val="bullet"/>
      <w:start w:val="1"/>
    </w:lvl>
  </w:abstractNum>
  <w:abstractNum w:abstractNumId="17">
    <w:nsid w:val="431BD7B7"/>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2022-11-03T08:01:14Z</dcterms:created>
  <dcterms:modified xsi:type="dcterms:W3CDTF">2022-11-03T08:01:14Z</dcterms:modified>
</cp:coreProperties>
</file>