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06/08/2021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150,000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32.54  16,334,587</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28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24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16,334,587 shares of Common Stock by reason of the direct or indirect beneficial ownership of such shares as follows: (i) ACOF AIV 1A directly holds 755,642 shares of Common Stock, (ii) ACOF AIV 1B directly holds 2,765,252 shares of Common Stock, (iii) ACOF AIV 2 directly holds 2,816,969 shares of Common Stock, (iv) AEOF AIV A-B directly holds 1,894,861 shares of Common Stock, (v) AEOF AIV C directly holds 804,524 shares of Common Stock, (vi) SSF AIV 1A directly holds 443,369 shares of Common Stock, (vii) SSF AIV 1B directly holds 395,286 shares of Common Stock, (viii) SSF AIV 2 directly holds 643,502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2021-06-10T15:09:25Z</dcterms:created>
  <dcterms:modified xsi:type="dcterms:W3CDTF">2021-06-10T15:09:25Z</dcterms:modified>
</cp:coreProperties>
</file>