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386080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397510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Washington, D.C. 20549</w:t>
      </w:r>
    </w:p>
    <w:p>
      <w:pPr>
        <w:spacing w:after="0" w:line="6" w:lineRule="exact"/>
        <w:rPr>
          <w:sz w:val="24"/>
          <w:szCs w:val="24"/>
          <w:color w:val="auto"/>
        </w:rPr>
      </w:pPr>
    </w:p>
    <w:p>
      <w:pPr>
        <w:ind w:left="5100"/>
        <w:spacing w:after="0"/>
        <w:rPr>
          <w:sz w:val="20"/>
          <w:szCs w:val="20"/>
          <w:color w:val="auto"/>
        </w:rPr>
      </w:pPr>
      <w:r>
        <w:rPr>
          <w:rFonts w:ascii="Arial" w:cs="Arial" w:eastAsia="Arial" w:hAnsi="Arial"/>
          <w:sz w:val="12"/>
          <w:szCs w:val="12"/>
          <w:color w:val="auto"/>
        </w:rPr>
        <w:t>_____________________</w:t>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FORM 8-K</w:t>
      </w:r>
    </w:p>
    <w:p>
      <w:pPr>
        <w:spacing w:after="0" w:line="19" w:lineRule="exact"/>
        <w:rPr>
          <w:sz w:val="24"/>
          <w:szCs w:val="24"/>
          <w:color w:val="auto"/>
        </w:rPr>
      </w:pPr>
    </w:p>
    <w:p>
      <w:pPr>
        <w:ind w:left="5100"/>
        <w:spacing w:after="0"/>
        <w:rPr>
          <w:sz w:val="20"/>
          <w:szCs w:val="20"/>
          <w:color w:val="auto"/>
        </w:rPr>
      </w:pPr>
      <w:r>
        <w:rPr>
          <w:rFonts w:ascii="Arial" w:cs="Arial" w:eastAsia="Arial" w:hAnsi="Arial"/>
          <w:sz w:val="12"/>
          <w:szCs w:val="12"/>
          <w:color w:val="auto"/>
        </w:rPr>
        <w:t>_____________________</w:t>
      </w:r>
    </w:p>
    <w:p>
      <w:pPr>
        <w:spacing w:after="0" w:line="101" w:lineRule="exact"/>
        <w:rPr>
          <w:sz w:val="24"/>
          <w:szCs w:val="24"/>
          <w:color w:val="auto"/>
        </w:rPr>
      </w:pPr>
    </w:p>
    <w:p>
      <w:pPr>
        <w:ind w:left="5180"/>
        <w:spacing w:after="0"/>
        <w:rPr>
          <w:sz w:val="20"/>
          <w:szCs w:val="20"/>
          <w:color w:val="auto"/>
        </w:rPr>
      </w:pPr>
      <w:r>
        <w:rPr>
          <w:rFonts w:ascii="Arial" w:cs="Arial" w:eastAsia="Arial" w:hAnsi="Arial"/>
          <w:sz w:val="12"/>
          <w:szCs w:val="12"/>
          <w:b w:val="1"/>
          <w:bCs w:val="1"/>
          <w:color w:val="auto"/>
        </w:rPr>
        <w:t>CURRENT REPORT</w:t>
      </w:r>
    </w:p>
    <w:p>
      <w:pPr>
        <w:spacing w:after="0" w:line="114" w:lineRule="exact"/>
        <w:rPr>
          <w:sz w:val="24"/>
          <w:szCs w:val="24"/>
          <w:color w:val="auto"/>
        </w:rPr>
      </w:pPr>
    </w:p>
    <w:p>
      <w:pPr>
        <w:ind w:left="4460"/>
        <w:spacing w:after="0"/>
        <w:rPr>
          <w:sz w:val="20"/>
          <w:szCs w:val="20"/>
          <w:color w:val="auto"/>
        </w:rPr>
      </w:pPr>
      <w:r>
        <w:rPr>
          <w:rFonts w:ascii="Arial" w:cs="Arial" w:eastAsia="Arial" w:hAnsi="Arial"/>
          <w:sz w:val="12"/>
          <w:szCs w:val="12"/>
          <w:b w:val="1"/>
          <w:bCs w:val="1"/>
          <w:color w:val="auto"/>
        </w:rPr>
        <w:t>PURSUANT TO SECTION 13 OR 15(d) OF THE</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SECURITIES EXCHANGE ACT OF 1934</w:t>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10"/>
          <w:szCs w:val="10"/>
          <w:b w:val="1"/>
          <w:bCs w:val="1"/>
          <w:color w:val="auto"/>
        </w:rPr>
        <w:t>Date of report (Date of earliest event reported): October 18, 2019</w:t>
      </w:r>
    </w:p>
    <w:p>
      <w:pPr>
        <w:spacing w:after="0" w:line="141" w:lineRule="exact"/>
        <w:rPr>
          <w:sz w:val="24"/>
          <w:szCs w:val="24"/>
          <w:color w:val="auto"/>
        </w:rPr>
      </w:pPr>
    </w:p>
    <w:p>
      <w:pPr>
        <w:ind w:left="5100"/>
        <w:spacing w:after="0"/>
        <w:rPr>
          <w:sz w:val="20"/>
          <w:szCs w:val="20"/>
          <w:color w:val="auto"/>
        </w:rPr>
      </w:pPr>
      <w:r>
        <w:rPr>
          <w:rFonts w:ascii="Arial" w:cs="Arial" w:eastAsia="Arial" w:hAnsi="Arial"/>
          <w:sz w:val="12"/>
          <w:szCs w:val="12"/>
          <w:color w:val="auto"/>
        </w:rPr>
        <w:t>_____________________</w:t>
      </w:r>
    </w:p>
    <w:p>
      <w:pPr>
        <w:spacing w:after="0" w:line="6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California Resources Corporation</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380"/>
          </w:cols>
          <w:pgMar w:left="220" w:top="982" w:right="299" w:bottom="1440" w:gutter="0" w:footer="0" w:header="0"/>
        </w:sectPr>
      </w:pPr>
    </w:p>
    <w:p>
      <w:pPr>
        <w:spacing w:after="0" w:line="100" w:lineRule="exact"/>
        <w:rPr>
          <w:sz w:val="24"/>
          <w:szCs w:val="24"/>
          <w:color w:val="auto"/>
        </w:rPr>
      </w:pPr>
    </w:p>
    <w:p>
      <w:pPr>
        <w:ind w:left="164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2580"/>
        <w:spacing w:after="0"/>
        <w:rPr>
          <w:sz w:val="20"/>
          <w:szCs w:val="20"/>
          <w:color w:val="auto"/>
        </w:rPr>
      </w:pPr>
      <w:r>
        <w:rPr>
          <w:rFonts w:ascii="Arial" w:cs="Arial" w:eastAsia="Arial" w:hAnsi="Arial"/>
          <w:sz w:val="10"/>
          <w:szCs w:val="10"/>
          <w:b w:val="1"/>
          <w:bCs w:val="1"/>
          <w:color w:val="auto"/>
        </w:rPr>
        <w:t>001-36478</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46-5670947</w:t>
      </w:r>
    </w:p>
    <w:p>
      <w:pPr>
        <w:spacing w:after="0" w:line="69" w:lineRule="exact"/>
        <w:rPr>
          <w:sz w:val="24"/>
          <w:szCs w:val="24"/>
          <w:color w:val="auto"/>
        </w:rPr>
      </w:pPr>
    </w:p>
    <w:p>
      <w:pPr>
        <w:sectPr>
          <w:pgSz w:w="11900" w:h="16838" w:orient="portrait"/>
          <w:cols w:equalWidth="0" w:num="3">
            <w:col w:w="4760" w:space="720"/>
            <w:col w:w="3100" w:space="720"/>
            <w:col w:w="2080"/>
          </w:cols>
          <w:pgMar w:left="220" w:top="982" w:right="299" w:bottom="1440" w:gutter="0" w:footer="0" w:header="0"/>
          <w:type w:val="continuous"/>
        </w:sectPr>
      </w:pPr>
    </w:p>
    <w:p>
      <w:pPr>
        <w:jc w:val="center"/>
        <w:ind w:right="920"/>
        <w:spacing w:after="0"/>
        <w:rPr>
          <w:sz w:val="20"/>
          <w:szCs w:val="20"/>
          <w:color w:val="auto"/>
        </w:rPr>
      </w:pPr>
      <w:r>
        <w:rPr>
          <w:rFonts w:ascii="Arial" w:cs="Arial" w:eastAsia="Arial" w:hAnsi="Arial"/>
          <w:sz w:val="10"/>
          <w:szCs w:val="10"/>
          <w:color w:val="auto"/>
        </w:rPr>
        <w:t>(State or Other Jurisdiction of</w:t>
      </w:r>
    </w:p>
    <w:p>
      <w:pPr>
        <w:spacing w:after="0" w:line="38" w:lineRule="exact"/>
        <w:rPr>
          <w:sz w:val="24"/>
          <w:szCs w:val="24"/>
          <w:color w:val="auto"/>
        </w:rPr>
      </w:pPr>
    </w:p>
    <w:p>
      <w:pPr>
        <w:jc w:val="center"/>
        <w:ind w:right="920"/>
        <w:spacing w:after="0"/>
        <w:rPr>
          <w:sz w:val="20"/>
          <w:szCs w:val="20"/>
          <w:color w:val="auto"/>
        </w:rPr>
      </w:pPr>
      <w:r>
        <w:rPr>
          <w:rFonts w:ascii="Arial" w:cs="Arial" w:eastAsia="Arial" w:hAnsi="Arial"/>
          <w:sz w:val="12"/>
          <w:szCs w:val="12"/>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(Commission</w:t>
      </w:r>
    </w:p>
    <w:p>
      <w:pPr>
        <w:spacing w:after="0" w:line="38" w:lineRule="exact"/>
        <w:rPr>
          <w:sz w:val="24"/>
          <w:szCs w:val="24"/>
          <w:color w:val="auto"/>
        </w:rPr>
      </w:pPr>
    </w:p>
    <w:p>
      <w:pPr>
        <w:spacing w:after="0"/>
        <w:rPr>
          <w:sz w:val="20"/>
          <w:szCs w:val="20"/>
          <w:color w:val="auto"/>
        </w:rPr>
      </w:pPr>
      <w:r>
        <w:rPr>
          <w:rFonts w:ascii="Arial" w:cs="Arial" w:eastAsia="Arial" w:hAnsi="Arial"/>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Arial" w:cs="Arial" w:eastAsia="Arial" w:hAnsi="Arial"/>
          <w:sz w:val="12"/>
          <w:szCs w:val="12"/>
          <w:color w:val="auto"/>
        </w:rPr>
        <w:t>(IRS Employer</w:t>
      </w:r>
    </w:p>
    <w:p>
      <w:pPr>
        <w:spacing w:after="0" w:line="15" w:lineRule="exact"/>
        <w:rPr>
          <w:sz w:val="24"/>
          <w:szCs w:val="24"/>
          <w:color w:val="auto"/>
        </w:rPr>
      </w:pPr>
    </w:p>
    <w:p>
      <w:pPr>
        <w:jc w:val="center"/>
        <w:ind w:right="1340"/>
        <w:spacing w:after="0"/>
        <w:rPr>
          <w:sz w:val="20"/>
          <w:szCs w:val="20"/>
          <w:color w:val="auto"/>
        </w:rPr>
      </w:pPr>
      <w:r>
        <w:rPr>
          <w:rFonts w:ascii="Arial" w:cs="Arial" w:eastAsia="Arial" w:hAnsi="Arial"/>
          <w:sz w:val="11"/>
          <w:szCs w:val="11"/>
          <w:color w:val="auto"/>
        </w:rPr>
        <w:t>Identification No.)</w:t>
      </w:r>
    </w:p>
    <w:p>
      <w:pPr>
        <w:spacing w:after="0" w:line="130" w:lineRule="exact"/>
        <w:rPr>
          <w:sz w:val="24"/>
          <w:szCs w:val="24"/>
          <w:color w:val="auto"/>
        </w:rPr>
      </w:pPr>
    </w:p>
    <w:p>
      <w:pPr>
        <w:sectPr>
          <w:pgSz w:w="11900" w:h="16838" w:orient="portrait"/>
          <w:cols w:equalWidth="0" w:num="3">
            <w:col w:w="4700" w:space="720"/>
            <w:col w:w="3000" w:space="720"/>
            <w:col w:w="2240"/>
          </w:cols>
          <w:pgMar w:left="220" w:top="982" w:right="299" w:bottom="1440" w:gutter="0" w:footer="0" w:header="0"/>
          <w:type w:val="continuous"/>
        </w:sectPr>
      </w:pPr>
    </w:p>
    <w:p>
      <w:pPr>
        <w:jc w:val="center"/>
        <w:ind w:right="5640"/>
        <w:spacing w:after="0"/>
        <w:rPr>
          <w:sz w:val="20"/>
          <w:szCs w:val="20"/>
          <w:color w:val="auto"/>
        </w:rPr>
      </w:pPr>
      <w:r>
        <w:rPr>
          <w:rFonts w:ascii="Arial" w:cs="Arial" w:eastAsia="Arial" w:hAnsi="Arial"/>
          <w:sz w:val="10"/>
          <w:szCs w:val="10"/>
          <w:b w:val="1"/>
          <w:bCs w:val="1"/>
          <w:color w:val="auto"/>
        </w:rPr>
        <w:t>27200 Tourney Road</w:t>
      </w:r>
    </w:p>
    <w:p>
      <w:pPr>
        <w:spacing w:after="0" w:line="65" w:lineRule="exact"/>
        <w:rPr>
          <w:sz w:val="24"/>
          <w:szCs w:val="24"/>
          <w:color w:val="auto"/>
        </w:rPr>
      </w:pPr>
    </w:p>
    <w:p>
      <w:pPr>
        <w:jc w:val="center"/>
        <w:ind w:right="5640"/>
        <w:spacing w:after="0"/>
        <w:rPr>
          <w:sz w:val="20"/>
          <w:szCs w:val="20"/>
          <w:color w:val="auto"/>
        </w:rPr>
      </w:pPr>
      <w:r>
        <w:rPr>
          <w:rFonts w:ascii="Arial" w:cs="Arial" w:eastAsia="Arial" w:hAnsi="Arial"/>
          <w:sz w:val="12"/>
          <w:szCs w:val="12"/>
          <w:b w:val="1"/>
          <w:bCs w:val="1"/>
          <w:color w:val="auto"/>
        </w:rPr>
        <w:t>Suite 200</w:t>
      </w:r>
    </w:p>
    <w:p>
      <w:pPr>
        <w:spacing w:after="0" w:line="42" w:lineRule="exact"/>
        <w:rPr>
          <w:sz w:val="24"/>
          <w:szCs w:val="24"/>
          <w:color w:val="auto"/>
        </w:rPr>
      </w:pPr>
    </w:p>
    <w:p>
      <w:pPr>
        <w:jc w:val="center"/>
        <w:ind w:right="5640"/>
        <w:spacing w:after="0"/>
        <w:rPr>
          <w:sz w:val="20"/>
          <w:szCs w:val="20"/>
          <w:color w:val="auto"/>
        </w:rPr>
      </w:pPr>
      <w:r>
        <w:rPr>
          <w:rFonts w:ascii="Arial" w:cs="Arial" w:eastAsia="Arial" w:hAnsi="Arial"/>
          <w:sz w:val="12"/>
          <w:szCs w:val="12"/>
          <w:b w:val="1"/>
          <w:bCs w:val="1"/>
          <w:color w:val="auto"/>
        </w:rPr>
        <w:t>Santa Clarita</w:t>
      </w:r>
    </w:p>
    <w:p>
      <w:pPr>
        <w:sectPr>
          <w:pgSz w:w="11900" w:h="16838" w:orient="portrait"/>
          <w:cols w:equalWidth="0" w:num="1">
            <w:col w:w="11380"/>
          </w:cols>
          <w:pgMar w:left="220" w:top="982" w:right="299" w:bottom="1440" w:gutter="0" w:footer="0" w:header="0"/>
          <w:type w:val="continuous"/>
        </w:sectPr>
      </w:pPr>
    </w:p>
    <w:p>
      <w:pPr>
        <w:spacing w:after="0" w:line="42" w:lineRule="exact"/>
        <w:rPr>
          <w:sz w:val="24"/>
          <w:szCs w:val="24"/>
          <w:color w:val="auto"/>
        </w:rPr>
      </w:pPr>
    </w:p>
    <w:p>
      <w:pPr>
        <w:ind w:left="2600"/>
        <w:spacing w:after="0"/>
        <w:rPr>
          <w:sz w:val="20"/>
          <w:szCs w:val="20"/>
          <w:color w:val="auto"/>
        </w:rPr>
      </w:pPr>
      <w:r>
        <w:rPr>
          <w:rFonts w:ascii="Arial" w:cs="Arial" w:eastAsia="Arial" w:hAnsi="Arial"/>
          <w:sz w:val="11"/>
          <w:szCs w:val="11"/>
          <w:b w:val="1"/>
          <w:bCs w:val="1"/>
          <w:color w:val="auto"/>
        </w:rPr>
        <w:t>California</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91355</w:t>
      </w:r>
    </w:p>
    <w:p>
      <w:pPr>
        <w:spacing w:after="0" w:line="69" w:lineRule="exact"/>
        <w:rPr>
          <w:sz w:val="24"/>
          <w:szCs w:val="24"/>
          <w:color w:val="auto"/>
        </w:rPr>
      </w:pPr>
    </w:p>
    <w:p>
      <w:pPr>
        <w:sectPr>
          <w:pgSz w:w="11900" w:h="16838" w:orient="portrait"/>
          <w:cols w:equalWidth="0" w:num="2">
            <w:col w:w="7740" w:space="720"/>
            <w:col w:w="2920"/>
          </w:cols>
          <w:pgMar w:left="220" w:top="982" w:right="299" w:bottom="1440" w:gutter="0" w:footer="0" w:header="0"/>
          <w:type w:val="continuous"/>
        </w:sectPr>
      </w:pPr>
    </w:p>
    <w:p>
      <w:pPr>
        <w:ind w:left="188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140" w:lineRule="exact"/>
        <w:rPr>
          <w:sz w:val="24"/>
          <w:szCs w:val="24"/>
          <w:color w:val="auto"/>
        </w:rPr>
      </w:pPr>
    </w:p>
    <w:p>
      <w:pPr>
        <w:sectPr>
          <w:pgSz w:w="11900" w:h="16838" w:orient="portrait"/>
          <w:cols w:equalWidth="0" w:num="2">
            <w:col w:w="7620" w:space="720"/>
            <w:col w:w="3040"/>
          </w:cols>
          <w:pgMar w:left="220" w:top="982" w:right="299" w:bottom="1440" w:gutter="0" w:footer="0" w:header="0"/>
          <w:type w:val="continuous"/>
        </w:sectPr>
      </w:pPr>
    </w:p>
    <w:p>
      <w:pPr>
        <w:ind w:left="3940"/>
        <w:spacing w:after="0"/>
        <w:rPr>
          <w:sz w:val="20"/>
          <w:szCs w:val="20"/>
          <w:color w:val="auto"/>
        </w:rPr>
      </w:pPr>
      <w:r>
        <w:rPr>
          <w:rFonts w:ascii="Arial" w:cs="Arial" w:eastAsia="Arial" w:hAnsi="Arial"/>
          <w:sz w:val="12"/>
          <w:szCs w:val="12"/>
          <w:b w:val="1"/>
          <w:bCs w:val="1"/>
          <w:color w:val="auto"/>
        </w:rPr>
        <w:t>Registrant’s Telephone Number, Including Area Code: (888) 848-4754</w:t>
      </w:r>
    </w:p>
    <w:p>
      <w:pPr>
        <w:spacing w:after="0" w:line="114" w:lineRule="exact"/>
        <w:rPr>
          <w:sz w:val="24"/>
          <w:szCs w:val="24"/>
          <w:color w:val="auto"/>
        </w:rPr>
      </w:pPr>
    </w:p>
    <w:p>
      <w:pPr>
        <w:ind w:left="5640"/>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6" w:lineRule="exact"/>
        <w:rPr>
          <w:sz w:val="24"/>
          <w:szCs w:val="24"/>
          <w:color w:val="auto"/>
        </w:rPr>
      </w:pPr>
    </w:p>
    <w:p>
      <w:pPr>
        <w:ind w:left="5100"/>
        <w:spacing w:after="0"/>
        <w:rPr>
          <w:sz w:val="20"/>
          <w:szCs w:val="20"/>
          <w:color w:val="auto"/>
        </w:rPr>
      </w:pPr>
      <w:r>
        <w:rPr>
          <w:rFonts w:ascii="Arial" w:cs="Arial" w:eastAsia="Arial" w:hAnsi="Arial"/>
          <w:sz w:val="12"/>
          <w:szCs w:val="12"/>
          <w:color w:val="auto"/>
        </w:rPr>
        <w:t>_____________________</w:t>
      </w:r>
    </w:p>
    <w:p>
      <w:pPr>
        <w:spacing w:after="0" w:line="10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2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2"/>
          <w:szCs w:val="12"/>
          <w:color w:val="auto"/>
        </w:rPr>
        <w:t>Written communications pursuant to Rule 425 under the Securities Act (17 CFR 230.425)</w:t>
      </w:r>
    </w:p>
    <w:p>
      <w:pPr>
        <w:spacing w:after="0" w:line="96" w:lineRule="exact"/>
        <w:rPr>
          <w:sz w:val="24"/>
          <w:szCs w:val="24"/>
          <w:color w:val="auto"/>
        </w:rPr>
      </w:pPr>
    </w:p>
    <w:p>
      <w:pPr>
        <w:ind w:left="2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2"/>
          <w:szCs w:val="12"/>
          <w:color w:val="auto"/>
        </w:rPr>
        <w:t>Soliciting material pursuant to Rule 14a-12 under the Exchange Act (17 CFR 240.14a-12)</w:t>
      </w:r>
    </w:p>
    <w:p>
      <w:pPr>
        <w:spacing w:after="0" w:line="112" w:lineRule="exact"/>
        <w:rPr>
          <w:sz w:val="24"/>
          <w:szCs w:val="24"/>
          <w:color w:val="auto"/>
        </w:rPr>
      </w:pPr>
    </w:p>
    <w:p>
      <w:pPr>
        <w:ind w:left="2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2"/>
          <w:szCs w:val="12"/>
          <w:color w:val="auto"/>
        </w:rPr>
        <w:t>Pre-commencement communications pursuant to Rule 14d-2(b) under the Exchange Act (17 CFR 240.14d-2(b))</w:t>
      </w:r>
    </w:p>
    <w:p>
      <w:pPr>
        <w:spacing w:after="0" w:line="127" w:lineRule="exact"/>
        <w:rPr>
          <w:sz w:val="24"/>
          <w:szCs w:val="24"/>
          <w:color w:val="auto"/>
        </w:rPr>
      </w:pPr>
    </w:p>
    <w:p>
      <w:pPr>
        <w:ind w:left="2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2"/>
          <w:szCs w:val="12"/>
          <w:color w:val="auto"/>
        </w:rPr>
        <w:t>Pre-commencement communications pursuant to Rule 13e-4(c) under the Exchange Act (17 CFR 240.13e-4(c))</w:t>
      </w:r>
    </w:p>
    <w:p>
      <w:pPr>
        <w:spacing w:after="0" w:line="123" w:lineRule="exact"/>
        <w:rPr>
          <w:sz w:val="24"/>
          <w:szCs w:val="24"/>
          <w:color w:val="auto"/>
        </w:rPr>
      </w:pPr>
    </w:p>
    <w:p>
      <w:pPr>
        <w:ind w:right="420"/>
        <w:spacing w:after="0" w:line="216"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3"/>
          <w:szCs w:val="13"/>
          <w:color w:val="auto"/>
        </w:rPr>
        <w:t>☐</w:t>
      </w:r>
    </w:p>
    <w:p>
      <w:pPr>
        <w:spacing w:after="0" w:line="91" w:lineRule="exact"/>
        <w:rPr>
          <w:sz w:val="24"/>
          <w:szCs w:val="24"/>
          <w:color w:val="auto"/>
        </w:rPr>
      </w:pPr>
    </w:p>
    <w:p>
      <w:pPr>
        <w:spacing w:after="0" w:line="16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194945</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80"/>
          </w:cols>
          <w:pgMar w:left="220" w:top="982" w:right="299" w:bottom="1440" w:gutter="0" w:footer="0" w:header="0"/>
          <w:type w:val="continuous"/>
        </w:sectPr>
      </w:pPr>
    </w:p>
    <w:bookmarkStart w:id="1" w:name="page2"/>
    <w:bookmarkEnd w:id="1"/>
    <w:p>
      <w:pPr>
        <w:spacing w:after="0"/>
        <w:tabs>
          <w:tab w:leader="none" w:pos="58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On October 18, 2019, the Company posted on the Investor Relations page of its website at www.crc.com a corporate governance presentation that will be used in connection with meetings with investors. A copy of the presentation is furnished as Exhibit 99.1 hereto.</w:t>
      </w:r>
    </w:p>
    <w:p>
      <w:pPr>
        <w:spacing w:after="0" w:line="115" w:lineRule="exact"/>
        <w:rPr>
          <w:sz w:val="20"/>
          <w:szCs w:val="20"/>
          <w:color w:val="auto"/>
        </w:rPr>
      </w:pPr>
    </w:p>
    <w:p>
      <w:pPr>
        <w:ind w:right="360" w:firstLine="432"/>
        <w:spacing w:after="0" w:line="380" w:lineRule="auto"/>
        <w:rPr>
          <w:sz w:val="20"/>
          <w:szCs w:val="20"/>
          <w:color w:val="auto"/>
        </w:rPr>
      </w:pPr>
      <w:r>
        <w:rPr>
          <w:rFonts w:ascii="Arial" w:cs="Arial" w:eastAsia="Arial" w:hAnsi="Arial"/>
          <w:sz w:val="10"/>
          <w:szCs w:val="10"/>
          <w:color w:val="auto"/>
        </w:rPr>
        <w:t>The information contained in Item 7.01 and Exhibit 99.1 of this report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160" w:type="dxa"/>
            <w:vAlign w:val="bottom"/>
            <w:gridSpan w:val="5"/>
          </w:tcPr>
          <w:p>
            <w:pPr>
              <w:spacing w:after="0"/>
              <w:rPr>
                <w:sz w:val="20"/>
                <w:szCs w:val="20"/>
                <w:color w:val="auto"/>
              </w:rPr>
            </w:pPr>
            <w:r>
              <w:rPr>
                <w:rFonts w:ascii="Arial" w:cs="Arial" w:eastAsia="Arial" w:hAnsi="Arial"/>
                <w:sz w:val="12"/>
                <w:szCs w:val="12"/>
                <w:b w:val="1"/>
                <w:bCs w:val="1"/>
                <w:color w:val="auto"/>
              </w:rPr>
              <w:t>Item 9.01  Financial Statements and Exhibits.</w:t>
            </w: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2"/>
        </w:trPr>
        <w:tc>
          <w:tcPr>
            <w:tcW w:w="3160" w:type="dxa"/>
            <w:vAlign w:val="bottom"/>
            <w:gridSpan w:val="5"/>
          </w:tcPr>
          <w:p>
            <w:pPr>
              <w:ind w:left="200"/>
              <w:spacing w:after="0"/>
              <w:rPr>
                <w:sz w:val="20"/>
                <w:szCs w:val="20"/>
                <w:color w:val="auto"/>
              </w:rPr>
            </w:pPr>
            <w:r>
              <w:rPr>
                <w:rFonts w:ascii="Arial" w:cs="Arial" w:eastAsia="Arial" w:hAnsi="Arial"/>
                <w:sz w:val="12"/>
                <w:szCs w:val="12"/>
                <w:color w:val="auto"/>
              </w:rPr>
              <w:t>(d) Exhibits.</w:t>
            </w: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97"/>
        </w:trPr>
        <w:tc>
          <w:tcPr>
            <w:tcW w:w="316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2"/>
              </w:rPr>
              <w:t>Exhibit No.</w:t>
            </w:r>
          </w:p>
        </w:tc>
        <w:tc>
          <w:tcPr>
            <w:tcW w:w="156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1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0"/>
        </w:trPr>
        <w:tc>
          <w:tcPr>
            <w:tcW w:w="1280" w:type="dxa"/>
            <w:vAlign w:val="bottom"/>
          </w:tcPr>
          <w:p>
            <w:pPr>
              <w:spacing w:after="0"/>
              <w:rPr>
                <w:sz w:val="13"/>
                <w:szCs w:val="13"/>
                <w:color w:val="auto"/>
              </w:rPr>
            </w:pPr>
          </w:p>
        </w:tc>
        <w:tc>
          <w:tcPr>
            <w:tcW w:w="380" w:type="dxa"/>
            <w:vAlign w:val="bottom"/>
            <w:gridSpan w:val="2"/>
          </w:tcPr>
          <w:p>
            <w:pPr>
              <w:jc w:val="center"/>
              <w:spacing w:after="0"/>
              <w:rPr>
                <w:rFonts w:ascii="Arial" w:cs="Arial" w:eastAsia="Arial" w:hAnsi="Arial"/>
                <w:sz w:val="12"/>
                <w:szCs w:val="12"/>
                <w:color w:val="0000FF"/>
              </w:rPr>
            </w:pPr>
            <w:hyperlink w:anchor="page4">
              <w:r>
                <w:rPr>
                  <w:rFonts w:ascii="Arial" w:cs="Arial" w:eastAsia="Arial" w:hAnsi="Arial"/>
                  <w:sz w:val="12"/>
                  <w:szCs w:val="12"/>
                  <w:color w:val="0000FF"/>
                </w:rPr>
                <w:t>99.</w:t>
              </w:r>
              <w:r>
                <w:rPr>
                  <w:rFonts w:ascii="Arial" w:cs="Arial" w:eastAsia="Arial" w:hAnsi="Arial"/>
                  <w:sz w:val="12"/>
                  <w:szCs w:val="12"/>
                  <w:u w:val="single" w:color="auto"/>
                  <w:color w:val="0000FF"/>
                </w:rPr>
                <w:t>1</w:t>
              </w:r>
            </w:hyperlink>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gridSpan w:val="2"/>
          </w:tcPr>
          <w:p>
            <w:pPr>
              <w:spacing w:after="0"/>
              <w:rPr>
                <w:rFonts w:ascii="Arial" w:cs="Arial" w:eastAsia="Arial" w:hAnsi="Arial"/>
                <w:sz w:val="12"/>
                <w:szCs w:val="12"/>
                <w:color w:val="0000FF"/>
                <w:w w:val="87"/>
              </w:rPr>
            </w:pPr>
            <w:hyperlink w:anchor="page4">
              <w:r>
                <w:rPr>
                  <w:rFonts w:ascii="Arial" w:cs="Arial" w:eastAsia="Arial" w:hAnsi="Arial"/>
                  <w:sz w:val="12"/>
                  <w:szCs w:val="12"/>
                  <w:color w:val="0000FF"/>
                  <w:w w:val="87"/>
                </w:rPr>
                <w:t>Presentation dated October 2019</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80"/>
          </w:cols>
          <w:pgMar w:left="220" w:top="433"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40"/>
        <w:spacing w:after="0"/>
        <w:rPr>
          <w:sz w:val="20"/>
          <w:szCs w:val="20"/>
          <w:color w:val="auto"/>
        </w:rPr>
      </w:pPr>
      <w:r>
        <w:rPr>
          <w:rFonts w:ascii="Arial" w:cs="Arial" w:eastAsia="Arial" w:hAnsi="Arial"/>
          <w:sz w:val="12"/>
          <w:szCs w:val="12"/>
          <w:color w:val="auto"/>
        </w:rPr>
        <w:t>/s/ Roy Pineci</w:t>
      </w:r>
    </w:p>
    <w:p>
      <w:pPr>
        <w:spacing w:after="0" w:line="15" w:lineRule="exact"/>
        <w:rPr>
          <w:sz w:val="20"/>
          <w:szCs w:val="20"/>
          <w:color w:val="auto"/>
        </w:rPr>
      </w:pPr>
    </w:p>
    <w:tbl>
      <w:tblPr>
        <w:tblLayout w:type="fixed"/>
        <w:tblInd w:w="4820" w:type="dxa"/>
        <w:tblCellMar>
          <w:top w:w="0" w:type="dxa"/>
          <w:left w:w="0" w:type="dxa"/>
          <w:bottom w:w="0" w:type="dxa"/>
          <w:right w:w="0" w:type="dxa"/>
        </w:tblCellMar>
      </w:tblPr>
      <w:tr>
        <w:trPr>
          <w:trHeight w:val="169"/>
        </w:trPr>
        <w:tc>
          <w:tcPr>
            <w:tcW w:w="7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Name:</w:t>
            </w:r>
          </w:p>
        </w:tc>
        <w:tc>
          <w:tcPr>
            <w:tcW w:w="5960" w:type="dxa"/>
            <w:vAlign w:val="bottom"/>
            <w:tcBorders>
              <w:top w:val="single" w:sz="8" w:color="auto"/>
            </w:tcBorders>
          </w:tcPr>
          <w:p>
            <w:pPr>
              <w:ind w:left="360"/>
              <w:spacing w:after="0"/>
              <w:rPr>
                <w:sz w:val="20"/>
                <w:szCs w:val="20"/>
                <w:color w:val="auto"/>
              </w:rPr>
            </w:pPr>
            <w:r>
              <w:rPr>
                <w:rFonts w:ascii="Arial" w:cs="Arial" w:eastAsia="Arial" w:hAnsi="Arial"/>
                <w:sz w:val="12"/>
                <w:szCs w:val="12"/>
                <w:color w:val="auto"/>
              </w:rPr>
              <w:t>Roy Pineci</w:t>
            </w:r>
          </w:p>
        </w:tc>
      </w:tr>
      <w:tr>
        <w:trPr>
          <w:trHeight w:val="180"/>
        </w:trPr>
        <w:tc>
          <w:tcPr>
            <w:tcW w:w="700" w:type="dxa"/>
            <w:vAlign w:val="bottom"/>
          </w:tcPr>
          <w:p>
            <w:pPr>
              <w:ind w:left="20"/>
              <w:spacing w:after="0"/>
              <w:rPr>
                <w:sz w:val="20"/>
                <w:szCs w:val="20"/>
                <w:color w:val="auto"/>
              </w:rPr>
            </w:pPr>
            <w:r>
              <w:rPr>
                <w:rFonts w:ascii="Arial" w:cs="Arial" w:eastAsia="Arial" w:hAnsi="Arial"/>
                <w:sz w:val="12"/>
                <w:szCs w:val="12"/>
                <w:color w:val="auto"/>
              </w:rPr>
              <w:t>Title:</w:t>
            </w:r>
          </w:p>
        </w:tc>
        <w:tc>
          <w:tcPr>
            <w:tcW w:w="5960" w:type="dxa"/>
            <w:vAlign w:val="bottom"/>
          </w:tcPr>
          <w:p>
            <w:pPr>
              <w:ind w:left="360"/>
              <w:spacing w:after="0"/>
              <w:rPr>
                <w:sz w:val="20"/>
                <w:szCs w:val="20"/>
                <w:color w:val="auto"/>
              </w:rPr>
            </w:pPr>
            <w:r>
              <w:rPr>
                <w:rFonts w:ascii="Arial" w:cs="Arial" w:eastAsia="Arial" w:hAnsi="Arial"/>
                <w:sz w:val="12"/>
                <w:szCs w:val="12"/>
                <w:color w:val="auto"/>
              </w:rPr>
              <w:t>Executive Vice President, Finance</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DATED: October 18, 2019</w:t>
      </w:r>
    </w:p>
    <w:p>
      <w:pPr>
        <w:sectPr>
          <w:pgSz w:w="11900" w:h="16838" w:orient="portrait"/>
          <w:cols w:equalWidth="0" w:num="1">
            <w:col w:w="11480"/>
          </w:cols>
          <w:pgMar w:left="220" w:top="433" w:right="1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504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10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451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2019-12-28T05:37:06Z</dcterms:created>
  <dcterms:modified xsi:type="dcterms:W3CDTF">2019-12-28T05:37:06Z</dcterms:modified>
</cp:coreProperties>
</file>