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32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SCHEDULE 13D</w:t>
      </w:r>
    </w:p>
    <w:p>
      <w:pPr>
        <w:spacing w:after="0" w:line="23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1)*</w:t>
      </w:r>
    </w:p>
    <w:p>
      <w:pPr>
        <w:spacing w:after="0" w:line="272"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CALIFORNIA RESOURCES CORPORATION</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(Name of Issuer)</w:t>
      </w:r>
    </w:p>
    <w:p>
      <w:pPr>
        <w:spacing w:after="0" w:line="26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Common Shares, $0.01 par value per share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(Title of Class of Securities)</w:t>
      </w:r>
    </w:p>
    <w:p>
      <w:pPr>
        <w:spacing w:after="0" w:line="1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13057Q305*</w:t>
      </w:r>
    </w:p>
    <w:p>
      <w:pPr>
        <w:spacing w:after="0" w:line="1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(CUSIP)</w:t>
      </w:r>
    </w:p>
    <w:p>
      <w:pPr>
        <w:spacing w:after="0" w:line="1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George Travers</w:t>
      </w:r>
    </w:p>
    <w:p>
      <w:pPr>
        <w:spacing w:after="0" w:line="1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GoldenTree Asset Management LP</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300 Park Avenue, 21</w:t>
      </w:r>
      <w:r>
        <w:rPr>
          <w:rFonts w:ascii="Arial" w:cs="Arial" w:eastAsia="Arial" w:hAnsi="Arial"/>
          <w:sz w:val="14"/>
          <w:szCs w:val="14"/>
          <w:b w:val="1"/>
          <w:bCs w:val="1"/>
          <w:color w:val="auto"/>
        </w:rPr>
        <w:t>st</w:t>
      </w:r>
      <w:r>
        <w:rPr>
          <w:rFonts w:ascii="Arial" w:cs="Arial" w:eastAsia="Arial" w:hAnsi="Arial"/>
          <w:sz w:val="18"/>
          <w:szCs w:val="18"/>
          <w:b w:val="1"/>
          <w:bCs w:val="1"/>
          <w:color w:val="auto"/>
        </w:rPr>
        <w:t xml:space="preserve"> Floor</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New York, New York 10022</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(212) 847-3500</w:t>
      </w:r>
    </w:p>
    <w:p>
      <w:pPr>
        <w:spacing w:after="0" w:line="1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(Name, address and telephone number of person authorized to receive notices and communications)</w:t>
      </w:r>
    </w:p>
    <w:p>
      <w:pPr>
        <w:spacing w:after="0" w:line="27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October 27, 2020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event which requires filing of this statement)</w:t>
      </w:r>
    </w:p>
    <w:p>
      <w:pPr>
        <w:spacing w:after="0" w:line="337" w:lineRule="exact"/>
        <w:rPr>
          <w:sz w:val="24"/>
          <w:szCs w:val="24"/>
          <w:color w:val="auto"/>
        </w:rPr>
      </w:pPr>
    </w:p>
    <w:p>
      <w:pPr>
        <w:ind w:right="120"/>
        <w:spacing w:after="0" w:line="285" w:lineRule="exact"/>
        <w:rPr>
          <w:sz w:val="20"/>
          <w:szCs w:val="20"/>
          <w:color w:val="auto"/>
        </w:rPr>
      </w:pPr>
      <w:r>
        <w:rPr>
          <w:rFonts w:ascii="Arial" w:cs="Arial" w:eastAsia="Arial" w:hAnsi="Arial"/>
          <w:sz w:val="19"/>
          <w:szCs w:val="19"/>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19"/>
          <w:szCs w:val="19"/>
          <w:color w:val="auto"/>
        </w:rPr>
        <w:t>☐</w:t>
      </w:r>
    </w:p>
    <w:p>
      <w:pPr>
        <w:ind w:right="220"/>
        <w:spacing w:after="0" w:line="251" w:lineRule="auto"/>
        <w:rPr>
          <w:sz w:val="20"/>
          <w:szCs w:val="20"/>
          <w:color w:val="auto"/>
        </w:rPr>
      </w:pPr>
      <w:r>
        <w:rPr>
          <w:rFonts w:ascii="Arial" w:cs="Arial" w:eastAsia="Arial" w:hAnsi="Arial"/>
          <w:sz w:val="22"/>
          <w:szCs w:val="22"/>
          <w:b w:val="1"/>
          <w:bCs w:val="1"/>
          <w:color w:val="auto"/>
        </w:rPr>
        <w:t>Note</w:t>
      </w:r>
      <w:r>
        <w:rPr>
          <w:rFonts w:ascii="Arial" w:cs="Arial" w:eastAsia="Arial" w:hAnsi="Arial"/>
          <w:sz w:val="22"/>
          <w:szCs w:val="22"/>
          <w:color w:val="auto"/>
        </w:rPr>
        <w:t>: Schedules filed in paper format shall include a signed original and five copies of the schedule, including all exhibits. See</w:t>
      </w:r>
      <w:r>
        <w:rPr>
          <w:rFonts w:ascii="Arial" w:cs="Arial" w:eastAsia="Arial" w:hAnsi="Arial"/>
          <w:sz w:val="22"/>
          <w:szCs w:val="22"/>
          <w:b w:val="1"/>
          <w:bCs w:val="1"/>
          <w:color w:val="auto"/>
        </w:rPr>
        <w:t xml:space="preserve"> </w:t>
      </w:r>
      <w:r>
        <w:rPr>
          <w:rFonts w:ascii="Arial" w:cs="Arial" w:eastAsia="Arial" w:hAnsi="Arial"/>
          <w:sz w:val="22"/>
          <w:szCs w:val="22"/>
          <w:color w:val="auto"/>
        </w:rPr>
        <w:t>Rule 13d-7 for other parties to whom copies are to be sent.</w:t>
      </w:r>
    </w:p>
    <w:p>
      <w:pPr>
        <w:ind w:left="460" w:right="220" w:hanging="452"/>
        <w:spacing w:after="0" w:line="294"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5" w:lineRule="exact"/>
        <w:rPr>
          <w:sz w:val="24"/>
          <w:szCs w:val="24"/>
          <w:color w:val="auto"/>
        </w:rPr>
      </w:pPr>
    </w:p>
    <w:p>
      <w:pPr>
        <w:spacing w:after="0" w:line="266" w:lineRule="auto"/>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1" w:name="page2"/>
    <w:bookmarkEnd w:id="1"/>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44018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b w:val="1"/>
          <w:bCs w:val="1"/>
          <w:color w:val="auto"/>
        </w:rPr>
        <w:t>CUSIP No. 13057Q305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2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-124460</wp:posOffset>
            </wp:positionV>
            <wp:extent cx="144018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240" w:space="720"/>
            <w:col w:w="4720" w:space="720"/>
            <w:col w:w="840"/>
          </w:cols>
          <w:pgMar w:left="320" w:top="351" w:right="339" w:bottom="1440" w:gutter="0" w:footer="0" w:header="0"/>
        </w:sectPr>
      </w:pPr>
    </w:p>
    <w:p>
      <w:pPr>
        <w:spacing w:after="0" w:line="39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4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920" w:type="dxa"/>
            <w:vAlign w:val="bottom"/>
            <w:tcBorders>
              <w:top w:val="single" w:sz="8" w:color="auto"/>
              <w:right w:val="single" w:sz="8" w:color="auto"/>
            </w:tcBorders>
          </w:tcPr>
          <w:p>
            <w:pPr>
              <w:spacing w:after="0"/>
              <w:rPr>
                <w:sz w:val="22"/>
                <w:szCs w:val="22"/>
                <w:color w:val="auto"/>
              </w:rPr>
            </w:pPr>
          </w:p>
        </w:tc>
        <w:tc>
          <w:tcPr>
            <w:tcW w:w="87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 OF REPORTING PERSON</w:t>
            </w:r>
          </w:p>
        </w:tc>
        <w:tc>
          <w:tcPr>
            <w:tcW w:w="136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GoldenTree Asset Management LP</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40" w:type="dxa"/>
            <w:vAlign w:val="bottom"/>
            <w:tcBorders>
              <w:left w:val="single" w:sz="8" w:color="auto"/>
            </w:tcBorders>
          </w:tcPr>
          <w:p>
            <w:pPr>
              <w:ind w:left="40"/>
              <w:spacing w:after="0" w:line="169" w:lineRule="exact"/>
              <w:rPr>
                <w:sz w:val="20"/>
                <w:szCs w:val="20"/>
                <w:color w:val="auto"/>
              </w:rPr>
            </w:pPr>
            <w:r>
              <w:rPr>
                <w:rFonts w:ascii="Arial" w:cs="Arial" w:eastAsia="Arial" w:hAnsi="Arial"/>
                <w:sz w:val="18"/>
                <w:szCs w:val="18"/>
                <w:color w:val="auto"/>
              </w:rPr>
              <w:t>2</w:t>
            </w:r>
          </w:p>
        </w:tc>
        <w:tc>
          <w:tcPr>
            <w:tcW w:w="920" w:type="dxa"/>
            <w:vAlign w:val="bottom"/>
            <w:tcBorders>
              <w:right w:val="single" w:sz="8" w:color="auto"/>
            </w:tcBorders>
          </w:tcPr>
          <w:p>
            <w:pPr>
              <w:spacing w:after="0"/>
              <w:rPr>
                <w:sz w:val="14"/>
                <w:szCs w:val="14"/>
                <w:color w:val="auto"/>
              </w:rPr>
            </w:pPr>
          </w:p>
        </w:tc>
        <w:tc>
          <w:tcPr>
            <w:tcW w:w="872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Borders>
              <w:right w:val="single" w:sz="8" w:color="auto"/>
            </w:tcBorders>
          </w:tcPr>
          <w:p>
            <w:pPr>
              <w:ind w:left="22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40" w:type="dxa"/>
            <w:vAlign w:val="bottom"/>
            <w:tcBorders>
              <w:lef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40" w:type="dxa"/>
            <w:vAlign w:val="bottom"/>
            <w:tcBorders>
              <w:left w:val="single" w:sz="8" w:color="auto"/>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920" w:type="dxa"/>
            <w:vAlign w:val="bottom"/>
            <w:tcBorders>
              <w:bottom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920" w:type="dxa"/>
            <w:vAlign w:val="bottom"/>
            <w:tcBorders>
              <w:right w:val="single" w:sz="8" w:color="auto"/>
            </w:tcBorders>
          </w:tcPr>
          <w:p>
            <w:pPr>
              <w:spacing w:after="0"/>
              <w:rPr>
                <w:sz w:val="20"/>
                <w:szCs w:val="20"/>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SEC USE ONLY</w:t>
            </w:r>
          </w:p>
        </w:tc>
        <w:tc>
          <w:tcPr>
            <w:tcW w:w="692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920" w:type="dxa"/>
            <w:vAlign w:val="bottom"/>
            <w:tcBorders>
              <w:right w:val="single" w:sz="8" w:color="auto"/>
            </w:tcBorders>
          </w:tcPr>
          <w:p>
            <w:pPr>
              <w:spacing w:after="0"/>
              <w:rPr>
                <w:sz w:val="20"/>
                <w:szCs w:val="20"/>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SOURCE OF FUNDS</w:t>
            </w:r>
          </w:p>
        </w:tc>
        <w:tc>
          <w:tcPr>
            <w:tcW w:w="692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9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5</w:t>
            </w:r>
          </w:p>
        </w:tc>
        <w:tc>
          <w:tcPr>
            <w:tcW w:w="920" w:type="dxa"/>
            <w:vAlign w:val="bottom"/>
            <w:tcBorders>
              <w:right w:val="single" w:sz="8" w:color="auto"/>
            </w:tcBorders>
          </w:tcPr>
          <w:p>
            <w:pPr>
              <w:spacing w:after="0"/>
              <w:rPr>
                <w:sz w:val="24"/>
                <w:szCs w:val="24"/>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w w:val="97"/>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6</w:t>
            </w:r>
          </w:p>
        </w:tc>
        <w:tc>
          <w:tcPr>
            <w:tcW w:w="920" w:type="dxa"/>
            <w:vAlign w:val="bottom"/>
            <w:tcBorders>
              <w:right w:val="single" w:sz="8" w:color="auto"/>
            </w:tcBorders>
          </w:tcPr>
          <w:p>
            <w:pPr>
              <w:spacing w:after="0"/>
              <w:rPr>
                <w:sz w:val="20"/>
                <w:szCs w:val="20"/>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Delaware</w:t>
            </w:r>
          </w:p>
        </w:tc>
        <w:tc>
          <w:tcPr>
            <w:tcW w:w="9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w:t>
            </w:r>
          </w:p>
        </w:tc>
        <w:tc>
          <w:tcPr>
            <w:tcW w:w="6920" w:type="dxa"/>
            <w:vAlign w:val="bottom"/>
          </w:tcPr>
          <w:p>
            <w:pPr>
              <w:spacing w:after="0"/>
              <w:rPr>
                <w:sz w:val="20"/>
                <w:szCs w:val="20"/>
                <w:color w:val="auto"/>
              </w:rPr>
            </w:pPr>
            <w:r>
              <w:rPr>
                <w:rFonts w:ascii="Arial" w:cs="Arial" w:eastAsia="Arial" w:hAnsi="Arial"/>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40" w:type="dxa"/>
            <w:vAlign w:val="bottom"/>
            <w:tcBorders>
              <w:left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40" w:type="dxa"/>
            <w:vAlign w:val="bottom"/>
            <w:tcBorders>
              <w:left w:val="single" w:sz="8" w:color="auto"/>
            </w:tcBorders>
          </w:tcPr>
          <w:p>
            <w:pPr>
              <w:spacing w:after="0"/>
              <w:rPr>
                <w:sz w:val="18"/>
                <w:szCs w:val="18"/>
                <w:color w:val="auto"/>
              </w:rPr>
            </w:pPr>
          </w:p>
        </w:tc>
        <w:tc>
          <w:tcPr>
            <w:tcW w:w="182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6"/>
              </w:rPr>
              <w:t>NUMBER OF</w:t>
            </w: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6920" w:type="dxa"/>
            <w:vAlign w:val="bottom"/>
          </w:tcPr>
          <w:p>
            <w:pPr>
              <w:spacing w:after="0"/>
              <w:rPr>
                <w:sz w:val="20"/>
                <w:szCs w:val="20"/>
                <w:color w:val="auto"/>
              </w:rPr>
            </w:pPr>
            <w:r>
              <w:rPr>
                <w:rFonts w:ascii="Arial" w:cs="Arial" w:eastAsia="Arial" w:hAnsi="Arial"/>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Borders>
              <w:left w:val="single" w:sz="8" w:color="auto"/>
            </w:tcBorders>
          </w:tcPr>
          <w:p>
            <w:pPr>
              <w:spacing w:after="0"/>
              <w:rPr>
                <w:sz w:val="18"/>
                <w:szCs w:val="18"/>
                <w:color w:val="auto"/>
              </w:rPr>
            </w:pPr>
          </w:p>
        </w:tc>
        <w:tc>
          <w:tcPr>
            <w:tcW w:w="182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94"/>
              </w:rPr>
              <w:t>SHARES</w:t>
            </w:r>
          </w:p>
        </w:tc>
        <w:tc>
          <w:tcPr>
            <w:tcW w:w="900" w:type="dxa"/>
            <w:vAlign w:val="bottom"/>
            <w:tcBorders>
              <w:right w:val="single" w:sz="8" w:color="auto"/>
            </w:tcBorders>
          </w:tcPr>
          <w:p>
            <w:pPr>
              <w:spacing w:after="0"/>
              <w:rPr>
                <w:sz w:val="18"/>
                <w:szCs w:val="18"/>
                <w:color w:val="auto"/>
              </w:rPr>
            </w:pPr>
          </w:p>
        </w:tc>
        <w:tc>
          <w:tcPr>
            <w:tcW w:w="6920" w:type="dxa"/>
            <w:vAlign w:val="bottom"/>
            <w:vMerge w:val="restart"/>
          </w:tcPr>
          <w:p>
            <w:pPr>
              <w:spacing w:after="0"/>
              <w:rPr>
                <w:sz w:val="20"/>
                <w:szCs w:val="20"/>
                <w:color w:val="auto"/>
              </w:rPr>
            </w:pPr>
            <w:r>
              <w:rPr>
                <w:rFonts w:ascii="Arial" w:cs="Arial" w:eastAsia="Arial" w:hAnsi="Arial"/>
                <w:sz w:val="18"/>
                <w:szCs w:val="18"/>
                <w:color w:val="auto"/>
              </w:rPr>
              <w:t>19,882,817 (1)</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40" w:type="dxa"/>
            <w:vAlign w:val="bottom"/>
            <w:tcBorders>
              <w:left w:val="single" w:sz="8" w:color="auto"/>
            </w:tcBorders>
          </w:tcPr>
          <w:p>
            <w:pPr>
              <w:spacing w:after="0"/>
              <w:rPr>
                <w:sz w:val="19"/>
                <w:szCs w:val="19"/>
                <w:color w:val="auto"/>
              </w:rPr>
            </w:pPr>
          </w:p>
        </w:tc>
        <w:tc>
          <w:tcPr>
            <w:tcW w:w="182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99"/>
              </w:rPr>
              <w:t>BENEFICIALLY</w:t>
            </w:r>
          </w:p>
        </w:tc>
        <w:tc>
          <w:tcPr>
            <w:tcW w:w="900" w:type="dxa"/>
            <w:vAlign w:val="bottom"/>
            <w:tcBorders>
              <w:bottom w:val="single" w:sz="8" w:color="auto"/>
              <w:right w:val="single" w:sz="8" w:color="auto"/>
            </w:tcBorders>
          </w:tcPr>
          <w:p>
            <w:pPr>
              <w:spacing w:after="0"/>
              <w:rPr>
                <w:sz w:val="19"/>
                <w:szCs w:val="19"/>
                <w:color w:val="auto"/>
              </w:rPr>
            </w:pPr>
          </w:p>
        </w:tc>
        <w:tc>
          <w:tcPr>
            <w:tcW w:w="6920" w:type="dxa"/>
            <w:vAlign w:val="bottom"/>
            <w:tcBorders>
              <w:bottom w:val="single" w:sz="8" w:color="auto"/>
            </w:tcBorders>
            <w:vMerge w:val="continue"/>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40" w:type="dxa"/>
            <w:vAlign w:val="bottom"/>
            <w:tcBorders>
              <w:left w:val="single" w:sz="8" w:color="auto"/>
            </w:tcBorders>
          </w:tcPr>
          <w:p>
            <w:pPr>
              <w:spacing w:after="0"/>
              <w:rPr>
                <w:sz w:val="16"/>
                <w:szCs w:val="16"/>
                <w:color w:val="auto"/>
              </w:rPr>
            </w:pPr>
          </w:p>
        </w:tc>
        <w:tc>
          <w:tcPr>
            <w:tcW w:w="1820" w:type="dxa"/>
            <w:vAlign w:val="bottom"/>
            <w:tcBorders>
              <w:right w:val="single" w:sz="8" w:color="auto"/>
            </w:tcBorders>
            <w:gridSpan w:val="2"/>
          </w:tcPr>
          <w:p>
            <w:pPr>
              <w:jc w:val="center"/>
              <w:ind w:right="150"/>
              <w:spacing w:after="0" w:line="189" w:lineRule="exact"/>
              <w:rPr>
                <w:sz w:val="20"/>
                <w:szCs w:val="20"/>
                <w:color w:val="auto"/>
              </w:rPr>
            </w:pPr>
            <w:r>
              <w:rPr>
                <w:rFonts w:ascii="Arial" w:cs="Arial" w:eastAsia="Arial" w:hAnsi="Arial"/>
                <w:sz w:val="18"/>
                <w:szCs w:val="18"/>
                <w:color w:val="auto"/>
                <w:w w:val="97"/>
              </w:rPr>
              <w:t>OWNED BY EACH</w:t>
            </w:r>
          </w:p>
        </w:tc>
        <w:tc>
          <w:tcPr>
            <w:tcW w:w="90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9</w:t>
            </w:r>
          </w:p>
        </w:tc>
        <w:tc>
          <w:tcPr>
            <w:tcW w:w="6920" w:type="dxa"/>
            <w:vAlign w:val="bottom"/>
          </w:tcPr>
          <w:p>
            <w:pPr>
              <w:spacing w:after="0" w:line="189" w:lineRule="exact"/>
              <w:rPr>
                <w:sz w:val="20"/>
                <w:szCs w:val="20"/>
                <w:color w:val="auto"/>
              </w:rPr>
            </w:pPr>
            <w:r>
              <w:rPr>
                <w:rFonts w:ascii="Arial" w:cs="Arial" w:eastAsia="Arial" w:hAnsi="Arial"/>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2"/>
              </w:rPr>
              <w:t>REPORTING PERSON</w:t>
            </w:r>
          </w:p>
        </w:tc>
        <w:tc>
          <w:tcPr>
            <w:tcW w:w="900" w:type="dxa"/>
            <w:vAlign w:val="bottom"/>
            <w:tcBorders>
              <w:right w:val="single" w:sz="8" w:color="auto"/>
            </w:tcBorders>
          </w:tcPr>
          <w:p>
            <w:pPr>
              <w:spacing w:after="0"/>
              <w:rPr>
                <w:sz w:val="18"/>
                <w:szCs w:val="18"/>
                <w:color w:val="auto"/>
              </w:rPr>
            </w:pPr>
          </w:p>
        </w:tc>
        <w:tc>
          <w:tcPr>
            <w:tcW w:w="692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40" w:type="dxa"/>
            <w:vAlign w:val="bottom"/>
            <w:tcBorders>
              <w:left w:val="single" w:sz="8" w:color="auto"/>
            </w:tcBorders>
          </w:tcPr>
          <w:p>
            <w:pPr>
              <w:spacing w:after="0"/>
              <w:rPr>
                <w:sz w:val="21"/>
                <w:szCs w:val="21"/>
                <w:color w:val="auto"/>
              </w:rPr>
            </w:pPr>
          </w:p>
        </w:tc>
        <w:tc>
          <w:tcPr>
            <w:tcW w:w="182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99"/>
              </w:rPr>
              <w:t>WITH</w:t>
            </w:r>
          </w:p>
        </w:tc>
        <w:tc>
          <w:tcPr>
            <w:tcW w:w="900" w:type="dxa"/>
            <w:vAlign w:val="bottom"/>
            <w:tcBorders>
              <w:bottom w:val="single" w:sz="8" w:color="auto"/>
              <w:right w:val="single" w:sz="8" w:color="auto"/>
            </w:tcBorders>
          </w:tcPr>
          <w:p>
            <w:pPr>
              <w:spacing w:after="0"/>
              <w:rPr>
                <w:sz w:val="21"/>
                <w:szCs w:val="21"/>
                <w:color w:val="auto"/>
              </w:rPr>
            </w:pPr>
          </w:p>
        </w:tc>
        <w:tc>
          <w:tcPr>
            <w:tcW w:w="6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1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4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w:t>
            </w:r>
          </w:p>
        </w:tc>
        <w:tc>
          <w:tcPr>
            <w:tcW w:w="692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19,882,817</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89"/>
              </w:rPr>
              <w:t>11</w:t>
            </w:r>
          </w:p>
        </w:tc>
        <w:tc>
          <w:tcPr>
            <w:tcW w:w="92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75"/>
              </w:rPr>
              <w:t>AGGREGATE</w:t>
            </w:r>
          </w:p>
        </w:tc>
        <w:tc>
          <w:tcPr>
            <w:tcW w:w="900" w:type="dxa"/>
            <w:vAlign w:val="bottom"/>
          </w:tcPr>
          <w:p>
            <w:pPr>
              <w:ind w:left="220"/>
              <w:spacing w:after="0"/>
              <w:rPr>
                <w:sz w:val="20"/>
                <w:szCs w:val="20"/>
                <w:color w:val="auto"/>
              </w:rPr>
            </w:pPr>
            <w:r>
              <w:rPr>
                <w:rFonts w:ascii="Arial" w:cs="Arial" w:eastAsia="Arial" w:hAnsi="Arial"/>
                <w:sz w:val="18"/>
                <w:szCs w:val="18"/>
                <w:color w:val="auto"/>
                <w:w w:val="81"/>
              </w:rPr>
              <w:t>AMOUNT</w:t>
            </w:r>
          </w:p>
        </w:tc>
        <w:tc>
          <w:tcPr>
            <w:tcW w:w="6920" w:type="dxa"/>
            <w:vAlign w:val="bottom"/>
          </w:tcPr>
          <w:p>
            <w:pPr>
              <w:ind w:left="160"/>
              <w:spacing w:after="0"/>
              <w:rPr>
                <w:sz w:val="20"/>
                <w:szCs w:val="20"/>
                <w:color w:val="auto"/>
              </w:rPr>
            </w:pPr>
            <w:r>
              <w:rPr>
                <w:rFonts w:ascii="Arial" w:cs="Arial" w:eastAsia="Arial" w:hAnsi="Arial"/>
                <w:sz w:val="18"/>
                <w:szCs w:val="18"/>
                <w:color w:val="auto"/>
              </w:rPr>
              <w:t>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19,882,817</w:t>
            </w:r>
          </w:p>
        </w:tc>
        <w:tc>
          <w:tcPr>
            <w:tcW w:w="9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89"/>
              </w:rPr>
              <w:t>12</w:t>
            </w:r>
          </w:p>
        </w:tc>
        <w:tc>
          <w:tcPr>
            <w:tcW w:w="920" w:type="dxa"/>
            <w:vAlign w:val="bottom"/>
            <w:tcBorders>
              <w:right w:val="single" w:sz="8" w:color="auto"/>
            </w:tcBorders>
          </w:tcPr>
          <w:p>
            <w:pPr>
              <w:spacing w:after="0"/>
              <w:rPr>
                <w:sz w:val="24"/>
                <w:szCs w:val="24"/>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89"/>
              </w:rPr>
              <w:t>13</w:t>
            </w:r>
          </w:p>
        </w:tc>
        <w:tc>
          <w:tcPr>
            <w:tcW w:w="920" w:type="dxa"/>
            <w:vAlign w:val="bottom"/>
            <w:tcBorders>
              <w:right w:val="single" w:sz="8" w:color="auto"/>
            </w:tcBorders>
          </w:tcPr>
          <w:p>
            <w:pPr>
              <w:spacing w:after="0"/>
              <w:rPr>
                <w:sz w:val="20"/>
                <w:szCs w:val="20"/>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23.9% (2)</w:t>
            </w:r>
          </w:p>
        </w:tc>
        <w:tc>
          <w:tcPr>
            <w:tcW w:w="9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89"/>
              </w:rPr>
              <w:t>14</w:t>
            </w:r>
          </w:p>
        </w:tc>
        <w:tc>
          <w:tcPr>
            <w:tcW w:w="920" w:type="dxa"/>
            <w:vAlign w:val="bottom"/>
            <w:tcBorders>
              <w:right w:val="single" w:sz="8" w:color="auto"/>
            </w:tcBorders>
          </w:tcPr>
          <w:p>
            <w:pPr>
              <w:spacing w:after="0"/>
              <w:rPr>
                <w:sz w:val="20"/>
                <w:szCs w:val="20"/>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IA, PN</w:t>
            </w:r>
          </w:p>
        </w:tc>
        <w:tc>
          <w:tcPr>
            <w:tcW w:w="9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both"/>
        <w:ind w:left="460" w:right="180" w:hanging="452"/>
        <w:spacing w:after="0" w:line="255"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Represents (i) 19,407,261 common shares, $0.01par value per share “</w:t>
      </w:r>
      <w:r>
        <w:rPr>
          <w:rFonts w:ascii="Arial" w:cs="Arial" w:eastAsia="Arial" w:hAnsi="Arial"/>
          <w:sz w:val="18"/>
          <w:szCs w:val="18"/>
          <w:u w:val="single" w:color="auto"/>
          <w:color w:val="auto"/>
        </w:rPr>
        <w:t>Common Shares</w:t>
      </w:r>
      <w:r>
        <w:rPr>
          <w:rFonts w:ascii="Arial" w:cs="Arial" w:eastAsia="Arial" w:hAnsi="Arial"/>
          <w:sz w:val="18"/>
          <w:szCs w:val="18"/>
          <w:color w:val="auto"/>
        </w:rPr>
        <w:t>”) of the Issuer, and (ii) 475,556 Common Shares that would result from the exercise of 475,556 warrants of the Issuer entitling the holder thereof to purchase one Common Share at an exercise price of $36.01 per share (the “</w:t>
      </w: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2" w:lineRule="exact"/>
        <w:rPr>
          <w:rFonts w:ascii="Arial" w:cs="Arial" w:eastAsia="Arial" w:hAnsi="Arial"/>
          <w:sz w:val="18"/>
          <w:szCs w:val="18"/>
          <w:color w:val="auto"/>
        </w:rPr>
      </w:pPr>
    </w:p>
    <w:p>
      <w:pPr>
        <w:ind w:left="460" w:right="200" w:hanging="452"/>
        <w:spacing w:after="0" w:line="260"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83,319,721 Common Shares outstanding, as reported on the Issuer’s Form 10-Q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November 5, 2020 (the “</w:t>
      </w:r>
      <w:r>
        <w:rPr>
          <w:rFonts w:ascii="Arial" w:cs="Arial" w:eastAsia="Arial" w:hAnsi="Arial"/>
          <w:sz w:val="18"/>
          <w:szCs w:val="18"/>
          <w:u w:val="single" w:color="auto"/>
          <w:color w:val="auto"/>
        </w:rPr>
        <w:t>Form 10-Q</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2" w:name="page3"/>
    <w:bookmarkEnd w:id="2"/>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44018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b w:val="1"/>
          <w:bCs w:val="1"/>
          <w:color w:val="auto"/>
        </w:rPr>
        <w:t>CUSIP No. 13057Q305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3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-124460</wp:posOffset>
            </wp:positionV>
            <wp:extent cx="144018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240" w:space="720"/>
            <w:col w:w="4720" w:space="720"/>
            <w:col w:w="840"/>
          </w:cols>
          <w:pgMar w:left="320" w:top="351" w:right="339" w:bottom="1440" w:gutter="0" w:footer="0" w:header="0"/>
        </w:sectPr>
      </w:pPr>
    </w:p>
    <w:p>
      <w:pPr>
        <w:spacing w:after="0" w:line="39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4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920" w:type="dxa"/>
            <w:vAlign w:val="bottom"/>
            <w:tcBorders>
              <w:top w:val="single" w:sz="8" w:color="auto"/>
              <w:right w:val="single" w:sz="8" w:color="auto"/>
            </w:tcBorders>
          </w:tcPr>
          <w:p>
            <w:pPr>
              <w:spacing w:after="0"/>
              <w:rPr>
                <w:sz w:val="22"/>
                <w:szCs w:val="22"/>
                <w:color w:val="auto"/>
              </w:rPr>
            </w:pPr>
          </w:p>
        </w:tc>
        <w:tc>
          <w:tcPr>
            <w:tcW w:w="87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 OF REPORTING PERSON</w:t>
            </w:r>
          </w:p>
        </w:tc>
        <w:tc>
          <w:tcPr>
            <w:tcW w:w="136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GoldenTree Asset Management LLC</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40" w:type="dxa"/>
            <w:vAlign w:val="bottom"/>
            <w:tcBorders>
              <w:left w:val="single" w:sz="8" w:color="auto"/>
            </w:tcBorders>
          </w:tcPr>
          <w:p>
            <w:pPr>
              <w:ind w:left="40"/>
              <w:spacing w:after="0" w:line="169" w:lineRule="exact"/>
              <w:rPr>
                <w:sz w:val="20"/>
                <w:szCs w:val="20"/>
                <w:color w:val="auto"/>
              </w:rPr>
            </w:pPr>
            <w:r>
              <w:rPr>
                <w:rFonts w:ascii="Arial" w:cs="Arial" w:eastAsia="Arial" w:hAnsi="Arial"/>
                <w:sz w:val="18"/>
                <w:szCs w:val="18"/>
                <w:color w:val="auto"/>
              </w:rPr>
              <w:t>2</w:t>
            </w:r>
          </w:p>
        </w:tc>
        <w:tc>
          <w:tcPr>
            <w:tcW w:w="920" w:type="dxa"/>
            <w:vAlign w:val="bottom"/>
            <w:tcBorders>
              <w:right w:val="single" w:sz="8" w:color="auto"/>
            </w:tcBorders>
          </w:tcPr>
          <w:p>
            <w:pPr>
              <w:spacing w:after="0"/>
              <w:rPr>
                <w:sz w:val="14"/>
                <w:szCs w:val="14"/>
                <w:color w:val="auto"/>
              </w:rPr>
            </w:pPr>
          </w:p>
        </w:tc>
        <w:tc>
          <w:tcPr>
            <w:tcW w:w="872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Borders>
              <w:right w:val="single" w:sz="8" w:color="auto"/>
            </w:tcBorders>
          </w:tcPr>
          <w:p>
            <w:pPr>
              <w:ind w:left="22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40" w:type="dxa"/>
            <w:vAlign w:val="bottom"/>
            <w:tcBorders>
              <w:lef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40" w:type="dxa"/>
            <w:vAlign w:val="bottom"/>
            <w:tcBorders>
              <w:left w:val="single" w:sz="8" w:color="auto"/>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920" w:type="dxa"/>
            <w:vAlign w:val="bottom"/>
            <w:tcBorders>
              <w:bottom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920" w:type="dxa"/>
            <w:vAlign w:val="bottom"/>
            <w:tcBorders>
              <w:right w:val="single" w:sz="8" w:color="auto"/>
            </w:tcBorders>
          </w:tcPr>
          <w:p>
            <w:pPr>
              <w:spacing w:after="0"/>
              <w:rPr>
                <w:sz w:val="20"/>
                <w:szCs w:val="20"/>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SEC USE ONLY</w:t>
            </w:r>
          </w:p>
        </w:tc>
        <w:tc>
          <w:tcPr>
            <w:tcW w:w="692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920" w:type="dxa"/>
            <w:vAlign w:val="bottom"/>
            <w:tcBorders>
              <w:right w:val="single" w:sz="8" w:color="auto"/>
            </w:tcBorders>
          </w:tcPr>
          <w:p>
            <w:pPr>
              <w:spacing w:after="0"/>
              <w:rPr>
                <w:sz w:val="20"/>
                <w:szCs w:val="20"/>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SOURCE OF FUNDS</w:t>
            </w:r>
          </w:p>
        </w:tc>
        <w:tc>
          <w:tcPr>
            <w:tcW w:w="692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9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5</w:t>
            </w:r>
          </w:p>
        </w:tc>
        <w:tc>
          <w:tcPr>
            <w:tcW w:w="920" w:type="dxa"/>
            <w:vAlign w:val="bottom"/>
            <w:tcBorders>
              <w:right w:val="single" w:sz="8" w:color="auto"/>
            </w:tcBorders>
          </w:tcPr>
          <w:p>
            <w:pPr>
              <w:spacing w:after="0"/>
              <w:rPr>
                <w:sz w:val="24"/>
                <w:szCs w:val="24"/>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w w:val="97"/>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6</w:t>
            </w:r>
          </w:p>
        </w:tc>
        <w:tc>
          <w:tcPr>
            <w:tcW w:w="920" w:type="dxa"/>
            <w:vAlign w:val="bottom"/>
            <w:tcBorders>
              <w:right w:val="single" w:sz="8" w:color="auto"/>
            </w:tcBorders>
          </w:tcPr>
          <w:p>
            <w:pPr>
              <w:spacing w:after="0"/>
              <w:rPr>
                <w:sz w:val="20"/>
                <w:szCs w:val="20"/>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Delaware</w:t>
            </w:r>
          </w:p>
        </w:tc>
        <w:tc>
          <w:tcPr>
            <w:tcW w:w="9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w:t>
            </w:r>
          </w:p>
        </w:tc>
        <w:tc>
          <w:tcPr>
            <w:tcW w:w="6920" w:type="dxa"/>
            <w:vAlign w:val="bottom"/>
          </w:tcPr>
          <w:p>
            <w:pPr>
              <w:spacing w:after="0"/>
              <w:rPr>
                <w:sz w:val="20"/>
                <w:szCs w:val="20"/>
                <w:color w:val="auto"/>
              </w:rPr>
            </w:pPr>
            <w:r>
              <w:rPr>
                <w:rFonts w:ascii="Arial" w:cs="Arial" w:eastAsia="Arial" w:hAnsi="Arial"/>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40" w:type="dxa"/>
            <w:vAlign w:val="bottom"/>
            <w:tcBorders>
              <w:left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40" w:type="dxa"/>
            <w:vAlign w:val="bottom"/>
            <w:tcBorders>
              <w:left w:val="single" w:sz="8" w:color="auto"/>
            </w:tcBorders>
          </w:tcPr>
          <w:p>
            <w:pPr>
              <w:spacing w:after="0"/>
              <w:rPr>
                <w:sz w:val="18"/>
                <w:szCs w:val="18"/>
                <w:color w:val="auto"/>
              </w:rPr>
            </w:pPr>
          </w:p>
        </w:tc>
        <w:tc>
          <w:tcPr>
            <w:tcW w:w="182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6"/>
              </w:rPr>
              <w:t>NUMBER OF</w:t>
            </w: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6920" w:type="dxa"/>
            <w:vAlign w:val="bottom"/>
          </w:tcPr>
          <w:p>
            <w:pPr>
              <w:spacing w:after="0"/>
              <w:rPr>
                <w:sz w:val="20"/>
                <w:szCs w:val="20"/>
                <w:color w:val="auto"/>
              </w:rPr>
            </w:pPr>
            <w:r>
              <w:rPr>
                <w:rFonts w:ascii="Arial" w:cs="Arial" w:eastAsia="Arial" w:hAnsi="Arial"/>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Borders>
              <w:left w:val="single" w:sz="8" w:color="auto"/>
            </w:tcBorders>
          </w:tcPr>
          <w:p>
            <w:pPr>
              <w:spacing w:after="0"/>
              <w:rPr>
                <w:sz w:val="18"/>
                <w:szCs w:val="18"/>
                <w:color w:val="auto"/>
              </w:rPr>
            </w:pPr>
          </w:p>
        </w:tc>
        <w:tc>
          <w:tcPr>
            <w:tcW w:w="182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94"/>
              </w:rPr>
              <w:t>SHARES</w:t>
            </w:r>
          </w:p>
        </w:tc>
        <w:tc>
          <w:tcPr>
            <w:tcW w:w="900" w:type="dxa"/>
            <w:vAlign w:val="bottom"/>
            <w:tcBorders>
              <w:right w:val="single" w:sz="8" w:color="auto"/>
            </w:tcBorders>
          </w:tcPr>
          <w:p>
            <w:pPr>
              <w:spacing w:after="0"/>
              <w:rPr>
                <w:sz w:val="18"/>
                <w:szCs w:val="18"/>
                <w:color w:val="auto"/>
              </w:rPr>
            </w:pPr>
          </w:p>
        </w:tc>
        <w:tc>
          <w:tcPr>
            <w:tcW w:w="6920" w:type="dxa"/>
            <w:vAlign w:val="bottom"/>
            <w:vMerge w:val="restart"/>
          </w:tcPr>
          <w:p>
            <w:pPr>
              <w:spacing w:after="0"/>
              <w:rPr>
                <w:sz w:val="20"/>
                <w:szCs w:val="20"/>
                <w:color w:val="auto"/>
              </w:rPr>
            </w:pPr>
            <w:r>
              <w:rPr>
                <w:rFonts w:ascii="Arial" w:cs="Arial" w:eastAsia="Arial" w:hAnsi="Arial"/>
                <w:sz w:val="18"/>
                <w:szCs w:val="18"/>
                <w:color w:val="auto"/>
              </w:rPr>
              <w:t>19,882,817 (1)</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40" w:type="dxa"/>
            <w:vAlign w:val="bottom"/>
            <w:tcBorders>
              <w:left w:val="single" w:sz="8" w:color="auto"/>
            </w:tcBorders>
          </w:tcPr>
          <w:p>
            <w:pPr>
              <w:spacing w:after="0"/>
              <w:rPr>
                <w:sz w:val="19"/>
                <w:szCs w:val="19"/>
                <w:color w:val="auto"/>
              </w:rPr>
            </w:pPr>
          </w:p>
        </w:tc>
        <w:tc>
          <w:tcPr>
            <w:tcW w:w="182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99"/>
              </w:rPr>
              <w:t>BENEFICIALLY</w:t>
            </w:r>
          </w:p>
        </w:tc>
        <w:tc>
          <w:tcPr>
            <w:tcW w:w="900" w:type="dxa"/>
            <w:vAlign w:val="bottom"/>
            <w:tcBorders>
              <w:bottom w:val="single" w:sz="8" w:color="auto"/>
              <w:right w:val="single" w:sz="8" w:color="auto"/>
            </w:tcBorders>
          </w:tcPr>
          <w:p>
            <w:pPr>
              <w:spacing w:after="0"/>
              <w:rPr>
                <w:sz w:val="19"/>
                <w:szCs w:val="19"/>
                <w:color w:val="auto"/>
              </w:rPr>
            </w:pPr>
          </w:p>
        </w:tc>
        <w:tc>
          <w:tcPr>
            <w:tcW w:w="6920" w:type="dxa"/>
            <w:vAlign w:val="bottom"/>
            <w:tcBorders>
              <w:bottom w:val="single" w:sz="8" w:color="auto"/>
            </w:tcBorders>
            <w:vMerge w:val="continue"/>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40" w:type="dxa"/>
            <w:vAlign w:val="bottom"/>
            <w:tcBorders>
              <w:left w:val="single" w:sz="8" w:color="auto"/>
            </w:tcBorders>
          </w:tcPr>
          <w:p>
            <w:pPr>
              <w:spacing w:after="0"/>
              <w:rPr>
                <w:sz w:val="16"/>
                <w:szCs w:val="16"/>
                <w:color w:val="auto"/>
              </w:rPr>
            </w:pPr>
          </w:p>
        </w:tc>
        <w:tc>
          <w:tcPr>
            <w:tcW w:w="1820" w:type="dxa"/>
            <w:vAlign w:val="bottom"/>
            <w:tcBorders>
              <w:right w:val="single" w:sz="8" w:color="auto"/>
            </w:tcBorders>
            <w:gridSpan w:val="2"/>
          </w:tcPr>
          <w:p>
            <w:pPr>
              <w:jc w:val="center"/>
              <w:ind w:right="150"/>
              <w:spacing w:after="0" w:line="189" w:lineRule="exact"/>
              <w:rPr>
                <w:sz w:val="20"/>
                <w:szCs w:val="20"/>
                <w:color w:val="auto"/>
              </w:rPr>
            </w:pPr>
            <w:r>
              <w:rPr>
                <w:rFonts w:ascii="Arial" w:cs="Arial" w:eastAsia="Arial" w:hAnsi="Arial"/>
                <w:sz w:val="18"/>
                <w:szCs w:val="18"/>
                <w:color w:val="auto"/>
                <w:w w:val="97"/>
              </w:rPr>
              <w:t>OWNED BY EACH</w:t>
            </w:r>
          </w:p>
        </w:tc>
        <w:tc>
          <w:tcPr>
            <w:tcW w:w="90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9</w:t>
            </w:r>
          </w:p>
        </w:tc>
        <w:tc>
          <w:tcPr>
            <w:tcW w:w="6920" w:type="dxa"/>
            <w:vAlign w:val="bottom"/>
          </w:tcPr>
          <w:p>
            <w:pPr>
              <w:spacing w:after="0" w:line="189" w:lineRule="exact"/>
              <w:rPr>
                <w:sz w:val="20"/>
                <w:szCs w:val="20"/>
                <w:color w:val="auto"/>
              </w:rPr>
            </w:pPr>
            <w:r>
              <w:rPr>
                <w:rFonts w:ascii="Arial" w:cs="Arial" w:eastAsia="Arial" w:hAnsi="Arial"/>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2"/>
              </w:rPr>
              <w:t>REPORTING PERSON</w:t>
            </w:r>
          </w:p>
        </w:tc>
        <w:tc>
          <w:tcPr>
            <w:tcW w:w="900" w:type="dxa"/>
            <w:vAlign w:val="bottom"/>
            <w:tcBorders>
              <w:right w:val="single" w:sz="8" w:color="auto"/>
            </w:tcBorders>
          </w:tcPr>
          <w:p>
            <w:pPr>
              <w:spacing w:after="0"/>
              <w:rPr>
                <w:sz w:val="18"/>
                <w:szCs w:val="18"/>
                <w:color w:val="auto"/>
              </w:rPr>
            </w:pPr>
          </w:p>
        </w:tc>
        <w:tc>
          <w:tcPr>
            <w:tcW w:w="692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40" w:type="dxa"/>
            <w:vAlign w:val="bottom"/>
            <w:tcBorders>
              <w:left w:val="single" w:sz="8" w:color="auto"/>
            </w:tcBorders>
          </w:tcPr>
          <w:p>
            <w:pPr>
              <w:spacing w:after="0"/>
              <w:rPr>
                <w:sz w:val="21"/>
                <w:szCs w:val="21"/>
                <w:color w:val="auto"/>
              </w:rPr>
            </w:pPr>
          </w:p>
        </w:tc>
        <w:tc>
          <w:tcPr>
            <w:tcW w:w="182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99"/>
              </w:rPr>
              <w:t>WITH</w:t>
            </w:r>
          </w:p>
        </w:tc>
        <w:tc>
          <w:tcPr>
            <w:tcW w:w="900" w:type="dxa"/>
            <w:vAlign w:val="bottom"/>
            <w:tcBorders>
              <w:bottom w:val="single" w:sz="8" w:color="auto"/>
              <w:right w:val="single" w:sz="8" w:color="auto"/>
            </w:tcBorders>
          </w:tcPr>
          <w:p>
            <w:pPr>
              <w:spacing w:after="0"/>
              <w:rPr>
                <w:sz w:val="21"/>
                <w:szCs w:val="21"/>
                <w:color w:val="auto"/>
              </w:rPr>
            </w:pPr>
          </w:p>
        </w:tc>
        <w:tc>
          <w:tcPr>
            <w:tcW w:w="6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1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4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w:t>
            </w:r>
          </w:p>
        </w:tc>
        <w:tc>
          <w:tcPr>
            <w:tcW w:w="692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19,882,817</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89"/>
              </w:rPr>
              <w:t>11</w:t>
            </w:r>
          </w:p>
        </w:tc>
        <w:tc>
          <w:tcPr>
            <w:tcW w:w="92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75"/>
              </w:rPr>
              <w:t>AGGREGATE</w:t>
            </w:r>
          </w:p>
        </w:tc>
        <w:tc>
          <w:tcPr>
            <w:tcW w:w="900" w:type="dxa"/>
            <w:vAlign w:val="bottom"/>
          </w:tcPr>
          <w:p>
            <w:pPr>
              <w:ind w:left="220"/>
              <w:spacing w:after="0"/>
              <w:rPr>
                <w:sz w:val="20"/>
                <w:szCs w:val="20"/>
                <w:color w:val="auto"/>
              </w:rPr>
            </w:pPr>
            <w:r>
              <w:rPr>
                <w:rFonts w:ascii="Arial" w:cs="Arial" w:eastAsia="Arial" w:hAnsi="Arial"/>
                <w:sz w:val="18"/>
                <w:szCs w:val="18"/>
                <w:color w:val="auto"/>
                <w:w w:val="81"/>
              </w:rPr>
              <w:t>AMOUNT</w:t>
            </w:r>
          </w:p>
        </w:tc>
        <w:tc>
          <w:tcPr>
            <w:tcW w:w="6920" w:type="dxa"/>
            <w:vAlign w:val="bottom"/>
          </w:tcPr>
          <w:p>
            <w:pPr>
              <w:ind w:left="160"/>
              <w:spacing w:after="0"/>
              <w:rPr>
                <w:sz w:val="20"/>
                <w:szCs w:val="20"/>
                <w:color w:val="auto"/>
              </w:rPr>
            </w:pPr>
            <w:r>
              <w:rPr>
                <w:rFonts w:ascii="Arial" w:cs="Arial" w:eastAsia="Arial" w:hAnsi="Arial"/>
                <w:sz w:val="18"/>
                <w:szCs w:val="18"/>
                <w:color w:val="auto"/>
              </w:rPr>
              <w:t>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19,882,817</w:t>
            </w:r>
          </w:p>
        </w:tc>
        <w:tc>
          <w:tcPr>
            <w:tcW w:w="9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89"/>
              </w:rPr>
              <w:t>12</w:t>
            </w:r>
          </w:p>
        </w:tc>
        <w:tc>
          <w:tcPr>
            <w:tcW w:w="920" w:type="dxa"/>
            <w:vAlign w:val="bottom"/>
            <w:tcBorders>
              <w:right w:val="single" w:sz="8" w:color="auto"/>
            </w:tcBorders>
          </w:tcPr>
          <w:p>
            <w:pPr>
              <w:spacing w:after="0"/>
              <w:rPr>
                <w:sz w:val="24"/>
                <w:szCs w:val="24"/>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89"/>
              </w:rPr>
              <w:t>13</w:t>
            </w:r>
          </w:p>
        </w:tc>
        <w:tc>
          <w:tcPr>
            <w:tcW w:w="920" w:type="dxa"/>
            <w:vAlign w:val="bottom"/>
            <w:tcBorders>
              <w:right w:val="single" w:sz="8" w:color="auto"/>
            </w:tcBorders>
          </w:tcPr>
          <w:p>
            <w:pPr>
              <w:spacing w:after="0"/>
              <w:rPr>
                <w:sz w:val="20"/>
                <w:szCs w:val="20"/>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23.9% (2)</w:t>
            </w:r>
          </w:p>
        </w:tc>
        <w:tc>
          <w:tcPr>
            <w:tcW w:w="9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89"/>
              </w:rPr>
              <w:t>14</w:t>
            </w:r>
          </w:p>
        </w:tc>
        <w:tc>
          <w:tcPr>
            <w:tcW w:w="920" w:type="dxa"/>
            <w:vAlign w:val="bottom"/>
            <w:tcBorders>
              <w:right w:val="single" w:sz="8" w:color="auto"/>
            </w:tcBorders>
          </w:tcPr>
          <w:p>
            <w:pPr>
              <w:spacing w:after="0"/>
              <w:rPr>
                <w:sz w:val="20"/>
                <w:szCs w:val="20"/>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HC, OO</w:t>
            </w:r>
          </w:p>
        </w:tc>
        <w:tc>
          <w:tcPr>
            <w:tcW w:w="9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(i) 19,407,261 Common Shares of the Issuer, and (ii) 475,556 Common Shares that would result from the exercise of 475,571 Warrants.</w:t>
      </w:r>
    </w:p>
    <w:p>
      <w:pPr>
        <w:spacing w:after="0" w:line="46" w:lineRule="exact"/>
        <w:rPr>
          <w:rFonts w:ascii="Arial" w:cs="Arial" w:eastAsia="Arial" w:hAnsi="Arial"/>
          <w:sz w:val="16"/>
          <w:szCs w:val="16"/>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83,319,721 Common Shares outstanding, as reported on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3" w:name="page4"/>
    <w:bookmarkEnd w:id="3"/>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44018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b w:val="1"/>
          <w:bCs w:val="1"/>
          <w:color w:val="auto"/>
        </w:rPr>
        <w:t>CUSIP No. 13057Q305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4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-124460</wp:posOffset>
            </wp:positionV>
            <wp:extent cx="144018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240" w:space="720"/>
            <w:col w:w="4720" w:space="720"/>
            <w:col w:w="840"/>
          </w:cols>
          <w:pgMar w:left="320" w:top="351" w:right="339" w:bottom="1440" w:gutter="0" w:footer="0" w:header="0"/>
        </w:sectPr>
      </w:pPr>
    </w:p>
    <w:p>
      <w:pPr>
        <w:spacing w:after="0" w:line="39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4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920" w:type="dxa"/>
            <w:vAlign w:val="bottom"/>
            <w:tcBorders>
              <w:top w:val="single" w:sz="8" w:color="auto"/>
              <w:right w:val="single" w:sz="8" w:color="auto"/>
            </w:tcBorders>
          </w:tcPr>
          <w:p>
            <w:pPr>
              <w:spacing w:after="0"/>
              <w:rPr>
                <w:sz w:val="22"/>
                <w:szCs w:val="22"/>
                <w:color w:val="auto"/>
              </w:rPr>
            </w:pPr>
          </w:p>
        </w:tc>
        <w:tc>
          <w:tcPr>
            <w:tcW w:w="87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 OF REPORTING PERSON</w:t>
            </w:r>
          </w:p>
        </w:tc>
        <w:tc>
          <w:tcPr>
            <w:tcW w:w="136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8"/>
              </w:rPr>
              <w:t>Steven A. Tananbaum</w:t>
            </w:r>
          </w:p>
        </w:tc>
        <w:tc>
          <w:tcPr>
            <w:tcW w:w="69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40" w:type="dxa"/>
            <w:vAlign w:val="bottom"/>
            <w:tcBorders>
              <w:left w:val="single" w:sz="8" w:color="auto"/>
            </w:tcBorders>
          </w:tcPr>
          <w:p>
            <w:pPr>
              <w:ind w:left="40"/>
              <w:spacing w:after="0" w:line="169" w:lineRule="exact"/>
              <w:rPr>
                <w:sz w:val="20"/>
                <w:szCs w:val="20"/>
                <w:color w:val="auto"/>
              </w:rPr>
            </w:pPr>
            <w:r>
              <w:rPr>
                <w:rFonts w:ascii="Arial" w:cs="Arial" w:eastAsia="Arial" w:hAnsi="Arial"/>
                <w:sz w:val="18"/>
                <w:szCs w:val="18"/>
                <w:color w:val="auto"/>
              </w:rPr>
              <w:t>2</w:t>
            </w:r>
          </w:p>
        </w:tc>
        <w:tc>
          <w:tcPr>
            <w:tcW w:w="920" w:type="dxa"/>
            <w:vAlign w:val="bottom"/>
            <w:tcBorders>
              <w:right w:val="single" w:sz="8" w:color="auto"/>
            </w:tcBorders>
          </w:tcPr>
          <w:p>
            <w:pPr>
              <w:spacing w:after="0"/>
              <w:rPr>
                <w:sz w:val="14"/>
                <w:szCs w:val="14"/>
                <w:color w:val="auto"/>
              </w:rPr>
            </w:pPr>
          </w:p>
        </w:tc>
        <w:tc>
          <w:tcPr>
            <w:tcW w:w="872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Borders>
              <w:right w:val="single" w:sz="8" w:color="auto"/>
            </w:tcBorders>
          </w:tcPr>
          <w:p>
            <w:pPr>
              <w:ind w:left="22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40" w:type="dxa"/>
            <w:vAlign w:val="bottom"/>
            <w:tcBorders>
              <w:lef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40" w:type="dxa"/>
            <w:vAlign w:val="bottom"/>
            <w:tcBorders>
              <w:left w:val="single" w:sz="8" w:color="auto"/>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920" w:type="dxa"/>
            <w:vAlign w:val="bottom"/>
            <w:tcBorders>
              <w:bottom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920" w:type="dxa"/>
            <w:vAlign w:val="bottom"/>
            <w:tcBorders>
              <w:right w:val="single" w:sz="8" w:color="auto"/>
            </w:tcBorders>
          </w:tcPr>
          <w:p>
            <w:pPr>
              <w:spacing w:after="0"/>
              <w:rPr>
                <w:sz w:val="20"/>
                <w:szCs w:val="20"/>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SEC USE ONLY</w:t>
            </w:r>
          </w:p>
        </w:tc>
        <w:tc>
          <w:tcPr>
            <w:tcW w:w="692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920" w:type="dxa"/>
            <w:vAlign w:val="bottom"/>
            <w:tcBorders>
              <w:right w:val="single" w:sz="8" w:color="auto"/>
            </w:tcBorders>
          </w:tcPr>
          <w:p>
            <w:pPr>
              <w:spacing w:after="0"/>
              <w:rPr>
                <w:sz w:val="20"/>
                <w:szCs w:val="20"/>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SOURCE OF FUNDS</w:t>
            </w:r>
          </w:p>
        </w:tc>
        <w:tc>
          <w:tcPr>
            <w:tcW w:w="692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9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5</w:t>
            </w:r>
          </w:p>
        </w:tc>
        <w:tc>
          <w:tcPr>
            <w:tcW w:w="920" w:type="dxa"/>
            <w:vAlign w:val="bottom"/>
            <w:tcBorders>
              <w:right w:val="single" w:sz="8" w:color="auto"/>
            </w:tcBorders>
          </w:tcPr>
          <w:p>
            <w:pPr>
              <w:spacing w:after="0"/>
              <w:rPr>
                <w:sz w:val="24"/>
                <w:szCs w:val="24"/>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w w:val="97"/>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6</w:t>
            </w:r>
          </w:p>
        </w:tc>
        <w:tc>
          <w:tcPr>
            <w:tcW w:w="920" w:type="dxa"/>
            <w:vAlign w:val="bottom"/>
            <w:tcBorders>
              <w:right w:val="single" w:sz="8" w:color="auto"/>
            </w:tcBorders>
          </w:tcPr>
          <w:p>
            <w:pPr>
              <w:spacing w:after="0"/>
              <w:rPr>
                <w:sz w:val="20"/>
                <w:szCs w:val="20"/>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w:t>
            </w:r>
          </w:p>
        </w:tc>
        <w:tc>
          <w:tcPr>
            <w:tcW w:w="6920" w:type="dxa"/>
            <w:vAlign w:val="bottom"/>
          </w:tcPr>
          <w:p>
            <w:pPr>
              <w:spacing w:after="0"/>
              <w:rPr>
                <w:sz w:val="20"/>
                <w:szCs w:val="20"/>
                <w:color w:val="auto"/>
              </w:rPr>
            </w:pPr>
            <w:r>
              <w:rPr>
                <w:rFonts w:ascii="Arial" w:cs="Arial" w:eastAsia="Arial" w:hAnsi="Arial"/>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40" w:type="dxa"/>
            <w:vAlign w:val="bottom"/>
            <w:tcBorders>
              <w:left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40" w:type="dxa"/>
            <w:vAlign w:val="bottom"/>
            <w:tcBorders>
              <w:left w:val="single" w:sz="8" w:color="auto"/>
            </w:tcBorders>
          </w:tcPr>
          <w:p>
            <w:pPr>
              <w:spacing w:after="0"/>
              <w:rPr>
                <w:sz w:val="18"/>
                <w:szCs w:val="18"/>
                <w:color w:val="auto"/>
              </w:rPr>
            </w:pPr>
          </w:p>
        </w:tc>
        <w:tc>
          <w:tcPr>
            <w:tcW w:w="182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6"/>
              </w:rPr>
              <w:t>NUMBER OF</w:t>
            </w: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6920" w:type="dxa"/>
            <w:vAlign w:val="bottom"/>
          </w:tcPr>
          <w:p>
            <w:pPr>
              <w:spacing w:after="0"/>
              <w:rPr>
                <w:sz w:val="20"/>
                <w:szCs w:val="20"/>
                <w:color w:val="auto"/>
              </w:rPr>
            </w:pPr>
            <w:r>
              <w:rPr>
                <w:rFonts w:ascii="Arial" w:cs="Arial" w:eastAsia="Arial" w:hAnsi="Arial"/>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Borders>
              <w:left w:val="single" w:sz="8" w:color="auto"/>
            </w:tcBorders>
          </w:tcPr>
          <w:p>
            <w:pPr>
              <w:spacing w:after="0"/>
              <w:rPr>
                <w:sz w:val="18"/>
                <w:szCs w:val="18"/>
                <w:color w:val="auto"/>
              </w:rPr>
            </w:pPr>
          </w:p>
        </w:tc>
        <w:tc>
          <w:tcPr>
            <w:tcW w:w="182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94"/>
              </w:rPr>
              <w:t>SHARES</w:t>
            </w:r>
          </w:p>
        </w:tc>
        <w:tc>
          <w:tcPr>
            <w:tcW w:w="900" w:type="dxa"/>
            <w:vAlign w:val="bottom"/>
            <w:tcBorders>
              <w:right w:val="single" w:sz="8" w:color="auto"/>
            </w:tcBorders>
          </w:tcPr>
          <w:p>
            <w:pPr>
              <w:spacing w:after="0"/>
              <w:rPr>
                <w:sz w:val="18"/>
                <w:szCs w:val="18"/>
                <w:color w:val="auto"/>
              </w:rPr>
            </w:pPr>
          </w:p>
        </w:tc>
        <w:tc>
          <w:tcPr>
            <w:tcW w:w="6920" w:type="dxa"/>
            <w:vAlign w:val="bottom"/>
            <w:vMerge w:val="restart"/>
          </w:tcPr>
          <w:p>
            <w:pPr>
              <w:spacing w:after="0"/>
              <w:rPr>
                <w:sz w:val="20"/>
                <w:szCs w:val="20"/>
                <w:color w:val="auto"/>
              </w:rPr>
            </w:pPr>
            <w:r>
              <w:rPr>
                <w:rFonts w:ascii="Arial" w:cs="Arial" w:eastAsia="Arial" w:hAnsi="Arial"/>
                <w:sz w:val="18"/>
                <w:szCs w:val="18"/>
                <w:color w:val="auto"/>
              </w:rPr>
              <w:t>19,882,817 (1)</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40" w:type="dxa"/>
            <w:vAlign w:val="bottom"/>
            <w:tcBorders>
              <w:left w:val="single" w:sz="8" w:color="auto"/>
            </w:tcBorders>
          </w:tcPr>
          <w:p>
            <w:pPr>
              <w:spacing w:after="0"/>
              <w:rPr>
                <w:sz w:val="19"/>
                <w:szCs w:val="19"/>
                <w:color w:val="auto"/>
              </w:rPr>
            </w:pPr>
          </w:p>
        </w:tc>
        <w:tc>
          <w:tcPr>
            <w:tcW w:w="182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99"/>
              </w:rPr>
              <w:t>BENEFICIALLY</w:t>
            </w:r>
          </w:p>
        </w:tc>
        <w:tc>
          <w:tcPr>
            <w:tcW w:w="900" w:type="dxa"/>
            <w:vAlign w:val="bottom"/>
            <w:tcBorders>
              <w:bottom w:val="single" w:sz="8" w:color="auto"/>
              <w:right w:val="single" w:sz="8" w:color="auto"/>
            </w:tcBorders>
          </w:tcPr>
          <w:p>
            <w:pPr>
              <w:spacing w:after="0"/>
              <w:rPr>
                <w:sz w:val="19"/>
                <w:szCs w:val="19"/>
                <w:color w:val="auto"/>
              </w:rPr>
            </w:pPr>
          </w:p>
        </w:tc>
        <w:tc>
          <w:tcPr>
            <w:tcW w:w="6920" w:type="dxa"/>
            <w:vAlign w:val="bottom"/>
            <w:tcBorders>
              <w:bottom w:val="single" w:sz="8" w:color="auto"/>
            </w:tcBorders>
            <w:vMerge w:val="continue"/>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40" w:type="dxa"/>
            <w:vAlign w:val="bottom"/>
            <w:tcBorders>
              <w:left w:val="single" w:sz="8" w:color="auto"/>
            </w:tcBorders>
          </w:tcPr>
          <w:p>
            <w:pPr>
              <w:spacing w:after="0"/>
              <w:rPr>
                <w:sz w:val="16"/>
                <w:szCs w:val="16"/>
                <w:color w:val="auto"/>
              </w:rPr>
            </w:pPr>
          </w:p>
        </w:tc>
        <w:tc>
          <w:tcPr>
            <w:tcW w:w="1820" w:type="dxa"/>
            <w:vAlign w:val="bottom"/>
            <w:tcBorders>
              <w:right w:val="single" w:sz="8" w:color="auto"/>
            </w:tcBorders>
            <w:gridSpan w:val="2"/>
          </w:tcPr>
          <w:p>
            <w:pPr>
              <w:jc w:val="center"/>
              <w:ind w:right="150"/>
              <w:spacing w:after="0" w:line="189" w:lineRule="exact"/>
              <w:rPr>
                <w:sz w:val="20"/>
                <w:szCs w:val="20"/>
                <w:color w:val="auto"/>
              </w:rPr>
            </w:pPr>
            <w:r>
              <w:rPr>
                <w:rFonts w:ascii="Arial" w:cs="Arial" w:eastAsia="Arial" w:hAnsi="Arial"/>
                <w:sz w:val="18"/>
                <w:szCs w:val="18"/>
                <w:color w:val="auto"/>
                <w:w w:val="97"/>
              </w:rPr>
              <w:t>OWNED BY EACH</w:t>
            </w:r>
          </w:p>
        </w:tc>
        <w:tc>
          <w:tcPr>
            <w:tcW w:w="90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9</w:t>
            </w:r>
          </w:p>
        </w:tc>
        <w:tc>
          <w:tcPr>
            <w:tcW w:w="6920" w:type="dxa"/>
            <w:vAlign w:val="bottom"/>
          </w:tcPr>
          <w:p>
            <w:pPr>
              <w:spacing w:after="0" w:line="189" w:lineRule="exact"/>
              <w:rPr>
                <w:sz w:val="20"/>
                <w:szCs w:val="20"/>
                <w:color w:val="auto"/>
              </w:rPr>
            </w:pPr>
            <w:r>
              <w:rPr>
                <w:rFonts w:ascii="Arial" w:cs="Arial" w:eastAsia="Arial" w:hAnsi="Arial"/>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2"/>
              </w:rPr>
              <w:t>REPORTING PERSON</w:t>
            </w:r>
          </w:p>
        </w:tc>
        <w:tc>
          <w:tcPr>
            <w:tcW w:w="900" w:type="dxa"/>
            <w:vAlign w:val="bottom"/>
            <w:tcBorders>
              <w:right w:val="single" w:sz="8" w:color="auto"/>
            </w:tcBorders>
          </w:tcPr>
          <w:p>
            <w:pPr>
              <w:spacing w:after="0"/>
              <w:rPr>
                <w:sz w:val="18"/>
                <w:szCs w:val="18"/>
                <w:color w:val="auto"/>
              </w:rPr>
            </w:pPr>
          </w:p>
        </w:tc>
        <w:tc>
          <w:tcPr>
            <w:tcW w:w="692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40" w:type="dxa"/>
            <w:vAlign w:val="bottom"/>
            <w:tcBorders>
              <w:left w:val="single" w:sz="8" w:color="auto"/>
            </w:tcBorders>
          </w:tcPr>
          <w:p>
            <w:pPr>
              <w:spacing w:after="0"/>
              <w:rPr>
                <w:sz w:val="21"/>
                <w:szCs w:val="21"/>
                <w:color w:val="auto"/>
              </w:rPr>
            </w:pPr>
          </w:p>
        </w:tc>
        <w:tc>
          <w:tcPr>
            <w:tcW w:w="182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99"/>
              </w:rPr>
              <w:t>WITH</w:t>
            </w:r>
          </w:p>
        </w:tc>
        <w:tc>
          <w:tcPr>
            <w:tcW w:w="900" w:type="dxa"/>
            <w:vAlign w:val="bottom"/>
            <w:tcBorders>
              <w:bottom w:val="single" w:sz="8" w:color="auto"/>
              <w:right w:val="single" w:sz="8" w:color="auto"/>
            </w:tcBorders>
          </w:tcPr>
          <w:p>
            <w:pPr>
              <w:spacing w:after="0"/>
              <w:rPr>
                <w:sz w:val="21"/>
                <w:szCs w:val="21"/>
                <w:color w:val="auto"/>
              </w:rPr>
            </w:pPr>
          </w:p>
        </w:tc>
        <w:tc>
          <w:tcPr>
            <w:tcW w:w="6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1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4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w:t>
            </w:r>
          </w:p>
        </w:tc>
        <w:tc>
          <w:tcPr>
            <w:tcW w:w="692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19,882,817</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89"/>
              </w:rPr>
              <w:t>11</w:t>
            </w:r>
          </w:p>
        </w:tc>
        <w:tc>
          <w:tcPr>
            <w:tcW w:w="92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75"/>
              </w:rPr>
              <w:t>AGGREGATE</w:t>
            </w:r>
          </w:p>
        </w:tc>
        <w:tc>
          <w:tcPr>
            <w:tcW w:w="900" w:type="dxa"/>
            <w:vAlign w:val="bottom"/>
          </w:tcPr>
          <w:p>
            <w:pPr>
              <w:ind w:left="220"/>
              <w:spacing w:after="0"/>
              <w:rPr>
                <w:sz w:val="20"/>
                <w:szCs w:val="20"/>
                <w:color w:val="auto"/>
              </w:rPr>
            </w:pPr>
            <w:r>
              <w:rPr>
                <w:rFonts w:ascii="Arial" w:cs="Arial" w:eastAsia="Arial" w:hAnsi="Arial"/>
                <w:sz w:val="18"/>
                <w:szCs w:val="18"/>
                <w:color w:val="auto"/>
                <w:w w:val="81"/>
              </w:rPr>
              <w:t>AMOUNT</w:t>
            </w:r>
          </w:p>
        </w:tc>
        <w:tc>
          <w:tcPr>
            <w:tcW w:w="6920" w:type="dxa"/>
            <w:vAlign w:val="bottom"/>
          </w:tcPr>
          <w:p>
            <w:pPr>
              <w:ind w:left="160"/>
              <w:spacing w:after="0"/>
              <w:rPr>
                <w:sz w:val="20"/>
                <w:szCs w:val="20"/>
                <w:color w:val="auto"/>
              </w:rPr>
            </w:pPr>
            <w:r>
              <w:rPr>
                <w:rFonts w:ascii="Arial" w:cs="Arial" w:eastAsia="Arial" w:hAnsi="Arial"/>
                <w:sz w:val="18"/>
                <w:szCs w:val="18"/>
                <w:color w:val="auto"/>
              </w:rPr>
              <w:t>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19,882,817</w:t>
            </w:r>
          </w:p>
        </w:tc>
        <w:tc>
          <w:tcPr>
            <w:tcW w:w="9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89"/>
              </w:rPr>
              <w:t>12</w:t>
            </w:r>
          </w:p>
        </w:tc>
        <w:tc>
          <w:tcPr>
            <w:tcW w:w="920" w:type="dxa"/>
            <w:vAlign w:val="bottom"/>
            <w:tcBorders>
              <w:right w:val="single" w:sz="8" w:color="auto"/>
            </w:tcBorders>
          </w:tcPr>
          <w:p>
            <w:pPr>
              <w:spacing w:after="0"/>
              <w:rPr>
                <w:sz w:val="24"/>
                <w:szCs w:val="24"/>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89"/>
              </w:rPr>
              <w:t>13</w:t>
            </w:r>
          </w:p>
        </w:tc>
        <w:tc>
          <w:tcPr>
            <w:tcW w:w="920" w:type="dxa"/>
            <w:vAlign w:val="bottom"/>
            <w:tcBorders>
              <w:right w:val="single" w:sz="8" w:color="auto"/>
            </w:tcBorders>
          </w:tcPr>
          <w:p>
            <w:pPr>
              <w:spacing w:after="0"/>
              <w:rPr>
                <w:sz w:val="20"/>
                <w:szCs w:val="20"/>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23.9% (2)</w:t>
            </w:r>
          </w:p>
        </w:tc>
        <w:tc>
          <w:tcPr>
            <w:tcW w:w="9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89"/>
              </w:rPr>
              <w:t>14</w:t>
            </w:r>
          </w:p>
        </w:tc>
        <w:tc>
          <w:tcPr>
            <w:tcW w:w="920" w:type="dxa"/>
            <w:vAlign w:val="bottom"/>
            <w:tcBorders>
              <w:right w:val="single" w:sz="8" w:color="auto"/>
            </w:tcBorders>
          </w:tcPr>
          <w:p>
            <w:pPr>
              <w:spacing w:after="0"/>
              <w:rPr>
                <w:sz w:val="20"/>
                <w:szCs w:val="20"/>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HC, IN</w:t>
            </w:r>
          </w:p>
        </w:tc>
        <w:tc>
          <w:tcPr>
            <w:tcW w:w="9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(i) 19,407,261 Common Shares of the Issuer, and (ii) 475,556 Common Shares that would result from the exercise of 475,571 Warrants.</w:t>
      </w:r>
    </w:p>
    <w:p>
      <w:pPr>
        <w:spacing w:after="0" w:line="46" w:lineRule="exact"/>
        <w:rPr>
          <w:rFonts w:ascii="Arial" w:cs="Arial" w:eastAsia="Arial" w:hAnsi="Arial"/>
          <w:sz w:val="16"/>
          <w:szCs w:val="16"/>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83,319,721 Common Shares outstanding, as reported on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4" w:name="page5"/>
    <w:bookmarkEnd w:id="4"/>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4018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b w:val="1"/>
          <w:bCs w:val="1"/>
          <w:color w:val="auto"/>
        </w:rPr>
        <w:t>CUSIP No. 13057Q305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5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-124460</wp:posOffset>
            </wp:positionV>
            <wp:extent cx="144018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240" w:space="720"/>
            <w:col w:w="4720" w:space="720"/>
            <w:col w:w="840"/>
          </w:cols>
          <w:pgMar w:left="320" w:top="135" w:right="339" w:bottom="1440" w:gutter="0" w:footer="0" w:header="0"/>
        </w:sectPr>
      </w:pPr>
    </w:p>
    <w:p>
      <w:pPr>
        <w:spacing w:after="0" w:line="312"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4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920" w:type="dxa"/>
            <w:vAlign w:val="bottom"/>
            <w:tcBorders>
              <w:top w:val="single" w:sz="8" w:color="auto"/>
              <w:right w:val="single" w:sz="8" w:color="auto"/>
            </w:tcBorders>
          </w:tcPr>
          <w:p>
            <w:pPr>
              <w:spacing w:after="0"/>
              <w:rPr>
                <w:sz w:val="22"/>
                <w:szCs w:val="22"/>
                <w:color w:val="auto"/>
              </w:rPr>
            </w:pPr>
          </w:p>
        </w:tc>
        <w:tc>
          <w:tcPr>
            <w:tcW w:w="87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NAME OF REPORTING PERSON</w:t>
            </w:r>
          </w:p>
        </w:tc>
        <w:tc>
          <w:tcPr>
            <w:tcW w:w="136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GoldenTree Distressed Master Fund III LTD</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40" w:type="dxa"/>
            <w:vAlign w:val="bottom"/>
            <w:tcBorders>
              <w:left w:val="single" w:sz="8" w:color="auto"/>
            </w:tcBorders>
          </w:tcPr>
          <w:p>
            <w:pPr>
              <w:ind w:left="40"/>
              <w:spacing w:after="0" w:line="169" w:lineRule="exact"/>
              <w:rPr>
                <w:sz w:val="20"/>
                <w:szCs w:val="20"/>
                <w:color w:val="auto"/>
              </w:rPr>
            </w:pPr>
            <w:r>
              <w:rPr>
                <w:rFonts w:ascii="Arial" w:cs="Arial" w:eastAsia="Arial" w:hAnsi="Arial"/>
                <w:sz w:val="18"/>
                <w:szCs w:val="18"/>
                <w:color w:val="auto"/>
              </w:rPr>
              <w:t>2</w:t>
            </w:r>
          </w:p>
        </w:tc>
        <w:tc>
          <w:tcPr>
            <w:tcW w:w="920" w:type="dxa"/>
            <w:vAlign w:val="bottom"/>
            <w:tcBorders>
              <w:right w:val="single" w:sz="8" w:color="auto"/>
            </w:tcBorders>
          </w:tcPr>
          <w:p>
            <w:pPr>
              <w:spacing w:after="0"/>
              <w:rPr>
                <w:sz w:val="14"/>
                <w:szCs w:val="14"/>
                <w:color w:val="auto"/>
              </w:rPr>
            </w:pPr>
          </w:p>
        </w:tc>
        <w:tc>
          <w:tcPr>
            <w:tcW w:w="8720" w:type="dxa"/>
            <w:vAlign w:val="bottom"/>
            <w:gridSpan w:val="3"/>
          </w:tcPr>
          <w:p>
            <w:pPr>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Borders>
              <w:right w:val="single" w:sz="8" w:color="auto"/>
            </w:tcBorders>
          </w:tcPr>
          <w:p>
            <w:pPr>
              <w:ind w:left="22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40" w:type="dxa"/>
            <w:vAlign w:val="bottom"/>
            <w:tcBorders>
              <w:left w:val="single" w:sz="8" w:color="auto"/>
            </w:tcBorders>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360" w:type="dxa"/>
            <w:vAlign w:val="bottom"/>
            <w:tcBorders>
              <w:right w:val="single" w:sz="8" w:color="auto"/>
            </w:tcBorders>
          </w:tcPr>
          <w:p>
            <w:pPr>
              <w:ind w:left="2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240" w:type="dxa"/>
            <w:vAlign w:val="bottom"/>
            <w:tcBorders>
              <w:left w:val="single" w:sz="8" w:color="auto"/>
              <w:bottom w:val="single" w:sz="8" w:color="auto"/>
            </w:tcBorders>
          </w:tcPr>
          <w:p>
            <w:pPr>
              <w:spacing w:after="0"/>
              <w:rPr>
                <w:sz w:val="17"/>
                <w:szCs w:val="17"/>
                <w:color w:val="auto"/>
              </w:rPr>
            </w:pPr>
          </w:p>
        </w:tc>
        <w:tc>
          <w:tcPr>
            <w:tcW w:w="920" w:type="dxa"/>
            <w:vAlign w:val="bottom"/>
            <w:tcBorders>
              <w:bottom w:val="single" w:sz="8" w:color="auto"/>
              <w:right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920" w:type="dxa"/>
            <w:vAlign w:val="bottom"/>
            <w:tcBorders>
              <w:bottom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920" w:type="dxa"/>
            <w:vAlign w:val="bottom"/>
            <w:tcBorders>
              <w:right w:val="single" w:sz="8" w:color="auto"/>
            </w:tcBorders>
          </w:tcPr>
          <w:p>
            <w:pPr>
              <w:spacing w:after="0"/>
              <w:rPr>
                <w:sz w:val="20"/>
                <w:szCs w:val="20"/>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SEC USE ONLY</w:t>
            </w:r>
          </w:p>
        </w:tc>
        <w:tc>
          <w:tcPr>
            <w:tcW w:w="692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920" w:type="dxa"/>
            <w:vAlign w:val="bottom"/>
            <w:tcBorders>
              <w:right w:val="single" w:sz="8" w:color="auto"/>
            </w:tcBorders>
          </w:tcPr>
          <w:p>
            <w:pPr>
              <w:spacing w:after="0"/>
              <w:rPr>
                <w:sz w:val="20"/>
                <w:szCs w:val="20"/>
                <w:color w:val="auto"/>
              </w:rPr>
            </w:pPr>
          </w:p>
        </w:tc>
        <w:tc>
          <w:tcPr>
            <w:tcW w:w="1800" w:type="dxa"/>
            <w:vAlign w:val="bottom"/>
            <w:gridSpan w:val="2"/>
          </w:tcPr>
          <w:p>
            <w:pPr>
              <w:spacing w:after="0"/>
              <w:rPr>
                <w:sz w:val="20"/>
                <w:szCs w:val="20"/>
                <w:color w:val="auto"/>
              </w:rPr>
            </w:pPr>
            <w:r>
              <w:rPr>
                <w:rFonts w:ascii="Arial" w:cs="Arial" w:eastAsia="Arial" w:hAnsi="Arial"/>
                <w:sz w:val="18"/>
                <w:szCs w:val="18"/>
                <w:color w:val="auto"/>
              </w:rPr>
              <w:t>SOURCE OF FUNDS</w:t>
            </w:r>
          </w:p>
        </w:tc>
        <w:tc>
          <w:tcPr>
            <w:tcW w:w="6920" w:type="dxa"/>
            <w:vAlign w:val="bottom"/>
          </w:tcPr>
          <w:p>
            <w:pPr>
              <w:spacing w:after="0"/>
              <w:rPr>
                <w:sz w:val="20"/>
                <w:szCs w:val="20"/>
                <w:color w:val="auto"/>
              </w:rPr>
            </w:pP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9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5</w:t>
            </w:r>
          </w:p>
        </w:tc>
        <w:tc>
          <w:tcPr>
            <w:tcW w:w="920" w:type="dxa"/>
            <w:vAlign w:val="bottom"/>
            <w:tcBorders>
              <w:right w:val="single" w:sz="8" w:color="auto"/>
            </w:tcBorders>
          </w:tcPr>
          <w:p>
            <w:pPr>
              <w:spacing w:after="0"/>
              <w:rPr>
                <w:sz w:val="24"/>
                <w:szCs w:val="24"/>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w w:val="97"/>
              </w:rPr>
              <w:t>CHECK BOX IF DISCLOSURE OF LEGAL PROCEEDINGS IS REQUIRED PURSUANT TO ITEMS 2(d) or 2(e)</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6</w:t>
            </w:r>
          </w:p>
        </w:tc>
        <w:tc>
          <w:tcPr>
            <w:tcW w:w="920" w:type="dxa"/>
            <w:vAlign w:val="bottom"/>
            <w:tcBorders>
              <w:right w:val="single" w:sz="8" w:color="auto"/>
            </w:tcBorders>
          </w:tcPr>
          <w:p>
            <w:pPr>
              <w:spacing w:after="0"/>
              <w:rPr>
                <w:sz w:val="20"/>
                <w:szCs w:val="20"/>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United States of America</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w:t>
            </w:r>
          </w:p>
        </w:tc>
        <w:tc>
          <w:tcPr>
            <w:tcW w:w="6920" w:type="dxa"/>
            <w:vAlign w:val="bottom"/>
          </w:tcPr>
          <w:p>
            <w:pPr>
              <w:spacing w:after="0"/>
              <w:rPr>
                <w:sz w:val="20"/>
                <w:szCs w:val="20"/>
                <w:color w:val="auto"/>
              </w:rPr>
            </w:pPr>
            <w:r>
              <w:rPr>
                <w:rFonts w:ascii="Arial" w:cs="Arial" w:eastAsia="Arial" w:hAnsi="Arial"/>
                <w:sz w:val="18"/>
                <w:szCs w:val="18"/>
                <w:color w:val="auto"/>
              </w:rPr>
              <w:t>SOLE VOTING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40" w:type="dxa"/>
            <w:vAlign w:val="bottom"/>
            <w:tcBorders>
              <w:left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40" w:type="dxa"/>
            <w:vAlign w:val="bottom"/>
            <w:tcBorders>
              <w:left w:val="single" w:sz="8" w:color="auto"/>
            </w:tcBorders>
          </w:tcPr>
          <w:p>
            <w:pPr>
              <w:spacing w:after="0"/>
              <w:rPr>
                <w:sz w:val="18"/>
                <w:szCs w:val="18"/>
                <w:color w:val="auto"/>
              </w:rPr>
            </w:pPr>
          </w:p>
        </w:tc>
        <w:tc>
          <w:tcPr>
            <w:tcW w:w="1820" w:type="dxa"/>
            <w:vAlign w:val="bottom"/>
            <w:tcBorders>
              <w:right w:val="single" w:sz="8" w:color="auto"/>
            </w:tcBorders>
            <w:gridSpan w:val="2"/>
          </w:tcPr>
          <w:p>
            <w:pPr>
              <w:jc w:val="center"/>
              <w:ind w:right="130"/>
              <w:spacing w:after="0"/>
              <w:rPr>
                <w:sz w:val="20"/>
                <w:szCs w:val="20"/>
                <w:color w:val="auto"/>
              </w:rPr>
            </w:pPr>
            <w:r>
              <w:rPr>
                <w:rFonts w:ascii="Arial" w:cs="Arial" w:eastAsia="Arial" w:hAnsi="Arial"/>
                <w:sz w:val="18"/>
                <w:szCs w:val="18"/>
                <w:color w:val="auto"/>
                <w:w w:val="96"/>
              </w:rPr>
              <w:t>NUMBER OF</w:t>
            </w: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w:t>
            </w:r>
          </w:p>
        </w:tc>
        <w:tc>
          <w:tcPr>
            <w:tcW w:w="6920" w:type="dxa"/>
            <w:vAlign w:val="bottom"/>
          </w:tcPr>
          <w:p>
            <w:pPr>
              <w:spacing w:after="0"/>
              <w:rPr>
                <w:sz w:val="20"/>
                <w:szCs w:val="20"/>
                <w:color w:val="auto"/>
              </w:rPr>
            </w:pPr>
            <w:r>
              <w:rPr>
                <w:rFonts w:ascii="Arial" w:cs="Arial" w:eastAsia="Arial" w:hAnsi="Arial"/>
                <w:sz w:val="18"/>
                <w:szCs w:val="18"/>
                <w:color w:val="auto"/>
              </w:rPr>
              <w:t>SHARED VOTING POWER</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Borders>
              <w:left w:val="single" w:sz="8" w:color="auto"/>
            </w:tcBorders>
          </w:tcPr>
          <w:p>
            <w:pPr>
              <w:spacing w:after="0"/>
              <w:rPr>
                <w:sz w:val="18"/>
                <w:szCs w:val="18"/>
                <w:color w:val="auto"/>
              </w:rPr>
            </w:pPr>
          </w:p>
        </w:tc>
        <w:tc>
          <w:tcPr>
            <w:tcW w:w="182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94"/>
              </w:rPr>
              <w:t>SHARES</w:t>
            </w:r>
          </w:p>
        </w:tc>
        <w:tc>
          <w:tcPr>
            <w:tcW w:w="900" w:type="dxa"/>
            <w:vAlign w:val="bottom"/>
            <w:tcBorders>
              <w:right w:val="single" w:sz="8" w:color="auto"/>
            </w:tcBorders>
          </w:tcPr>
          <w:p>
            <w:pPr>
              <w:spacing w:after="0"/>
              <w:rPr>
                <w:sz w:val="18"/>
                <w:szCs w:val="18"/>
                <w:color w:val="auto"/>
              </w:rPr>
            </w:pPr>
          </w:p>
        </w:tc>
        <w:tc>
          <w:tcPr>
            <w:tcW w:w="6920" w:type="dxa"/>
            <w:vAlign w:val="bottom"/>
            <w:vMerge w:val="restart"/>
          </w:tcPr>
          <w:p>
            <w:pPr>
              <w:spacing w:after="0"/>
              <w:rPr>
                <w:sz w:val="20"/>
                <w:szCs w:val="20"/>
                <w:color w:val="auto"/>
              </w:rPr>
            </w:pPr>
            <w:r>
              <w:rPr>
                <w:rFonts w:ascii="Arial" w:cs="Arial" w:eastAsia="Arial" w:hAnsi="Arial"/>
                <w:sz w:val="18"/>
                <w:szCs w:val="18"/>
                <w:color w:val="auto"/>
              </w:rPr>
              <w:t>5,245,348 (1)</w:t>
            </w: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40" w:type="dxa"/>
            <w:vAlign w:val="bottom"/>
            <w:tcBorders>
              <w:left w:val="single" w:sz="8" w:color="auto"/>
            </w:tcBorders>
          </w:tcPr>
          <w:p>
            <w:pPr>
              <w:spacing w:after="0"/>
              <w:rPr>
                <w:sz w:val="19"/>
                <w:szCs w:val="19"/>
                <w:color w:val="auto"/>
              </w:rPr>
            </w:pPr>
          </w:p>
        </w:tc>
        <w:tc>
          <w:tcPr>
            <w:tcW w:w="182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99"/>
              </w:rPr>
              <w:t>BENEFICIALLY</w:t>
            </w:r>
          </w:p>
        </w:tc>
        <w:tc>
          <w:tcPr>
            <w:tcW w:w="900" w:type="dxa"/>
            <w:vAlign w:val="bottom"/>
            <w:tcBorders>
              <w:bottom w:val="single" w:sz="8" w:color="auto"/>
              <w:right w:val="single" w:sz="8" w:color="auto"/>
            </w:tcBorders>
          </w:tcPr>
          <w:p>
            <w:pPr>
              <w:spacing w:after="0"/>
              <w:rPr>
                <w:sz w:val="19"/>
                <w:szCs w:val="19"/>
                <w:color w:val="auto"/>
              </w:rPr>
            </w:pPr>
          </w:p>
        </w:tc>
        <w:tc>
          <w:tcPr>
            <w:tcW w:w="6920" w:type="dxa"/>
            <w:vAlign w:val="bottom"/>
            <w:tcBorders>
              <w:bottom w:val="single" w:sz="8" w:color="auto"/>
            </w:tcBorders>
            <w:vMerge w:val="continue"/>
          </w:tcPr>
          <w:p>
            <w:pPr>
              <w:spacing w:after="0"/>
              <w:rPr>
                <w:sz w:val="19"/>
                <w:szCs w:val="19"/>
                <w:color w:val="auto"/>
              </w:rPr>
            </w:pPr>
          </w:p>
        </w:tc>
        <w:tc>
          <w:tcPr>
            <w:tcW w:w="1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40" w:type="dxa"/>
            <w:vAlign w:val="bottom"/>
            <w:tcBorders>
              <w:left w:val="single" w:sz="8" w:color="auto"/>
            </w:tcBorders>
          </w:tcPr>
          <w:p>
            <w:pPr>
              <w:spacing w:after="0"/>
              <w:rPr>
                <w:sz w:val="16"/>
                <w:szCs w:val="16"/>
                <w:color w:val="auto"/>
              </w:rPr>
            </w:pPr>
          </w:p>
        </w:tc>
        <w:tc>
          <w:tcPr>
            <w:tcW w:w="1820" w:type="dxa"/>
            <w:vAlign w:val="bottom"/>
            <w:tcBorders>
              <w:right w:val="single" w:sz="8" w:color="auto"/>
            </w:tcBorders>
            <w:gridSpan w:val="2"/>
          </w:tcPr>
          <w:p>
            <w:pPr>
              <w:jc w:val="center"/>
              <w:ind w:right="150"/>
              <w:spacing w:after="0" w:line="189" w:lineRule="exact"/>
              <w:rPr>
                <w:sz w:val="20"/>
                <w:szCs w:val="20"/>
                <w:color w:val="auto"/>
              </w:rPr>
            </w:pPr>
            <w:r>
              <w:rPr>
                <w:rFonts w:ascii="Arial" w:cs="Arial" w:eastAsia="Arial" w:hAnsi="Arial"/>
                <w:sz w:val="18"/>
                <w:szCs w:val="18"/>
                <w:color w:val="auto"/>
                <w:w w:val="97"/>
              </w:rPr>
              <w:t>OWNED BY EACH</w:t>
            </w:r>
          </w:p>
        </w:tc>
        <w:tc>
          <w:tcPr>
            <w:tcW w:w="900" w:type="dxa"/>
            <w:vAlign w:val="bottom"/>
            <w:tcBorders>
              <w:right w:val="single" w:sz="8" w:color="auto"/>
            </w:tcBorders>
          </w:tcPr>
          <w:p>
            <w:pPr>
              <w:spacing w:after="0" w:line="189" w:lineRule="exact"/>
              <w:rPr>
                <w:sz w:val="20"/>
                <w:szCs w:val="20"/>
                <w:color w:val="auto"/>
              </w:rPr>
            </w:pPr>
            <w:r>
              <w:rPr>
                <w:rFonts w:ascii="Arial" w:cs="Arial" w:eastAsia="Arial" w:hAnsi="Arial"/>
                <w:sz w:val="18"/>
                <w:szCs w:val="18"/>
                <w:color w:val="auto"/>
              </w:rPr>
              <w:t>9</w:t>
            </w:r>
          </w:p>
        </w:tc>
        <w:tc>
          <w:tcPr>
            <w:tcW w:w="6920" w:type="dxa"/>
            <w:vAlign w:val="bottom"/>
          </w:tcPr>
          <w:p>
            <w:pPr>
              <w:spacing w:after="0" w:line="189" w:lineRule="exact"/>
              <w:rPr>
                <w:sz w:val="20"/>
                <w:szCs w:val="20"/>
                <w:color w:val="auto"/>
              </w:rPr>
            </w:pPr>
            <w:r>
              <w:rPr>
                <w:rFonts w:ascii="Arial" w:cs="Arial" w:eastAsia="Arial" w:hAnsi="Arial"/>
                <w:sz w:val="18"/>
                <w:szCs w:val="18"/>
                <w:color w:val="auto"/>
              </w:rPr>
              <w:t>SOLE DISPOSITIVE POWER</w:t>
            </w:r>
          </w:p>
        </w:tc>
        <w:tc>
          <w:tcPr>
            <w:tcW w:w="1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2"/>
              </w:rPr>
              <w:t>REPORTING PERSON</w:t>
            </w:r>
          </w:p>
        </w:tc>
        <w:tc>
          <w:tcPr>
            <w:tcW w:w="900" w:type="dxa"/>
            <w:vAlign w:val="bottom"/>
            <w:tcBorders>
              <w:right w:val="single" w:sz="8" w:color="auto"/>
            </w:tcBorders>
          </w:tcPr>
          <w:p>
            <w:pPr>
              <w:spacing w:after="0"/>
              <w:rPr>
                <w:sz w:val="18"/>
                <w:szCs w:val="18"/>
                <w:color w:val="auto"/>
              </w:rPr>
            </w:pPr>
          </w:p>
        </w:tc>
        <w:tc>
          <w:tcPr>
            <w:tcW w:w="6920" w:type="dxa"/>
            <w:vAlign w:val="bottom"/>
          </w:tcPr>
          <w:p>
            <w:pPr>
              <w:spacing w:after="0"/>
              <w:rPr>
                <w:sz w:val="18"/>
                <w:szCs w:val="18"/>
                <w:color w:val="auto"/>
              </w:rPr>
            </w:pPr>
          </w:p>
        </w:tc>
        <w:tc>
          <w:tcPr>
            <w:tcW w:w="1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40" w:type="dxa"/>
            <w:vAlign w:val="bottom"/>
            <w:tcBorders>
              <w:left w:val="single" w:sz="8" w:color="auto"/>
            </w:tcBorders>
          </w:tcPr>
          <w:p>
            <w:pPr>
              <w:spacing w:after="0"/>
              <w:rPr>
                <w:sz w:val="21"/>
                <w:szCs w:val="21"/>
                <w:color w:val="auto"/>
              </w:rPr>
            </w:pPr>
          </w:p>
        </w:tc>
        <w:tc>
          <w:tcPr>
            <w:tcW w:w="182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99"/>
              </w:rPr>
              <w:t>WITH</w:t>
            </w:r>
          </w:p>
        </w:tc>
        <w:tc>
          <w:tcPr>
            <w:tcW w:w="900" w:type="dxa"/>
            <w:vAlign w:val="bottom"/>
            <w:tcBorders>
              <w:bottom w:val="single" w:sz="8" w:color="auto"/>
              <w:right w:val="single" w:sz="8" w:color="auto"/>
            </w:tcBorders>
          </w:tcPr>
          <w:p>
            <w:pPr>
              <w:spacing w:after="0"/>
              <w:rPr>
                <w:sz w:val="21"/>
                <w:szCs w:val="21"/>
                <w:color w:val="auto"/>
              </w:rPr>
            </w:pPr>
          </w:p>
        </w:tc>
        <w:tc>
          <w:tcPr>
            <w:tcW w:w="6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1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40" w:type="dxa"/>
            <w:vAlign w:val="bottom"/>
            <w:tcBorders>
              <w:left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w:t>
            </w:r>
          </w:p>
        </w:tc>
        <w:tc>
          <w:tcPr>
            <w:tcW w:w="692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5,245,348</w:t>
            </w: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89"/>
              </w:rPr>
              <w:t>11</w:t>
            </w:r>
          </w:p>
        </w:tc>
        <w:tc>
          <w:tcPr>
            <w:tcW w:w="920" w:type="dxa"/>
            <w:vAlign w:val="bottom"/>
            <w:tcBorders>
              <w:right w:val="single" w:sz="8" w:color="auto"/>
            </w:tcBorders>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75"/>
              </w:rPr>
              <w:t>AGGREGATE</w:t>
            </w:r>
          </w:p>
        </w:tc>
        <w:tc>
          <w:tcPr>
            <w:tcW w:w="900" w:type="dxa"/>
            <w:vAlign w:val="bottom"/>
          </w:tcPr>
          <w:p>
            <w:pPr>
              <w:ind w:left="220"/>
              <w:spacing w:after="0"/>
              <w:rPr>
                <w:sz w:val="20"/>
                <w:szCs w:val="20"/>
                <w:color w:val="auto"/>
              </w:rPr>
            </w:pPr>
            <w:r>
              <w:rPr>
                <w:rFonts w:ascii="Arial" w:cs="Arial" w:eastAsia="Arial" w:hAnsi="Arial"/>
                <w:sz w:val="18"/>
                <w:szCs w:val="18"/>
                <w:color w:val="auto"/>
                <w:w w:val="81"/>
              </w:rPr>
              <w:t>AMOUNT</w:t>
            </w:r>
          </w:p>
        </w:tc>
        <w:tc>
          <w:tcPr>
            <w:tcW w:w="6920" w:type="dxa"/>
            <w:vAlign w:val="bottom"/>
          </w:tcPr>
          <w:p>
            <w:pPr>
              <w:ind w:left="160"/>
              <w:spacing w:after="0"/>
              <w:rPr>
                <w:sz w:val="20"/>
                <w:szCs w:val="20"/>
                <w:color w:val="auto"/>
              </w:rPr>
            </w:pPr>
            <w:r>
              <w:rPr>
                <w:rFonts w:ascii="Arial" w:cs="Arial" w:eastAsia="Arial" w:hAnsi="Arial"/>
                <w:sz w:val="18"/>
                <w:szCs w:val="18"/>
                <w:color w:val="auto"/>
              </w:rPr>
              <w:t>BENEFICIALLY OWNED BY EACH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5,245,348</w:t>
            </w:r>
          </w:p>
        </w:tc>
        <w:tc>
          <w:tcPr>
            <w:tcW w:w="9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89"/>
              </w:rPr>
              <w:t>12</w:t>
            </w:r>
          </w:p>
        </w:tc>
        <w:tc>
          <w:tcPr>
            <w:tcW w:w="920" w:type="dxa"/>
            <w:vAlign w:val="bottom"/>
            <w:tcBorders>
              <w:right w:val="single" w:sz="8" w:color="auto"/>
            </w:tcBorders>
          </w:tcPr>
          <w:p>
            <w:pPr>
              <w:spacing w:after="0"/>
              <w:rPr>
                <w:sz w:val="24"/>
                <w:szCs w:val="24"/>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360" w:type="dxa"/>
            <w:vAlign w:val="bottom"/>
            <w:tcBorders>
              <w:right w:val="single" w:sz="8" w:color="auto"/>
            </w:tcBorders>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8720" w:type="dxa"/>
            <w:vAlign w:val="bottom"/>
            <w:tcBorders>
              <w:bottom w:val="single" w:sz="8" w:color="auto"/>
            </w:tcBorders>
            <w:gridSpan w:val="3"/>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89"/>
              </w:rPr>
              <w:t>13</w:t>
            </w:r>
          </w:p>
        </w:tc>
        <w:tc>
          <w:tcPr>
            <w:tcW w:w="920" w:type="dxa"/>
            <w:vAlign w:val="bottom"/>
            <w:tcBorders>
              <w:right w:val="single" w:sz="8" w:color="auto"/>
            </w:tcBorders>
          </w:tcPr>
          <w:p>
            <w:pPr>
              <w:spacing w:after="0"/>
              <w:rPr>
                <w:sz w:val="20"/>
                <w:szCs w:val="20"/>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(11)</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6.3% (2)</w:t>
            </w:r>
          </w:p>
        </w:tc>
        <w:tc>
          <w:tcPr>
            <w:tcW w:w="9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89"/>
              </w:rPr>
              <w:t>14</w:t>
            </w:r>
          </w:p>
        </w:tc>
        <w:tc>
          <w:tcPr>
            <w:tcW w:w="920" w:type="dxa"/>
            <w:vAlign w:val="bottom"/>
            <w:tcBorders>
              <w:right w:val="single" w:sz="8" w:color="auto"/>
            </w:tcBorders>
          </w:tcPr>
          <w:p>
            <w:pPr>
              <w:spacing w:after="0"/>
              <w:rPr>
                <w:sz w:val="20"/>
                <w:szCs w:val="20"/>
                <w:color w:val="auto"/>
              </w:rPr>
            </w:pPr>
          </w:p>
        </w:tc>
        <w:tc>
          <w:tcPr>
            <w:tcW w:w="872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1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40" w:type="dxa"/>
            <w:vAlign w:val="bottom"/>
            <w:tcBorders>
              <w:left w:val="single" w:sz="8" w:color="auto"/>
              <w:bottom w:val="single" w:sz="8" w:color="auto"/>
            </w:tcBorders>
          </w:tcPr>
          <w:p>
            <w:pPr>
              <w:spacing w:after="0"/>
              <w:rPr>
                <w:sz w:val="24"/>
                <w:szCs w:val="24"/>
                <w:color w:val="auto"/>
              </w:rPr>
            </w:pPr>
          </w:p>
        </w:tc>
        <w:tc>
          <w:tcPr>
            <w:tcW w:w="9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w:t>
            </w:r>
          </w:p>
        </w:tc>
        <w:tc>
          <w:tcPr>
            <w:tcW w:w="9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(i) 5,086,101 Common Shares of the Issuer, and (ii) 159,247 Common Shares that would result from the exercise of 159,247 Warrants.</w:t>
      </w:r>
    </w:p>
    <w:p>
      <w:pPr>
        <w:spacing w:after="0" w:line="46" w:lineRule="exact"/>
        <w:rPr>
          <w:rFonts w:ascii="Arial" w:cs="Arial" w:eastAsia="Arial" w:hAnsi="Arial"/>
          <w:sz w:val="16"/>
          <w:szCs w:val="16"/>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83,319,721 Common Shares outstanding, as reported on the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type w:val="continuous"/>
        </w:sectPr>
      </w:pPr>
    </w:p>
    <w:bookmarkStart w:id="5" w:name="page6"/>
    <w:bookmarkEnd w:id="5"/>
    <w:tbl>
      <w:tblPr>
        <w:tblLayout w:type="fixed"/>
        <w:tblInd w:w="10" w:type="dxa"/>
        <w:tblCellMar>
          <w:top w:w="0" w:type="dxa"/>
          <w:left w:w="0" w:type="dxa"/>
          <w:bottom w:w="0" w:type="dxa"/>
          <w:right w:w="0" w:type="dxa"/>
        </w:tblCellMar>
      </w:tblPr>
      <w:tr>
        <w:trPr>
          <w:trHeight w:val="250"/>
        </w:trPr>
        <w:tc>
          <w:tcPr>
            <w:tcW w:w="22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13057Q305</w:t>
            </w:r>
          </w:p>
        </w:tc>
        <w:tc>
          <w:tcPr>
            <w:tcW w:w="4020" w:type="dxa"/>
            <w:vAlign w:val="bottom"/>
          </w:tcPr>
          <w:p>
            <w:pPr>
              <w:ind w:left="2680"/>
              <w:spacing w:after="0"/>
              <w:rPr>
                <w:sz w:val="20"/>
                <w:szCs w:val="20"/>
                <w:color w:val="auto"/>
              </w:rPr>
            </w:pPr>
            <w:r>
              <w:rPr>
                <w:rFonts w:ascii="Arial" w:cs="Arial" w:eastAsia="Arial" w:hAnsi="Arial"/>
                <w:sz w:val="18"/>
                <w:szCs w:val="18"/>
                <w:b w:val="1"/>
                <w:bCs w:val="1"/>
                <w:color w:val="auto"/>
                <w:w w:val="96"/>
              </w:rPr>
              <w:t>SCHEDULE 13D</w:t>
            </w:r>
          </w:p>
        </w:tc>
      </w:tr>
    </w:tbl>
    <w:p>
      <w:pPr>
        <w:spacing w:after="0" w:line="200" w:lineRule="exact"/>
        <w:rPr>
          <w:sz w:val="20"/>
          <w:szCs w:val="20"/>
          <w:color w:val="auto"/>
        </w:rPr>
      </w:pPr>
    </w:p>
    <w:p>
      <w:pPr>
        <w:spacing w:after="0" w:line="26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Security and Issuer.</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Page 6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-124460</wp:posOffset>
            </wp:positionV>
            <wp:extent cx="14401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947" w:lineRule="exact"/>
        <w:rPr>
          <w:sz w:val="20"/>
          <w:szCs w:val="20"/>
          <w:color w:val="auto"/>
        </w:rPr>
      </w:pPr>
    </w:p>
    <w:p>
      <w:pPr>
        <w:sectPr>
          <w:pgSz w:w="11900" w:h="16838" w:orient="portrait"/>
          <w:cols w:equalWidth="0" w:num="2">
            <w:col w:w="9680" w:space="720"/>
            <w:col w:w="840"/>
          </w:cols>
          <w:pgMar w:left="320" w:top="120" w:right="339" w:bottom="1440" w:gutter="0" w:footer="0" w:header="0"/>
        </w:sectPr>
      </w:pPr>
    </w:p>
    <w:p>
      <w:pPr>
        <w:spacing w:after="0" w:line="89" w:lineRule="exact"/>
        <w:rPr>
          <w:sz w:val="20"/>
          <w:szCs w:val="20"/>
          <w:color w:val="auto"/>
        </w:rPr>
      </w:pPr>
    </w:p>
    <w:p>
      <w:pPr>
        <w:ind w:right="220"/>
        <w:spacing w:after="0" w:line="261" w:lineRule="auto"/>
        <w:rPr>
          <w:sz w:val="20"/>
          <w:szCs w:val="20"/>
          <w:color w:val="auto"/>
        </w:rPr>
      </w:pPr>
      <w:r>
        <w:rPr>
          <w:rFonts w:ascii="Arial" w:cs="Arial" w:eastAsia="Arial" w:hAnsi="Arial"/>
          <w:sz w:val="22"/>
          <w:szCs w:val="22"/>
          <w:color w:val="auto"/>
        </w:rPr>
        <w:t>This Amendment No. 1 to Schedule 13D ( as so amended, the “</w:t>
      </w:r>
      <w:r>
        <w:rPr>
          <w:rFonts w:ascii="Arial" w:cs="Arial" w:eastAsia="Arial" w:hAnsi="Arial"/>
          <w:sz w:val="22"/>
          <w:szCs w:val="22"/>
          <w:u w:val="single" w:color="auto"/>
          <w:color w:val="auto"/>
        </w:rPr>
        <w:t>Schedule 13D</w:t>
      </w:r>
      <w:r>
        <w:rPr>
          <w:rFonts w:ascii="Arial" w:cs="Arial" w:eastAsia="Arial" w:hAnsi="Arial"/>
          <w:sz w:val="22"/>
          <w:szCs w:val="22"/>
          <w:color w:val="auto"/>
        </w:rPr>
        <w:t>”) is being filed to amend the Schedule 13D as originally filed with the SEC on November 6, 2020 to correct certain information regarding the holdings of the Reporting Persons, and relates to the common shares, $0.01 par value per share (the “</w:t>
      </w:r>
      <w:r>
        <w:rPr>
          <w:rFonts w:ascii="Arial" w:cs="Arial" w:eastAsia="Arial" w:hAnsi="Arial"/>
          <w:sz w:val="22"/>
          <w:szCs w:val="22"/>
          <w:u w:val="single" w:color="auto"/>
          <w:color w:val="auto"/>
        </w:rPr>
        <w:t>Common Shares</w:t>
      </w:r>
      <w:r>
        <w:rPr>
          <w:rFonts w:ascii="Arial" w:cs="Arial" w:eastAsia="Arial" w:hAnsi="Arial"/>
          <w:sz w:val="22"/>
          <w:szCs w:val="22"/>
          <w:color w:val="auto"/>
        </w:rPr>
        <w:t>”), of California Resources Corporation (the “</w:t>
      </w:r>
      <w:r>
        <w:rPr>
          <w:rFonts w:ascii="Arial" w:cs="Arial" w:eastAsia="Arial" w:hAnsi="Arial"/>
          <w:sz w:val="22"/>
          <w:szCs w:val="22"/>
          <w:u w:val="single" w:color="auto"/>
          <w:color w:val="auto"/>
        </w:rPr>
        <w:t>Issuer</w:t>
      </w:r>
      <w:r>
        <w:rPr>
          <w:rFonts w:ascii="Arial" w:cs="Arial" w:eastAsia="Arial" w:hAnsi="Arial"/>
          <w:sz w:val="22"/>
          <w:szCs w:val="22"/>
          <w:color w:val="auto"/>
        </w:rPr>
        <w:t>”). The address of the principal executive offices of the Issuer is 27200 Tourney Road, Suite 200, Santa Clarita, California.</w:t>
      </w:r>
    </w:p>
    <w:p>
      <w:pPr>
        <w:spacing w:after="0" w:line="23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color w:val="auto"/>
        </w:rPr>
        <w:t>No material change.</w:t>
      </w:r>
    </w:p>
    <w:p>
      <w:pPr>
        <w:spacing w:after="0" w:line="27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color w:val="auto"/>
        </w:rPr>
        <w:t>Item 3 is amended and restated as follows: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The disclosure in Item 4 below is incorporated herein by reference.</w:t>
      </w:r>
    </w:p>
    <w:p>
      <w:pPr>
        <w:spacing w:after="0" w:line="287" w:lineRule="exact"/>
        <w:rPr>
          <w:sz w:val="20"/>
          <w:szCs w:val="20"/>
          <w:color w:val="auto"/>
        </w:rPr>
      </w:pPr>
    </w:p>
    <w:p>
      <w:pPr>
        <w:spacing w:after="0" w:line="273" w:lineRule="auto"/>
        <w:rPr>
          <w:sz w:val="20"/>
          <w:szCs w:val="20"/>
          <w:color w:val="auto"/>
        </w:rPr>
      </w:pPr>
      <w:r>
        <w:rPr>
          <w:rFonts w:ascii="Arial" w:cs="Arial" w:eastAsia="Arial" w:hAnsi="Arial"/>
          <w:sz w:val="21"/>
          <w:szCs w:val="21"/>
          <w:color w:val="auto"/>
        </w:rPr>
        <w:t>On July 15, 2020, the Issuer and certain of its subsidiaries filed voluntary petitions for reorganization under Chapter 11 of Title 11 of the United States Code (the “</w:t>
      </w:r>
      <w:r>
        <w:rPr>
          <w:rFonts w:ascii="Arial" w:cs="Arial" w:eastAsia="Arial" w:hAnsi="Arial"/>
          <w:sz w:val="21"/>
          <w:szCs w:val="21"/>
          <w:u w:val="single" w:color="auto"/>
          <w:color w:val="auto"/>
        </w:rPr>
        <w:t>Bankruptcy Code</w:t>
      </w:r>
      <w:r>
        <w:rPr>
          <w:rFonts w:ascii="Arial" w:cs="Arial" w:eastAsia="Arial" w:hAnsi="Arial"/>
          <w:sz w:val="21"/>
          <w:szCs w:val="21"/>
          <w:color w:val="auto"/>
        </w:rPr>
        <w:t>”) in the United States Bankruptcy Court for the Southern District of Texas, Houston Division (the “</w:t>
      </w:r>
      <w:r>
        <w:rPr>
          <w:rFonts w:ascii="Arial" w:cs="Arial" w:eastAsia="Arial" w:hAnsi="Arial"/>
          <w:sz w:val="21"/>
          <w:szCs w:val="21"/>
          <w:u w:val="single" w:color="auto"/>
          <w:color w:val="auto"/>
        </w:rPr>
        <w:t>Bankruptcy Court</w:t>
      </w:r>
      <w:r>
        <w:rPr>
          <w:rFonts w:ascii="Arial" w:cs="Arial" w:eastAsia="Arial" w:hAnsi="Arial"/>
          <w:sz w:val="21"/>
          <w:szCs w:val="21"/>
          <w:color w:val="auto"/>
        </w:rPr>
        <w:t>”) in order to effectuate the Joint Chapter 11 Plan of Reorganization of California Resources Corporation et al., dated July 24, 2020 (as amended, supplemented or modified, the “Plan”), a copy of which is filed as Exhibit 2.1 to the Issuer’s Form 8-A12B filed with the SEC on October 27, 2020 (the “</w:t>
      </w:r>
      <w:r>
        <w:rPr>
          <w:rFonts w:ascii="Arial" w:cs="Arial" w:eastAsia="Arial" w:hAnsi="Arial"/>
          <w:sz w:val="21"/>
          <w:szCs w:val="21"/>
          <w:u w:val="single" w:color="auto"/>
          <w:color w:val="auto"/>
        </w:rPr>
        <w:t>Form A12B</w:t>
      </w:r>
      <w:r>
        <w:rPr>
          <w:rFonts w:ascii="Arial" w:cs="Arial" w:eastAsia="Arial" w:hAnsi="Arial"/>
          <w:sz w:val="21"/>
          <w:szCs w:val="21"/>
          <w:color w:val="auto"/>
        </w:rPr>
        <w:t>”) . On October 13, 2020, the Bankruptcy Court entered an order confirming the Plan (the “</w:t>
      </w:r>
      <w:r>
        <w:rPr>
          <w:rFonts w:ascii="Arial" w:cs="Arial" w:eastAsia="Arial" w:hAnsi="Arial"/>
          <w:sz w:val="21"/>
          <w:szCs w:val="21"/>
          <w:u w:val="single" w:color="auto"/>
          <w:color w:val="auto"/>
        </w:rPr>
        <w:t>Confirmation Order</w:t>
      </w:r>
      <w:r>
        <w:rPr>
          <w:rFonts w:ascii="Arial" w:cs="Arial" w:eastAsia="Arial" w:hAnsi="Arial"/>
          <w:sz w:val="21"/>
          <w:szCs w:val="21"/>
          <w:color w:val="auto"/>
        </w:rPr>
        <w:t xml:space="preserve">”), a copy of which was filed as Exhibit 99.1 to the Form 8-A12B. On October 27, 2020 (the </w:t>
      </w:r>
      <w:r>
        <w:rPr>
          <w:rFonts w:ascii="Arial" w:cs="Arial" w:eastAsia="Arial" w:hAnsi="Arial"/>
          <w:sz w:val="21"/>
          <w:szCs w:val="21"/>
          <w:u w:val="single" w:color="auto"/>
          <w:color w:val="auto"/>
        </w:rPr>
        <w:t>Effective Date</w:t>
      </w:r>
      <w:r>
        <w:rPr>
          <w:rFonts w:ascii="Arial" w:cs="Arial" w:eastAsia="Arial" w:hAnsi="Arial"/>
          <w:sz w:val="21"/>
          <w:szCs w:val="21"/>
          <w:color w:val="auto"/>
        </w:rPr>
        <w:t>”), the Company satisfied the conditions specified in the Confirmation Order and the Plan became effective.</w:t>
      </w:r>
    </w:p>
    <w:p>
      <w:pPr>
        <w:spacing w:after="0" w:line="233" w:lineRule="exact"/>
        <w:rPr>
          <w:sz w:val="20"/>
          <w:szCs w:val="20"/>
          <w:color w:val="auto"/>
        </w:rPr>
      </w:pPr>
    </w:p>
    <w:p>
      <w:pPr>
        <w:ind w:right="60"/>
        <w:spacing w:after="0" w:line="304" w:lineRule="auto"/>
        <w:rPr>
          <w:sz w:val="20"/>
          <w:szCs w:val="20"/>
          <w:color w:val="auto"/>
        </w:rPr>
      </w:pPr>
      <w:r>
        <w:rPr>
          <w:rFonts w:ascii="Arial" w:cs="Arial" w:eastAsia="Arial" w:hAnsi="Arial"/>
          <w:sz w:val="19"/>
          <w:szCs w:val="19"/>
          <w:color w:val="auto"/>
        </w:rPr>
        <w:t>Pursuant to the Plan, the Issuer effected a restructuring (the “</w:t>
      </w:r>
      <w:r>
        <w:rPr>
          <w:rFonts w:ascii="Arial" w:cs="Arial" w:eastAsia="Arial" w:hAnsi="Arial"/>
          <w:sz w:val="19"/>
          <w:szCs w:val="19"/>
          <w:u w:val="single" w:color="auto"/>
          <w:color w:val="auto"/>
        </w:rPr>
        <w:t>Restructuring</w:t>
      </w:r>
      <w:r>
        <w:rPr>
          <w:rFonts w:ascii="Arial" w:cs="Arial" w:eastAsia="Arial" w:hAnsi="Arial"/>
          <w:sz w:val="19"/>
          <w:szCs w:val="19"/>
          <w:color w:val="auto"/>
        </w:rPr>
        <w:t>”), pursuant to which, among other things, holders (the “</w:t>
      </w:r>
      <w:r>
        <w:rPr>
          <w:rFonts w:ascii="Arial" w:cs="Arial" w:eastAsia="Arial" w:hAnsi="Arial"/>
          <w:sz w:val="19"/>
          <w:szCs w:val="19"/>
          <w:u w:val="single" w:color="auto"/>
          <w:color w:val="auto"/>
        </w:rPr>
        <w:t>Holders</w:t>
      </w:r>
      <w:r>
        <w:rPr>
          <w:rFonts w:ascii="Arial" w:cs="Arial" w:eastAsia="Arial" w:hAnsi="Arial"/>
          <w:sz w:val="19"/>
          <w:szCs w:val="19"/>
          <w:color w:val="auto"/>
        </w:rPr>
        <w:t>”) of claims (as defined in section 101(5) of the Bankruptcy Code, the “</w:t>
      </w:r>
      <w:r>
        <w:rPr>
          <w:rFonts w:ascii="Arial" w:cs="Arial" w:eastAsia="Arial" w:hAnsi="Arial"/>
          <w:sz w:val="19"/>
          <w:szCs w:val="19"/>
          <w:u w:val="single" w:color="auto"/>
          <w:color w:val="auto"/>
        </w:rPr>
        <w:t>Claims</w:t>
      </w:r>
      <w:r>
        <w:rPr>
          <w:rFonts w:ascii="Arial" w:cs="Arial" w:eastAsia="Arial" w:hAnsi="Arial"/>
          <w:sz w:val="19"/>
          <w:szCs w:val="19"/>
          <w:color w:val="auto"/>
        </w:rPr>
        <w:t>”) or interests (as defined in section 101(16) of the Bankruptcy Code, the “</w:t>
      </w:r>
      <w:r>
        <w:rPr>
          <w:rFonts w:ascii="Arial" w:cs="Arial" w:eastAsia="Arial" w:hAnsi="Arial"/>
          <w:sz w:val="19"/>
          <w:szCs w:val="19"/>
          <w:u w:val="single" w:color="auto"/>
          <w:color w:val="auto"/>
        </w:rPr>
        <w:t>Interests</w:t>
      </w:r>
      <w:r>
        <w:rPr>
          <w:rFonts w:ascii="Arial" w:cs="Arial" w:eastAsia="Arial" w:hAnsi="Arial"/>
          <w:sz w:val="19"/>
          <w:szCs w:val="19"/>
          <w:color w:val="auto"/>
        </w:rPr>
        <w:t>”) in the Issuer and certain of its subsidiaries were permitted to surrender such Claims and Interests for a mixture of newly issued Common Shares and newly issued Warrants. As Holders, the Funds and Managed Accounts surrendered their Claims and Interests for 11,213,989 Common Shares and 428,097 Warrants, collectively. In addition, The Funds and Managed Accounts purchased 6,141,023 Common Shares in a rights offering conducted as part of the Restructuring, and received 2,052,249 Common Shares and 47,459 Warrants in consideration for a backstop fee paid in connection with the rights offering. The following table sets forth the Common Shares and Warrants received by the Funds and Managed Accounts pursuant to the Restructuring.</w:t>
      </w:r>
    </w:p>
    <w:p>
      <w:pPr>
        <w:spacing w:after="0" w:line="197"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4060" w:type="dxa"/>
            <w:vAlign w:val="bottom"/>
            <w:tcBorders>
              <w:top w:val="single" w:sz="8" w:color="auto"/>
              <w:left w:val="single" w:sz="8" w:color="auto"/>
              <w:bottom w:val="single" w:sz="8" w:color="auto"/>
              <w:right w:val="single" w:sz="8" w:color="auto"/>
            </w:tcBorders>
            <w:shd w:val="clear" w:color="auto" w:fill="DEEAF6"/>
          </w:tcPr>
          <w:p>
            <w:pPr>
              <w:jc w:val="center"/>
              <w:spacing w:after="0"/>
              <w:rPr>
                <w:sz w:val="20"/>
                <w:szCs w:val="20"/>
                <w:color w:val="auto"/>
              </w:rPr>
            </w:pPr>
            <w:r>
              <w:rPr>
                <w:rFonts w:ascii="Arial" w:cs="Arial" w:eastAsia="Arial" w:hAnsi="Arial"/>
                <w:sz w:val="18"/>
                <w:szCs w:val="18"/>
                <w:b w:val="1"/>
                <w:bCs w:val="1"/>
                <w:color w:val="auto"/>
                <w:w w:val="91"/>
              </w:rPr>
              <w:t>Fund or Managed Account</w:t>
            </w:r>
          </w:p>
        </w:tc>
        <w:tc>
          <w:tcPr>
            <w:tcW w:w="1340" w:type="dxa"/>
            <w:vAlign w:val="bottom"/>
            <w:tcBorders>
              <w:top w:val="single" w:sz="8" w:color="auto"/>
              <w:bottom w:val="single" w:sz="8" w:color="auto"/>
              <w:right w:val="single" w:sz="8" w:color="auto"/>
            </w:tcBorders>
            <w:shd w:val="clear" w:color="auto" w:fill="DEEAF6"/>
          </w:tcPr>
          <w:p>
            <w:pPr>
              <w:ind w:left="20"/>
              <w:spacing w:after="0"/>
              <w:rPr>
                <w:sz w:val="20"/>
                <w:szCs w:val="20"/>
                <w:color w:val="auto"/>
              </w:rPr>
            </w:pPr>
            <w:r>
              <w:rPr>
                <w:rFonts w:ascii="Arial" w:cs="Arial" w:eastAsia="Arial" w:hAnsi="Arial"/>
                <w:sz w:val="18"/>
                <w:szCs w:val="18"/>
                <w:b w:val="1"/>
                <w:bCs w:val="1"/>
                <w:color w:val="auto"/>
                <w:w w:val="89"/>
              </w:rPr>
              <w:t>Common Shares</w:t>
            </w:r>
          </w:p>
        </w:tc>
        <w:tc>
          <w:tcPr>
            <w:tcW w:w="1340" w:type="dxa"/>
            <w:vAlign w:val="bottom"/>
            <w:tcBorders>
              <w:top w:val="single" w:sz="8" w:color="auto"/>
              <w:bottom w:val="single" w:sz="8" w:color="auto"/>
              <w:right w:val="single" w:sz="8" w:color="auto"/>
            </w:tcBorders>
            <w:shd w:val="clear" w:color="auto" w:fill="DEEAF6"/>
          </w:tcPr>
          <w:p>
            <w:pPr>
              <w:jc w:val="center"/>
              <w:spacing w:after="0"/>
              <w:rPr>
                <w:sz w:val="20"/>
                <w:szCs w:val="20"/>
                <w:color w:val="auto"/>
              </w:rPr>
            </w:pPr>
            <w:r>
              <w:rPr>
                <w:rFonts w:ascii="Arial" w:cs="Arial" w:eastAsia="Arial" w:hAnsi="Arial"/>
                <w:sz w:val="18"/>
                <w:szCs w:val="18"/>
                <w:b w:val="1"/>
                <w:bCs w:val="1"/>
                <w:color w:val="auto"/>
                <w:w w:val="94"/>
              </w:rPr>
              <w:t>Warrants</w:t>
            </w:r>
          </w:p>
        </w:tc>
        <w:tc>
          <w:tcPr>
            <w:tcW w:w="0" w:type="dxa"/>
            <w:vAlign w:val="bottom"/>
          </w:tcPr>
          <w:p>
            <w:pPr>
              <w:spacing w:after="0"/>
              <w:rPr>
                <w:sz w:val="1"/>
                <w:szCs w:val="1"/>
                <w:color w:val="auto"/>
              </w:rPr>
            </w:pPr>
          </w:p>
        </w:tc>
      </w:tr>
      <w:tr>
        <w:trPr>
          <w:trHeight w:val="202"/>
        </w:trPr>
        <w:tc>
          <w:tcPr>
            <w:tcW w:w="4060" w:type="dxa"/>
            <w:vAlign w:val="bottom"/>
            <w:tcBorders>
              <w:left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6"/>
              </w:rPr>
              <w:t>GOLDENTREE DISTRESSED MASTER FUND III</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5,086,101</w:t>
            </w:r>
          </w:p>
        </w:tc>
        <w:tc>
          <w:tcPr>
            <w:tcW w:w="13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159,247</w:t>
            </w:r>
          </w:p>
        </w:tc>
        <w:tc>
          <w:tcPr>
            <w:tcW w:w="0" w:type="dxa"/>
            <w:vAlign w:val="bottom"/>
          </w:tcPr>
          <w:p>
            <w:pPr>
              <w:spacing w:after="0"/>
              <w:rPr>
                <w:sz w:val="1"/>
                <w:szCs w:val="1"/>
                <w:color w:val="auto"/>
              </w:rPr>
            </w:pPr>
          </w:p>
        </w:tc>
      </w:tr>
      <w:tr>
        <w:trPr>
          <w:trHeight w:val="122"/>
        </w:trPr>
        <w:tc>
          <w:tcPr>
            <w:tcW w:w="40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LTD</w:t>
            </w:r>
          </w:p>
        </w:tc>
        <w:tc>
          <w:tcPr>
            <w:tcW w:w="134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060" w:type="dxa"/>
            <w:vAlign w:val="bottom"/>
            <w:tcBorders>
              <w:left w:val="single" w:sz="8" w:color="auto"/>
              <w:bottom w:val="single" w:sz="8" w:color="auto"/>
              <w:right w:val="single" w:sz="8" w:color="auto"/>
            </w:tcBorders>
            <w:vMerge w:val="continue"/>
          </w:tcPr>
          <w:p>
            <w:pPr>
              <w:spacing w:after="0"/>
              <w:rPr>
                <w:sz w:val="10"/>
                <w:szCs w:val="10"/>
                <w:color w:val="auto"/>
              </w:rPr>
            </w:pPr>
          </w:p>
        </w:tc>
        <w:tc>
          <w:tcPr>
            <w:tcW w:w="1340" w:type="dxa"/>
            <w:vAlign w:val="bottom"/>
            <w:tcBorders>
              <w:bottom w:val="single" w:sz="8" w:color="auto"/>
              <w:right w:val="single" w:sz="8" w:color="auto"/>
            </w:tcBorders>
          </w:tcPr>
          <w:p>
            <w:pPr>
              <w:spacing w:after="0"/>
              <w:rPr>
                <w:sz w:val="10"/>
                <w:szCs w:val="10"/>
                <w:color w:val="auto"/>
              </w:rPr>
            </w:pPr>
          </w:p>
        </w:tc>
        <w:tc>
          <w:tcPr>
            <w:tcW w:w="13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4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Other Funds and Managed Accounts</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14,321,160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316,212</w:t>
            </w:r>
          </w:p>
        </w:tc>
        <w:tc>
          <w:tcPr>
            <w:tcW w:w="0" w:type="dxa"/>
            <w:vAlign w:val="bottom"/>
          </w:tcPr>
          <w:p>
            <w:pPr>
              <w:spacing w:after="0"/>
              <w:rPr>
                <w:sz w:val="1"/>
                <w:szCs w:val="1"/>
                <w:color w:val="auto"/>
              </w:rPr>
            </w:pPr>
          </w:p>
        </w:tc>
      </w:tr>
      <w:tr>
        <w:trPr>
          <w:trHeight w:val="223"/>
        </w:trPr>
        <w:tc>
          <w:tcPr>
            <w:tcW w:w="4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19,407,261</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475,459</w:t>
            </w: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Warrants</w:t>
      </w:r>
    </w:p>
    <w:p>
      <w:pPr>
        <w:spacing w:after="0" w:line="125" w:lineRule="exact"/>
        <w:rPr>
          <w:sz w:val="20"/>
          <w:szCs w:val="20"/>
          <w:color w:val="auto"/>
        </w:rPr>
      </w:pPr>
    </w:p>
    <w:p>
      <w:pPr>
        <w:ind w:right="80"/>
        <w:spacing w:after="0" w:line="266" w:lineRule="auto"/>
        <w:rPr>
          <w:sz w:val="20"/>
          <w:szCs w:val="20"/>
          <w:color w:val="auto"/>
        </w:rPr>
      </w:pPr>
      <w:r>
        <w:rPr>
          <w:rFonts w:ascii="Arial" w:cs="Arial" w:eastAsia="Arial" w:hAnsi="Arial"/>
          <w:sz w:val="22"/>
          <w:szCs w:val="22"/>
          <w:color w:val="auto"/>
        </w:rPr>
        <w:t>Each Warrant distributed as part of the Restructuring will entitle its holder to subscribe for one Common Share at an exercise price of US$36.01 per Common Share. Each Warrant will be exercisable at any time, at the sole discretion of the holder, during a period of four years, beginning on the Effective Date.</w:t>
      </w:r>
    </w:p>
    <w:p>
      <w:pPr>
        <w:spacing w:after="0" w:line="2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Purpose of Transaction.</w:t>
      </w:r>
    </w:p>
    <w:p>
      <w:pPr>
        <w:sectPr>
          <w:pgSz w:w="11900" w:h="16838" w:orient="portrait"/>
          <w:cols w:equalWidth="0" w:num="1">
            <w:col w:w="11240"/>
          </w:cols>
          <w:pgMar w:left="320" w:top="120" w:right="339" w:bottom="1440" w:gutter="0" w:footer="0" w:header="0"/>
          <w:type w:val="continuous"/>
        </w:sectPr>
      </w:pPr>
    </w:p>
    <w:p>
      <w:pPr>
        <w:spacing w:after="0" w:line="289" w:lineRule="exact"/>
        <w:rPr>
          <w:sz w:val="20"/>
          <w:szCs w:val="20"/>
          <w:color w:val="auto"/>
        </w:rPr>
      </w:pPr>
    </w:p>
    <w:p>
      <w:pPr>
        <w:spacing w:after="0"/>
        <w:rPr>
          <w:sz w:val="20"/>
          <w:szCs w:val="20"/>
          <w:color w:val="auto"/>
        </w:rPr>
      </w:pPr>
      <w:r>
        <w:rPr>
          <w:rFonts w:ascii="Arial" w:cs="Arial" w:eastAsia="Arial" w:hAnsi="Arial"/>
          <w:sz w:val="19"/>
          <w:szCs w:val="19"/>
          <w:color w:val="auto"/>
        </w:rPr>
        <w:t>No material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type w:val="continuous"/>
        </w:sectPr>
      </w:pPr>
    </w:p>
    <w:bookmarkStart w:id="6" w:name="page7"/>
    <w:bookmarkEnd w:id="6"/>
    <w:tbl>
      <w:tblPr>
        <w:tblLayout w:type="fixed"/>
        <w:tblInd w:w="10" w:type="dxa"/>
        <w:tblCellMar>
          <w:top w:w="0" w:type="dxa"/>
          <w:left w:w="0" w:type="dxa"/>
          <w:bottom w:w="0" w:type="dxa"/>
          <w:right w:w="0" w:type="dxa"/>
        </w:tblCellMar>
      </w:tblPr>
      <w:tr>
        <w:trPr>
          <w:trHeight w:val="250"/>
        </w:trPr>
        <w:tc>
          <w:tcPr>
            <w:tcW w:w="22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CUSIP No. 13057Q305</w:t>
            </w:r>
          </w:p>
        </w:tc>
        <w:tc>
          <w:tcPr>
            <w:tcW w:w="4020" w:type="dxa"/>
            <w:vAlign w:val="bottom"/>
          </w:tcPr>
          <w:p>
            <w:pPr>
              <w:ind w:left="2680"/>
              <w:spacing w:after="0"/>
              <w:rPr>
                <w:sz w:val="20"/>
                <w:szCs w:val="20"/>
                <w:color w:val="auto"/>
              </w:rPr>
            </w:pPr>
            <w:r>
              <w:rPr>
                <w:rFonts w:ascii="Arial" w:cs="Arial" w:eastAsia="Arial" w:hAnsi="Arial"/>
                <w:sz w:val="18"/>
                <w:szCs w:val="18"/>
                <w:b w:val="1"/>
                <w:bCs w:val="1"/>
                <w:color w:val="auto"/>
                <w:w w:val="96"/>
              </w:rPr>
              <w:t>SCHEDULE 13D</w:t>
            </w:r>
          </w:p>
        </w:tc>
      </w:tr>
    </w:tbl>
    <w:p>
      <w:pPr>
        <w:spacing w:after="0" w:line="200" w:lineRule="exact"/>
        <w:rPr>
          <w:sz w:val="20"/>
          <w:szCs w:val="20"/>
          <w:color w:val="auto"/>
        </w:rPr>
      </w:pPr>
    </w:p>
    <w:p>
      <w:pPr>
        <w:spacing w:after="0" w:line="26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Interest in Securities of the Issuer.</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Page 7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-124460</wp:posOffset>
            </wp:positionV>
            <wp:extent cx="14401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947" w:lineRule="exact"/>
        <w:rPr>
          <w:sz w:val="20"/>
          <w:szCs w:val="20"/>
          <w:color w:val="auto"/>
        </w:rPr>
      </w:pPr>
    </w:p>
    <w:p>
      <w:pPr>
        <w:sectPr>
          <w:pgSz w:w="11900" w:h="16838" w:orient="portrait"/>
          <w:cols w:equalWidth="0" w:num="2">
            <w:col w:w="9680" w:space="720"/>
            <w:col w:w="840"/>
          </w:cols>
          <w:pgMar w:left="320" w:top="120" w:right="339" w:bottom="1440" w:gutter="0" w:footer="0" w:header="0"/>
        </w:sectPr>
      </w:pP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color w:val="auto"/>
        </w:rPr>
        <w:t>Item 5 is amended and restated as follows:</w:t>
      </w:r>
    </w:p>
    <w:p>
      <w:pPr>
        <w:spacing w:after="0" w:line="233" w:lineRule="exact"/>
        <w:rPr>
          <w:sz w:val="20"/>
          <w:szCs w:val="20"/>
          <w:color w:val="auto"/>
        </w:rPr>
      </w:pPr>
    </w:p>
    <w:p>
      <w:pPr>
        <w:ind w:right="500" w:firstLine="8"/>
        <w:spacing w:after="0" w:line="533" w:lineRule="auto"/>
        <w:tabs>
          <w:tab w:leader="none" w:pos="294" w:val="left"/>
        </w:tabs>
        <w:numPr>
          <w:ilvl w:val="0"/>
          <w:numId w:val="6"/>
        </w:numPr>
        <w:rPr>
          <w:rFonts w:ascii="Arial" w:cs="Arial" w:eastAsia="Arial" w:hAnsi="Arial"/>
          <w:sz w:val="19"/>
          <w:szCs w:val="19"/>
          <w:color w:val="auto"/>
        </w:rPr>
      </w:pPr>
      <w:r>
        <w:rPr>
          <w:rFonts w:ascii="Arial" w:cs="Arial" w:eastAsia="Arial" w:hAnsi="Arial"/>
          <w:sz w:val="19"/>
          <w:szCs w:val="19"/>
          <w:color w:val="auto"/>
        </w:rPr>
        <w:t>and (b) Items 7 through 11 and 13 of each of the cover pages of this Schedule 13D and Item 3 are incorporated herein by reference. Such information is based on 83,319,721 Common Shares outstanding, as reported on the Form 10-Q.</w:t>
      </w:r>
    </w:p>
    <w:p>
      <w:pPr>
        <w:spacing w:after="0" w:line="1" w:lineRule="exact"/>
        <w:rPr>
          <w:rFonts w:ascii="Arial" w:cs="Arial" w:eastAsia="Arial" w:hAnsi="Arial"/>
          <w:sz w:val="19"/>
          <w:szCs w:val="19"/>
          <w:color w:val="auto"/>
        </w:rPr>
      </w:pPr>
    </w:p>
    <w:p>
      <w:pPr>
        <w:jc w:val="both"/>
        <w:ind w:right="80" w:firstLine="8"/>
        <w:spacing w:after="0" w:line="533" w:lineRule="auto"/>
        <w:tabs>
          <w:tab w:leader="none" w:pos="294"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information in Item 3 and Item 4 is incorporated herein by reference. Except as set forth in this Schedule 13D, there have been no transactions in the Common Shares of the Issuer effected during the past 60 days by any person named in Item 2 hereof.</w:t>
      </w:r>
    </w:p>
    <w:p>
      <w:pPr>
        <w:spacing w:after="0" w:line="1" w:lineRule="exact"/>
        <w:rPr>
          <w:rFonts w:ascii="Arial" w:cs="Arial" w:eastAsia="Arial" w:hAnsi="Arial"/>
          <w:sz w:val="19"/>
          <w:szCs w:val="19"/>
          <w:color w:val="auto"/>
        </w:rPr>
      </w:pPr>
    </w:p>
    <w:p>
      <w:pPr>
        <w:ind w:left="320" w:hanging="312"/>
        <w:spacing w:after="0"/>
        <w:tabs>
          <w:tab w:leader="none" w:pos="320"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disclosure in Item 2(c) of this Schedule 13D is incorporated by reference herein.</w:t>
      </w:r>
    </w:p>
    <w:p>
      <w:pPr>
        <w:spacing w:after="0" w:line="233" w:lineRule="exact"/>
        <w:rPr>
          <w:rFonts w:ascii="Arial" w:cs="Arial" w:eastAsia="Arial" w:hAnsi="Arial"/>
          <w:sz w:val="22"/>
          <w:szCs w:val="22"/>
          <w:color w:val="auto"/>
        </w:rPr>
      </w:pPr>
    </w:p>
    <w:p>
      <w:pPr>
        <w:ind w:left="300" w:hanging="292"/>
        <w:spacing w:after="0"/>
        <w:tabs>
          <w:tab w:leader="none" w:pos="300" w:val="left"/>
        </w:tabs>
        <w:numPr>
          <w:ilvl w:val="0"/>
          <w:numId w:val="7"/>
        </w:numPr>
        <w:rPr>
          <w:rFonts w:ascii="Arial" w:cs="Arial" w:eastAsia="Arial" w:hAnsi="Arial"/>
          <w:sz w:val="22"/>
          <w:szCs w:val="22"/>
          <w:color w:val="auto"/>
        </w:rPr>
      </w:pPr>
      <w:r>
        <w:rPr>
          <w:rFonts w:ascii="Arial" w:cs="Arial" w:eastAsia="Arial" w:hAnsi="Arial"/>
          <w:sz w:val="22"/>
          <w:szCs w:val="22"/>
          <w:color w:val="auto"/>
        </w:rPr>
        <w:t>Not applicable.</w:t>
      </w:r>
    </w:p>
    <w:p>
      <w:pPr>
        <w:spacing w:after="0" w:line="27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color w:val="auto"/>
        </w:rPr>
        <w:t>No material change.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320" w:type="dxa"/>
            <w:vAlign w:val="bottom"/>
            <w:gridSpan w:val="3"/>
          </w:tcPr>
          <w:p>
            <w:pPr>
              <w:ind w:left="100"/>
              <w:spacing w:after="0"/>
              <w:rPr>
                <w:sz w:val="20"/>
                <w:szCs w:val="20"/>
                <w:color w:val="auto"/>
              </w:rPr>
            </w:pPr>
            <w:r>
              <w:rPr>
                <w:rFonts w:ascii="Arial" w:cs="Arial" w:eastAsia="Arial" w:hAnsi="Arial"/>
                <w:sz w:val="18"/>
                <w:szCs w:val="18"/>
                <w:b w:val="1"/>
                <w:bCs w:val="1"/>
                <w:color w:val="auto"/>
              </w:rPr>
              <w:t>Material to Be Filed as Exhibits.</w:t>
            </w:r>
          </w:p>
        </w:tc>
      </w:tr>
      <w:tr>
        <w:trPr>
          <w:trHeight w:val="479"/>
        </w:trPr>
        <w:tc>
          <w:tcPr>
            <w:tcW w:w="9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Exhibit</w:t>
            </w:r>
          </w:p>
        </w:tc>
        <w:tc>
          <w:tcPr>
            <w:tcW w:w="2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tcBorders>
              <w:bottom w:val="single" w:sz="8" w:color="auto"/>
            </w:tcBorders>
          </w:tcPr>
          <w:p>
            <w:pPr>
              <w:ind w:left="4580"/>
              <w:spacing w:after="0"/>
              <w:rPr>
                <w:sz w:val="20"/>
                <w:szCs w:val="20"/>
                <w:color w:val="auto"/>
              </w:rPr>
            </w:pPr>
            <w:r>
              <w:rPr>
                <w:rFonts w:ascii="Arial" w:cs="Arial" w:eastAsia="Arial" w:hAnsi="Arial"/>
                <w:sz w:val="14"/>
                <w:szCs w:val="14"/>
                <w:b w:val="1"/>
                <w:bCs w:val="1"/>
                <w:color w:val="auto"/>
              </w:rPr>
              <w:t>Description</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Agreement Regarding the Joint Filing of Schedule 13D by and among the Reporting Persons (previously filed).</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99.2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w w:val="94"/>
              </w:rPr>
              <w:t>Form of Registration Rights Agreement between the Issuer, the Reporting Persons and certain other shareholders identified therein</w:t>
            </w:r>
          </w:p>
        </w:tc>
      </w:tr>
      <w:tr>
        <w:trPr>
          <w:trHeight w:val="230"/>
        </w:trPr>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(incorporated by reference to Exhibit 10.1 of the Form 8-A12B).</w:t>
            </w:r>
          </w:p>
        </w:tc>
      </w:tr>
      <w:tr>
        <w:trPr>
          <w:trHeight w:val="668"/>
        </w:trPr>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0" w:right="339" w:bottom="1440" w:gutter="0" w:footer="0" w:header="0"/>
          <w:type w:val="continuous"/>
        </w:sectPr>
      </w:pPr>
    </w:p>
    <w:bookmarkStart w:id="7" w:name="page8"/>
    <w:bookmarkEnd w:id="7"/>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401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b w:val="1"/>
          <w:bCs w:val="1"/>
          <w:color w:val="auto"/>
        </w:rPr>
        <w:t>CUSIP No. 13057Q305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SCHEDULE 13D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8 of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-906145</wp:posOffset>
            </wp:positionH>
            <wp:positionV relativeFrom="paragraph">
              <wp:posOffset>-124460</wp:posOffset>
            </wp:positionV>
            <wp:extent cx="14401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4018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240" w:space="720"/>
            <w:col w:w="4720" w:space="720"/>
            <w:col w:w="820"/>
          </w:cols>
          <w:pgMar w:left="320" w:top="135" w:right="35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ind w:right="320"/>
        <w:spacing w:after="0" w:line="276"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November 10, 2020</w:t>
      </w:r>
    </w:p>
    <w:p>
      <w:pPr>
        <w:spacing w:after="0" w:line="22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GOLDENTREE ASSET MANAGEMENT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GoldenTree Asset Management LLC, its general partner</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23495</wp:posOffset>
            </wp:positionV>
            <wp:extent cx="28460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Steven A. Tananbaum</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Managing Member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GOLDENTREE ASSET MANAGEMENT LLC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23495</wp:posOffset>
            </wp:positionV>
            <wp:extent cx="28460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Steven A. Tananbaum</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Managing Member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STEVEN A. TANANBAUM</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23495</wp:posOffset>
            </wp:positionV>
            <wp:extent cx="28460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Steven A. Tananbaum</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GOLDENTREE DISTRESSED MASTER FUND III LTD</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GoldenTree Asset Management LP, its investment</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advisor</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23495</wp:posOffset>
            </wp:positionV>
            <wp:extent cx="28460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Steven A. Tananbaum</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13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2020-11-10T08:40:00Z</dcterms:created>
  <dcterms:modified xsi:type="dcterms:W3CDTF">2020-11-10T08:40:00Z</dcterms:modified>
</cp:coreProperties>
</file>