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2"/>
          <w:szCs w:val="12"/>
          <w:b w:val="1"/>
          <w:bCs w:val="1"/>
          <w:color w:val="auto"/>
        </w:rPr>
        <w:t>As filed with the Securities and Exchange Commission on February 26, 2020</w:t>
      </w:r>
    </w:p>
    <w:p>
      <w:pPr>
        <w:spacing w:after="0" w:line="186" w:lineRule="exact"/>
        <w:rPr>
          <w:sz w:val="24"/>
          <w:szCs w:val="24"/>
          <w:color w:val="auto"/>
        </w:rPr>
      </w:pPr>
    </w:p>
    <w:p>
      <w:pPr>
        <w:ind w:left="9660"/>
        <w:spacing w:after="0"/>
        <w:rPr>
          <w:sz w:val="20"/>
          <w:szCs w:val="20"/>
          <w:color w:val="auto"/>
        </w:rPr>
      </w:pPr>
      <w:r>
        <w:rPr>
          <w:rFonts w:ascii="Arial" w:cs="Arial" w:eastAsia="Arial" w:hAnsi="Arial"/>
          <w:sz w:val="13"/>
          <w:szCs w:val="13"/>
          <w:b w:val="1"/>
          <w:bCs w:val="1"/>
          <w:color w:val="auto"/>
        </w:rPr>
        <w:t>Registration No. 333-233289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line="234" w:lineRule="auto"/>
        <w:rPr>
          <w:sz w:val="20"/>
          <w:szCs w:val="20"/>
          <w:color w:val="auto"/>
        </w:rPr>
      </w:pPr>
      <w:r>
        <w:rPr>
          <w:rFonts w:ascii="Arial" w:cs="Arial" w:eastAsia="Arial" w:hAnsi="Arial"/>
          <w:sz w:val="18"/>
          <w:szCs w:val="18"/>
          <w:b w:val="1"/>
          <w:bCs w:val="1"/>
          <w:color w:val="auto"/>
        </w:rPr>
        <w:t>Washington, D.C. 20549</w:t>
      </w:r>
    </w:p>
    <w:p>
      <w:pPr>
        <w:ind w:left="4900"/>
        <w:spacing w:after="0" w:line="229" w:lineRule="auto"/>
        <w:rPr>
          <w:sz w:val="20"/>
          <w:szCs w:val="20"/>
          <w:color w:val="auto"/>
        </w:rPr>
      </w:pPr>
      <w:r>
        <w:rPr>
          <w:rFonts w:ascii="Arial" w:cs="Arial" w:eastAsia="Arial" w:hAnsi="Arial"/>
          <w:sz w:val="18"/>
          <w:szCs w:val="18"/>
          <w:color w:val="auto"/>
        </w:rPr>
        <w:t>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Post-Effective Amendment No. 1</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S-3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 STATEMENT</w:t>
      </w:r>
    </w:p>
    <w:p>
      <w:pPr>
        <w:jc w:val="center"/>
        <w:ind w:right="-19"/>
        <w:spacing w:after="0" w:line="234" w:lineRule="auto"/>
        <w:rPr>
          <w:sz w:val="20"/>
          <w:szCs w:val="20"/>
          <w:color w:val="auto"/>
        </w:rPr>
      </w:pPr>
      <w:r>
        <w:rPr>
          <w:rFonts w:ascii="Arial" w:cs="Arial" w:eastAsia="Arial" w:hAnsi="Arial"/>
          <w:sz w:val="18"/>
          <w:szCs w:val="18"/>
          <w:b w:val="1"/>
          <w:bCs w:val="1"/>
          <w:i w:val="1"/>
          <w:iCs w:val="1"/>
          <w:color w:val="auto"/>
        </w:rPr>
        <w:t>Under</w:t>
      </w:r>
    </w:p>
    <w:p>
      <w:pPr>
        <w:jc w:val="center"/>
        <w:ind w:right="-19"/>
        <w:spacing w:after="0" w:line="235" w:lineRule="auto"/>
        <w:rPr>
          <w:sz w:val="20"/>
          <w:szCs w:val="20"/>
          <w:color w:val="auto"/>
        </w:rPr>
      </w:pPr>
      <w:r>
        <w:rPr>
          <w:rFonts w:ascii="Arial" w:cs="Arial" w:eastAsia="Arial" w:hAnsi="Arial"/>
          <w:sz w:val="18"/>
          <w:szCs w:val="18"/>
          <w:b w:val="1"/>
          <w:bCs w:val="1"/>
          <w:i w:val="1"/>
          <w:iCs w:val="1"/>
          <w:color w:val="auto"/>
        </w:rPr>
        <w:t>THE SECURITIES ACT OF 1933</w:t>
      </w:r>
    </w:p>
    <w:p>
      <w:pPr>
        <w:spacing w:after="0" w:line="1"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California Resources Corporation</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6" w:lineRule="exact"/>
        <w:rPr>
          <w:sz w:val="24"/>
          <w:szCs w:val="24"/>
          <w:color w:val="auto"/>
        </w:rPr>
      </w:pPr>
    </w:p>
    <w:p>
      <w:pPr>
        <w:ind w:left="4780"/>
        <w:spacing w:after="0"/>
        <w:rPr>
          <w:sz w:val="20"/>
          <w:szCs w:val="20"/>
          <w:color w:val="auto"/>
        </w:rPr>
      </w:pPr>
      <w:r>
        <w:rPr>
          <w:rFonts w:ascii="Arial" w:cs="Arial" w:eastAsia="Arial" w:hAnsi="Arial"/>
          <w:sz w:val="16"/>
          <w:szCs w:val="16"/>
          <w:b w:val="1"/>
          <w:bCs w:val="1"/>
          <w:color w:val="auto"/>
        </w:rPr>
        <w:t>_______________________</w:t>
      </w:r>
    </w:p>
    <w:p>
      <w:pPr>
        <w:sectPr>
          <w:pgSz w:w="11900" w:h="16838" w:orient="portrait"/>
          <w:cols w:equalWidth="0" w:num="1">
            <w:col w:w="11420"/>
          </w:cols>
          <w:pgMar w:left="240" w:top="225" w:right="239" w:bottom="1440" w:gutter="0" w:footer="0" w:header="0"/>
        </w:sectPr>
      </w:pPr>
    </w:p>
    <w:p>
      <w:pPr>
        <w:spacing w:after="0" w:line="73"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46-5670947</w:t>
      </w:r>
    </w:p>
    <w:p>
      <w:pPr>
        <w:spacing w:after="0" w:line="90" w:lineRule="exact"/>
        <w:rPr>
          <w:sz w:val="24"/>
          <w:szCs w:val="24"/>
          <w:color w:val="auto"/>
        </w:rPr>
      </w:pPr>
    </w:p>
    <w:p>
      <w:pPr>
        <w:sectPr>
          <w:pgSz w:w="11900" w:h="16838" w:orient="portrait"/>
          <w:cols w:equalWidth="0" w:num="2">
            <w:col w:w="7460" w:space="720"/>
            <w:col w:w="3240"/>
          </w:cols>
          <w:pgMar w:left="240" w:top="225" w:right="239" w:bottom="1440" w:gutter="0" w:footer="0" w:header="0"/>
          <w:type w:val="continuous"/>
        </w:sectPr>
      </w:pPr>
    </w:p>
    <w:p>
      <w:pPr>
        <w:jc w:val="center"/>
        <w:ind w:right="1600"/>
        <w:spacing w:after="0"/>
        <w:rPr>
          <w:sz w:val="20"/>
          <w:szCs w:val="20"/>
          <w:color w:val="auto"/>
        </w:rPr>
      </w:pPr>
      <w:r>
        <w:rPr>
          <w:rFonts w:ascii="Arial" w:cs="Arial" w:eastAsia="Arial" w:hAnsi="Arial"/>
          <w:sz w:val="13"/>
          <w:szCs w:val="13"/>
          <w:color w:val="auto"/>
        </w:rPr>
        <w:t>(State or other jurisdiction</w:t>
      </w:r>
    </w:p>
    <w:p>
      <w:pPr>
        <w:spacing w:after="0" w:line="25" w:lineRule="exact"/>
        <w:rPr>
          <w:sz w:val="24"/>
          <w:szCs w:val="24"/>
          <w:color w:val="auto"/>
        </w:rPr>
      </w:pPr>
    </w:p>
    <w:p>
      <w:pPr>
        <w:jc w:val="center"/>
        <w:ind w:right="160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199" w:lineRule="exact"/>
        <w:rPr>
          <w:sz w:val="24"/>
          <w:szCs w:val="24"/>
          <w:color w:val="auto"/>
        </w:rPr>
      </w:pPr>
    </w:p>
    <w:p>
      <w:pPr>
        <w:sectPr>
          <w:pgSz w:w="11900" w:h="16838" w:orient="portrait"/>
          <w:cols w:equalWidth="0" w:num="2">
            <w:col w:w="7320" w:space="720"/>
            <w:col w:w="3380"/>
          </w:cols>
          <w:pgMar w:left="240" w:top="225"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27200 Tourney Road, Suite 200</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Santa Clarita, California 91355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(888) 848-4754</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(Addresses, including zip code, and telephone number, including area code, of registrant’s principal executive offices)</w:t>
      </w:r>
    </w:p>
    <w:p>
      <w:pPr>
        <w:spacing w:after="0" w:line="46" w:lineRule="exact"/>
        <w:rPr>
          <w:sz w:val="24"/>
          <w:szCs w:val="24"/>
          <w:color w:val="auto"/>
        </w:rPr>
      </w:pPr>
    </w:p>
    <w:p>
      <w:pPr>
        <w:ind w:left="4780"/>
        <w:spacing w:after="0"/>
        <w:rPr>
          <w:sz w:val="20"/>
          <w:szCs w:val="20"/>
          <w:color w:val="auto"/>
        </w:rPr>
      </w:pPr>
      <w:r>
        <w:rPr>
          <w:rFonts w:ascii="Arial" w:cs="Arial" w:eastAsia="Arial" w:hAnsi="Arial"/>
          <w:sz w:val="16"/>
          <w:szCs w:val="16"/>
          <w:b w:val="1"/>
          <w:bCs w:val="1"/>
          <w:color w:val="auto"/>
        </w:rPr>
        <w:t>_______________________</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Michael L. Preston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Senior Executive Vice President, Chief Administrative Officer and General Counsel</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27200 Tourney Road, Suite 200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Santa Clarita, California 91355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(888) 848-4754</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42" w:lineRule="exact"/>
        <w:rPr>
          <w:sz w:val="24"/>
          <w:szCs w:val="24"/>
          <w:color w:val="auto"/>
        </w:rPr>
      </w:pPr>
    </w:p>
    <w:p>
      <w:pPr>
        <w:ind w:left="4880"/>
        <w:spacing w:after="0"/>
        <w:rPr>
          <w:sz w:val="20"/>
          <w:szCs w:val="20"/>
          <w:color w:val="auto"/>
        </w:rPr>
      </w:pPr>
      <w:r>
        <w:rPr>
          <w:rFonts w:ascii="Arial" w:cs="Arial" w:eastAsia="Arial" w:hAnsi="Arial"/>
          <w:sz w:val="14"/>
          <w:szCs w:val="14"/>
          <w:color w:val="auto"/>
        </w:rPr>
        <w:t>_______________________</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Copies to</w:t>
      </w:r>
      <w:r>
        <w:rPr>
          <w:rFonts w:ascii="Arial" w:cs="Arial" w:eastAsia="Arial" w:hAnsi="Arial"/>
          <w:sz w:val="14"/>
          <w:szCs w:val="14"/>
          <w:b w:val="1"/>
          <w:bCs w:val="1"/>
          <w:color w:val="auto"/>
        </w:rPr>
        <w:t>:</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Sarah K. Morgan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Scott D. Rubinsky</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Vinson &amp; Elkins L.L.P.</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1001 Fannin, Suite 2500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Houston, Texas 77002-6760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(713) 758-2222</w:t>
      </w:r>
    </w:p>
    <w:p>
      <w:pPr>
        <w:spacing w:after="0" w:line="20"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95"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From time to time after the effective date of this Registration Statement.</w:t>
      </w:r>
    </w:p>
    <w:p>
      <w:pPr>
        <w:spacing w:after="0" w:line="5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spacing w:after="0" w:line="55" w:lineRule="exact"/>
        <w:rPr>
          <w:sz w:val="24"/>
          <w:szCs w:val="24"/>
          <w:color w:val="auto"/>
        </w:rPr>
      </w:pPr>
    </w:p>
    <w:p>
      <w:pPr>
        <w:ind w:right="60" w:firstLine="324"/>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right="400" w:firstLine="324"/>
        <w:spacing w:after="0" w:line="27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2"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2" w:lineRule="exact"/>
        <w:rPr>
          <w:sz w:val="24"/>
          <w:szCs w:val="24"/>
          <w:color w:val="auto"/>
        </w:rPr>
      </w:pPr>
    </w:p>
    <w:p>
      <w:pPr>
        <w:ind w:right="80" w:firstLine="324"/>
        <w:spacing w:after="0" w:line="273"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2" w:lineRule="exact"/>
        <w:rPr>
          <w:sz w:val="24"/>
          <w:szCs w:val="24"/>
          <w:color w:val="auto"/>
        </w:rPr>
      </w:pPr>
    </w:p>
    <w:p>
      <w:pPr>
        <w:ind w:right="140" w:firstLine="324"/>
        <w:spacing w:after="0" w:line="273"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2" w:lineRule="exact"/>
        <w:rPr>
          <w:sz w:val="24"/>
          <w:szCs w:val="24"/>
          <w:color w:val="auto"/>
        </w:rPr>
      </w:pPr>
    </w:p>
    <w:p>
      <w:pPr>
        <w:ind w:right="3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p>
      <w:pPr>
        <w:spacing w:after="0" w:line="161" w:lineRule="exact"/>
        <w:tabs>
          <w:tab w:leader="none" w:pos="16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 o</w:t>
      </w:r>
    </w:p>
    <w:p>
      <w:pPr>
        <w:spacing w:after="0" w:line="70" w:lineRule="exact"/>
        <w:rPr>
          <w:sz w:val="24"/>
          <w:szCs w:val="24"/>
          <w:color w:val="auto"/>
        </w:rPr>
      </w:pPr>
    </w:p>
    <w:p>
      <w:pPr>
        <w:spacing w:after="0"/>
        <w:tabs>
          <w:tab w:leader="none" w:pos="1520" w:val="left"/>
        </w:tabs>
        <w:rPr>
          <w:sz w:val="20"/>
          <w:szCs w:val="20"/>
          <w:color w:val="auto"/>
        </w:rPr>
      </w:pPr>
      <w:r>
        <w:rPr>
          <w:rFonts w:ascii="Arial" w:cs="Arial" w:eastAsia="Arial" w:hAnsi="Arial"/>
          <w:sz w:val="14"/>
          <w:szCs w:val="14"/>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3"/>
          <w:szCs w:val="13"/>
          <w:color w:val="auto"/>
        </w:rPr>
        <w:t>Smaller reporting company o</w:t>
      </w:r>
    </w:p>
    <w:p>
      <w:pPr>
        <w:spacing w:after="0" w:line="8" w:lineRule="exact"/>
        <w:rPr>
          <w:sz w:val="24"/>
          <w:szCs w:val="24"/>
          <w:color w:val="auto"/>
        </w:rPr>
      </w:pPr>
    </w:p>
    <w:p>
      <w:pPr>
        <w:ind w:left="9740"/>
        <w:spacing w:after="0"/>
        <w:rPr>
          <w:sz w:val="20"/>
          <w:szCs w:val="20"/>
          <w:color w:val="auto"/>
        </w:rPr>
      </w:pPr>
      <w:r>
        <w:rPr>
          <w:rFonts w:ascii="Arial" w:cs="Arial" w:eastAsia="Arial" w:hAnsi="Arial"/>
          <w:sz w:val="13"/>
          <w:szCs w:val="13"/>
          <w:color w:val="auto"/>
        </w:rPr>
        <w:t>Emerging growth company o</w:t>
      </w:r>
    </w:p>
    <w:p>
      <w:pPr>
        <w:spacing w:after="0" w:line="80"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California Resources Corporation (the “Company”) ceased to be a well-known seasoned issuer (as such term is defined in Rule 405 of the Securities Act) upon the filing of its Annual Report on Form 10-K for the fiscal year ended December 31, 2019. Accordingly, the Company is filing this Post-Effective Amendment No. 1 using EDGAR submission type POS AM to convert the Registration Statement on Form S-3 (Commission File No. 333-233289) (the “Registration Statement”) to the proper EDGAR submission type for a non-automatic shelf registration statement and to make certain other amendments. All filing fees payable in connection with the registration of the shares covered by this Post-Effective Amendment No. 1 were paid by the Company at the time of the initial filing of the Registration Statement.</w:t>
      </w:r>
    </w:p>
    <w:p>
      <w:pPr>
        <w:sectPr>
          <w:pgSz w:w="11900" w:h="16838" w:orient="portrait"/>
          <w:cols w:equalWidth="0" w:num="1">
            <w:col w:w="11380"/>
          </w:cols>
          <w:pgMar w:left="240" w:top="553" w:right="279" w:bottom="1440" w:gutter="0" w:footer="0" w:header="0"/>
        </w:sectPr>
      </w:pPr>
    </w:p>
    <w:bookmarkStart w:id="2" w:name="page3"/>
    <w:bookmarkEnd w:id="2"/>
    <w:p>
      <w:pPr>
        <w:ind w:right="40"/>
        <w:spacing w:after="0" w:line="266" w:lineRule="auto"/>
        <w:rPr>
          <w:sz w:val="20"/>
          <w:szCs w:val="20"/>
          <w:color w:val="auto"/>
        </w:rPr>
      </w:pPr>
      <w:r>
        <w:rPr>
          <w:rFonts w:ascii="Arial" w:cs="Arial" w:eastAsia="Arial" w:hAnsi="Arial"/>
          <w:sz w:val="18"/>
          <w:szCs w:val="18"/>
          <w:b w:val="1"/>
          <w:bCs w:val="1"/>
          <w:color w:val="FF1317"/>
        </w:rPr>
        <w:t>The information in this prospectus is not complete and may be changed. The selling stockholder may not sell these securities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F1317"/>
        </w:rPr>
        <w:t>SUBJECT TO COMPLETION, DATED FEBRUARY 26,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120650</wp:posOffset>
            </wp:positionV>
            <wp:extent cx="2504440"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444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California Resources Corporation</w:t>
      </w:r>
    </w:p>
    <w:p>
      <w:pPr>
        <w:spacing w:after="0" w:line="127"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1,250,000 Shares</w:t>
      </w:r>
    </w:p>
    <w:p>
      <w:pPr>
        <w:spacing w:after="0" w:line="11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1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101"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This prospectus relates to the offer and sale from time to time by the selling stockholder named in this prospectus, and its permitted transferees, of up to an aggregate of 1,250,000 shares of common stock of California Resources Corporation, par value $0.01 per share, issuable upon exercise of an outstanding warrant (the “Warrant”), which entitles the holder thereof to purchase up to 1,250,000 shares of common stock at an exercise price of $40.00 per share, subject to certain adjustments (the “Warrant Shares”). In connection with the exercise of the Warrant, the holder of the Warrant may elect, in its sole discretion, to pay cash or to exercise on a cashless basis, pursuant to which the holder will not be required to pay cash for shares of common stock issuable upon exercise of the Warrant but will instead receive fewer Warrant Shares. The Warrant was issued to the selling stockholder in connection with the entry into a joint venture with an affiliate of the Company by one of such selling stockholder’s affiliates (the “JV Partner”). The Warrant may be exercised for Warrant Shares in tranches as funding milestones are met by the JV Partner in connection with the joint venture. Each tranche will have a five-year term commencing on the date on which such tranche of Warrant Shares first became exercisable.</w:t>
      </w:r>
    </w:p>
    <w:p>
      <w:pPr>
        <w:spacing w:after="0" w:line="7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selling stockholder may sell none, some or all of the shares owned by the selling stockholder and offered by this prospectus. Sales may be at fixed prices, which may be changed, at prices related to the prevailing market prices at the time of sale or at negotiated prices. Such sales may occur in transactions on the New York Stock Exchange (the “NYSE”), in the over-the-counter market or through negotiated transactions or in a combination of these methods. We will not receive any of the proceeds from the sale of the shares covered by this prospectus.</w:t>
      </w:r>
    </w:p>
    <w:p>
      <w:pPr>
        <w:spacing w:after="0" w:line="63"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are registering the shares of common stock covered by this prospectus for sale by the selling stockholder named in this prospectus, and its permitted transferees, pursuant to our obligations under the Purchase Warrant for Common Stock, dated as of July 22, 2019, by and between California Resources Corporation and CA Energy Investor, LLC, entered into in connection with the JV Partner’s commitment under the Farmout and Development Agreement, dated as of July 22, 2019, by and among California Resources Elk Hills, LLC, CRC Marketing, Inc. and CA Energy Investment Holdco, LLC (the “JV Agreement”) to invest in certain of our oil and gas properties in California.</w:t>
      </w:r>
    </w:p>
    <w:p>
      <w:pPr>
        <w:spacing w:after="0" w:line="8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common stock is listed on the NYSE under the symbol “CRC.” On February 25, 2020, the last reported sale price of our shares on the NYSE was $6.77 per share.</w:t>
      </w:r>
    </w:p>
    <w:p>
      <w:pPr>
        <w:spacing w:after="0" w:line="6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b w:val="1"/>
          <w:bCs w:val="1"/>
          <w:color w:val="auto"/>
        </w:rPr>
        <w:t>Investing in our common stock involves risk. Please read carefully the information under the heading “Risk Factors “ beginning on page 2 of this prospectus and any applicable prospectus supplement and in the documents incorporated by reference in this prospectus and in any applicable prospectus supplement before you make an investment decision.</w:t>
      </w:r>
    </w:p>
    <w:p>
      <w:pPr>
        <w:spacing w:after="0" w:line="7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prospectus is dated , 2020.</w:t>
      </w:r>
    </w:p>
    <w:p>
      <w:pPr>
        <w:sectPr>
          <w:pgSz w:w="11900" w:h="16838" w:orient="portrait"/>
          <w:cols w:equalWidth="0" w:num="1">
            <w:col w:w="11360"/>
          </w:cols>
          <w:pgMar w:left="240" w:top="553" w:right="29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4"/>
        </w:trPr>
        <w:tc>
          <w:tcPr>
            <w:tcW w:w="886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486"/>
        </w:trPr>
        <w:tc>
          <w:tcPr>
            <w:tcW w:w="8860" w:type="dxa"/>
            <w:vAlign w:val="bottom"/>
          </w:tcPr>
          <w:p>
            <w:pPr>
              <w:spacing w:after="0"/>
              <w:rPr>
                <w:sz w:val="20"/>
                <w:szCs w:val="20"/>
                <w:color w:val="auto"/>
              </w:rPr>
            </w:pPr>
            <w:r>
              <w:rPr>
                <w:rFonts w:ascii="Arial" w:cs="Arial" w:eastAsia="Arial" w:hAnsi="Arial"/>
                <w:sz w:val="18"/>
                <w:szCs w:val="18"/>
                <w:color w:val="auto"/>
              </w:rPr>
              <w:t>ABOUT THIS PROSPECTUS</w:t>
            </w:r>
          </w:p>
        </w:tc>
        <w:tc>
          <w:tcPr>
            <w:tcW w:w="242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2420" w:type="dxa"/>
            <w:vAlign w:val="bottom"/>
          </w:tcPr>
          <w:p>
            <w:pPr>
              <w:jc w:val="right"/>
              <w:spacing w:after="0"/>
              <w:rPr>
                <w:sz w:val="20"/>
                <w:szCs w:val="20"/>
                <w:color w:val="auto"/>
              </w:rPr>
            </w:pPr>
            <w:r>
              <w:rPr>
                <w:rFonts w:ascii="Arial" w:cs="Arial" w:eastAsia="Arial" w:hAnsi="Arial"/>
                <w:sz w:val="18"/>
                <w:szCs w:val="18"/>
                <w:color w:val="auto"/>
              </w:rPr>
              <w:t>iv</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v</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THE COMPANY</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RISK FACTORS</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USE OF PROCEEDS</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SELLING STOCKHOLDER</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PLAN OF DISTRIBUTION</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LEGAL MATTERS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EXPERTS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33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and any prospectus supplement. We have not, and the selling stockholder has not, authorized any dealer, salesman or other person to provide you with additional or different information. If anyone provides you with different or inconsistent information, you should not rely on it.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553" w:right="3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using a “shelf” registration process. Under this shelf registration process, the selling stockholder, or its permitted transferees, may offer and sell, from time to time, up to 1,250,000 shares of our common stock issuable upon exercise of the Warrant under this shelf registration statement. This prospectus provides you with a general description of the securities the selling stockholder may offer. We may provide you with a prospectus supplement containing specific information about the terms of a particular offering by the selling stockholder. The prospectus supplement may also add, update or change information contained in this prospectus. Any statement that we make in this prospectus will be modified or superseded by any inconsistent statement made by us in a prospectus supplement.</w:t>
      </w:r>
    </w:p>
    <w:p>
      <w:pPr>
        <w:spacing w:after="0" w:line="11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Additional information, including our financial statements and the notes thereto, is incorporated in this prospectus by reference to our reports filed with the SEC. Please read “Where You Can Find More Information” below. You are urged to read this prospectus carefully, including “Risk Factors,” any prospectus supplement and the documents incorporated by reference in their entirety before investing in our common stock.</w:t>
      </w:r>
    </w:p>
    <w:p>
      <w:pPr>
        <w:spacing w:after="0" w:line="1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the context requires otherwise or unless otherwise noted, all references in this prospectus or any accompanying prospectus supplement to “CRC,” the “Company,” “we,” “us” or “our” are to California Resources Corporation and its subsidiaries.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553" w:right="31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We file annual, quarterly and current reports and other information with the SEC (File No. 001-36478) pursuant to the Securities Exchange Act of 1934 (the “Exchange Act”). Our filings are also available to the public through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and on our website at </w:t>
      </w:r>
      <w:r>
        <w:rPr>
          <w:rFonts w:ascii="Arial" w:cs="Arial" w:eastAsia="Arial" w:hAnsi="Arial"/>
          <w:sz w:val="16"/>
          <w:szCs w:val="16"/>
          <w:i w:val="1"/>
          <w:iCs w:val="1"/>
          <w:color w:val="auto"/>
        </w:rPr>
        <w:t>www.crc.com</w:t>
      </w:r>
      <w:r>
        <w:rPr>
          <w:rFonts w:ascii="Arial" w:cs="Arial" w:eastAsia="Arial" w:hAnsi="Arial"/>
          <w:sz w:val="16"/>
          <w:szCs w:val="16"/>
          <w:color w:val="auto"/>
        </w:rPr>
        <w:t>. Information on our website does not constitute part of this prospectus. You may inspect a copy of the registration statement through the SEC’s website, as provided herein.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553" w:right="2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7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SEC allows us to “incorporate by reference” information that we file with it, which means that we can disclose important information to you by referring you to documents previously filed with the SEC. The information incorporated by reference is an important part of this prospectus, and the information that we later file with the SEC will automatically update and supersede this information. The following documents that we filed with the SEC pursuant to the Exchange Act are incorporated herein by reference:</w:t>
      </w:r>
    </w:p>
    <w:p>
      <w:pPr>
        <w:spacing w:after="0" w:line="13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2019 filed on February 26,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Report on Form 8-K filed on February 21, 2020 (excluding any information furnished pursuant to Item 2.02 or Item 7.01);</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our capital stock contained in our information statement on Form 10 filed on October 8, 2014, including any amendment to that form that we may file in the future for the purpose of updating the description of our capital stock.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reports contain important information about us, our financial condition and our results of operations.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All documents subsequently filed pursuant to Sections 13(a), 13(c), 14 or 15(d) of the Exchange Act (excluding any information furnished pursuant to Item 2.02 or Item 7.01 on any Current Report on Form 8-K) before the termination of each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modifies or supersedes such statement.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 and telephone number: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27200 Tourney Road, Suite 200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Santa Clarita, California, 91355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Phone: (888) 848-4754</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00"/>
          </w:cols>
          <w:pgMar w:left="240" w:top="553" w:right="25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information in this prospectus, including the documents incorporated by reference herein, includes “forward-looking statements.” The factors identified in this cautionary statement are important factors (but not necessarily all of the important factors) that could cause actual results to differ materially from those expressed in any forward-looking statement made by us, or on our behalf. You can typically identify “forward-looking statements” by the use of words such as “anticipate,” “believe,” “continue,” “could,” “estimate,” “expect,” “goal,” “intend,” “likely,” “may,” “might,” “plan,” “potential,” “project,” “seek,” “should,” “target,” “will” or “would” and other similar words. Such statements specifically include expectations as to our future financial position, liquidity, cash flows and results of operations, business prospects, transactions and projects, operating costs, value creation index metrics (which are based on certain estimates including future rates, costs and commodity prices), operations and operational results including production, hedging and capital investment, budgets and maintenance capital requirements and reserves. 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When considering forward-looking statements, you should keep in mind the risk factors and other cautionary statements described under the heading “Risk Factors” included in this prospectus.</w:t>
      </w:r>
    </w:p>
    <w:p>
      <w:pPr>
        <w:spacing w:after="0" w:line="11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Factors (but not necessarily all of the factors) that could cause actual results to differ materially from those expressed in any forward-looking statement made by, or on behalf of, our company include:</w:t>
      </w:r>
    </w:p>
    <w:p>
      <w:pPr>
        <w:spacing w:after="0" w:line="11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commodity price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debt repurchases or changes to our capital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inability to enter desirable transactions including acquisitions, asset sales and joint ventures;</w:t>
      </w:r>
    </w:p>
    <w:p>
      <w:pPr>
        <w:spacing w:after="0" w:line="171" w:lineRule="exact"/>
        <w:rPr>
          <w:rFonts w:ascii="Arial" w:cs="Arial" w:eastAsia="Arial" w:hAnsi="Arial"/>
          <w:sz w:val="18"/>
          <w:szCs w:val="18"/>
          <w:color w:val="auto"/>
        </w:rPr>
      </w:pPr>
    </w:p>
    <w:p>
      <w:pPr>
        <w:jc w:val="both"/>
        <w:ind w:left="660" w:right="14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unit production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insufficient capital, including as a result of lender restrictions, unavailability of capital markets or inability to attract potential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00"/>
          </w:cols>
          <w:pgMar w:left="240" w:top="553" w:right="259" w:bottom="1440" w:gutter="0" w:footer="0" w:header="0"/>
        </w:sectPr>
      </w:pPr>
    </w:p>
    <w:bookmarkStart w:id="8" w:name="page9"/>
    <w:bookmarkEnd w:id="8"/>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 and</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due to accidents, mechanical failures, electrical power outages, transportation or storage constraints, natural disasters, labor difficulties, cyber attacks or other catastrophic events.</w:t>
      </w:r>
    </w:p>
    <w:p>
      <w:pPr>
        <w:spacing w:after="0" w:line="11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Readers are cautioned not to place undue reliance on forward-looking statements, which speak only as of the date they are made. Unless legally required, we undertake no responsibility to publicly release the result of any revision of our forward-looking statements after the date they are made.</w:t>
      </w:r>
    </w:p>
    <w:p>
      <w:pPr>
        <w:spacing w:after="0" w:line="93" w:lineRule="exact"/>
        <w:rPr>
          <w:sz w:val="20"/>
          <w:szCs w:val="20"/>
          <w:color w:val="auto"/>
        </w:rPr>
      </w:pPr>
    </w:p>
    <w:p>
      <w:pPr>
        <w:jc w:val="both"/>
        <w:ind w:right="640" w:firstLine="324"/>
        <w:spacing w:after="0" w:line="342" w:lineRule="auto"/>
        <w:rPr>
          <w:sz w:val="20"/>
          <w:szCs w:val="20"/>
          <w:color w:val="auto"/>
        </w:rPr>
      </w:pPr>
      <w:r>
        <w:rPr>
          <w:rFonts w:ascii="Arial" w:cs="Arial" w:eastAsia="Arial" w:hAnsi="Arial"/>
          <w:sz w:val="16"/>
          <w:szCs w:val="16"/>
          <w:color w:val="auto"/>
        </w:rPr>
        <w:t>Should one or more of the risks or uncertainties described in this prospectus or the documents incorporated by reference herein occur, or should underlying assumptions prove incorrect, our actual results and plans could differ materially from those expressed in any forward-looking statements.</w:t>
      </w:r>
    </w:p>
    <w:p>
      <w:pPr>
        <w:spacing w:after="0" w:line="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All forward-looking statements, expressed or implied, included in this prospectus and incorporated by reference herein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360"/>
          </w:cols>
          <w:pgMar w:left="240" w:top="719" w:right="2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are an independent oil and natural gas exploration and production company operating properties exclusively within California. We are the largest oil and gas producer in California on a gross operated basis and we believe we have the largest privately held mineral acreage position in the state, consisting of approximately 2.2 million net mineral acres spanning the state’s four major oil and gas basins. We produced approximately 128 thousand barrels of oil equivalent per day (MBoe/d) for the year ended December 31, 2019. As of December 31, 2019, we had estimated proved reserves of 644 million barrels of oil equivalent (MMBoe), of which approximately 77% was categorized as proved developed reserves. Oil represented 75% of our proved reserves. We were incorporated in Delaware in April 2014 and listed on the New York Stock Exchange on December 1, 2014.</w:t>
      </w:r>
    </w:p>
    <w:p>
      <w:pPr>
        <w:spacing w:after="0" w:line="124"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 xml:space="preserve">Our principal executive offices are located at 27200 Tourney Road, Suite 200, Santa Clarita, CA 91355. Our telephone number is (888) 848-4754. Our website is located at </w:t>
      </w:r>
      <w:r>
        <w:rPr>
          <w:rFonts w:ascii="Arial" w:cs="Arial" w:eastAsia="Arial" w:hAnsi="Arial"/>
          <w:sz w:val="17"/>
          <w:szCs w:val="17"/>
          <w:i w:val="1"/>
          <w:iCs w:val="1"/>
          <w:color w:val="auto"/>
        </w:rPr>
        <w:t>www.crc.com</w:t>
      </w:r>
      <w:r>
        <w:rPr>
          <w:rFonts w:ascii="Arial" w:cs="Arial" w:eastAsia="Arial" w:hAnsi="Arial"/>
          <w:sz w:val="17"/>
          <w:szCs w:val="17"/>
          <w:color w:val="auto"/>
        </w:rPr>
        <w:t>. Unless indicated otherwise, no information is incorporated herein by reference from our website or any other website and no website constitutes a part of this prospectus. Our common stock is listed on the NYSE under the symbol “CRC.”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53" w:right="2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 investment in our common stock involves a significant degree of risk. Before you invest in our common stock you should carefully consider the risk factors below, those risk factors included in our most recent Annual Report on Form 10-K, any subsequently filed Quarterly Reports on Form 10-Q and any subsequently filed Current Reports on Form 8-K,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common stock. If any of the risks discussed in the foregoing documents were to occur, our business, financial condition, results of operations and cash flows could be materially adversely affected. Please read “Cautionary Statement Regarding Forward-Looking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the price of our common stock and the value of your investment.</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market price of our common stock may fluctuate significantly in response to a number of factors, most of which we cannot predict or control, including general market and economic conditions, disruptions, downgrades, credit events and perceived problems in the credit markets; actual or anticipated variations in our quarterly operating results or dividends; changes in our investments or asset composition; write-downs or perceived credit or liquidity issues affecting our assets; market perception of us, our business and our assets; our level of indebtedness and/or adverse market reaction to any indebtedness we incur in the future; our ability to raise capital on favorable terms or at all; loss of any major funding source; additions or departures of our key personnel; changes in market valuations of similar independent oil and natural gas exploration and production companies; and speculation in the press or investment community regarding us. Securities markets in general have experienced extreme volatility that has often been unrelated to the operating performance of particular companies. Any broad market fluctuations may adversely affect the trading price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dilution of your ownership interest due to the future issuance of additional shares of our common stock.</w:t>
      </w:r>
    </w:p>
    <w:p>
      <w:pPr>
        <w:spacing w:after="0" w:line="171" w:lineRule="exact"/>
        <w:rPr>
          <w:sz w:val="20"/>
          <w:szCs w:val="20"/>
          <w:color w:val="auto"/>
        </w:rPr>
      </w:pPr>
    </w:p>
    <w:p>
      <w:pPr>
        <w:jc w:val="center"/>
        <w:ind w:right="20"/>
        <w:spacing w:after="0" w:line="302" w:lineRule="auto"/>
        <w:rPr>
          <w:sz w:val="20"/>
          <w:szCs w:val="20"/>
          <w:color w:val="auto"/>
        </w:rPr>
      </w:pPr>
      <w:r>
        <w:rPr>
          <w:rFonts w:ascii="Arial" w:cs="Arial" w:eastAsia="Arial" w:hAnsi="Arial"/>
          <w:sz w:val="16"/>
          <w:szCs w:val="16"/>
          <w:color w:val="auto"/>
        </w:rPr>
        <w:t>We are in a capital-intensive business, and may not have sufficient funds to finance the growth of our business, future acquisitions or to support our projected capital expenditures. As a result, we may require additional funds from equity or debt financings, including sales of preferred shares or convertible debt, to complete future acquisitions, expansions and capital expenditures and pay the general and administrative costs of our business. In the future, we may issue our previously authorized and unissued securities, resulting in the dilution of the ownership interests of purchasers of our common stock offered hereby.</w:t>
      </w:r>
    </w:p>
    <w:p>
      <w:pPr>
        <w:spacing w:after="0" w:line="10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our amended and restated certificate of incorporation, we are authorized to issue 220,000,000 shares of capital stock, of which 200,000,000 shares shall be common stock and 20,000,000 shares shall be preferred stock. The potential issuance of preferred stock, additional shares of common stock or convertible debt may create downward pressure on the trading price of our common stock. We may also issue additional shares of our common stock or other securities that are convertible into or exercisable for our common stock in future public offerings or private placements for capital raising purposes or for other business purposes, potentially at an offering price, conversion price or exercise price that is below the offering price for our common stock offered hereby.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53" w:right="27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of the shares offered pursuant to this prospectus are being offered by the selling stockholder. We will not receive any of the proceeds from any sale of such shares.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53" w:right="29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62" w:lineRule="exact"/>
        <w:rPr>
          <w:sz w:val="20"/>
          <w:szCs w:val="20"/>
          <w:color w:val="auto"/>
        </w:rPr>
      </w:pPr>
    </w:p>
    <w:p>
      <w:pPr>
        <w:ind w:right="220" w:firstLine="324"/>
        <w:spacing w:after="0" w:line="248" w:lineRule="auto"/>
        <w:rPr>
          <w:sz w:val="20"/>
          <w:szCs w:val="20"/>
          <w:color w:val="auto"/>
        </w:rPr>
      </w:pPr>
      <w:r>
        <w:rPr>
          <w:rFonts w:ascii="Arial" w:cs="Arial" w:eastAsia="Arial" w:hAnsi="Arial"/>
          <w:sz w:val="18"/>
          <w:szCs w:val="18"/>
          <w:color w:val="auto"/>
        </w:rPr>
        <w:t>Our authorized capital stock consists of (i) 20,000,000 shares of preferred stock, par value $0.01 per share, of which no shares were issued and outstanding as of December 31, 2019 and (ii) 200,000,000 shares of common stock, par value $0.01 per share, of which 49,175,843 shares were issued and outstanding as of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right="40" w:firstLine="324"/>
        <w:spacing w:after="0" w:line="241" w:lineRule="auto"/>
        <w:rPr>
          <w:sz w:val="20"/>
          <w:szCs w:val="20"/>
          <w:color w:val="auto"/>
        </w:rPr>
      </w:pPr>
      <w:r>
        <w:rPr>
          <w:rFonts w:ascii="Arial" w:cs="Arial" w:eastAsia="Arial" w:hAnsi="Arial"/>
          <w:sz w:val="18"/>
          <w:szCs w:val="18"/>
          <w:color w:val="auto"/>
        </w:rPr>
        <w:t>The following is a description of the material terms of our common stock as provided in our amended and restated certificate of incorporation and amended and restated bylaws. The summaries and descriptions below do not purport to be complete statements of the relevant provisions of these documents. For a complete description, we refer you to, and the following summaries and descriptions are qualified in their entirety by reference to, our amended and restated certificate of incorporation and amended and restated bylaws, copies of which will be filed as exhibits to the registration statement of which this prospectus forms a part.</w:t>
      </w:r>
    </w:p>
    <w:p>
      <w:pPr>
        <w:spacing w:after="0" w:line="136" w:lineRule="exact"/>
        <w:rPr>
          <w:sz w:val="20"/>
          <w:szCs w:val="20"/>
          <w:color w:val="auto"/>
        </w:rPr>
      </w:pPr>
    </w:p>
    <w:p>
      <w:pPr>
        <w:ind w:firstLine="324"/>
        <w:spacing w:after="0" w:line="268" w:lineRule="auto"/>
        <w:rPr>
          <w:sz w:val="20"/>
          <w:szCs w:val="20"/>
          <w:color w:val="auto"/>
        </w:rPr>
      </w:pPr>
      <w:r>
        <w:rPr>
          <w:rFonts w:ascii="Arial" w:cs="Arial" w:eastAsia="Arial" w:hAnsi="Arial"/>
          <w:sz w:val="16"/>
          <w:szCs w:val="16"/>
          <w:color w:val="auto"/>
        </w:rPr>
        <w:t>Except as provided by law or in a preferred stock designation, holders of our common stock are entitled to one vote for each share held of record on all matters submitted to a vote of the stockholders, have the exclusive right to vote for the election of directors and do not have cumulative voting rights. Directors are elected to our board if the number of the validly cast “for” votes exceeds the number of validly cast “against” or “withheld” votes, collectively, with respect to such election except, that directors are elected by a plurality of the validly cast votes represented in person or by proxy with respect to their election if the number of nominees for director exceeds the number of directors to be elected as set forth in our bylaws. Except as otherwise required by law, holders of our common stock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Delaware General Corporation Law (“DGCL”). Subject to prior rights and preferences that may be applicable to any outstanding shares or series of our preferred stock, holders of our common stock are entitled to receive ratably in proportion to the shares of our common stock held by them such dividends (payable in cash, stock or otherwise), if any, as may be declared from time to time by our board of directors out of funds legally available for dividend payments. All outstanding shares of our common stock are fully paid and non-assessable. The holders of our common stock have no preferences or rights of conversion, exchange, pre-emption or other subscription rights. There are no redemption or sinking fund provisions applicable to our common stock. In the event of any voluntary or involuntary liquidation, dissolution or winding-up of our affairs, holders of our common stock are entitled to share ratably in our assets in proportion to the shares of common stock held by them that are remaining after payment or provision for payment of all of our debts and obligations and after distribution in full of preferential amounts to be distributed to holders of outstanding shares of preferred stock, if any.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Our amended and restated certificate of incorporation authorizes our board of directors, subject to any limitations prescribed by law, without further stockholder approval, to establish and to issue from time to time one or more series of preferred stock, par value $0.01 per share, covering up to an aggregate of 20,000,000 shares of preferred stock. Each series of our preferred stock will cover the number of shares and will have the powers, preferences, rights, qualifications, limitations and restrictions determined by board of directors, which may include, among others, dividend rights, liquidation preferences, voting rights, conversion or exchange rights, preemptive rights and redemption rights. Except as provided by law or in a preferred stock designation, the holders of our preferred stock will not be entitled to vote at or receive notice of any meeting of stockholders.</w:t>
      </w:r>
    </w:p>
    <w:p>
      <w:pPr>
        <w:spacing w:after="0" w:line="11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12"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could make acquisition of control of our company by means of a tender offer, a proxy contest or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53" w:right="259" w:bottom="1440" w:gutter="0" w:footer="0" w:header="0"/>
        </w:sectPr>
      </w:pPr>
    </w:p>
    <w:bookmarkStart w:id="13" w:name="page14"/>
    <w:bookmarkEnd w:id="13"/>
    <w:p>
      <w:pPr>
        <w:ind w:right="480"/>
        <w:spacing w:after="0" w:line="312" w:lineRule="auto"/>
        <w:rPr>
          <w:sz w:val="20"/>
          <w:szCs w:val="20"/>
          <w:color w:val="auto"/>
        </w:rPr>
      </w:pPr>
      <w:r>
        <w:rPr>
          <w:rFonts w:ascii="Arial" w:cs="Arial" w:eastAsia="Arial" w:hAnsi="Arial"/>
          <w:sz w:val="16"/>
          <w:szCs w:val="16"/>
          <w:color w:val="auto"/>
        </w:rPr>
        <w:t>otherwise or removal of our incumbent officers and directors more difficult. These provisions may also have the effect of preventing changes in our management. It is possible that these provisions could make it more difficult to accomplish or could deter transactions that stockholders may otherwise consider to be in their best interests or in our best interests, including transactions that might result in a premium over the market price for our shares.</w:t>
      </w:r>
    </w:p>
    <w:p>
      <w:pPr>
        <w:spacing w:after="0" w:line="9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These provisions are designed to discourage coercive takeover practices and inadequate takeover bids. These provisions are also designed to encourage persons seeking to acquire control of us to first negotiate with our board of directors. We believe that the benefits of increased protection and our potential ability to negotiate with the proponent of an unfriendly or unsolicited proposal to acquire control of our company outweigh the disadvantages of discouraging these proposals because, among other things, negotiation of these proposals could result in an improvement of their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subject to Section 203 of the DGCL, which generally prohibits a Delaware corporation, including those whose securities are listed for trading on the NYSE, from engaging in any business combination with any interested stockholder (which is defined generally as a person owning 15% or more of a Delaware corporation’s outstanding voting stock) or its affiliates or associates for a period of three years following the time that the stockholder became an interested stockholder, unless:</w:t>
      </w:r>
    </w:p>
    <w:p>
      <w:pPr>
        <w:spacing w:after="0" w:line="13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time the interested stockholder attained that status;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elect in the future to not be subject to the provisions of Section 203 of the DGCL.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 and Amended and Restated Bylaws</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may delay or discourage transactions involving an actual or potential change in control or change in our management, or transactions that our stockholders might otherwise deem to be in their best interests or in our best interests, including transactions that might result in a premium over the market price for our shares. Therefore, these provisions could adversely affect the price of our common stock.</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w:t>
      </w:r>
    </w:p>
    <w:p>
      <w:pPr>
        <w:spacing w:after="0" w:line="171" w:lineRule="exact"/>
        <w:rPr>
          <w:sz w:val="20"/>
          <w:szCs w:val="20"/>
          <w:color w:val="auto"/>
        </w:rPr>
      </w:pPr>
    </w:p>
    <w:p>
      <w:pPr>
        <w:ind w:left="660" w:right="20" w:hanging="328"/>
        <w:spacing w:after="0" w:line="27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later than 90 days nor earlier than 120 days prior to the first anniversary date of the annual meeting for the preceding year. Our amended and restated bylaws specify the requirements as to form and content of all stockholder notices. These requirements may preclude stockholders from bringing matters before the stockholders at an annual or special meeting, and may discourage or deter a third party from conducting a solicitation of proxies to elect its slate of directors or to approve its proposal, without regard to whether consideration of those nominees or proposals might be harmful or beneficial to us and our stockholders;</w:t>
      </w:r>
    </w:p>
    <w:p>
      <w:pPr>
        <w:spacing w:after="0" w:line="124"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our board of directors the ability to authorize undesignated preferred stock. This ability makes it possible for our board of directors to issue, without stockholder approval, preferred stock with voting or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557" w:right="299" w:bottom="1440" w:gutter="0" w:footer="0" w:header="0"/>
        </w:sectPr>
      </w:pPr>
    </w:p>
    <w:bookmarkStart w:id="14" w:name="page15"/>
    <w:bookmarkEnd w:id="14"/>
    <w:p>
      <w:pPr>
        <w:ind w:left="660" w:right="240"/>
        <w:spacing w:after="0" w:line="277" w:lineRule="auto"/>
        <w:rPr>
          <w:sz w:val="20"/>
          <w:szCs w:val="20"/>
          <w:color w:val="auto"/>
        </w:rPr>
      </w:pPr>
      <w:r>
        <w:rPr>
          <w:rFonts w:ascii="Arial" w:cs="Arial" w:eastAsia="Arial" w:hAnsi="Arial"/>
          <w:sz w:val="18"/>
          <w:szCs w:val="18"/>
          <w:color w:val="auto"/>
        </w:rPr>
        <w:t>other rights or preferences that could impede the success of any attempt to change control of us. These provisions may have the effect of deterring hostile takeovers or delaying changes in control or management of our company;</w:t>
      </w:r>
    </w:p>
    <w:p>
      <w:pPr>
        <w:spacing w:after="0" w:line="116" w:lineRule="exact"/>
        <w:rPr>
          <w:sz w:val="20"/>
          <w:szCs w:val="20"/>
          <w:color w:val="auto"/>
        </w:rPr>
      </w:pPr>
    </w:p>
    <w:p>
      <w:pPr>
        <w:ind w:left="660" w:right="2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that (x) the authorized number of directors may be changed only by resolution of the board of directors and (y) all vacancies, including newly created directorships, may, except as otherwise required by law or, if applicable, the rights of holders of a series of preferred stock, only be filled by the affirmative vote of a majority of directors then in office, even if less than a quorum. “Cause” is defined as the director’s (i) conviction of a serious felony involving moral turpitude or a violation of federal or state securities laws; (ii) the commission of any material act of dishonesty resulting or intended to result in material personal gain or enrichment of such director at the expense of CRC or any of its subsidiaries and which act, if made the subject of criminal charges, would be reasonably likely to be charged as a felony; or (iii) adjudication as legally incompetent by a court of competent jurisdiction. These provisions may have the effect of deterring hostile takeovers or delaying changes in control or management of our company;</w:t>
      </w:r>
    </w:p>
    <w:p>
      <w:pPr>
        <w:spacing w:after="0" w:line="138" w:lineRule="exact"/>
        <w:rPr>
          <w:rFonts w:ascii="Arial" w:cs="Arial" w:eastAsia="Arial" w:hAnsi="Arial"/>
          <w:sz w:val="18"/>
          <w:szCs w:val="18"/>
          <w:color w:val="auto"/>
        </w:rPr>
      </w:pPr>
    </w:p>
    <w:p>
      <w:pPr>
        <w:ind w:left="66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that (i)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our preferred stock with respect to such series, and (ii) special meetings of our stockholders may only be called by the board of directors, the chief executive officer or the chairman of the board. These provisions regarding our stockholder meetings may have the effect of deterring hostile takeovers or delaying changes in control or management of our company; and</w:t>
      </w:r>
    </w:p>
    <w:p>
      <w:pPr>
        <w:spacing w:after="0" w:line="118" w:lineRule="exact"/>
        <w:rPr>
          <w:rFonts w:ascii="Arial" w:cs="Arial" w:eastAsia="Arial" w:hAnsi="Arial"/>
          <w:sz w:val="17"/>
          <w:szCs w:val="17"/>
          <w:color w:val="auto"/>
        </w:rPr>
      </w:pPr>
    </w:p>
    <w:p>
      <w:pPr>
        <w:ind w:left="660" w:right="80" w:hanging="328"/>
        <w:spacing w:after="0" w:line="27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that (i) certain provisions of our certificate of incorporation related to the voting rights of stockholders, our board of directors, special meetings of our stockholders, the ability of our stockholders to act by written consent, the forum for certain disputes related to us or our stockholders, and the applicability of Section 203 DGCL may be amended only by the affirmative vote of the holders of at least 75% of the voting power of our then outstanding common stock and that other provisions of our certificate of incorporation may be amended upon the affirmative vote of the holders of at least a majority of our then outstanding common stock, in each case, in addition to the approval of a majority of our directors then in office and (ii) our bylaws can be amended or repealed at any regular or special meeting of stockholders or by the board of directors but any amendment by the stockholders will require the affirmative vote of the holders of at least 75% of the voting power of the shares of our common stock outstanding and entitled to vote thereon. These provisions regarding the amendment of our constituent documents may have the effect of deterring hostile takeovers or delaying changes in control or management of our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Chancery of the State of Delaware will, to the fullest extent permitted by applicable law, be the sole and exclusive forum for:</w:t>
      </w:r>
    </w:p>
    <w:p>
      <w:pPr>
        <w:spacing w:after="0" w:line="15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employees or agents to us or our stockholders;</w:t>
      </w:r>
    </w:p>
    <w:p>
      <w:pPr>
        <w:spacing w:after="0" w:line="182"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our amended and restated certificate of incorporation or our bylaws (as either may be amended from time to time); or</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in each such case subject to such Court of Chancery having personal jurisdiction over the indispensable parties named as defendants therein.</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amended and restated certificate of incorporation also provides that any person or entity purchasing or otherwise holding any interest in shares of our capital stock will be deemed to have notice of and to have consented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7"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to this forum selection provision. However, it is possible that a court could find our forum selection provision to be inapplicable or unenforceable.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20"/>
          </w:cols>
          <w:pgMar w:left="240" w:top="719" w:right="11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175"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This prospectus covers the offer and sale from time to time of up to an aggregate of 1,250,000 shares of our common stock that may be issued to the selling stockholder listed in the table below upon exercise of the Warrant. As used herein, “selling stockholder” means the selling stockholder listed in the table below as well as its donees, pledgees, transferees or other successors-in-interest selling shares of common stock or interests in shares of common stock received after the date of this prospectus from the selling stockholder as a gift, pledge, partnership distribution or other transfer.</w:t>
      </w:r>
    </w:p>
    <w:p>
      <w:pPr>
        <w:spacing w:after="0" w:line="10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are registering the shares of common stock covered by this prospectus for sale by the selling stockholder named in this prospectus pursuant to our obligations under the Warrant entered into in connection with the JV Partner’s commitment under the JV Agreement to invest in certain of our oil and gas properties in California. As part of the consideration for the JV Partner entering into the JV Agreement and committing to an initial investment of approximately $320 million, we have issued the Warrant to the selling stockholder to purchase (i) up to 800,000 shares of common stock in 200,000-share tranches that become exercisable upon the meeting of certain funding milestones, and (ii) up to an additional 450,000 shares of common stock in 225,000-share tranches that become exercisable upon the meeting of certain funding milestones, if all parties to the JV Agreement agree to increase the JV Partner’s investment commitment to $500 million, for a total of up to 1,250,000 shares of common stock. As of December 31, 2019, two tranches for 400,000 Warrant Shares were exercisable. As of the date hereof, no Warrant Shares have been issued.</w:t>
      </w:r>
    </w:p>
    <w:p>
      <w:pPr>
        <w:spacing w:after="0" w:line="12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We will receive up to an aggregate of approximately $50 million from the exercise of the Warrant, assuming the increase of the JV Partner’s total commitment under the JV Agreement to $500 million and the exercise in full of the Warrant for cash. In connection with the exercise of the Warrant, the holder of the Warrant may elect, in its sole discretion, to pay cash or to exercise on a cashless basis, pursuant to which the holder will not be required to pay cash for shares of common stock issuable upon exercise of the Warrant but will instead receive fewer Warrant Shares.</w:t>
      </w:r>
    </w:p>
    <w:p>
      <w:pPr>
        <w:spacing w:after="0" w:line="117"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No offer or sale under this prospectus may be made by a stockholder other than the selling stockholder named herein, in a supplement to this prospectus or in an amendment to the related registration statement that has become effective under the Securities Act. We may supplement or amend this prospectus to include additional selling stockholders upon request and upon provision of all required information to us.</w:t>
      </w:r>
    </w:p>
    <w:p>
      <w:pPr>
        <w:spacing w:after="0" w:line="11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following table sets forth the name of the selling stockholder, the maximum number of shares of our common stock to be sold by the selling stockholder and the number of shares of our common stock beneficially owned by the selling stockholder. Except as otherwise indicated in the footnotes to the table below, upon exercise of the Warrant and issuance of the Warrant Shares, the selling stockholder will have sole voting and dispositive power with respect to such shares.</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do not know when or in what amounts the selling stockholder may offer its shares for sale, if at all. Because the selling stockholder may offer all, some or none of its shares pursuant to this prospectus, and because we are unaware of any agreements, arrangements or understanding with respect to the sale of any such shares, no definitive estimate can be provided as to the number of shares that will be held, or percentage of shares beneficially owned, by the selling stockholder after completion of any offerings pursuant to this prospectus. For purposes of the table below, the information regarding shares of common stock owned after the offering assumes the sale of all shares offered by the selling stockholder and that the selling stockholder does not acquire any additional shares.</w:t>
      </w:r>
    </w:p>
    <w:p>
      <w:pPr>
        <w:spacing w:after="0" w:line="13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information in the below table is based on information provided by or on behalf of the selling stockholder to us and is as of February 24, 2020. We have not sought to verify such information. Additionally, the selling stockholder may have sold or transferred some or all of its shares in exempt or non-exempt transactions since the date of this prospectus. Other information about the selling stockholder may also change over time. Any changed information will be set forth in supplements to this prospectus, if required. The selling stockholder is not a broker-dealer registered under Section 15 of the Exchange Act or an affiliate of a broker-dealer registered under Section 15 of the Exchange Act.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3"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4260" w:type="dxa"/>
            <w:vAlign w:val="bottom"/>
            <w:gridSpan w:val="2"/>
          </w:tcPr>
          <w:p>
            <w:pPr>
              <w:jc w:val="center"/>
              <w:ind w:left="406"/>
              <w:spacing w:after="0"/>
              <w:rPr>
                <w:sz w:val="20"/>
                <w:szCs w:val="20"/>
                <w:color w:val="auto"/>
              </w:rPr>
            </w:pPr>
            <w:r>
              <w:rPr>
                <w:rFonts w:ascii="Arial" w:cs="Arial" w:eastAsia="Arial" w:hAnsi="Arial"/>
                <w:sz w:val="14"/>
                <w:szCs w:val="14"/>
                <w:b w:val="1"/>
                <w:bCs w:val="1"/>
                <w:color w:val="auto"/>
                <w:w w:val="91"/>
              </w:rPr>
              <w:t>Shares of Common Stock Beneficially Owned</w:t>
            </w:r>
          </w:p>
        </w:tc>
        <w:tc>
          <w:tcPr>
            <w:tcW w:w="1620" w:type="dxa"/>
            <w:vAlign w:val="bottom"/>
          </w:tcPr>
          <w:p>
            <w:pPr>
              <w:spacing w:after="0"/>
              <w:rPr>
                <w:sz w:val="14"/>
                <w:szCs w:val="14"/>
                <w:color w:val="auto"/>
              </w:rPr>
            </w:pPr>
          </w:p>
        </w:tc>
        <w:tc>
          <w:tcPr>
            <w:tcW w:w="2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Shares of Common Stock Beneficially</w:t>
            </w: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2920" w:type="dxa"/>
            <w:vAlign w:val="bottom"/>
          </w:tcPr>
          <w:p>
            <w:pPr>
              <w:jc w:val="center"/>
              <w:ind w:left="1746"/>
              <w:spacing w:after="0"/>
              <w:rPr>
                <w:sz w:val="20"/>
                <w:szCs w:val="20"/>
                <w:color w:val="auto"/>
              </w:rPr>
            </w:pPr>
            <w:r>
              <w:rPr>
                <w:rFonts w:ascii="Arial" w:cs="Arial" w:eastAsia="Arial" w:hAnsi="Arial"/>
                <w:sz w:val="14"/>
                <w:szCs w:val="14"/>
                <w:b w:val="1"/>
                <w:bCs w:val="1"/>
                <w:color w:val="auto"/>
                <w:w w:val="97"/>
              </w:rPr>
              <w:t>Prior to Offering</w:t>
            </w:r>
          </w:p>
        </w:tc>
        <w:tc>
          <w:tcPr>
            <w:tcW w:w="1340" w:type="dxa"/>
            <w:vAlign w:val="bottom"/>
          </w:tcPr>
          <w:p>
            <w:pPr>
              <w:spacing w:after="0"/>
              <w:rPr>
                <w:sz w:val="16"/>
                <w:szCs w:val="16"/>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Shares of Common</w:t>
            </w:r>
          </w:p>
        </w:tc>
        <w:tc>
          <w:tcPr>
            <w:tcW w:w="2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Owned After Offering</w:t>
            </w:r>
          </w:p>
        </w:tc>
        <w:tc>
          <w:tcPr>
            <w:tcW w:w="0" w:type="dxa"/>
            <w:vAlign w:val="bottom"/>
          </w:tcPr>
          <w:p>
            <w:pPr>
              <w:spacing w:after="0"/>
              <w:rPr>
                <w:sz w:val="1"/>
                <w:szCs w:val="1"/>
                <w:color w:val="auto"/>
              </w:rPr>
            </w:pPr>
          </w:p>
        </w:tc>
      </w:tr>
      <w:tr>
        <w:trPr>
          <w:trHeight w:val="84"/>
        </w:trPr>
        <w:tc>
          <w:tcPr>
            <w:tcW w:w="2900" w:type="dxa"/>
            <w:vAlign w:val="bottom"/>
          </w:tcPr>
          <w:p>
            <w:pPr>
              <w:spacing w:after="0"/>
              <w:rPr>
                <w:sz w:val="7"/>
                <w:szCs w:val="7"/>
                <w:color w:val="auto"/>
              </w:rPr>
            </w:pPr>
          </w:p>
        </w:tc>
        <w:tc>
          <w:tcPr>
            <w:tcW w:w="2920" w:type="dxa"/>
            <w:vAlign w:val="bottom"/>
            <w:vMerge w:val="restart"/>
          </w:tcPr>
          <w:p>
            <w:pPr>
              <w:jc w:val="right"/>
              <w:ind w:right="1026"/>
              <w:spacing w:after="0"/>
              <w:rPr>
                <w:sz w:val="20"/>
                <w:szCs w:val="20"/>
                <w:color w:val="auto"/>
              </w:rPr>
            </w:pPr>
            <w:r>
              <w:rPr>
                <w:rFonts w:ascii="Arial" w:cs="Arial" w:eastAsia="Arial" w:hAnsi="Arial"/>
                <w:sz w:val="14"/>
                <w:szCs w:val="14"/>
                <w:b w:val="1"/>
                <w:bCs w:val="1"/>
                <w:color w:val="auto"/>
              </w:rPr>
              <w:t>Number</w:t>
            </w:r>
          </w:p>
        </w:tc>
        <w:tc>
          <w:tcPr>
            <w:tcW w:w="1340" w:type="dxa"/>
            <w:vAlign w:val="bottom"/>
            <w:vMerge w:val="restart"/>
          </w:tcPr>
          <w:p>
            <w:pPr>
              <w:jc w:val="right"/>
              <w:ind w:right="563"/>
              <w:spacing w:after="0"/>
              <w:rPr>
                <w:sz w:val="20"/>
                <w:szCs w:val="20"/>
                <w:color w:val="auto"/>
              </w:rPr>
            </w:pPr>
            <w:r>
              <w:rPr>
                <w:rFonts w:ascii="Arial" w:cs="Arial" w:eastAsia="Arial" w:hAnsi="Arial"/>
                <w:sz w:val="14"/>
                <w:szCs w:val="14"/>
                <w:b w:val="1"/>
                <w:bCs w:val="1"/>
                <w:color w:val="auto"/>
                <w:w w:val="90"/>
              </w:rPr>
              <w:t>Percentage</w:t>
            </w:r>
          </w:p>
        </w:tc>
        <w:tc>
          <w:tcPr>
            <w:tcW w:w="1620" w:type="dxa"/>
            <w:vAlign w:val="bottom"/>
            <w:vMerge w:val="continue"/>
          </w:tcPr>
          <w:p>
            <w:pPr>
              <w:spacing w:after="0"/>
              <w:rPr>
                <w:sz w:val="7"/>
                <w:szCs w:val="7"/>
                <w:color w:val="auto"/>
              </w:rPr>
            </w:pPr>
          </w:p>
        </w:tc>
        <w:tc>
          <w:tcPr>
            <w:tcW w:w="1440" w:type="dxa"/>
            <w:vAlign w:val="bottom"/>
            <w:vMerge w:val="restart"/>
          </w:tcPr>
          <w:p>
            <w:pPr>
              <w:jc w:val="right"/>
              <w:ind w:right="526"/>
              <w:spacing w:after="0"/>
              <w:rPr>
                <w:sz w:val="20"/>
                <w:szCs w:val="20"/>
                <w:color w:val="auto"/>
              </w:rPr>
            </w:pPr>
            <w:r>
              <w:rPr>
                <w:rFonts w:ascii="Arial" w:cs="Arial" w:eastAsia="Arial" w:hAnsi="Arial"/>
                <w:sz w:val="14"/>
                <w:szCs w:val="14"/>
                <w:b w:val="1"/>
                <w:bCs w:val="1"/>
                <w:color w:val="auto"/>
              </w:rPr>
              <w:t>Number</w:t>
            </w:r>
          </w:p>
        </w:tc>
        <w:tc>
          <w:tcPr>
            <w:tcW w:w="118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292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Stock Being Offered</w:t>
            </w:r>
          </w:p>
        </w:tc>
        <w:tc>
          <w:tcPr>
            <w:tcW w:w="14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900" w:type="dxa"/>
            <w:vAlign w:val="bottom"/>
          </w:tcPr>
          <w:p>
            <w:pPr>
              <w:jc w:val="right"/>
              <w:ind w:right="914"/>
              <w:spacing w:after="0"/>
              <w:rPr>
                <w:sz w:val="20"/>
                <w:szCs w:val="20"/>
                <w:color w:val="auto"/>
              </w:rPr>
            </w:pPr>
            <w:r>
              <w:rPr>
                <w:rFonts w:ascii="Arial" w:cs="Arial" w:eastAsia="Arial" w:hAnsi="Arial"/>
                <w:sz w:val="16"/>
                <w:szCs w:val="16"/>
                <w:color w:val="auto"/>
                <w:w w:val="95"/>
              </w:rPr>
              <w:t>CA Energy Investor, LLC(1)</w:t>
            </w:r>
          </w:p>
        </w:tc>
        <w:tc>
          <w:tcPr>
            <w:tcW w:w="2920" w:type="dxa"/>
            <w:vAlign w:val="bottom"/>
          </w:tcPr>
          <w:p>
            <w:pPr>
              <w:jc w:val="right"/>
              <w:ind w:right="386"/>
              <w:spacing w:after="0"/>
              <w:rPr>
                <w:sz w:val="20"/>
                <w:szCs w:val="20"/>
                <w:color w:val="auto"/>
              </w:rPr>
            </w:pPr>
            <w:r>
              <w:rPr>
                <w:rFonts w:ascii="Arial" w:cs="Arial" w:eastAsia="Arial" w:hAnsi="Arial"/>
                <w:sz w:val="16"/>
                <w:szCs w:val="16"/>
                <w:color w:val="auto"/>
              </w:rPr>
              <w:t>1,250,000 (2)</w:t>
            </w:r>
          </w:p>
        </w:tc>
        <w:tc>
          <w:tcPr>
            <w:tcW w:w="1340" w:type="dxa"/>
            <w:vAlign w:val="bottom"/>
          </w:tcPr>
          <w:p>
            <w:pPr>
              <w:jc w:val="right"/>
              <w:ind w:right="103"/>
              <w:spacing w:after="0"/>
              <w:rPr>
                <w:sz w:val="20"/>
                <w:szCs w:val="20"/>
                <w:color w:val="auto"/>
              </w:rPr>
            </w:pPr>
            <w:r>
              <w:rPr>
                <w:rFonts w:ascii="Arial" w:cs="Arial" w:eastAsia="Arial" w:hAnsi="Arial"/>
                <w:sz w:val="16"/>
                <w:szCs w:val="16"/>
                <w:color w:val="auto"/>
              </w:rPr>
              <w:t>2.5% (3)</w:t>
            </w:r>
          </w:p>
        </w:tc>
        <w:tc>
          <w:tcPr>
            <w:tcW w:w="1620" w:type="dxa"/>
            <w:vAlign w:val="bottom"/>
          </w:tcPr>
          <w:p>
            <w:pPr>
              <w:jc w:val="right"/>
              <w:ind w:right="45"/>
              <w:spacing w:after="0"/>
              <w:rPr>
                <w:sz w:val="20"/>
                <w:szCs w:val="20"/>
                <w:color w:val="auto"/>
              </w:rPr>
            </w:pPr>
            <w:r>
              <w:rPr>
                <w:rFonts w:ascii="Arial" w:cs="Arial" w:eastAsia="Arial" w:hAnsi="Arial"/>
                <w:sz w:val="16"/>
                <w:szCs w:val="16"/>
                <w:color w:val="auto"/>
              </w:rPr>
              <w:t>1,250,000</w:t>
            </w:r>
          </w:p>
        </w:tc>
        <w:tc>
          <w:tcPr>
            <w:tcW w:w="1440" w:type="dxa"/>
            <w:vAlign w:val="bottom"/>
          </w:tcPr>
          <w:p>
            <w:pPr>
              <w:jc w:val="right"/>
              <w:ind w:right="126"/>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2900" w:type="dxa"/>
            <w:vAlign w:val="bottom"/>
          </w:tcPr>
          <w:p>
            <w:pPr>
              <w:jc w:val="right"/>
              <w:ind w:right="1734"/>
              <w:spacing w:after="0"/>
              <w:rPr>
                <w:sz w:val="20"/>
                <w:szCs w:val="20"/>
                <w:color w:val="auto"/>
              </w:rPr>
            </w:pPr>
            <w:r>
              <w:rPr>
                <w:rFonts w:ascii="Arial" w:cs="Arial" w:eastAsia="Arial" w:hAnsi="Arial"/>
                <w:sz w:val="18"/>
                <w:szCs w:val="18"/>
                <w:color w:val="auto"/>
                <w:w w:val="88"/>
              </w:rPr>
              <w:t>____________</w:t>
            </w:r>
          </w:p>
        </w:tc>
        <w:tc>
          <w:tcPr>
            <w:tcW w:w="2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340" w:right="20" w:hanging="332"/>
        <w:spacing w:after="0" w:line="274"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CA Energy Investor, LLC is a subsidiary of Alpine Energy Capital, LLC (formerly known as Colony HB2 Energy, LLC), a Delaware limited liability company (“AEC”). AEC is managed by a board of directors (the “AEC Board”), and the AEC Board has voting and dispositive authority over the Warrant held by CA Energy Investor, LLC and, upon exercise of the Warrant and issuance of the Warrant Shares, the AEC Board will have voting and dispositive power with respect to such shares. The members of the AEC Board are as follows: Chris Nilan, David Helfand, Peter J. Eichler, III, Craig Perry and Darren J. Tangen. Each of the members of the AEC Board disclaims beneficial ownership of the securities referenced herein except to the extent of such person’s pecuniary interest in such shares.</w:t>
      </w:r>
    </w:p>
    <w:p>
      <w:pPr>
        <w:spacing w:after="0" w:line="14" w:lineRule="exact"/>
        <w:rPr>
          <w:rFonts w:ascii="Arial" w:cs="Arial" w:eastAsia="Arial" w:hAnsi="Arial"/>
          <w:sz w:val="15"/>
          <w:szCs w:val="15"/>
          <w:color w:val="auto"/>
        </w:rPr>
      </w:pPr>
    </w:p>
    <w:p>
      <w:pPr>
        <w:ind w:left="340" w:right="100" w:hanging="332"/>
        <w:spacing w:after="0" w:line="253"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1,250,000 shares of common stock that may be issued upon exercise of the Warrant assuming the Warrant is fully exercised for cash. The Warrant entitles the selling stockholder to purchase (i) up to 800,000 shares of common stock in 200,000-share tranches that become exercisable upon the meeting of certain funding milestones, and (ii) up to an additional 450,000 shares of common stock in 225,000-share tranches that become exercisable upon the meeting of certain funding milestones, if all parties to the JV Agreement agree to increase the JV Partner’s investment commitment to $500 million, for a total of up to 1,250,000 shares of common stock.</w:t>
      </w:r>
    </w:p>
    <w:p>
      <w:pPr>
        <w:spacing w:after="0" w:line="29" w:lineRule="exact"/>
        <w:rPr>
          <w:rFonts w:ascii="Arial" w:cs="Arial" w:eastAsia="Arial" w:hAnsi="Arial"/>
          <w:sz w:val="16"/>
          <w:szCs w:val="16"/>
          <w:color w:val="auto"/>
        </w:rPr>
      </w:pPr>
    </w:p>
    <w:p>
      <w:pPr>
        <w:ind w:left="340" w:right="260" w:hanging="332"/>
        <w:spacing w:after="0" w:line="275"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upon 49,175,843 shares of our common stock outstanding as of December 31, 2019 and assumes issuance of the 1,250,000 shares of common stock that may be issued upon exercise of the Warrant as described above.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99" w:right="25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are registering the shares of common stock issuable to the selling stockholder upon exercise of the Warrant to permit the resale of these shares of common stock by the holder of the Warrant from time to time after the date of this prospectus. We will bear all fees and expenses incident to our obligation to register the shares of common stock.</w:t>
      </w:r>
    </w:p>
    <w:p>
      <w:pPr>
        <w:spacing w:after="0" w:line="12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selling stockholder may, from time to time, sell, transfer or otherwise dispose of any or all of its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selling stockholder may use any one or more of the following methods when disposing of shares or interests therein:</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 to sell a specified number of such shares at a stipulated price per share;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or more underwritten offerings on a firm commitment or best efforts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selling stockholder may, from time to time, pledge or grant a security interest in some or all of the shares of common stock it owns and, if it defaults in the performance of its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 also may transfer the shares.</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sale of our common stock or interests therein, the selling stockholder may enter into hedging transactions with broker-dealers or other financial institutions, which may in turn engage in short sales of the common stock in the course of hedging the positions it assumes. The selling stockholder may also sell shares of our common stock short and deliver these securities to close out its short positions, or loan or pledge the common stock to broker-dealers that in turn may sell these securities.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553" w:right="299" w:bottom="1440" w:gutter="0" w:footer="0" w:header="0"/>
        </w:sectPr>
      </w:pPr>
    </w:p>
    <w:bookmarkStart w:id="19" w:name="page20"/>
    <w:bookmarkEnd w:id="19"/>
    <w:p>
      <w:pPr>
        <w:ind w:right="80" w:firstLine="324"/>
        <w:spacing w:after="0" w:line="312" w:lineRule="auto"/>
        <w:rPr>
          <w:sz w:val="20"/>
          <w:szCs w:val="20"/>
          <w:color w:val="auto"/>
        </w:rPr>
      </w:pPr>
      <w:r>
        <w:rPr>
          <w:rFonts w:ascii="Arial" w:cs="Arial" w:eastAsia="Arial" w:hAnsi="Arial"/>
          <w:sz w:val="16"/>
          <w:szCs w:val="16"/>
          <w:color w:val="auto"/>
        </w:rPr>
        <w:t>The aggregate proceeds to the selling stockholder from the sale of the common stock offered will be the purchase price of the common stock less discounts or commissions, if any. The selling stockholder reserves the right to accept and, together with its agents from time to time, to reject, in whole or in part, any proposed purchase of common stock to be made directly or through agents. We will not receive any of the proceeds from this offering.</w:t>
      </w:r>
    </w:p>
    <w:p>
      <w:pPr>
        <w:spacing w:after="0" w:line="9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selling stockholder also may resell all or a portion of the shares in open market transactions in reliance upon Rule 144 under the Securities Act of 1933, provided that they meet the criteria and conform to the requirements of that rule.</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selling stockholder and any underwriters, broker-dealers or agents that participate in the sale of the common stock or interests therein may be “underwriters” within the meaning of Section 2(a)(11) of the Securities Act.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17"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9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2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advised the selling stockholder that the anti-manipulation rules of Regulation M under the Exchange Act may apply to sales of shares in the market and to the activities of the selling stockholder and its affiliates. In addition, to the extent applicable, we will make copies of this prospectus (as it may be supplemented or amended from time to time) available to the selling stockholder for the purpose of satisfying the prospectus delivery requirements of the Securities Act. The selling stockholder may indemnify any broker-dealer that participates in transactions involving the sale of the shares against certain liabilities, including liabilities arising under the Securities Act.</w:t>
      </w:r>
    </w:p>
    <w:p>
      <w:pPr>
        <w:spacing w:after="0" w:line="13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agreed with the selling stockholder to keep the registration statement of which this prospectus constitutes a part effective until the earliest of (1) such time as all of the shares covered by this prospectus have been disposed of pursuant to and in accordance with the registration statement, (2) the date on which the shares may be sold without restriction and without the need for current public information pursuant to Rule 144(b) of the Securities Act and (3) with respect to each tranche of Warrant Shares, the expiration of the five-year term commencing on the date on which such tranche of Warrant Shares under the Warrant Agreement first became exercisable.</w:t>
      </w:r>
    </w:p>
    <w:p>
      <w:pPr>
        <w:spacing w:after="0" w:line="13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can be no assurance that the selling stockholder will sell any or all of the shares of common stock registered pursuant to the registration statement, of which this prospectus forms a part.</w:t>
      </w:r>
    </w:p>
    <w:p>
      <w:pPr>
        <w:spacing w:after="0" w:line="11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719" w:right="31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Certain legal matters in connection with the securities will be passed upon by Vinson &amp; Elkins L.L.P., Houston, Texas, as our counsel. Any underwriter or agent will be advised about other issues relating to any offering by its own legal counsel.</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consolidated financial statements of California Resources Corporation and subsidiaries as of December 31, 2019 and 2018, and for each of the years in the three-year period ended December 31, 2019, and management’s assessment of the effectiveness of internal control over financial reporting as of December 31, 2019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0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Certain information incorporated by reference into this prospectus with respect to certain oil and gas reserves associated with California Resources Corporation’s oil and gas properties is confirmed in a letter of Ryder Scott Company, L.P.,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13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Certain information incorporated by reference into this prospectus with respect to certain oil and gas reserves associated with California Resources Corporation’s oil and gas properties is confirmed in a report of Netherland, Sewell &amp; Associates, Inc.,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53" w:right="259" w:bottom="1440" w:gutter="0" w:footer="0" w:header="0"/>
        </w:sectPr>
      </w:pPr>
    </w:p>
    <w:bookmarkStart w:id="21" w:name="page22"/>
    <w:bookmarkEnd w:id="21"/>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7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Set forth below are the expenses (other than underwriting discounts and commissions) expected to be incurred in connection with the issuance and distribution of the securities registered hereby: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9820" w:type="dxa"/>
            <w:vAlign w:val="bottom"/>
          </w:tcPr>
          <w:p>
            <w:pPr>
              <w:ind w:left="40"/>
              <w:spacing w:after="0"/>
              <w:rPr>
                <w:sz w:val="20"/>
                <w:szCs w:val="20"/>
                <w:color w:val="auto"/>
              </w:rPr>
            </w:pPr>
            <w:r>
              <w:rPr>
                <w:rFonts w:ascii="Arial" w:cs="Arial" w:eastAsia="Arial" w:hAnsi="Arial"/>
                <w:sz w:val="16"/>
                <w:szCs w:val="16"/>
                <w:color w:val="auto"/>
              </w:rPr>
              <w:t>SEC registration fee</w:t>
            </w:r>
          </w:p>
        </w:tc>
        <w:tc>
          <w:tcPr>
            <w:tcW w:w="1220" w:type="dxa"/>
            <w:vAlign w:val="bottom"/>
          </w:tcPr>
          <w:p>
            <w:pPr>
              <w:jc w:val="right"/>
              <w:ind w:right="197"/>
              <w:spacing w:after="0"/>
              <w:rPr>
                <w:sz w:val="20"/>
                <w:szCs w:val="20"/>
                <w:color w:val="auto"/>
              </w:rPr>
            </w:pPr>
            <w:r>
              <w:rPr>
                <w:rFonts w:ascii="Arial" w:cs="Arial" w:eastAsia="Arial" w:hAnsi="Arial"/>
                <w:sz w:val="18"/>
                <w:szCs w:val="18"/>
                <w:color w:val="auto"/>
                <w:w w:val="87"/>
              </w:rPr>
              <w:t>$ 1,452.89</w:t>
            </w:r>
            <w:r>
              <w:rPr>
                <w:rFonts w:ascii="Arial" w:cs="Arial" w:eastAsia="Arial" w:hAnsi="Arial"/>
                <w:sz w:val="25"/>
                <w:szCs w:val="25"/>
                <w:color w:val="auto"/>
                <w:w w:val="87"/>
                <w:vertAlign w:val="superscript"/>
              </w:rPr>
              <w:t>(1)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820" w:type="dxa"/>
            <w:vAlign w:val="bottom"/>
          </w:tcPr>
          <w:p>
            <w:pPr>
              <w:ind w:left="40"/>
              <w:spacing w:after="0"/>
              <w:rPr>
                <w:sz w:val="20"/>
                <w:szCs w:val="20"/>
                <w:color w:val="auto"/>
              </w:rPr>
            </w:pPr>
            <w:r>
              <w:rPr>
                <w:rFonts w:ascii="Arial" w:cs="Arial" w:eastAsia="Arial" w:hAnsi="Arial"/>
                <w:sz w:val="16"/>
                <w:szCs w:val="16"/>
                <w:color w:val="auto"/>
              </w:rPr>
              <w:t>Printing expenses</w:t>
            </w:r>
          </w:p>
        </w:tc>
        <w:tc>
          <w:tcPr>
            <w:tcW w:w="1220" w:type="dxa"/>
            <w:vAlign w:val="bottom"/>
          </w:tcPr>
          <w:p>
            <w:pPr>
              <w:jc w:val="right"/>
              <w:ind w:right="177"/>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Accounting fees and expenses</w:t>
            </w:r>
          </w:p>
        </w:tc>
        <w:tc>
          <w:tcPr>
            <w:tcW w:w="1220" w:type="dxa"/>
            <w:vAlign w:val="bottom"/>
          </w:tcPr>
          <w:p>
            <w:pPr>
              <w:jc w:val="right"/>
              <w:ind w:right="177"/>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Legal fees and expenses</w:t>
            </w:r>
          </w:p>
        </w:tc>
        <w:tc>
          <w:tcPr>
            <w:tcW w:w="1220" w:type="dxa"/>
            <w:vAlign w:val="bottom"/>
          </w:tcPr>
          <w:p>
            <w:pPr>
              <w:jc w:val="right"/>
              <w:ind w:right="177"/>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Miscellaneous</w:t>
            </w:r>
          </w:p>
        </w:tc>
        <w:tc>
          <w:tcPr>
            <w:tcW w:w="1220" w:type="dxa"/>
            <w:vAlign w:val="bottom"/>
          </w:tcPr>
          <w:p>
            <w:pPr>
              <w:jc w:val="right"/>
              <w:ind w:right="177"/>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Total</w:t>
            </w:r>
          </w:p>
        </w:tc>
        <w:tc>
          <w:tcPr>
            <w:tcW w:w="1220" w:type="dxa"/>
            <w:vAlign w:val="bottom"/>
          </w:tcPr>
          <w:p>
            <w:pPr>
              <w:jc w:val="right"/>
              <w:ind w:right="177"/>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82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82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Fee previously paid.</w:t>
      </w:r>
    </w:p>
    <w:p>
      <w:pPr>
        <w:spacing w:after="0" w:line="1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fees are calculated based on the number of issuances and amount of securities offered and accordingly cannot be estimated at this time.</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75"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Our amended and restated certificate of incorporation limits the liability of our directors for monetary damages for breach of their fiduciary duty as directors, except for liability that cannot be eliminated under the DGCL. Delaware law permits a certificate of incorporation to provide that directors of a company will not be personally liable for monetary damages for breach of their fiduciary duty as directors, except for liabilities:</w:t>
      </w:r>
    </w:p>
    <w:p>
      <w:pPr>
        <w:spacing w:after="0" w:line="1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unlawful payment of dividend or unlawful stock repurchase or redemption, as provided under Section 174 of the DGCL;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1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amended and restated bylaws also provide that we will indemnify our directors and officers to the fullest extent permitted by Delaware law. Our amended and restated bylaws also permit us to purchase insurance on behalf of any officer, director, employee or other agent for any liability arising out of that person’s actions as our officer, director, employee or agent, regardless of whether Delaware law would permit indemnification. We may from time to time enter into indemnification agreements with our directors and officers. These agreements will typically require us to indemnify these individuals to the fullest extent permitted under Delaware law against liability that may arise by reason of their service to us, and to advance expenses incurred as a result of any proceeding against them as to which they could be indemnified.</w:t>
      </w:r>
    </w:p>
    <w:p>
      <w:pPr>
        <w:spacing w:after="0" w:line="1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553"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0"/>
        </w:trPr>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Exhibit Number</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60" w:type="dxa"/>
            <w:vAlign w:val="bottom"/>
            <w:gridSpan w:val="21"/>
          </w:tcPr>
          <w:p>
            <w:pPr>
              <w:ind w:left="200"/>
              <w:spacing w:after="0"/>
              <w:rPr>
                <w:sz w:val="20"/>
                <w:szCs w:val="20"/>
                <w:color w:val="auto"/>
              </w:rPr>
            </w:pPr>
            <w:r>
              <w:rPr>
                <w:rFonts w:ascii="Arial" w:cs="Arial" w:eastAsia="Arial" w:hAnsi="Arial"/>
                <w:sz w:val="16"/>
                <w:szCs w:val="16"/>
                <w:b w:val="1"/>
                <w:bCs w:val="1"/>
                <w:color w:val="auto"/>
              </w:rPr>
              <w:t>Exhibit Title</w:t>
            </w: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260" w:type="dxa"/>
            <w:vAlign w:val="bottom"/>
          </w:tcPr>
          <w:p>
            <w:pPr>
              <w:ind w:left="280"/>
              <w:spacing w:after="0" w:line="19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8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1">
              <w:r>
                <w:rPr>
                  <w:rFonts w:ascii="Arial" w:cs="Arial" w:eastAsia="Arial" w:hAnsi="Arial"/>
                  <w:sz w:val="18"/>
                  <w:szCs w:val="18"/>
                  <w:color w:val="0000FF"/>
                  <w:w w:val="90"/>
                </w:rPr>
                <w:t>Separation and Distribution Agreement, dated as of November 25, 2014, between Occidental Petroleum Corporation and California</w:t>
              </w:r>
            </w:hyperlink>
          </w:p>
        </w:tc>
        <w:tc>
          <w:tcPr>
            <w:tcW w:w="520" w:type="dxa"/>
            <w:vAlign w:val="bottom"/>
            <w:gridSpan w:val="1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11">
              <w:r>
                <w:rPr>
                  <w:rFonts w:ascii="Arial" w:cs="Arial" w:eastAsia="Arial" w:hAnsi="Arial"/>
                  <w:sz w:val="18"/>
                  <w:szCs w:val="18"/>
                  <w:color w:val="0000FF"/>
                  <w:w w:val="91"/>
                </w:rPr>
                <w:t>Resources Corporation (filed as Exhibit 2.1 to Registrant’s Current Report on Form 8-K filed December 1, 2014 and incorporated herein</w:t>
              </w:r>
            </w:hyperlink>
          </w:p>
        </w:tc>
        <w:tc>
          <w:tcPr>
            <w:tcW w:w="16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11">
              <w:r>
                <w:rPr>
                  <w:rFonts w:ascii="Arial" w:cs="Arial" w:eastAsia="Arial" w:hAnsi="Arial"/>
                  <w:sz w:val="18"/>
                  <w:szCs w:val="18"/>
                  <w:color w:val="0000FF"/>
                  <w:w w:val="88"/>
                </w:rPr>
                <w:t>by reference).</w:t>
              </w:r>
            </w:hyperlink>
          </w:p>
        </w:tc>
        <w:tc>
          <w:tcPr>
            <w:tcW w:w="9000" w:type="dxa"/>
            <w:vAlign w:val="bottom"/>
            <w:gridSpan w:val="27"/>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Amended and Restated Certificate of Incorporation of California Resources Corporation (filed as Exhibit 3.1 to Registrant’s Current</w:t>
              </w:r>
            </w:hyperlink>
          </w:p>
        </w:tc>
        <w:tc>
          <w:tcPr>
            <w:tcW w:w="480" w:type="dxa"/>
            <w:vAlign w:val="bottom"/>
            <w:gridSpan w:val="1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Report on Form 8-K filed June 3, 2016 and 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2"/>
              </w:rPr>
            </w:pPr>
            <w:hyperlink r:id="rId13">
              <w:r>
                <w:rPr>
                  <w:rFonts w:ascii="Arial" w:cs="Arial" w:eastAsia="Arial" w:hAnsi="Arial"/>
                  <w:sz w:val="18"/>
                  <w:szCs w:val="18"/>
                  <w:color w:val="0000FF"/>
                  <w:w w:val="92"/>
                </w:rPr>
                <w:t>Amended and Restated Bylaws of California Resources Corporation (filed as Exhibit 3.2 to the Registrant’s Current Report on Form 8-K</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filed November 10, 2015 and incorporated herein by reference).</w:t>
              </w:r>
            </w:hyperlink>
          </w:p>
        </w:tc>
        <w:tc>
          <w:tcPr>
            <w:tcW w:w="140" w:type="dxa"/>
            <w:vAlign w:val="bottom"/>
            <w:gridSpan w:val="6"/>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5"/>
              </w:rPr>
            </w:pPr>
            <w:hyperlink r:id="rId14">
              <w:r>
                <w:rPr>
                  <w:rFonts w:ascii="Arial" w:cs="Arial" w:eastAsia="Arial" w:hAnsi="Arial"/>
                  <w:sz w:val="18"/>
                  <w:szCs w:val="18"/>
                  <w:color w:val="0000FF"/>
                  <w:w w:val="95"/>
                </w:rPr>
                <w:t>Indenture, dated October 1, 2014, by and among California Resources Corporation, the Guarantors and Wells Fargo Bank, National</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w w:val="94"/>
              </w:rPr>
            </w:pPr>
            <w:hyperlink r:id="rId14">
              <w:r>
                <w:rPr>
                  <w:rFonts w:ascii="Arial" w:cs="Arial" w:eastAsia="Arial" w:hAnsi="Arial"/>
                  <w:sz w:val="18"/>
                  <w:szCs w:val="18"/>
                  <w:color w:val="0000FF"/>
                  <w:w w:val="94"/>
                </w:rPr>
                <w:t>Association (filed as Exhibit 4.2 to Amendment No. 4 to the Registrant’s Information Statement on Form 10 filed October 8, 2014 and</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incorporated herein by reference).</w:t>
              </w:r>
            </w:hyperlink>
          </w:p>
        </w:tc>
        <w:tc>
          <w:tcPr>
            <w:tcW w:w="320" w:type="dxa"/>
            <w:vAlign w:val="bottom"/>
            <w:gridSpan w:val="1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00" w:type="dxa"/>
            <w:vAlign w:val="bottom"/>
            <w:tcBorders>
              <w:bottom w:val="single" w:sz="8" w:color="0000FF"/>
            </w:tcBorders>
            <w:gridSpan w:val="24"/>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Indenture, dated December 15, 2015, by and among California Resources Corporation, the Guarantors and the Bank of New York Mellon</w:t>
              </w:r>
            </w:hyperlink>
          </w:p>
        </w:tc>
        <w:tc>
          <w:tcPr>
            <w:tcW w:w="10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Trust Company, N.A. (filed as Exhibit 4.1 to Registrant’s Current Report on Form 8-K filed December 18, 2015 and incorporated herein</w:t>
              </w:r>
            </w:hyperlink>
          </w:p>
        </w:tc>
        <w:tc>
          <w:tcPr>
            <w:tcW w:w="18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15">
              <w:r>
                <w:rPr>
                  <w:rFonts w:ascii="Arial" w:cs="Arial" w:eastAsia="Arial" w:hAnsi="Arial"/>
                  <w:sz w:val="18"/>
                  <w:szCs w:val="18"/>
                  <w:color w:val="0000FF"/>
                  <w:w w:val="88"/>
                </w:rPr>
                <w:t>by reference).</w:t>
              </w:r>
            </w:hyperlink>
          </w:p>
        </w:tc>
        <w:tc>
          <w:tcPr>
            <w:tcW w:w="9000" w:type="dxa"/>
            <w:vAlign w:val="bottom"/>
            <w:gridSpan w:val="27"/>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26"/>
          </w:tcPr>
          <w:p>
            <w:pPr>
              <w:spacing w:after="0"/>
              <w:rPr>
                <w:rFonts w:ascii="Arial" w:cs="Arial" w:eastAsia="Arial" w:hAnsi="Arial"/>
                <w:sz w:val="18"/>
                <w:szCs w:val="18"/>
                <w:color w:val="0000FF"/>
                <w:w w:val="89"/>
              </w:rPr>
            </w:pPr>
            <w:hyperlink r:id="rId16">
              <w:r>
                <w:rPr>
                  <w:rFonts w:ascii="Arial" w:cs="Arial" w:eastAsia="Arial" w:hAnsi="Arial"/>
                  <w:sz w:val="18"/>
                  <w:szCs w:val="18"/>
                  <w:color w:val="0000FF"/>
                  <w:w w:val="89"/>
                </w:rPr>
                <w:t>Guarantor Supplemental Indenture dated as of March 5, 2015, among California Resources Corporation, certain guarantors named therein</w:t>
              </w:r>
            </w:hyperlink>
          </w:p>
        </w:tc>
        <w:tc>
          <w:tcPr>
            <w:tcW w:w="6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and Wells Fargo Bank, National Association (filed as Exhibit 4.2 to Registrant’s Registration Statement on Form S-4 filed March 12, 2015</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and incorporated herein by reference).</w:t>
              </w:r>
            </w:hyperlink>
          </w:p>
        </w:tc>
        <w:tc>
          <w:tcPr>
            <w:tcW w:w="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Guarantor Supplemental Indenture dated as of March 4, 2016, among California Resources Corporation, certain guarantors named therein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and The Bank of New York Mellon Trust Company, N.A., as trustee (filed as Exhibit 4.1 to Registrant’s Quarterly Report on Form 10-Q</w:t>
              </w:r>
            </w:hyperlink>
          </w:p>
        </w:tc>
        <w:tc>
          <w:tcPr>
            <w:tcW w:w="100" w:type="dxa"/>
            <w:vAlign w:val="bottom"/>
            <w:tcBorders>
              <w:top w:val="single" w:sz="8" w:color="0000FF"/>
            </w:tcBorders>
            <w:gridSpan w:val="5"/>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filed August 4, 2016 and incorporated herein by reference).</w:t>
              </w:r>
            </w:hyperlink>
          </w:p>
        </w:tc>
        <w:tc>
          <w:tcPr>
            <w:tcW w:w="5700" w:type="dxa"/>
            <w:vAlign w:val="bottom"/>
            <w:gridSpan w:val="22"/>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0" w:type="dxa"/>
            <w:vAlign w:val="bottom"/>
            <w:tcBorders>
              <w:bottom w:val="single" w:sz="8" w:color="0000FF"/>
            </w:tcBorders>
            <w:gridSpan w:val="19"/>
          </w:tcPr>
          <w:p>
            <w:pPr>
              <w:spacing w:after="0"/>
              <w:rPr>
                <w:rFonts w:ascii="Arial" w:cs="Arial" w:eastAsia="Arial" w:hAnsi="Arial"/>
                <w:sz w:val="18"/>
                <w:szCs w:val="18"/>
                <w:color w:val="0000FF"/>
                <w:w w:val="89"/>
              </w:rPr>
            </w:pPr>
            <w:hyperlink r:id="rId18">
              <w:r>
                <w:rPr>
                  <w:rFonts w:ascii="Arial" w:cs="Arial" w:eastAsia="Arial" w:hAnsi="Arial"/>
                  <w:sz w:val="18"/>
                  <w:szCs w:val="18"/>
                  <w:color w:val="0000FF"/>
                  <w:w w:val="89"/>
                </w:rPr>
                <w:t>Guarantor Supplement Indenture dated as of March 4, 2016, among California Resources Corporation, certain guarantors named therein</w:t>
              </w:r>
            </w:hyperlink>
          </w:p>
        </w:tc>
        <w:tc>
          <w:tcPr>
            <w:tcW w:w="20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and The Bank of New York Mellon Trust Company, N.A., as trustee (filed as Exhibit 4.2 to Registrant’s Quarterly Report on Form 10-Q</w:t>
              </w:r>
            </w:hyperlink>
          </w:p>
        </w:tc>
        <w:tc>
          <w:tcPr>
            <w:tcW w:w="18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8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filed August 4, 2016 and incorporated herein by reference).</w:t>
              </w:r>
            </w:hyperlink>
          </w:p>
        </w:tc>
        <w:tc>
          <w:tcPr>
            <w:tcW w:w="5720" w:type="dxa"/>
            <w:vAlign w:val="bottom"/>
            <w:gridSpan w:val="23"/>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tcBorders>
              <w:bottom w:val="single" w:sz="8" w:color="0000FF"/>
            </w:tcBorders>
            <w:gridSpan w:val="23"/>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Guarantor Supplemental Indenture No. 2, dated as of April 29, 2016, among California Resources Corporation, certain guarantors named</w:t>
              </w:r>
            </w:hyperlink>
          </w:p>
        </w:tc>
        <w:tc>
          <w:tcPr>
            <w:tcW w:w="1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therein and Wilmington Trust, National Association, as trustee (filed as Exhibit 10.4 to Registrant’s Quarterly Report on Form 10-Q filed</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August 4, 2016 and incorporated herein by reference).</w:t>
              </w:r>
            </w:hyperlink>
          </w:p>
        </w:tc>
        <w:tc>
          <w:tcPr>
            <w:tcW w:w="5960" w:type="dxa"/>
            <w:vAlign w:val="bottom"/>
            <w:tcBorders>
              <w:top w:val="single" w:sz="8" w:color="0000FF"/>
            </w:tcBorders>
            <w:gridSpan w:val="18"/>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60" w:type="dxa"/>
            <w:vAlign w:val="bottom"/>
            <w:tcBorders>
              <w:bottom w:val="single" w:sz="8" w:color="0000FF"/>
            </w:tcBorders>
            <w:gridSpan w:val="10"/>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Assumption Agreement dated as of March 6, 2015, among CRC Construction Services, LLC and JP Morgan Chase Bank, N.A., as</w:t>
              </w:r>
            </w:hyperlink>
          </w:p>
        </w:tc>
        <w:tc>
          <w:tcPr>
            <w:tcW w:w="540" w:type="dxa"/>
            <w:vAlign w:val="bottom"/>
            <w:gridSpan w:val="1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4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Administrative Agent for lenders (filed as Exhibit 10.31 to Registrant’s Registration Statement on Form S-4 filed March 12, 2015 and</w:t>
              </w:r>
            </w:hyperlink>
          </w:p>
        </w:tc>
        <w:tc>
          <w:tcPr>
            <w:tcW w:w="360" w:type="dxa"/>
            <w:vAlign w:val="bottom"/>
            <w:gridSpan w:val="1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3"/>
              </w:rPr>
            </w:pPr>
            <w:hyperlink r:id="rId21">
              <w:r>
                <w:rPr>
                  <w:rFonts w:ascii="Arial" w:cs="Arial" w:eastAsia="Arial" w:hAnsi="Arial"/>
                  <w:sz w:val="18"/>
                  <w:szCs w:val="18"/>
                  <w:color w:val="0000FF"/>
                  <w:w w:val="93"/>
                </w:rPr>
                <w:t>Registration Rights Agreement, dated October 1, 2014, by and among California Resources Corporation, the Guarantors and the Initial</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Purchasers (filed as Exhibit 4.3 to Amendment No. 4 to the Registrant’s Information Statement on Form 10 filed October 8, 2014 and</w:t>
              </w:r>
            </w:hyperlink>
          </w:p>
        </w:tc>
        <w:tc>
          <w:tcPr>
            <w:tcW w:w="80" w:type="dxa"/>
            <w:vAlign w:val="bottom"/>
            <w:tcBorders>
              <w:top w:val="single" w:sz="8" w:color="0000FF"/>
            </w:tcBorders>
            <w:gridSpan w:val="3"/>
          </w:tcPr>
          <w:p>
            <w:pPr>
              <w:spacing w:after="0"/>
              <w:rPr>
                <w:sz w:val="17"/>
                <w:szCs w:val="17"/>
                <w:color w:val="auto"/>
              </w:rPr>
            </w:pPr>
          </w:p>
        </w:tc>
        <w:tc>
          <w:tcPr>
            <w:tcW w:w="300" w:type="dxa"/>
            <w:vAlign w:val="bottom"/>
            <w:gridSpan w:val="1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tcBorders>
              <w:bottom w:val="single" w:sz="8" w:color="0000FF"/>
            </w:tcBorders>
            <w:gridSpan w:val="17"/>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Form of 5% Senior Note due 2020 (included in Exhibit 4.2 to Amendment No. 4 to the Registrant’s Information Statement on Form 10</w:t>
              </w:r>
            </w:hyperlink>
          </w:p>
        </w:tc>
        <w:tc>
          <w:tcPr>
            <w:tcW w:w="28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filed October 8, 2014 and incorporated herein by reference).</w:t>
              </w:r>
            </w:hyperlink>
          </w:p>
        </w:tc>
        <w:tc>
          <w:tcPr>
            <w:tcW w:w="5660" w:type="dxa"/>
            <w:vAlign w:val="bottom"/>
            <w:gridSpan w:val="21"/>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3"/>
              </w:rPr>
            </w:pPr>
            <w:hyperlink r:id="rId14">
              <w:r>
                <w:rPr>
                  <w:rFonts w:ascii="Arial" w:cs="Arial" w:eastAsia="Arial" w:hAnsi="Arial"/>
                  <w:sz w:val="18"/>
                  <w:szCs w:val="18"/>
                  <w:color w:val="0000FF"/>
                  <w:w w:val="93"/>
                </w:rPr>
                <w:t>Form of 5 1/2% Senior Note due 2021 (included in Exhibit 4.2 to Amendment No. 4 to the Registrant’s Information Statement on Form</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10 filed October 8, 2014 and incorporated herein by reference).</w:t>
              </w:r>
            </w:hyperlink>
          </w:p>
        </w:tc>
        <w:tc>
          <w:tcPr>
            <w:tcW w:w="5160" w:type="dxa"/>
            <w:vAlign w:val="bottom"/>
            <w:tcBorders>
              <w:top w:val="single" w:sz="8" w:color="0000FF"/>
            </w:tcBorders>
            <w:gridSpan w:val="10"/>
          </w:tcPr>
          <w:p>
            <w:pPr>
              <w:spacing w:after="0"/>
              <w:rPr>
                <w:sz w:val="17"/>
                <w:szCs w:val="17"/>
                <w:color w:val="auto"/>
              </w:rPr>
            </w:pPr>
          </w:p>
        </w:tc>
        <w:tc>
          <w:tcPr>
            <w:tcW w:w="240" w:type="dxa"/>
            <w:vAlign w:val="bottom"/>
            <w:gridSpan w:val="10"/>
          </w:tcPr>
          <w:p>
            <w:pPr>
              <w:spacing w:after="0"/>
              <w:rPr>
                <w:sz w:val="17"/>
                <w:szCs w:val="17"/>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733"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0"/>
        </w:trPr>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Exhibit Number</w:t>
            </w: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4"/>
          </w:tcPr>
          <w:p>
            <w:pPr>
              <w:ind w:left="80"/>
              <w:spacing w:after="0"/>
              <w:rPr>
                <w:sz w:val="20"/>
                <w:szCs w:val="20"/>
                <w:color w:val="auto"/>
              </w:rPr>
            </w:pPr>
            <w:r>
              <w:rPr>
                <w:rFonts w:ascii="Arial" w:cs="Arial" w:eastAsia="Arial" w:hAnsi="Arial"/>
                <w:sz w:val="16"/>
                <w:szCs w:val="16"/>
                <w:b w:val="1"/>
                <w:bCs w:val="1"/>
                <w:color w:val="auto"/>
              </w:rPr>
              <w:t>Exhibit Title</w:t>
            </w: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260" w:type="dxa"/>
            <w:vAlign w:val="bottom"/>
          </w:tcPr>
          <w:p>
            <w:pPr>
              <w:ind w:left="280"/>
              <w:spacing w:after="0" w:line="196" w:lineRule="exact"/>
              <w:rPr>
                <w:sz w:val="20"/>
                <w:szCs w:val="20"/>
                <w:color w:val="auto"/>
              </w:rPr>
            </w:pPr>
            <w:r>
              <w:rPr>
                <w:rFonts w:ascii="Arial" w:cs="Arial" w:eastAsia="Arial" w:hAnsi="Arial"/>
                <w:sz w:val="18"/>
                <w:szCs w:val="18"/>
                <w:color w:val="auto"/>
              </w:rPr>
              <w:t>4.11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Form of 6% Senior Note due 2024 (included in Exhibit 4.2 to Amendment No. 4 to the Registrant’s Information Statement on Form 10</w:t>
              </w:r>
            </w:hyperlink>
          </w:p>
        </w:tc>
        <w:tc>
          <w:tcPr>
            <w:tcW w:w="28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4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filed October 8, 2014 and incorporated herein by reference).</w:t>
              </w:r>
            </w:hyperlink>
          </w:p>
        </w:tc>
        <w:tc>
          <w:tcPr>
            <w:tcW w:w="5660" w:type="dxa"/>
            <w:vAlign w:val="bottom"/>
            <w:gridSpan w:val="17"/>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tcBorders>
              <w:bottom w:val="single" w:sz="8" w:color="0000FF"/>
            </w:tcBorders>
            <w:gridSpan w:val="15"/>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Form of 8% Senior Secured Second Lien Note due 2022 (included in Exhibit 4.1 to Registrant’s Current Report on Form 8-K filed</w:t>
              </w:r>
            </w:hyperlink>
          </w:p>
        </w:tc>
        <w:tc>
          <w:tcPr>
            <w:tcW w:w="60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3"/>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December 18, 2015 and 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w w:val="94"/>
              </w:rPr>
            </w:pPr>
            <w:hyperlink r:id="rId22">
              <w:r>
                <w:rPr>
                  <w:rFonts w:ascii="Arial" w:cs="Arial" w:eastAsia="Arial" w:hAnsi="Arial"/>
                  <w:sz w:val="18"/>
                  <w:szCs w:val="18"/>
                  <w:color w:val="0000FF"/>
                  <w:w w:val="94"/>
                </w:rPr>
                <w:t>Registration Rights Agreement, dated as of February 7, 2018, by and between California Resources Corporation and AF V Energy IV</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AIV 2, L.P., AF V Energy IV AIV 3, L.P., Ares Special Situations Fund IV, L.P., AEOF Holdings I, L.P. and AEOF GP Sub, LLC</w:t>
              </w:r>
            </w:hyperlink>
          </w:p>
        </w:tc>
        <w:tc>
          <w:tcPr>
            <w:tcW w:w="280" w:type="dxa"/>
            <w:vAlign w:val="bottom"/>
            <w:tcBorders>
              <w:top w:val="single" w:sz="8" w:color="0000FF"/>
            </w:tcBorders>
            <w:gridSpan w:val="2"/>
          </w:tcPr>
          <w:p>
            <w:pPr>
              <w:spacing w:after="0"/>
              <w:rPr>
                <w:sz w:val="17"/>
                <w:szCs w:val="17"/>
                <w:color w:val="auto"/>
              </w:rPr>
            </w:pPr>
          </w:p>
        </w:tc>
        <w:tc>
          <w:tcPr>
            <w:tcW w:w="38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(included in Exhibit 10.5 to the Registrant’s Current Report on Form 8-K filed February 7, 2018 and incorporated herein by reference).</w:t>
              </w:r>
            </w:hyperlink>
          </w:p>
        </w:tc>
        <w:tc>
          <w:tcPr>
            <w:tcW w:w="280" w:type="dxa"/>
            <w:vAlign w:val="bottom"/>
            <w:gridSpan w:val="4"/>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40" w:type="dxa"/>
            <w:vAlign w:val="bottom"/>
            <w:tcBorders>
              <w:bottom w:val="single" w:sz="8" w:color="0000FF"/>
            </w:tcBorders>
            <w:gridSpan w:val="17"/>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Registration Rights Agreement, dated as of April 9, 2018, by and between California Resources Corporation and Chevron U.S.A. Inc.</w:t>
              </w:r>
            </w:hyperlink>
          </w:p>
        </w:tc>
        <w:tc>
          <w:tcPr>
            <w:tcW w:w="36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3"/>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(filed as Exhibit 4.01 to the Registrant’s Current Report on Form 8-K filed April 9, 2018 and 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Guarantor Supplemental Indenture, dated as of April 16, 2018, among California Resources Corporation, certain guarantors named therein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22"/>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and The Bank of New York Mellon Trust Company, N.A., as trustee (filed as Exhibit 4.1 to the Registrant’s Quarterly Report on Form 10-</w:t>
              </w:r>
            </w:hyperlink>
          </w:p>
        </w:tc>
        <w:tc>
          <w:tcPr>
            <w:tcW w:w="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Q filed August 2, 2018 and incorporated herein by reference).</w:t>
              </w:r>
            </w:hyperlink>
          </w:p>
        </w:tc>
        <w:tc>
          <w:tcPr>
            <w:tcW w:w="5480" w:type="dxa"/>
            <w:vAlign w:val="bottom"/>
            <w:tcBorders>
              <w:top w:val="single" w:sz="8" w:color="0000FF"/>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20" w:type="dxa"/>
            <w:vAlign w:val="bottom"/>
            <w:tcBorders>
              <w:bottom w:val="single" w:sz="8" w:color="0000FF"/>
            </w:tcBorders>
            <w:gridSpan w:val="20"/>
          </w:tcPr>
          <w:p>
            <w:pPr>
              <w:spacing w:after="0"/>
              <w:rPr>
                <w:rFonts w:ascii="Arial" w:cs="Arial" w:eastAsia="Arial" w:hAnsi="Arial"/>
                <w:sz w:val="18"/>
                <w:szCs w:val="18"/>
                <w:color w:val="0000FF"/>
                <w:w w:val="89"/>
              </w:rPr>
            </w:pPr>
            <w:hyperlink r:id="rId25">
              <w:r>
                <w:rPr>
                  <w:rFonts w:ascii="Arial" w:cs="Arial" w:eastAsia="Arial" w:hAnsi="Arial"/>
                  <w:sz w:val="18"/>
                  <w:szCs w:val="18"/>
                  <w:color w:val="0000FF"/>
                  <w:w w:val="89"/>
                </w:rPr>
                <w:t>Third Guarantor Supplemental Indenture, dated as of June 29, 2018, among California Resources Corporation, certain guarantors named</w:t>
              </w:r>
            </w:hyperlink>
          </w:p>
        </w:tc>
        <w:tc>
          <w:tcPr>
            <w:tcW w:w="18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3"/>
          </w:tcPr>
          <w:p>
            <w:pPr>
              <w:spacing w:after="0" w:line="196" w:lineRule="exact"/>
              <w:rPr>
                <w:rFonts w:ascii="Arial" w:cs="Arial" w:eastAsia="Arial" w:hAnsi="Arial"/>
                <w:sz w:val="18"/>
                <w:szCs w:val="18"/>
                <w:color w:val="0000FF"/>
                <w:w w:val="94"/>
              </w:rPr>
            </w:pPr>
            <w:hyperlink r:id="rId25">
              <w:r>
                <w:rPr>
                  <w:rFonts w:ascii="Arial" w:cs="Arial" w:eastAsia="Arial" w:hAnsi="Arial"/>
                  <w:sz w:val="18"/>
                  <w:szCs w:val="18"/>
                  <w:color w:val="0000FF"/>
                  <w:w w:val="94"/>
                </w:rPr>
                <w:t>therein and Wilmington Trust, National Association, as trustee (filed as Exhibit 4.2 to the Registrant’s Quarterly Report on Form 10-Q</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filed August 2, 2018 and incorporated herein by reference).</w:t>
              </w:r>
            </w:hyperlink>
          </w:p>
        </w:tc>
        <w:tc>
          <w:tcPr>
            <w:tcW w:w="5380" w:type="dxa"/>
            <w:vAlign w:val="bottom"/>
            <w:tcBorders>
              <w:top w:val="single" w:sz="8" w:color="0000FF"/>
            </w:tcBorders>
            <w:gridSpan w:val="13"/>
          </w:tcPr>
          <w:p>
            <w:pPr>
              <w:spacing w:after="0"/>
              <w:rPr>
                <w:sz w:val="17"/>
                <w:szCs w:val="17"/>
                <w:color w:val="auto"/>
              </w:rPr>
            </w:pPr>
          </w:p>
        </w:tc>
        <w:tc>
          <w:tcPr>
            <w:tcW w:w="340" w:type="dxa"/>
            <w:vAlign w:val="bottom"/>
            <w:gridSpan w:val="5"/>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80" w:type="dxa"/>
            <w:vAlign w:val="bottom"/>
            <w:tcBorders>
              <w:bottom w:val="single" w:sz="8" w:color="0000FF"/>
            </w:tcBorders>
            <w:gridSpan w:val="13"/>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Purchase Warrant for Common Stock of California Resources Corporation, dated as of July 22, 2019 (filed as Exhibit 4.1 to the</w:t>
              </w:r>
            </w:hyperlink>
          </w:p>
        </w:tc>
        <w:tc>
          <w:tcPr>
            <w:tcW w:w="82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3"/>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Registrant’s Current Report on Form 8-K filed July 23, 2019 and incorporated herein by reference).</w:t>
              </w:r>
            </w:hyperlink>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60" w:type="dxa"/>
            <w:vAlign w:val="bottom"/>
            <w:tcBorders>
              <w:top w:val="single" w:sz="8" w:color="0000FF"/>
            </w:tcBorders>
            <w:gridSpan w:val="11"/>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Opinion of Vinson &amp; Elkins L.L.P. as to the legality of the securities being registered.</w:t>
              </w:r>
            </w:hyperlink>
          </w:p>
        </w:tc>
        <w:tc>
          <w:tcPr>
            <w:tcW w:w="2840" w:type="dxa"/>
            <w:vAlign w:val="bottom"/>
            <w:gridSpan w:val="12"/>
          </w:tcPr>
          <w:p>
            <w:pPr>
              <w:spacing w:after="0"/>
              <w:rPr>
                <w:sz w:val="24"/>
                <w:szCs w:val="24"/>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Consent of Independent Registered Public Accounting Firm.</w:t>
              </w:r>
            </w:hyperlink>
          </w:p>
        </w:tc>
        <w:tc>
          <w:tcPr>
            <w:tcW w:w="1800" w:type="dxa"/>
            <w:vAlign w:val="bottom"/>
            <w:tcBorders>
              <w:top w:val="single" w:sz="8" w:color="0000FF"/>
            </w:tcBorders>
            <w:gridSpan w:val="3"/>
          </w:tcPr>
          <w:p>
            <w:pPr>
              <w:spacing w:after="0"/>
              <w:rPr>
                <w:sz w:val="24"/>
                <w:szCs w:val="24"/>
                <w:color w:val="auto"/>
              </w:rPr>
            </w:pPr>
          </w:p>
        </w:tc>
        <w:tc>
          <w:tcPr>
            <w:tcW w:w="3840" w:type="dxa"/>
            <w:vAlign w:val="bottom"/>
            <w:gridSpan w:val="13"/>
          </w:tcPr>
          <w:p>
            <w:pPr>
              <w:spacing w:after="0"/>
              <w:rPr>
                <w:sz w:val="24"/>
                <w:szCs w:val="24"/>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Consent of Independent Petroleum Engineers.</w:t>
              </w:r>
            </w:hyperlink>
          </w:p>
        </w:tc>
        <w:tc>
          <w:tcPr>
            <w:tcW w:w="6680" w:type="dxa"/>
            <w:vAlign w:val="bottom"/>
            <w:gridSpan w:val="20"/>
          </w:tcPr>
          <w:p>
            <w:pPr>
              <w:spacing w:after="0"/>
              <w:rPr>
                <w:sz w:val="24"/>
                <w:szCs w:val="24"/>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Consent of Independent Petroleum Engineers.</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5560" w:type="dxa"/>
            <w:vAlign w:val="bottom"/>
            <w:gridSpan w:val="15"/>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Consent of Vinson &amp; Elkins L.L.P. (contained in Exhibit 5.1).</w:t>
              </w:r>
            </w:hyperlink>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40" w:type="dxa"/>
            <w:vAlign w:val="bottom"/>
            <w:tcBorders>
              <w:top w:val="single" w:sz="8" w:color="0000FF"/>
            </w:tcBorders>
            <w:gridSpan w:val="8"/>
          </w:tcPr>
          <w:p>
            <w:pPr>
              <w:spacing w:after="0"/>
              <w:rPr>
                <w:rFonts w:ascii="Arial" w:cs="Arial" w:eastAsia="Arial" w:hAnsi="Arial"/>
                <w:sz w:val="18"/>
                <w:szCs w:val="18"/>
                <w:color w:val="0000FF"/>
              </w:rPr>
            </w:pPr>
            <w:hyperlink r:id="rId27">
              <w:r>
                <w:rPr>
                  <w:rFonts w:ascii="Arial" w:cs="Arial" w:eastAsia="Arial" w:hAnsi="Arial"/>
                  <w:sz w:val="18"/>
                  <w:szCs w:val="18"/>
                  <w:color w:val="0000FF"/>
                </w:rPr>
                <w:t>Power of Attorney.</w:t>
              </w:r>
            </w:hyperlink>
          </w:p>
        </w:tc>
        <w:tc>
          <w:tcPr>
            <w:tcW w:w="5560" w:type="dxa"/>
            <w:vAlign w:val="bottom"/>
            <w:gridSpan w:val="15"/>
          </w:tcPr>
          <w:p>
            <w:pPr>
              <w:spacing w:after="0"/>
              <w:rPr>
                <w:sz w:val="24"/>
                <w:szCs w:val="24"/>
                <w:color w:val="auto"/>
              </w:rPr>
            </w:pPr>
          </w:p>
        </w:tc>
      </w:tr>
      <w:tr>
        <w:trPr>
          <w:trHeight w:val="227"/>
        </w:trPr>
        <w:tc>
          <w:tcPr>
            <w:tcW w:w="1260" w:type="dxa"/>
            <w:vAlign w:val="bottom"/>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Borders>
              <w:top w:val="single" w:sz="8" w:color="0000FF"/>
            </w:tcBorders>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ind w:right="10020" w:firstLine="8"/>
        <w:spacing w:after="0" w:line="310" w:lineRule="auto"/>
        <w:tabs>
          <w:tab w:leader="none" w:pos="3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Filed herewith. ** Previously filed.</w:t>
      </w:r>
    </w:p>
    <w:p>
      <w:pPr>
        <w:spacing w:after="0" w:line="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14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44" w:lineRule="exact"/>
        <w:rPr>
          <w:rFonts w:ascii="Arial" w:cs="Arial" w:eastAsia="Arial" w:hAnsi="Arial"/>
          <w:sz w:val="18"/>
          <w:szCs w:val="18"/>
          <w:color w:val="auto"/>
        </w:rPr>
      </w:pPr>
    </w:p>
    <w:p>
      <w:pPr>
        <w:ind w:left="980" w:right="120" w:hanging="324"/>
        <w:spacing w:after="0" w:line="231"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733" w:right="239" w:bottom="1440" w:gutter="0" w:footer="0" w:header="0"/>
        </w:sectPr>
      </w:pPr>
    </w:p>
    <w:bookmarkStart w:id="24" w:name="page25"/>
    <w:bookmarkEnd w:id="24"/>
    <w:p>
      <w:pPr>
        <w:ind w:left="980" w:right="60"/>
        <w:spacing w:after="0" w:line="312" w:lineRule="auto"/>
        <w:rPr>
          <w:sz w:val="20"/>
          <w:szCs w:val="20"/>
          <w:color w:val="auto"/>
        </w:rPr>
      </w:pPr>
      <w:r>
        <w:rPr>
          <w:rFonts w:ascii="Arial" w:cs="Arial" w:eastAsia="Arial" w:hAnsi="Arial"/>
          <w:sz w:val="16"/>
          <w:szCs w:val="16"/>
          <w:color w:val="auto"/>
        </w:rPr>
        <w:t>the low or high end of the estimated maximum offering range may be reflected in the form of prospectus filed with the Securities and Exchange Commission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93" w:lineRule="exact"/>
        <w:rPr>
          <w:sz w:val="20"/>
          <w:szCs w:val="20"/>
          <w:color w:val="auto"/>
        </w:rPr>
      </w:pPr>
    </w:p>
    <w:p>
      <w:pPr>
        <w:ind w:left="980" w:right="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1(a), 1(b) and 1(c) of this section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15(d) of the Exchange Act that are incorporated by reference in the registration statement, or is contained in a form of prospectus filed pursuant to Rule 424(b) that is part of the registration statement.</w:t>
      </w:r>
    </w:p>
    <w:p>
      <w:pPr>
        <w:spacing w:after="0" w:line="133" w:lineRule="exact"/>
        <w:rPr>
          <w:sz w:val="20"/>
          <w:szCs w:val="20"/>
          <w:color w:val="auto"/>
        </w:rPr>
      </w:pPr>
    </w:p>
    <w:p>
      <w:pPr>
        <w:ind w:left="660" w:right="2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71" w:lineRule="exact"/>
        <w:rPr>
          <w:rFonts w:ascii="Arial" w:cs="Arial" w:eastAsia="Arial" w:hAnsi="Arial"/>
          <w:sz w:val="18"/>
          <w:szCs w:val="18"/>
          <w:color w:val="auto"/>
        </w:rPr>
      </w:pPr>
    </w:p>
    <w:p>
      <w:pPr>
        <w:ind w:left="980" w:right="20" w:hanging="324"/>
        <w:spacing w:after="0" w:line="272"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3" w:lineRule="exact"/>
        <w:rPr>
          <w:rFonts w:ascii="Arial" w:cs="Arial" w:eastAsia="Arial" w:hAnsi="Arial"/>
          <w:sz w:val="17"/>
          <w:szCs w:val="17"/>
          <w:color w:val="auto"/>
        </w:rPr>
      </w:pPr>
    </w:p>
    <w:p>
      <w:pPr>
        <w:ind w:left="660" w:right="180" w:hanging="328"/>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Arial" w:cs="Arial" w:eastAsia="Arial" w:hAnsi="Arial"/>
          <w:sz w:val="16"/>
          <w:szCs w:val="16"/>
          <w:color w:val="auto"/>
        </w:rPr>
      </w:pPr>
    </w:p>
    <w:p>
      <w:pPr>
        <w:ind w:left="660" w:right="240" w:hanging="328"/>
        <w:spacing w:after="0" w:line="271"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557"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SIGNATORIES</w:t>
      </w:r>
    </w:p>
    <w:p>
      <w:pPr>
        <w:spacing w:after="0" w:line="162" w:lineRule="exact"/>
        <w:rPr>
          <w:sz w:val="20"/>
          <w:szCs w:val="20"/>
          <w:color w:val="auto"/>
        </w:rPr>
      </w:pPr>
    </w:p>
    <w:p>
      <w:pPr>
        <w:ind w:right="100" w:firstLine="324"/>
        <w:spacing w:after="0" w:line="235"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Westlake Village, State of California, on the 26th day of February, 2020.</w:t>
      </w:r>
    </w:p>
    <w:p>
      <w:pPr>
        <w:spacing w:after="0" w:line="13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ind w:left="20"/>
              <w:spacing w:after="0"/>
              <w:rPr>
                <w:sz w:val="20"/>
                <w:szCs w:val="20"/>
                <w:color w:val="auto"/>
              </w:rPr>
            </w:pPr>
            <w:r>
              <w:rPr>
                <w:rFonts w:ascii="Arial" w:cs="Arial" w:eastAsia="Arial" w:hAnsi="Arial"/>
                <w:sz w:val="18"/>
                <w:szCs w:val="18"/>
                <w:color w:val="auto"/>
              </w:rPr>
              <w:t>/s/ Todd A. Stevens</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5360" w:type="dxa"/>
            <w:vAlign w:val="bottom"/>
          </w:tcPr>
          <w:p>
            <w:pPr>
              <w:ind w:left="20"/>
              <w:spacing w:after="0"/>
              <w:rPr>
                <w:sz w:val="20"/>
                <w:szCs w:val="20"/>
                <w:color w:val="auto"/>
              </w:rPr>
            </w:pPr>
            <w:r>
              <w:rPr>
                <w:rFonts w:ascii="Arial" w:cs="Arial" w:eastAsia="Arial" w:hAnsi="Arial"/>
                <w:sz w:val="18"/>
                <w:szCs w:val="18"/>
                <w:color w:val="auto"/>
              </w:rPr>
              <w:t>Todd A. Stevens</w:t>
            </w:r>
          </w:p>
        </w:tc>
        <w:tc>
          <w:tcPr>
            <w:tcW w:w="0" w:type="dxa"/>
            <w:vAlign w:val="bottom"/>
          </w:tcPr>
          <w:p>
            <w:pPr>
              <w:spacing w:after="0"/>
              <w:rPr>
                <w:sz w:val="1"/>
                <w:szCs w:val="1"/>
                <w:color w:val="auto"/>
              </w:rPr>
            </w:pPr>
          </w:p>
        </w:tc>
      </w:tr>
      <w:tr>
        <w:trPr>
          <w:trHeight w:val="270"/>
        </w:trPr>
        <w:tc>
          <w:tcPr>
            <w:tcW w:w="10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ind w:left="20"/>
              <w:spacing w:after="0"/>
              <w:rPr>
                <w:sz w:val="20"/>
                <w:szCs w:val="20"/>
                <w:color w:val="auto"/>
              </w:rPr>
            </w:pPr>
            <w:r>
              <w:rPr>
                <w:rFonts w:ascii="Arial" w:cs="Arial" w:eastAsia="Arial" w:hAnsi="Arial"/>
                <w:sz w:val="18"/>
                <w:szCs w:val="18"/>
                <w:color w:val="auto"/>
              </w:rPr>
              <w:t>President and Chief Executive Officer and Director</w:t>
            </w:r>
          </w:p>
        </w:tc>
        <w:tc>
          <w:tcPr>
            <w:tcW w:w="0" w:type="dxa"/>
            <w:vAlign w:val="bottom"/>
          </w:tcPr>
          <w:p>
            <w:pPr>
              <w:spacing w:after="0"/>
              <w:rPr>
                <w:sz w:val="1"/>
                <w:szCs w:val="1"/>
                <w:color w:val="auto"/>
              </w:rPr>
            </w:pPr>
          </w:p>
        </w:tc>
      </w:tr>
      <w:tr>
        <w:trPr>
          <w:trHeight w:val="176"/>
        </w:trPr>
        <w:tc>
          <w:tcPr>
            <w:tcW w:w="1000" w:type="dxa"/>
            <w:vAlign w:val="bottom"/>
            <w:vMerge w:val="continue"/>
          </w:tcPr>
          <w:p>
            <w:pPr>
              <w:spacing w:after="0"/>
              <w:rPr>
                <w:sz w:val="15"/>
                <w:szCs w:val="15"/>
                <w:color w:val="auto"/>
              </w:rPr>
            </w:pPr>
          </w:p>
        </w:tc>
        <w:tc>
          <w:tcPr>
            <w:tcW w:w="5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40" w:firstLine="324"/>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indicated on February 26,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3"/>
          </w:tcPr>
          <w:p>
            <w:pPr>
              <w:jc w:val="center"/>
              <w:ind w:right="3750"/>
              <w:spacing w:after="0"/>
              <w:rPr>
                <w:sz w:val="20"/>
                <w:szCs w:val="20"/>
                <w:color w:val="auto"/>
              </w:rPr>
            </w:pPr>
            <w:r>
              <w:rPr>
                <w:rFonts w:ascii="Arial" w:cs="Arial" w:eastAsia="Arial" w:hAnsi="Arial"/>
                <w:sz w:val="18"/>
                <w:szCs w:val="18"/>
                <w:b w:val="1"/>
                <w:bCs w:val="1"/>
                <w:color w:val="auto"/>
                <w:w w:val="90"/>
              </w:rPr>
              <w:t>California Resources Corporation</w:t>
            </w:r>
          </w:p>
        </w:tc>
      </w:tr>
      <w:tr>
        <w:trPr>
          <w:trHeight w:val="527"/>
        </w:trPr>
        <w:tc>
          <w:tcPr>
            <w:tcW w:w="3840" w:type="dxa"/>
            <w:vAlign w:val="bottom"/>
          </w:tcPr>
          <w:p>
            <w:pPr>
              <w:jc w:val="center"/>
              <w:ind w:left="1110"/>
              <w:spacing w:after="0"/>
              <w:rPr>
                <w:sz w:val="20"/>
                <w:szCs w:val="20"/>
                <w:color w:val="auto"/>
              </w:rPr>
            </w:pPr>
            <w:r>
              <w:rPr>
                <w:rFonts w:ascii="Arial" w:cs="Arial" w:eastAsia="Arial" w:hAnsi="Arial"/>
                <w:sz w:val="18"/>
                <w:szCs w:val="18"/>
                <w:b w:val="1"/>
                <w:bCs w:val="1"/>
                <w:color w:val="auto"/>
                <w:w w:val="89"/>
              </w:rPr>
              <w:t>Name</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520"/>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89"/>
              </w:rPr>
              <w:t>/s/ Todd A. Stevens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0"/>
              </w:rPr>
              <w:t>Todd A. Stevens</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2"/>
              </w:rPr>
              <w:t>Senior Executive Vice President and Chief Financial Officer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2"/>
              </w:rPr>
              <w:t>Marshall D. Smith</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0"/>
              </w:rPr>
              <w:t>Executive Vice President, Finance</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2"/>
              </w:rPr>
              <w:t>Roy Pineci</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2"/>
              </w:rPr>
              <w:t>Chairman</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5"/>
              </w:rPr>
              <w:t>William E. Albrecht</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89"/>
              </w:rPr>
              <w:t>Justin A. Gannon</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3"/>
              </w:rPr>
              <w:t>Harry T. McMahon</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2"/>
              </w:rPr>
              <w:t>Avedick B. Poladian</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4"/>
              </w:rPr>
              <w:t>Anita M. Powers</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4"/>
              </w:rPr>
              <w:t>Laurie A. Siegel</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0"/>
              </w:rPr>
              <w:t>Robert V. Sinnott</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459"/>
        </w:trPr>
        <w:tc>
          <w:tcPr>
            <w:tcW w:w="3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ind w:right="5170"/>
              <w:spacing w:after="0"/>
              <w:rPr>
                <w:sz w:val="20"/>
                <w:szCs w:val="20"/>
                <w:color w:val="auto"/>
              </w:rPr>
            </w:pPr>
            <w:r>
              <w:rPr>
                <w:rFonts w:ascii="Arial" w:cs="Arial" w:eastAsia="Arial" w:hAnsi="Arial"/>
                <w:sz w:val="18"/>
                <w:szCs w:val="18"/>
                <w:color w:val="auto"/>
                <w:w w:val="99"/>
              </w:rPr>
              <w:t>II-5</w:t>
            </w:r>
          </w:p>
        </w:tc>
      </w:tr>
    </w:tbl>
    <w:p>
      <w:pPr>
        <w:sectPr>
          <w:pgSz w:w="11900" w:h="16838" w:orient="portrait"/>
          <w:cols w:equalWidth="0" w:num="1">
            <w:col w:w="11420"/>
          </w:cols>
          <w:pgMar w:left="240" w:top="553" w:right="239" w:bottom="1440" w:gutter="0" w:footer="0" w:header="0"/>
        </w:sectPr>
      </w:pPr>
    </w:p>
    <w:bookmarkStart w:id="26" w:name="page27"/>
    <w:bookmarkEnd w:id="26"/>
    <w:p>
      <w:pPr>
        <w:ind w:left="2260"/>
        <w:spacing w:after="0"/>
        <w:tabs>
          <w:tab w:leader="none" w:pos="8100" w:val="left"/>
        </w:tabs>
        <w:rPr>
          <w:sz w:val="20"/>
          <w:szCs w:val="20"/>
          <w:color w:val="auto"/>
        </w:rPr>
      </w:pPr>
      <w:r>
        <w:rPr>
          <w:rFonts w:ascii="Arial" w:cs="Arial" w:eastAsia="Arial" w:hAnsi="Arial"/>
          <w:sz w:val="17"/>
          <w:szCs w:val="17"/>
          <w:b w:val="1"/>
          <w:bCs w:val="1"/>
          <w:color w:val="auto"/>
        </w:rPr>
        <w:t>Name</w:t>
      </w:r>
      <w:r>
        <w:rPr>
          <w:sz w:val="20"/>
          <w:szCs w:val="20"/>
          <w:color w:val="auto"/>
        </w:rPr>
        <w:tab/>
      </w:r>
      <w:r>
        <w:rPr>
          <w:rFonts w:ascii="Arial" w:cs="Arial" w:eastAsia="Arial" w:hAnsi="Arial"/>
          <w:sz w:val="17"/>
          <w:szCs w:val="17"/>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41910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715"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40640</wp:posOffset>
            </wp:positionV>
            <wp:extent cx="2470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Todd A. Stevens</w:t>
      </w:r>
    </w:p>
    <w:p>
      <w:pPr>
        <w:spacing w:after="0" w:line="7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179"/>
          </w:cols>
          <w:pgMar w:left="280" w:top="715" w:right="1440"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11910" cy="248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extLst>
                    </a:blip>
                    <a:srcRect/>
                    <a:stretch>
                      <a:fillRect/>
                    </a:stretch>
                  </pic:blipFill>
                  <pic:spPr bwMode="auto">
                    <a:xfrm>
                      <a:off x="0" y="0"/>
                      <a:ext cx="131191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27200 Tourney Road,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Clarita, California 91355</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Post-Effective Amendment No. 1 to Registration Statement on Form S-3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We have acted as counsel to California Resources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preparation and filing of a Post-Effective Amendment No. 1 to the Registration Statement of the Company on Form S-3 (as amended,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on the date hereof with the Securities and Exchange Commission in connection with the registration under the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relating to the proposed offer and sale from time to time (the “</w:t>
      </w:r>
      <w:r>
        <w:rPr>
          <w:rFonts w:ascii="Arial" w:cs="Arial" w:eastAsia="Arial" w:hAnsi="Arial"/>
          <w:sz w:val="16"/>
          <w:szCs w:val="16"/>
          <w:b w:val="1"/>
          <w:bCs w:val="1"/>
          <w:color w:val="auto"/>
        </w:rPr>
        <w:t>Offering</w:t>
      </w:r>
      <w:r>
        <w:rPr>
          <w:rFonts w:ascii="Arial" w:cs="Arial" w:eastAsia="Arial" w:hAnsi="Arial"/>
          <w:sz w:val="16"/>
          <w:szCs w:val="16"/>
          <w:color w:val="auto"/>
        </w:rPr>
        <w:t>”) by the selling stockholder named in the Registration Statement (the “</w:t>
      </w:r>
      <w:r>
        <w:rPr>
          <w:rFonts w:ascii="Arial" w:cs="Arial" w:eastAsia="Arial" w:hAnsi="Arial"/>
          <w:sz w:val="16"/>
          <w:szCs w:val="16"/>
          <w:b w:val="1"/>
          <w:bCs w:val="1"/>
          <w:color w:val="auto"/>
        </w:rPr>
        <w:t>Selling Stockholder</w:t>
      </w:r>
      <w:r>
        <w:rPr>
          <w:rFonts w:ascii="Arial" w:cs="Arial" w:eastAsia="Arial" w:hAnsi="Arial"/>
          <w:sz w:val="16"/>
          <w:szCs w:val="16"/>
          <w:color w:val="auto"/>
        </w:rPr>
        <w:t>”) of up to 1,250,000 shares of common stock, par value $0.01 per share,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 issuable upon exercise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Purchase Warrant for Common Stock, dated as of July 22, 2019 (the “</w:t>
      </w:r>
      <w:r>
        <w:rPr>
          <w:rFonts w:ascii="Arial" w:cs="Arial" w:eastAsia="Arial" w:hAnsi="Arial"/>
          <w:sz w:val="16"/>
          <w:szCs w:val="16"/>
          <w:b w:val="1"/>
          <w:bCs w:val="1"/>
          <w:color w:val="auto"/>
        </w:rPr>
        <w:t>Warrant</w:t>
      </w:r>
      <w:r>
        <w:rPr>
          <w:rFonts w:ascii="Arial" w:cs="Arial" w:eastAsia="Arial" w:hAnsi="Arial"/>
          <w:sz w:val="16"/>
          <w:szCs w:val="16"/>
          <w:color w:val="auto"/>
        </w:rPr>
        <w:t>”), by and between California Resources Corporation and the Selling Stockholder, entitling the Selling Stockholder to elect, in its sole discretion, to purchase up to 1,250,000 shares of Common Stock for $40.00 per share, subject to certain adjustments, or to exercise on a cashless basis, in which case the Selling Stockholder will be entitled to receive fewer shares.</w:t>
      </w:r>
    </w:p>
    <w:p>
      <w:pPr>
        <w:spacing w:after="0" w:line="56"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In connection with the opinion expressed herein, we have examined, among other things, (i) the Amended and Restated Certificate of Incorporation and the Amended and Restated Bylaws of the Company, (ii) the records of corporate proceedings that have occurred prior to the date hereof with respect to the Offering, (iii) the Registration Statement, (iv) the Warrant and (v) such other certificates, instruments and documents as we considered appropriate for purposes of the opinion hereafter expressed. We have also reviewed such questions of law as we have deemed necessary or appropriate. As to matters of fact relevant to the opinion expressed herein, and as to factual matters arising in connection with our examination of corporate documents, records and other documents and writings, we relied upon certificates and other communications of corporate officers of the Company, without further investigation as to the facts set forth therein. We have assumed the genuineness of all signatures, the legal capacity of all natural persons, the authenticity of all documents submitted to us as originals and the conformity to original documents of all documents submitted to us as copies. We have also assumed that at the time of issuance of the Common Stock, (a) the Company will validly exist and be duly qualified and in good standing under the laws of its jurisdiction of formation, (b) the Company will have the necessary organizational power and authority to issue the Common Stock, and (c) the Company will have made available for issuance such shares of Common Stock.</w:t>
      </w:r>
    </w:p>
    <w:p>
      <w:pPr>
        <w:spacing w:after="0" w:line="75"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Based upon the foregoing and subject to the assumptions, qualifications, limitations and exceptions set forth herein, once issued upon exercise of the Warrant against payment therefor or pursuant to its option to exercise on a cashless basis, as elected by the Selling Stockholder, and delivered in accordance with the terms of the Warrant, we are of the opinion that the Common Stock will be validly issued and fully paid and nonassessable.</w:t>
      </w:r>
    </w:p>
    <w:p>
      <w:pPr>
        <w:spacing w:after="0" w:line="5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foregoing opinion is limited in all respects to the General Corporation Law of the State of Delaware (including the applicable provisions of the Delaware Constitution and the reported judicial decisions interpreting these laws) and the federal laws of the United States of America, and we do not express any opinions as to the laws of any other jurisdiction.</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Vinson &amp; Elkins LLP Attorneys at Law</w:t>
      </w:r>
    </w:p>
    <w:p>
      <w:pPr>
        <w:ind w:left="60"/>
        <w:spacing w:after="0" w:line="219" w:lineRule="auto"/>
        <w:rPr>
          <w:sz w:val="20"/>
          <w:szCs w:val="20"/>
          <w:color w:val="auto"/>
        </w:rPr>
      </w:pPr>
      <w:r>
        <w:rPr>
          <w:rFonts w:ascii="Arial" w:cs="Arial" w:eastAsia="Arial" w:hAnsi="Arial"/>
          <w:sz w:val="13"/>
          <w:szCs w:val="13"/>
          <w:color w:val="auto"/>
        </w:rPr>
        <w:t>Austin Beijing Dallas Dubai Hong Kong Houston London</w:t>
      </w:r>
    </w:p>
    <w:p>
      <w:pPr>
        <w:ind w:left="60"/>
        <w:spacing w:after="0"/>
        <w:rPr>
          <w:sz w:val="20"/>
          <w:szCs w:val="20"/>
          <w:color w:val="auto"/>
        </w:rPr>
      </w:pPr>
      <w:r>
        <w:rPr>
          <w:rFonts w:ascii="Arial" w:cs="Arial" w:eastAsia="Arial" w:hAnsi="Arial"/>
          <w:sz w:val="12"/>
          <w:szCs w:val="12"/>
          <w:color w:val="auto"/>
        </w:rPr>
        <w:t>New York Richmond Riyadh San Francisco Tokyo Washington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1001 Fannin Street, Suite 2500</w:t>
      </w:r>
    </w:p>
    <w:p>
      <w:pPr>
        <w:spacing w:after="0" w:line="216" w:lineRule="auto"/>
        <w:rPr>
          <w:sz w:val="20"/>
          <w:szCs w:val="20"/>
          <w:color w:val="auto"/>
        </w:rPr>
      </w:pPr>
      <w:r>
        <w:rPr>
          <w:rFonts w:ascii="Arial" w:cs="Arial" w:eastAsia="Arial" w:hAnsi="Arial"/>
          <w:sz w:val="13"/>
          <w:szCs w:val="13"/>
          <w:color w:val="auto"/>
        </w:rPr>
        <w:t>Houston, TX 77002-6760</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Tel </w:t>
      </w:r>
      <w:r>
        <w:rPr>
          <w:rFonts w:ascii="Arial" w:cs="Arial" w:eastAsia="Arial" w:hAnsi="Arial"/>
          <w:sz w:val="12"/>
          <w:szCs w:val="12"/>
          <w:color w:val="auto"/>
        </w:rPr>
        <w:t>+1.713.758.2222</w:t>
      </w:r>
      <w:r>
        <w:rPr>
          <w:rFonts w:ascii="Arial" w:cs="Arial" w:eastAsia="Arial" w:hAnsi="Arial"/>
          <w:sz w:val="12"/>
          <w:szCs w:val="12"/>
          <w:b w:val="1"/>
          <w:bCs w:val="1"/>
          <w:color w:val="auto"/>
        </w:rPr>
        <w:t xml:space="preserve"> Fax </w:t>
      </w:r>
      <w:r>
        <w:rPr>
          <w:rFonts w:ascii="Arial" w:cs="Arial" w:eastAsia="Arial" w:hAnsi="Arial"/>
          <w:sz w:val="12"/>
          <w:szCs w:val="12"/>
          <w:color w:val="auto"/>
        </w:rPr>
        <w:t>+1.713.758.2346</w:t>
      </w:r>
      <w:r>
        <w:rPr>
          <w:rFonts w:ascii="Arial" w:cs="Arial" w:eastAsia="Arial" w:hAnsi="Arial"/>
          <w:sz w:val="12"/>
          <w:szCs w:val="12"/>
          <w:b w:val="1"/>
          <w:bCs w:val="1"/>
          <w:color w:val="auto"/>
        </w:rPr>
        <w:t xml:space="preserve"> velaw.com</w:t>
      </w:r>
    </w:p>
    <w:p>
      <w:pPr>
        <w:sectPr>
          <w:pgSz w:w="11900" w:h="16838" w:orient="portrait"/>
          <w:cols w:equalWidth="0" w:num="2">
            <w:col w:w="5820" w:space="720"/>
            <w:col w:w="4880"/>
          </w:cols>
          <w:pgMar w:left="240" w:top="553" w:right="23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3"/>
          <w:szCs w:val="13"/>
          <w:color w:val="auto"/>
        </w:rPr>
        <w:t>February 26, 2020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-90805</wp:posOffset>
            </wp:positionV>
            <wp:extent cx="45466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extLst>
                    </a:blip>
                    <a:srcRect/>
                    <a:stretch>
                      <a:fillRect/>
                    </a:stretch>
                  </pic:blipFill>
                  <pic:spPr bwMode="auto">
                    <a:xfrm>
                      <a:off x="0" y="0"/>
                      <a:ext cx="45466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forming a part of the Registration Statement and to the filing of this opinion as an exhibit to the Registration Statement, but we do not thereby admit that we are within the category of persons whose consent is required under the provisions of the Securities Act.</w:t>
      </w:r>
    </w:p>
    <w:p>
      <w:pPr>
        <w:spacing w:after="0" w:line="3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Vinson &amp; Elkins L.L.P.</w:t>
      </w:r>
    </w:p>
    <w:p>
      <w:pPr>
        <w:sectPr>
          <w:pgSz w:w="11900" w:h="16838" w:orient="portrait"/>
          <w:cols w:equalWidth="0" w:num="1">
            <w:col w:w="11400"/>
          </w:cols>
          <w:pgMar w:left="240" w:top="728" w:right="2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use of our report dated February 26, 2020, with respect to the consolidated balance sheets of California Resources Corporation and subsidiaries as of December 31, 2019 and 2018, the related consolidated statements of operations, comprehensive income, equity, and cash flows for each of the years in the three-year period ended December 31, 2019, and the related notes (collectively, the consolidated financial statements), and the effectiveness of internal control over financial reporting as of December 31, 2019, incorporated herein by reference and to the reference to our firm under the heading “Experts” in the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553"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Petroleum Engineers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0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hereby consent to the incorporation by reference into this Registration Statement on Form S-3 of references to our name and to our letter dated January 10, 2020 relating to our audit of California Resources Corporation’s 2019 oil and gas proved reserves.</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Ryder Scott Company, L.P.</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RYDER SCOTT COMPANY, L.P.</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TBPE Firm Registration No. F-1580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553"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PETROLEUM ENGINEERS AND GEOLOGISTS</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hereby consent to the incorporation by reference into this Registration Statement on Form S-3 of references to our name and to our letter dated February 12, 2020 relating to our audit of California Resources Corporation’s 2019 oil and gas proved reserves.</w:t>
      </w: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NETHERLAND, SEWELL &amp; ASSOCIATES,</w:t>
      </w:r>
    </w:p>
    <w:p>
      <w:pPr>
        <w:spacing w:after="0" w:line="1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INC.</w:t>
      </w:r>
    </w:p>
    <w:p>
      <w:pPr>
        <w:spacing w:after="0" w:line="374" w:lineRule="exact"/>
        <w:rPr>
          <w:sz w:val="20"/>
          <w:szCs w:val="20"/>
          <w:color w:val="auto"/>
        </w:rPr>
      </w:pPr>
    </w:p>
    <w:p>
      <w:pPr>
        <w:ind w:left="3920"/>
        <w:spacing w:after="0"/>
        <w:tabs>
          <w:tab w:leader="none" w:pos="4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Danny D. Simmons,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14605</wp:posOffset>
            </wp:positionV>
            <wp:extent cx="21355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Danny D. Simmons, P.E.</w:t>
      </w:r>
    </w:p>
    <w:p>
      <w:pPr>
        <w:spacing w:after="0" w:line="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President and Chief Operating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sectPr>
      <w:pgSz w:w="11900" w:h="16838" w:orient="portrait"/>
      <w:cols w:equalWidth="0" w:num="1">
        <w:col w:w="11420"/>
      </w:cols>
      <w:pgMar w:left="240" w:top="7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3"/>
    </w:lvl>
  </w:abstractNum>
  <w:abstractNum w:abstractNumId="14">
    <w:nsid w:val="1BEFD79F"/>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28" Type="http://schemas.openxmlformats.org/officeDocument/2006/relationships/image" Target="media/image4.png"/><Relationship Id="rId29" Type="http://schemas.openxmlformats.org/officeDocument/2006/relationships/image" Target="media/image5.png"/><Relationship Id="rId30" Type="http://schemas.openxmlformats.org/officeDocument/2006/relationships/image" Target="media/image6.jpeg"/><Relationship Id="rId31" Type="http://schemas.openxmlformats.org/officeDocument/2006/relationships/image" Target="media/image7.jpeg"/><Relationship Id="rId32" Type="http://schemas.openxmlformats.org/officeDocument/2006/relationships/image" Target="media/image8.png"/><Relationship Id="rId11" Type="http://schemas.openxmlformats.org/officeDocument/2006/relationships/hyperlink" Target="http://www.sec.gov/Archives/edgar/data/1609253/000110465914084170/a14-25233_1ex2d1.htm" TargetMode="External"/><Relationship Id="rId12" Type="http://schemas.openxmlformats.org/officeDocument/2006/relationships/hyperlink" Target="http://www.sec.gov/Archives/edgar/data/1609253/000160925316000271/exhibit31.htm" TargetMode="External"/><Relationship Id="rId13" Type="http://schemas.openxmlformats.org/officeDocument/2006/relationships/hyperlink" Target="http://www.sec.gov/Archives/edgar/data/1609253/000160925315000168/exhibit32amendedandrestate.htm" TargetMode="External"/><Relationship Id="rId14" Type="http://schemas.openxmlformats.org/officeDocument/2006/relationships/hyperlink" Target="http://www.sec.gov/Archives/edgar/data/1609253/000104746914008184/a2221677zex-4_2.htm" TargetMode="External"/><Relationship Id="rId15" Type="http://schemas.openxmlformats.org/officeDocument/2006/relationships/hyperlink" Target="http://www.sec.gov/Archives/edgar/data/1609253/000160925315000179/crcexchangeindenture.htm" TargetMode="External"/><Relationship Id="rId16" Type="http://schemas.openxmlformats.org/officeDocument/2006/relationships/hyperlink" Target="http://www.sec.gov/Archives/edgar/data/1609253/000160925315000027/exh42guarantorsupplemental.htm" TargetMode="External"/><Relationship Id="rId17" Type="http://schemas.openxmlformats.org/officeDocument/2006/relationships/hyperlink" Target="http://www.sec.gov/Archives/edgar/data/1609253/000160925316000305/a2016q2exhibit41.htm" TargetMode="External"/><Relationship Id="rId18" Type="http://schemas.openxmlformats.org/officeDocument/2006/relationships/hyperlink" Target="http://www.sec.gov/Archives/edgar/data/1609253/000160925316000305/a2016q2exhibit42.htm" TargetMode="External"/><Relationship Id="rId19" Type="http://schemas.openxmlformats.org/officeDocument/2006/relationships/hyperlink" Target="http://www.sec.gov/Archives/edgar/data/1609253/000160925316000305/a2016q2exhibit104.htm" TargetMode="External"/><Relationship Id="rId20" Type="http://schemas.openxmlformats.org/officeDocument/2006/relationships/hyperlink" Target="http://www.sec.gov/Archives/edgar/data/1609253/000160925315000027/exhibit1031assumptionagree.htm" TargetMode="External"/><Relationship Id="rId21" Type="http://schemas.openxmlformats.org/officeDocument/2006/relationships/hyperlink" Target="http://www.sec.gov/Archives/edgar/data/1609253/000104746914008184/a2221677zex-4_3.htm" TargetMode="External"/><Relationship Id="rId22" Type="http://schemas.openxmlformats.org/officeDocument/2006/relationships/hyperlink" Target="http://www.sec.gov/Archives/edgar/data/1609253/000160925318000004/ex1052-7x20188k.htm" TargetMode="External"/><Relationship Id="rId23" Type="http://schemas.openxmlformats.org/officeDocument/2006/relationships/hyperlink" Target="http://www.sec.gov/Archives/edgar/data/1609253/000160925318000051/registrationrightsagreemen.htm" TargetMode="External"/><Relationship Id="rId24" Type="http://schemas.openxmlformats.org/officeDocument/2006/relationships/hyperlink" Target="http://www.sec.gov/Archives/edgar/data/1609253/000160925318000111/a2018q2exhibit41.htm" TargetMode="External"/><Relationship Id="rId25" Type="http://schemas.openxmlformats.org/officeDocument/2006/relationships/hyperlink" Target="http://www.sec.gov/Archives/edgar/data/1609253/000160925318000111/a2018q2exhibit42.htm" TargetMode="External"/><Relationship Id="rId26" Type="http://schemas.openxmlformats.org/officeDocument/2006/relationships/hyperlink" Target="http://www.sec.gov/Archives/edgar/data/1609253/000160925319000118/a20190722ex41.htm" TargetMode="External"/><Relationship Id="rId27" Type="http://schemas.openxmlformats.org/officeDocument/2006/relationships/hyperlink" Target="http://www.sec.gov/Archives/edgar/data/1609253/000119312519221528/d772072ds3asr.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2020-02-26T16:25:06Z</dcterms:created>
  <dcterms:modified xsi:type="dcterms:W3CDTF">2020-02-26T16:25:06Z</dcterms:modified>
</cp:coreProperties>
</file>