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903"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vMerge w:val="restart"/>
          </w:tcPr>
          <w:p>
            <w:pPr>
              <w:ind w:left="1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4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gridSpan w:val="2"/>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1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gridSpan w:val="2"/>
          </w:tcPr>
          <w:p>
            <w:pPr>
              <w:ind w:left="140"/>
              <w:spacing w:after="0"/>
              <w:rPr>
                <w:sz w:val="20"/>
                <w:szCs w:val="20"/>
                <w:color w:val="auto"/>
              </w:rPr>
            </w:pPr>
            <w:r>
              <w:rPr>
                <w:rFonts w:ascii="Arial" w:cs="Arial" w:eastAsia="Arial" w:hAnsi="Arial"/>
                <w:sz w:val="17"/>
                <w:szCs w:val="17"/>
                <w:color w:val="0000FF"/>
              </w:rPr>
              <w:t>01/13/2022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150,000</w:t>
            </w:r>
            <w:r>
              <w:rPr>
                <w:rFonts w:ascii="Arial" w:cs="Arial" w:eastAsia="Arial" w:hAnsi="Arial"/>
                <w:sz w:val="11"/>
                <w:szCs w:val="11"/>
                <w:color w:val="008000"/>
                <w:w w:val="82"/>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44.8803</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9,666,968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gridSpan w:val="2"/>
          </w:tcPr>
          <w:p>
            <w:pPr>
              <w:ind w:left="140"/>
              <w:spacing w:after="0"/>
              <w:rPr>
                <w:sz w:val="20"/>
                <w:szCs w:val="20"/>
                <w:color w:val="auto"/>
              </w:rPr>
            </w:pPr>
            <w:r>
              <w:rPr>
                <w:rFonts w:ascii="Arial" w:cs="Arial" w:eastAsia="Arial" w:hAnsi="Arial"/>
                <w:sz w:val="17"/>
                <w:szCs w:val="17"/>
                <w:color w:val="0000FF"/>
              </w:rPr>
              <w:t>01/14/2022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ind w:right="40"/>
              <w:spacing w:after="0" w:line="320" w:lineRule="exact"/>
              <w:rPr>
                <w:sz w:val="20"/>
                <w:szCs w:val="20"/>
                <w:color w:val="auto"/>
              </w:rPr>
            </w:pPr>
            <w:r>
              <w:rPr>
                <w:rFonts w:ascii="Arial" w:cs="Arial" w:eastAsia="Arial" w:hAnsi="Arial"/>
                <w:sz w:val="34"/>
                <w:szCs w:val="34"/>
                <w:color w:val="0000FF"/>
                <w:w w:val="85"/>
                <w:vertAlign w:val="subscript"/>
              </w:rPr>
              <w:t>50,000</w:t>
            </w:r>
            <w:r>
              <w:rPr>
                <w:rFonts w:ascii="Arial" w:cs="Arial" w:eastAsia="Arial" w:hAnsi="Arial"/>
                <w:sz w:val="11"/>
                <w:szCs w:val="11"/>
                <w:color w:val="008000"/>
                <w:w w:val="85"/>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44.0787</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9,616,968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6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2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46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46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03"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903"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609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809240" cy="8609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9,616,968 shares of Common Stock by reason of the direct or indirect beneficial ownership of such shares as follows: (i) ACOF AIV 1A directly holds 542,810 shares of Common Stock, (ii) ACOF AIV 1B directly holds 1,986,410 shares of Common Stock, (iii) ACOF AIV 2 directly holds</w:t>
      </w:r>
    </w:p>
    <w:p>
      <w:pPr>
        <w:sectPr>
          <w:pgSz w:w="11900" w:h="16838" w:orient="portrait"/>
          <w:cols w:equalWidth="0" w:num="1">
            <w:col w:w="10880"/>
          </w:cols>
          <w:pgMar w:left="480" w:top="459" w:right="53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2,023,567 shares of Common Stock, (iv) AEOF AIV A-B directly holds 1,894,861 shares of Common Stock, (v) AEOF AIV C directly holds 804,524 shares of Common Stock and (vi) AF Energy Feeder, L.P. directly holds 2,364,796 shares of Common Stock.</w:t>
      </w:r>
    </w:p>
    <w:p>
      <w:pPr>
        <w:spacing w:after="0" w:line="15" w:lineRule="exact"/>
        <w:rPr>
          <w:sz w:val="20"/>
          <w:szCs w:val="20"/>
          <w:color w:val="auto"/>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7" Type="http://schemas.openxmlformats.org/officeDocument/2006/relationships/hyperlink" Target="http://www.sec.gov/cgi-bin/browse-edgar?action=getcompany&amp;CIK=0001831196" TargetMode="External"/><Relationship Id="rId18" Type="http://schemas.openxmlformats.org/officeDocument/2006/relationships/hyperlink" Target="http://www.sec.gov/cgi-bin/browse-edgar?action=getcompany&amp;CIK=0001831200" TargetMode="External"/><Relationship Id="rId19" Type="http://schemas.openxmlformats.org/officeDocument/2006/relationships/hyperlink" Target="http://www.sec.gov/cgi-bin/browse-edgar?action=getcompany&amp;CIK=0001831202" TargetMode="External"/><Relationship Id="rId20"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2022-01-18T15:13:19Z</dcterms:created>
  <dcterms:modified xsi:type="dcterms:W3CDTF">2022-01-18T15:13:19Z</dcterms:modified>
</cp:coreProperties>
</file>