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7)*</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20, 2022</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514,490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514,490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514,490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0.6%*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342" w:lineRule="auto"/>
        <w:rPr>
          <w:rFonts w:ascii="Arial" w:cs="Arial" w:eastAsia="Arial" w:hAnsi="Arial"/>
          <w:sz w:val="18"/>
          <w:szCs w:val="18"/>
          <w:color w:val="auto"/>
        </w:rPr>
      </w:pPr>
      <w:r>
        <w:rPr>
          <w:rFonts w:ascii="Arial" w:cs="Arial" w:eastAsia="Arial" w:hAnsi="Arial"/>
          <w:sz w:val="16"/>
          <w:szCs w:val="16"/>
          <w:color w:val="auto"/>
        </w:rPr>
        <w:t>* The calculation of the percentage of outstanding shares is based on 80,392,897 shares of Common Stock outstanding as of October 31, 2021 as disclosed by the Issuer in its Quarterly Report on Form 10-Q, filed with the Securities and Exchange Commission on November 12, 2021 (“</w:t>
      </w:r>
      <w:r>
        <w:rPr>
          <w:rFonts w:ascii="Arial" w:cs="Arial" w:eastAsia="Arial" w:hAnsi="Arial"/>
          <w:sz w:val="16"/>
          <w:szCs w:val="16"/>
          <w:u w:val="single" w:color="auto"/>
          <w:color w:val="auto"/>
        </w:rPr>
        <w:t>10-Q</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-486410</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-897890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-1309370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-1583690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-1995170</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-340360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387350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1,882,776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1,882,776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1,882,776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2.3%*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1,917,999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1,917,999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1,917,999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2.4%*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2.4%*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2,241,413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2,241,413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2,241,413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72"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-533400</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-1630680</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-2042160</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72"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-533400</wp:posOffset>
            </wp:positionV>
            <wp:extent cx="6557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-1630680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-2042160</wp:posOffset>
            </wp:positionV>
            <wp:extent cx="60521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72"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-533400</wp:posOffset>
            </wp:positionV>
            <wp:extent cx="65576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-1630680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-2042160</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72"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-533400</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-1630680</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-2042160</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9,256,063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9,256,063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9,256,063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72" w:lineRule="exact"/>
        <w:rPr>
          <w:rFonts w:ascii="Arial" w:cs="Arial" w:eastAsia="Arial" w:hAnsi="Arial"/>
          <w:sz w:val="18"/>
          <w:szCs w:val="18"/>
          <w:color w:val="auto"/>
        </w:rPr>
      </w:pPr>
    </w:p>
    <w:p>
      <w:pPr>
        <w:ind w:left="280" w:hanging="324"/>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80,392,897 shares of Common Stock outstanding as of October 31,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-533400</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-1630680</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-2042160</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5" w:name="page16"/>
    <w:bookmarkEnd w:id="15"/>
    <w:p>
      <w:pPr>
        <w:spacing w:after="0" w:line="271" w:lineRule="auto"/>
        <w:rPr>
          <w:sz w:val="20"/>
          <w:szCs w:val="20"/>
          <w:color w:val="auto"/>
        </w:rPr>
      </w:pPr>
      <w:r>
        <w:rPr>
          <w:rFonts w:ascii="Arial" w:cs="Arial" w:eastAsia="Arial" w:hAnsi="Arial"/>
          <w:sz w:val="17"/>
          <w:szCs w:val="17"/>
          <w:color w:val="auto"/>
        </w:rPr>
        <w:t>This Amendment No. 7 (this “</w:t>
      </w:r>
      <w:r>
        <w:rPr>
          <w:rFonts w:ascii="Arial" w:cs="Arial" w:eastAsia="Arial" w:hAnsi="Arial"/>
          <w:sz w:val="17"/>
          <w:szCs w:val="17"/>
          <w:u w:val="single" w:color="auto"/>
          <w:color w:val="auto"/>
        </w:rPr>
        <w:t>Amendment No. 7</w:t>
      </w:r>
      <w:r>
        <w:rPr>
          <w:rFonts w:ascii="Arial" w:cs="Arial" w:eastAsia="Arial" w:hAnsi="Arial"/>
          <w:sz w:val="17"/>
          <w:szCs w:val="17"/>
          <w:color w:val="auto"/>
        </w:rPr>
        <w:t>”) to the statement on Schedule 13D amends and supplements the statement on Schedule 13D filed by the Reporting Persons on November 6, 2020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and Amendment No. 6 to the Original Schedule 13D filed by the Reporting Persons on January 10, 2022 (as so amended, the “</w:t>
      </w:r>
      <w:r>
        <w:rPr>
          <w:rFonts w:ascii="Arial" w:cs="Arial" w:eastAsia="Arial" w:hAnsi="Arial"/>
          <w:sz w:val="17"/>
          <w:szCs w:val="17"/>
          <w:u w:val="single" w:color="auto"/>
          <w:color w:val="auto"/>
        </w:rPr>
        <w:t>13D Filing</w:t>
      </w:r>
      <w:r>
        <w:rPr>
          <w:rFonts w:ascii="Arial" w:cs="Arial" w:eastAsia="Arial" w:hAnsi="Arial"/>
          <w:sz w:val="17"/>
          <w:szCs w:val="17"/>
          <w:color w:val="auto"/>
        </w:rPr>
        <w:t>,” and, together with this Amendment No. 7, this “</w:t>
      </w:r>
      <w:r>
        <w:rPr>
          <w:rFonts w:ascii="Arial" w:cs="Arial" w:eastAsia="Arial" w:hAnsi="Arial"/>
          <w:sz w:val="17"/>
          <w:szCs w:val="17"/>
          <w:u w:val="single" w:color="auto"/>
          <w:color w:val="auto"/>
        </w:rPr>
        <w:t>Schedule 13D</w:t>
      </w:r>
      <w:r>
        <w:rPr>
          <w:rFonts w:ascii="Arial" w:cs="Arial" w:eastAsia="Arial" w:hAnsi="Arial"/>
          <w:sz w:val="17"/>
          <w:szCs w:val="17"/>
          <w:color w:val="auto"/>
        </w:rPr>
        <w:t>”). Except as amended in this Amendment No. 7, the 13D Filing remains in full force and effect. Terms defined in the 13D Filing are used in this Amendment No. 7 as so defined, unless otherwise defined in this Amendment No.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January 24, 2022, a copy of which is attached to this Schedule 13D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99.1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and 5(c) of the 13D Filing are hereby amended and restated in its entirety as follows:</w:t>
      </w:r>
    </w:p>
    <w:p>
      <w:pPr>
        <w:spacing w:after="0" w:line="221" w:lineRule="exact"/>
        <w:rPr>
          <w:sz w:val="20"/>
          <w:szCs w:val="20"/>
          <w:color w:val="auto"/>
        </w:rPr>
      </w:pPr>
    </w:p>
    <w:p>
      <w:pPr>
        <w:ind w:right="20" w:firstLine="8"/>
        <w:spacing w:after="0" w:line="273" w:lineRule="auto"/>
        <w:tabs>
          <w:tab w:leader="none" w:pos="244"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Aggregate Number and Percentage of Securities</w:t>
      </w:r>
      <w:r>
        <w:rPr>
          <w:rFonts w:ascii="Arial" w:cs="Arial" w:eastAsia="Arial" w:hAnsi="Arial"/>
          <w:sz w:val="17"/>
          <w:szCs w:val="17"/>
          <w:color w:val="auto"/>
        </w:rPr>
        <w:t>. As of the date that this Schedule 13D is filed, (i) ACOF AIV 1A directly holds 514,490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(ii) ACOF AIV 1B directly holds 1,882,776 shares of Common Stock, (iii) ACOF AIV 2 directly holds 1,917,999 shares of Common Stock, (iv) AEOF AIV A-B directly holds 1,894,861 shares of Common Stock, (v) AEOF AIV C directly holds 804,524 shares of Common Stock and (vi) AF Energy Feeder, L.P. directly holds 2,241,413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7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Since the filing of the Amendment No. 6 to the Original Schedule 13D, the ACOF AIVs and AF Energy Feeder, L.P. sold Common Stock in the transactions set forth in </w:t>
      </w:r>
      <w:r>
        <w:rPr>
          <w:rFonts w:ascii="Arial" w:cs="Arial" w:eastAsia="Arial" w:hAnsi="Arial"/>
          <w:sz w:val="18"/>
          <w:szCs w:val="18"/>
          <w:u w:val="single" w:color="auto"/>
          <w:color w:val="auto"/>
        </w:rPr>
        <w:t>Exhibit 5</w:t>
      </w:r>
      <w:r>
        <w:rPr>
          <w:rFonts w:ascii="Arial" w:cs="Arial" w:eastAsia="Arial" w:hAnsi="Arial"/>
          <w:sz w:val="18"/>
          <w:szCs w:val="18"/>
          <w:color w:val="auto"/>
        </w:rPr>
        <w:t xml:space="preserve"> attached to this Schedule 13D, which is incorporated by reference into this Item 5(c) in its entirety. Except as set forth in this Item 5(c) and </w:t>
      </w:r>
      <w:r>
        <w:rPr>
          <w:rFonts w:ascii="Arial" w:cs="Arial" w:eastAsia="Arial" w:hAnsi="Arial"/>
          <w:sz w:val="18"/>
          <w:szCs w:val="18"/>
          <w:u w:val="single" w:color="auto"/>
          <w:color w:val="auto"/>
        </w:rPr>
        <w:t>Exhibit 5</w:t>
      </w:r>
      <w:r>
        <w:rPr>
          <w:rFonts w:ascii="Arial" w:cs="Arial" w:eastAsia="Arial" w:hAnsi="Arial"/>
          <w:sz w:val="18"/>
          <w:szCs w:val="18"/>
          <w:color w:val="auto"/>
        </w:rPr>
        <w:t xml:space="preserve"> attached to this Schedule 13D, none of the Reporting Persons has effected any transaction in Common Stock during the past 60 days.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680" w:type="dxa"/>
            <w:vAlign w:val="bottom"/>
          </w:tcPr>
          <w:p>
            <w:pPr>
              <w:ind w:left="20"/>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Exhibit 5</w:t>
              </w:r>
            </w:hyperlink>
          </w:p>
        </w:tc>
        <w:tc>
          <w:tcPr>
            <w:tcW w:w="420" w:type="dxa"/>
            <w:vAlign w:val="bottom"/>
            <w:gridSpan w:val="2"/>
          </w:tcPr>
          <w:p>
            <w:pPr>
              <w:spacing w:after="0"/>
              <w:rPr>
                <w:sz w:val="18"/>
                <w:szCs w:val="18"/>
                <w:color w:val="auto"/>
              </w:rPr>
            </w:pPr>
          </w:p>
        </w:tc>
        <w:tc>
          <w:tcPr>
            <w:tcW w:w="9980" w:type="dxa"/>
            <w:vAlign w:val="bottom"/>
            <w:gridSpan w:val="4"/>
          </w:tcPr>
          <w:p>
            <w:pPr>
              <w:ind w:left="220"/>
              <w:spacing w:after="0"/>
              <w:rPr>
                <w:rFonts w:ascii="Arial" w:cs="Arial" w:eastAsia="Arial" w:hAnsi="Arial"/>
                <w:sz w:val="18"/>
                <w:szCs w:val="18"/>
                <w:color w:val="0000EE"/>
              </w:rPr>
            </w:pPr>
            <w:hyperlink w:anchor="page21">
              <w:r>
                <w:rPr>
                  <w:rFonts w:ascii="Arial" w:cs="Arial" w:eastAsia="Arial" w:hAnsi="Arial"/>
                  <w:sz w:val="18"/>
                  <w:szCs w:val="18"/>
                  <w:color w:val="0000EE"/>
                </w:rPr>
                <w:t>Trading Data</w:t>
              </w:r>
            </w:hyperlink>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100" w:type="dxa"/>
            <w:vAlign w:val="bottom"/>
            <w:gridSpan w:val="3"/>
          </w:tcPr>
          <w:p>
            <w:pPr>
              <w:ind w:left="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 99.1</w:t>
              </w:r>
            </w:hyperlink>
          </w:p>
        </w:tc>
        <w:tc>
          <w:tcPr>
            <w:tcW w:w="9980" w:type="dxa"/>
            <w:vAlign w:val="bottom"/>
            <w:gridSpan w:val="4"/>
          </w:tcPr>
          <w:p>
            <w:pPr>
              <w:ind w:left="22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Joint Filing Agreement, dated as of January 24, 2022, by and among the Reporting Persons.</w:t>
              </w:r>
            </w:hyperlink>
          </w:p>
        </w:tc>
      </w:tr>
      <w:tr>
        <w:trPr>
          <w:trHeight w:val="722"/>
        </w:trPr>
        <w:tc>
          <w:tcPr>
            <w:tcW w:w="16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660" w:type="dxa"/>
            <w:vAlign w:val="bottom"/>
            <w:tcBorders>
              <w:top w:val="single" w:sz="8" w:color="0000EE"/>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 w:name="page17"/>
    <w:bookmarkEnd w:id="16"/>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931" w:right="91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5</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Joint Filing Agreement, dated as of January 24, 2022,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660" w:type="dxa"/>
            <w:vAlign w:val="bottom"/>
            <w:tcBorders>
              <w:top w:val="single" w:sz="8" w:color="0000EE"/>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DATA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Reporting Person</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of Transaction</w:t>
            </w:r>
          </w:p>
        </w:tc>
        <w:tc>
          <w:tcPr>
            <w:tcW w:w="1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 of</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Share $</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6"/>
              </w:rPr>
              <w:t>Shares (Common</w:t>
            </w:r>
          </w:p>
        </w:tc>
        <w:tc>
          <w:tcPr>
            <w:tcW w:w="17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34"/>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Stock)</w:t>
            </w:r>
          </w:p>
        </w:tc>
        <w:tc>
          <w:tcPr>
            <w:tcW w:w="17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3,210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42.5444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11,771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43.6091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1/12/2021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11,770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44.3827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1/13/2021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11,770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44.8803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1/14/2021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3,923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44.0787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1/18/2021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7,847</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43.7278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1/19/2021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6,120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43.1826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13,733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44.2993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1A,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620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42.6443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11,744</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42.5444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43,073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43.6091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1/12/2021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43,073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44.3827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1/13/2021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43,073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44.8803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1/14/2021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14,358</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44.0787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1/18/2021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28,715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43.7278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1/19/2021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22,398</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43.1826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50,251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44.2993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1B,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2,270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42.6443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11,964</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42.5444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43,877</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43.6091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1/12/2021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43,877</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44.3827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1/13/2021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43,877</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44.8803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1/14/2021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14,626</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44.0787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1/18/2021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29,251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43.7278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1/19/2021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22,816</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43.1826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51,189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44.2993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V Energy IV AIV 2,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2,312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42.6443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13,982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42.5444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51,279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43.6091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1/12/2021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51,280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44.3827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695"/>
        </w:trPr>
        <w:tc>
          <w:tcPr>
            <w:tcW w:w="2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Reporting Person</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Buy/Sell</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of Transaction</w:t>
            </w:r>
          </w:p>
        </w:tc>
        <w:tc>
          <w:tcPr>
            <w:tcW w:w="1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 of</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Per Share $</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6"/>
              </w:rPr>
              <w:t>Shares (Common</w:t>
            </w:r>
          </w:p>
        </w:tc>
        <w:tc>
          <w:tcPr>
            <w:tcW w:w="17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34"/>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Stock)</w:t>
            </w:r>
          </w:p>
        </w:tc>
        <w:tc>
          <w:tcPr>
            <w:tcW w:w="17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1/13/2021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51,280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44.8803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1/14/2021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17,093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44.0787</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1/18/2021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34,187</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43.7278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1/19/2021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26,666</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43.1826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59,827</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44.2993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224"/>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 Energy Feeder, L.P.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Sell</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1/21/2021</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2,703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42.6443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Open Market/Broker</w:t>
            </w:r>
          </w:p>
        </w:tc>
      </w:tr>
      <w:tr>
        <w:trPr>
          <w:trHeight w:val="121"/>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r>
      <w:tr>
        <w:trPr>
          <w:trHeight w:val="695"/>
        </w:trPr>
        <w:tc>
          <w:tcPr>
            <w:tcW w:w="2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January 24,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ACOF INVESTMENT MANAGEMENT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ACOF INVESTMENT MANAGEMENT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ARES HOLDCO LLC</w:t>
      </w:r>
    </w:p>
    <w:p>
      <w:pPr>
        <w:spacing w:after="0" w:line="2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ARES PARTNERS HOLDCO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By:</w:t>
        <w:tab/>
        <w:t>Naseem Sagati Aghili</w:t>
      </w:r>
    </w:p>
    <w:p>
      <w:pPr>
        <w:spacing w:after="0" w:line="23" w:lineRule="exact"/>
        <w:rPr>
          <w:sz w:val="20"/>
          <w:szCs w:val="20"/>
          <w:color w:val="auto"/>
        </w:rPr>
      </w:pPr>
    </w:p>
    <w:p>
      <w:pPr>
        <w:ind w:left="4960"/>
        <w:spacing w:after="0"/>
        <w:tabs>
          <w:tab w:leader="none" w:pos="5380" w:val="left"/>
        </w:tabs>
        <w:rPr>
          <w:sz w:val="20"/>
          <w:szCs w:val="20"/>
          <w:color w:val="auto"/>
        </w:rPr>
      </w:pPr>
      <w:r>
        <w:rPr>
          <w:rFonts w:ascii="Arial" w:cs="Arial" w:eastAsia="Arial" w:hAnsi="Arial"/>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8EDBDA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B03E0C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abstractNum>
  <w:abstractNum w:abstractNumId="23">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8">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1">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2022-01-24T15:04:58Z</dcterms:created>
  <dcterms:modified xsi:type="dcterms:W3CDTF">2022-01-24T15:04:58Z</dcterms:modified>
</cp:coreProperties>
</file>