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September 30, 2025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pPr>
      <w:r>
        <w:rPr>
          <w:rFonts w:ascii="Arial;sans-serif" w:hAnsi="Arial;sans-serif"/>
          <w:b w:val="false"/>
          <w:color w:val="000000"/>
          <w:sz w:val="19"/>
        </w:rPr>
        <w:t>The number of shares of common stock outstanding as of September 30, 2025</w:t>
      </w:r>
      <w:r>
        <w:rPr>
          <w:color w:val="000000"/>
          <w:shd w:fill="FFFFFF" w:val="clear"/>
        </w:rPr>
        <w:t xml:space="preserve"> </w:t>
      </w:r>
      <w:r>
        <w:rPr>
          <w:rFonts w:ascii="Arial;sans-serif" w:hAnsi="Arial;sans-serif"/>
          <w:b w:val="false"/>
          <w:color w:val="000000"/>
          <w:sz w:val="19"/>
          <w:shd w:fill="FFFFFF" w:val="clear"/>
        </w:rPr>
        <w:t>was 83,711,931.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1"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8"/>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Statements of Comprehensive Income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28">
              <w:r>
                <w:rPr>
                  <w:rStyle w:val="InternetLink"/>
                  <w:rFonts w:ascii="Arial;sans-serif" w:hAnsi="Arial;sans-serif"/>
                  <w:b/>
                  <w:strike w:val="false"/>
                  <w:dstrike w:val="false"/>
                  <w:color w:val="000000"/>
                  <w:sz w:val="20"/>
                  <w:u w:val="none"/>
                  <w:effect w:val="none"/>
                </w:rPr>
                <w:t>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34">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37">
              <w:r>
                <w:rPr>
                  <w:rStyle w:val="InternetLink"/>
                  <w:rFonts w:ascii="Arial;sans-serif" w:hAnsi="Arial;sans-serif"/>
                  <w:b/>
                  <w:strike w:val="false"/>
                  <w:dstrike w:val="false"/>
                  <w:color w:val="000000"/>
                  <w:sz w:val="20"/>
                  <w:u w:val="none"/>
                  <w:effect w:val="none"/>
                </w:rPr>
                <w:t>10</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21">
              <w:r>
                <w:rPr>
                  <w:rStyle w:val="InternetLink"/>
                  <w:rFonts w:ascii="Arial;sans-serif" w:hAnsi="Arial;sans-serif"/>
                  <w:b/>
                  <w:strike w:val="false"/>
                  <w:dstrike w:val="false"/>
                  <w:color w:val="000000"/>
                  <w:sz w:val="20"/>
                  <w:u w:val="none"/>
                  <w:effect w:val="none"/>
                </w:rPr>
                <w:t>34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24">
              <w:r>
                <w:rPr>
                  <w:rStyle w:val="InternetLink"/>
                  <w:rFonts w:ascii="Arial;sans-serif" w:hAnsi="Arial;sans-serif"/>
                  <w:b/>
                  <w:strike w:val="false"/>
                  <w:dstrike w:val="false"/>
                  <w:color w:val="000000"/>
                  <w:sz w:val="20"/>
                  <w:u w:val="none"/>
                  <w:effect w:val="none"/>
                </w:rPr>
                <w:t>34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Pending Berry Merger</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174">
              <w:r>
                <w:rPr>
                  <w:rStyle w:val="InternetLink"/>
                  <w:rFonts w:ascii="Arial;sans-serif" w:hAnsi="Arial;sans-serif"/>
                  <w:b/>
                  <w:strike w:val="false"/>
                  <w:dstrike w:val="false"/>
                  <w:color w:val="000000"/>
                  <w:sz w:val="20"/>
                  <w:u w:val="none"/>
                  <w:effect w:val="none"/>
                </w:rPr>
                <w:t>34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27">
              <w:r>
                <w:rPr>
                  <w:rStyle w:val="InternetLink"/>
                  <w:rFonts w:ascii="Arial;sans-serif" w:hAnsi="Arial;sans-serif"/>
                  <w:b/>
                  <w:strike w:val="false"/>
                  <w:dstrike w:val="false"/>
                  <w:color w:val="000000"/>
                  <w:sz w:val="20"/>
                  <w:u w:val="none"/>
                  <w:effect w:val="none"/>
                </w:rPr>
                <w:t>34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30">
              <w:r>
                <w:rPr>
                  <w:rStyle w:val="InternetLink"/>
                  <w:rFonts w:ascii="Arial;sans-serif" w:hAnsi="Arial;sans-serif"/>
                  <w:b/>
                  <w:strike w:val="false"/>
                  <w:dstrike w:val="false"/>
                  <w:color w:val="000000"/>
                  <w:sz w:val="20"/>
                  <w:u w:val="none"/>
                  <w:effect w:val="none"/>
                </w:rPr>
                <w:t>36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33">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Results of Our Oil and Natural Gas Operations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42">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Results of Our Carbon Management Segment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54">
              <w:r>
                <w:rPr>
                  <w:rStyle w:val="InternetLink"/>
                  <w:rFonts w:ascii="Arial;sans-serif" w:hAnsi="Arial;sans-serif"/>
                  <w:b/>
                  <w:strike w:val="false"/>
                  <w:dstrike w:val="false"/>
                  <w:color w:val="000000"/>
                  <w:sz w:val="20"/>
                  <w:u w:val="none"/>
                  <w:effect w:val="none"/>
                </w:rPr>
                <w:t>49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57">
              <w:r>
                <w:rPr>
                  <w:rStyle w:val="InternetLink"/>
                  <w:rFonts w:ascii="Arial;sans-serif" w:hAnsi="Arial;sans-serif"/>
                  <w:b/>
                  <w:strike w:val="false"/>
                  <w:dstrike w:val="false"/>
                  <w:color w:val="000000"/>
                  <w:sz w:val="20"/>
                  <w:u w:val="none"/>
                  <w:effect w:val="none"/>
                </w:rPr>
                <w:t>49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and Assets Held for Sale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63">
              <w:r>
                <w:rPr>
                  <w:rStyle w:val="InternetLink"/>
                  <w:rFonts w:ascii="Arial;sans-serif" w:hAnsi="Arial;sans-serif"/>
                  <w:b/>
                  <w:strike w:val="false"/>
                  <w:dstrike w:val="false"/>
                  <w:color w:val="000000"/>
                  <w:sz w:val="20"/>
                  <w:u w:val="none"/>
                  <w:effect w:val="none"/>
                </w:rPr>
                <w:t>52</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66">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69">
              <w:r>
                <w:rPr>
                  <w:rStyle w:val="InternetLink"/>
                  <w:rFonts w:ascii="Arial;sans-serif" w:hAnsi="Arial;sans-serif"/>
                  <w:b/>
                  <w:strike w:val="false"/>
                  <w:dstrike w:val="false"/>
                  <w:color w:val="000000"/>
                  <w:sz w:val="20"/>
                  <w:u w:val="none"/>
                  <w:effect w:val="none"/>
                </w:rPr>
                <w:t>53</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72">
              <w:r>
                <w:rPr>
                  <w:rStyle w:val="InternetLink"/>
                  <w:rFonts w:ascii="Arial;sans-serif" w:hAnsi="Arial;sans-serif"/>
                  <w:b/>
                  <w:strike w:val="false"/>
                  <w:dstrike w:val="false"/>
                  <w:color w:val="000000"/>
                  <w:sz w:val="20"/>
                  <w:u w:val="none"/>
                  <w:effect w:val="none"/>
                </w:rPr>
                <w:t>54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75">
              <w:r>
                <w:rPr>
                  <w:rStyle w:val="InternetLink"/>
                  <w:rFonts w:ascii="Arial;sans-serif" w:hAnsi="Arial;sans-serif"/>
                  <w:b/>
                  <w:strike w:val="false"/>
                  <w:dstrike w:val="false"/>
                  <w:color w:val="000000"/>
                  <w:sz w:val="20"/>
                  <w:u w:val="none"/>
                  <w:effect w:val="none"/>
                </w:rPr>
                <w:t>55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78">
              <w:r>
                <w:rPr>
                  <w:rStyle w:val="InternetLink"/>
                  <w:rFonts w:ascii="Arial;sans-serif" w:hAnsi="Arial;sans-serif"/>
                  <w:b/>
                  <w:strike w:val="false"/>
                  <w:dstrike w:val="false"/>
                  <w:color w:val="000000"/>
                  <w:sz w:val="20"/>
                  <w:u w:val="none"/>
                  <w:effect w:val="none"/>
                </w:rPr>
                <w:t>56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84">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87">
              <w:r>
                <w:rPr>
                  <w:rStyle w:val="InternetLink"/>
                  <w:rFonts w:ascii="Arial;sans-serif" w:hAnsi="Arial;sans-serif"/>
                  <w:b/>
                  <w:strike w:val="false"/>
                  <w:dstrike w:val="false"/>
                  <w:color w:val="000000"/>
                  <w:sz w:val="20"/>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90">
              <w:r>
                <w:rPr>
                  <w:rStyle w:val="InternetLink"/>
                  <w:rFonts w:ascii="Arial;sans-serif" w:hAnsi="Arial;sans-serif"/>
                  <w:b/>
                  <w:strike w:val="false"/>
                  <w:dstrike w:val="false"/>
                  <w:color w:val="000000"/>
                  <w:sz w:val="20"/>
                  <w:u w:val="none"/>
                  <w:effect w:val="none"/>
                </w:rPr>
                <w:t>58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93">
              <w:r>
                <w:rPr>
                  <w:rStyle w:val="InternetLink"/>
                  <w:rFonts w:ascii="Arial;sans-serif" w:hAnsi="Arial;sans-serif"/>
                  <w:b/>
                  <w:strike w:val="false"/>
                  <w:dstrike w:val="false"/>
                  <w:color w:val="000000"/>
                  <w:sz w:val="20"/>
                  <w:u w:val="none"/>
                  <w:effect w:val="none"/>
                </w:rPr>
                <w:t>59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da4a03443c4dd1a81accd2af7146cd_199">
              <w:r>
                <w:rPr>
                  <w:rStyle w:val="InternetLink"/>
                  <w:rFonts w:ascii="Arial;sans-serif" w:hAnsi="Arial;sans-serif"/>
                  <w:b/>
                  <w:strike w:val="false"/>
                  <w:dstrike w:val="false"/>
                  <w:color w:val="000000"/>
                  <w:sz w:val="20"/>
                  <w:u w:val="none"/>
                  <w:effect w:val="non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w:t>
      </w:r>
      <w:r>
        <w:rPr>
          <w:color w:val="000000"/>
        </w:rPr>
        <w:t xml:space="preserve"> </w:t>
      </w:r>
      <w:r>
        <w:rPr>
          <w:rFonts w:ascii="Arial;sans-serif" w:hAnsi="Arial;sans-serif"/>
          <w:b w:val="false"/>
          <w:color w:val="000000"/>
          <w:sz w:val="20"/>
        </w:rPr>
        <w:t>- Assembly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w:t>
      </w:r>
      <w:r>
        <w:rPr>
          <w:color w:val="000000"/>
        </w:rPr>
        <w:t xml:space="preserve"> </w:t>
      </w:r>
      <w:r>
        <w:rPr>
          <w:rFonts w:ascii="Arial;sans-serif" w:hAnsi="Arial;sans-serif"/>
          <w:b w:val="false"/>
          <w:color w:val="000000"/>
          <w:sz w:val="20"/>
        </w:rPr>
        <w:t>- Aera Energy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Aera Merger</w:t>
      </w:r>
      <w:r>
        <w:rPr>
          <w:color w:val="000000"/>
        </w:rPr>
        <w:t xml:space="preserve"> </w:t>
      </w:r>
      <w:r>
        <w:rPr>
          <w:rFonts w:ascii="Arial;sans-serif" w:hAnsi="Arial;sans-serif"/>
          <w:b w:val="false"/>
          <w:color w:val="000000"/>
          <w:sz w:val="20"/>
        </w:rPr>
        <w:t>- The transactions contemplated by the Merger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Brookfield</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BGTF Sierra Aggregator LLC.</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CAISO</w:t>
      </w:r>
      <w:r>
        <w:rPr>
          <w:color w:val="000000"/>
        </w:rPr>
        <w:t xml:space="preserve"> </w:t>
      </w:r>
      <w:r>
        <w:rPr>
          <w:rFonts w:ascii="Arial;sans-serif" w:hAnsi="Arial;sans-serif"/>
          <w:b w:val="false"/>
          <w:color w:val="000000"/>
          <w:sz w:val="20"/>
        </w:rPr>
        <w:t>- California Independent System Operator.</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i/>
          <w:color w:val="000000"/>
          <w:sz w:val="20"/>
        </w:rPr>
        <w:t>Carbon TerraVault JV</w:t>
      </w:r>
      <w:r>
        <w:rPr>
          <w:color w:val="000000"/>
        </w:rPr>
        <w:t xml:space="preserve"> </w:t>
      </w:r>
      <w:r>
        <w:rPr>
          <w:rFonts w:ascii="Arial;sans-serif" w:hAnsi="Arial;sans-serif"/>
          <w:b w:val="false"/>
          <w:color w:val="000000"/>
          <w:sz w:val="20"/>
        </w:rPr>
        <w:t>- A</w:t>
      </w:r>
      <w:r>
        <w:rPr>
          <w:color w:val="000000"/>
          <w:shd w:fill="FFFFFF" w:val="clear"/>
        </w:rPr>
        <w:t xml:space="preserve"> </w:t>
      </w:r>
      <w:r>
        <w:rPr>
          <w:rFonts w:ascii="Arial;sans-serif" w:hAnsi="Arial;sans-serif"/>
          <w:b w:val="false"/>
          <w:color w:val="000000"/>
          <w:sz w:val="20"/>
          <w:shd w:fill="FFFFFF" w:val="clear"/>
        </w:rPr>
        <w:t xml:space="preserve">joint venture between our wholly-owned subsidiary Carbon TerraVault I, LLC with Brookfield for the further development of a carbon management business in California.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MHp</w:t>
      </w:r>
      <w:r>
        <w:rPr>
          <w:color w:val="000000"/>
        </w:rPr>
        <w:t xml:space="preserve">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Responsible Net Zero </w:t>
      </w:r>
      <w:r>
        <w:rPr>
          <w:color w:val="000000"/>
        </w:rPr>
        <w:t xml:space="preserve">– </w:t>
      </w:r>
      <w:r>
        <w:rPr>
          <w:rFonts w:ascii="Arial;sans-serif" w:hAnsi="Arial;sans-serif"/>
          <w:b w:val="false"/>
          <w:color w:val="000000"/>
          <w:sz w:val="20"/>
        </w:rPr>
        <w:t xml:space="preserve">Refers to our net zero emissions goal adopted by our Board of Directors in May 2025.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SB</w:t>
      </w:r>
      <w:r>
        <w:rPr>
          <w:color w:val="000000"/>
        </w:rPr>
        <w:t xml:space="preserve"> </w:t>
      </w:r>
      <w:r>
        <w:rPr>
          <w:rFonts w:ascii="Arial;sans-serif" w:hAnsi="Arial;sans-serif"/>
          <w:b w:val="false"/>
          <w:color w:val="000000"/>
          <w:sz w:val="20"/>
        </w:rPr>
        <w:t>- Senate Bill.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September 30, 2025 and December 31,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8155" w:type="dxa"/>
        <w:jc w:val="center"/>
        <w:tblInd w:w="0" w:type="dxa"/>
        <w:tblLayout w:type="fixed"/>
        <w:tblCellMar>
          <w:top w:w="28" w:type="dxa"/>
          <w:left w:w="28" w:type="dxa"/>
          <w:bottom w:w="28" w:type="dxa"/>
          <w:right w:w="28" w:type="dxa"/>
        </w:tblCellMar>
      </w:tblPr>
      <w:tblGrid>
        <w:gridCol w:w="1805"/>
        <w:gridCol w:w="1583"/>
        <w:gridCol w:w="1592"/>
        <w:gridCol w:w="313"/>
        <w:gridCol w:w="962"/>
        <w:gridCol w:w="164"/>
        <w:gridCol w:w="109"/>
        <w:gridCol w:w="109"/>
        <w:gridCol w:w="109"/>
        <w:gridCol w:w="293"/>
        <w:gridCol w:w="900"/>
        <w:gridCol w:w="216"/>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(audited)</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IN UNCONSOLIDATED SUBSIDIARIES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DEFERRED INCOME TAXES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73"/>
        <w:gridCol w:w="2407"/>
        <w:gridCol w:w="2419"/>
        <w:gridCol w:w="211"/>
        <w:gridCol w:w="646"/>
        <w:gridCol w:w="109"/>
        <w:gridCol w:w="109"/>
        <w:gridCol w:w="109"/>
        <w:gridCol w:w="109"/>
        <w:gridCol w:w="211"/>
        <w:gridCol w:w="646"/>
        <w:gridCol w:w="156"/>
      </w:tblGrid>
      <w:tr>
        <w:trPr/>
        <w:tc>
          <w:tcPr>
            <w:tcW w:w="3073"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September 30, 2025 and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(105,063,163 and 109,613,585 shares issued; 83,711,931 and 91,100,322 shares outstanding at September 30, 2025 and December 31, 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(21,351,232 shares held at cost at September 30, 2025 and 18,513,263 shares held at cost at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September 30, 2025 and 2024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 shares in millions)</w:t>
      </w:r>
    </w:p>
    <w:tbl>
      <w:tblPr>
        <w:tblW w:w="9559" w:type="dxa"/>
        <w:jc w:val="center"/>
        <w:tblInd w:w="0" w:type="dxa"/>
        <w:tblLayout w:type="fixed"/>
        <w:tblCellMar>
          <w:top w:w="28" w:type="dxa"/>
          <w:left w:w="28" w:type="dxa"/>
          <w:bottom w:w="28" w:type="dxa"/>
          <w:right w:w="28" w:type="dxa"/>
        </w:tblCellMar>
      </w:tblPr>
      <w:tblGrid>
        <w:gridCol w:w="1728"/>
        <w:gridCol w:w="1517"/>
        <w:gridCol w:w="1525"/>
        <w:gridCol w:w="109"/>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revenue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gain on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2025 and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36"/>
        <w:gridCol w:w="1840"/>
        <w:gridCol w:w="1852"/>
        <w:gridCol w:w="227"/>
        <w:gridCol w:w="404"/>
        <w:gridCol w:w="117"/>
        <w:gridCol w:w="117"/>
        <w:gridCol w:w="117"/>
        <w:gridCol w:w="117"/>
        <w:gridCol w:w="227"/>
        <w:gridCol w:w="518"/>
        <w:gridCol w:w="117"/>
        <w:gridCol w:w="109"/>
        <w:gridCol w:w="109"/>
        <w:gridCol w:w="109"/>
        <w:gridCol w:w="211"/>
        <w:gridCol w:w="481"/>
        <w:gridCol w:w="109"/>
        <w:gridCol w:w="109"/>
        <w:gridCol w:w="109"/>
        <w:gridCol w:w="109"/>
        <w:gridCol w:w="211"/>
        <w:gridCol w:w="481"/>
        <w:gridCol w:w="109"/>
        <w:gridCol w:w="160"/>
      </w:tblGrid>
      <w:tr>
        <w:trPr/>
        <w:tc>
          <w:tcPr>
            <w:tcW w:w="213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comprehensive income (loss)</w:t>
            </w:r>
            <w:r>
              <w:rPr>
                <w:rFonts w:ascii="Arial;sans-serif" w:hAnsi="Arial;sans-serif"/>
                <w:b w:val="false"/>
                <w:color w:val="000000"/>
                <w:sz w:val="13"/>
              </w:rPr>
              <w:t>(a)</w:t>
            </w:r>
            <w:r>
              <w:rPr>
                <w:rFonts w:ascii="Arial;sans-serif" w:hAnsi="Arial;sans-serif"/>
                <w:b w:val="false"/>
                <w:color w:val="000000"/>
                <w:sz w:val="20"/>
              </w:rPr>
              <w:t xml:space="preserve">: </w:t>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Recognition of net actuarial loss due to settlement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gain associated with pension and postretirement plans, net of tax</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 included in net periodic benefit cost, net of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Comprehensive income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Tax effects of the actuarial gain associated with pension and postretirement plans and amortization of prior service cost credit were insignificant for the three and nine months ended September 30, 2025 and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(unaudited) </w:t>
      </w:r>
    </w:p>
    <w:p>
      <w:pPr>
        <w:pStyle w:val="TextBody"/>
        <w:bidi w:val="0"/>
        <w:spacing w:lineRule="auto" w:line="288" w:before="0" w:after="0"/>
        <w:jc w:val="center"/>
        <w:rPr/>
      </w:pPr>
      <w:r>
        <w:rPr>
          <w:rFonts w:ascii="Arial;sans-serif" w:hAnsi="Arial;sans-serif"/>
          <w:b/>
          <w:color w:val="000000"/>
          <w:sz w:val="20"/>
        </w:rPr>
        <w:t>For the three and nine</w:t>
      </w:r>
      <w:r>
        <w:rPr>
          <w:color w:val="000000"/>
        </w:rPr>
        <w:t xml:space="preserve"> </w:t>
      </w:r>
      <w:r>
        <w:rPr>
          <w:rFonts w:ascii="Arial;sans-serif" w:hAnsi="Arial;sans-serif"/>
          <w:b/>
          <w:color w:val="000000"/>
          <w:sz w:val="20"/>
        </w:rPr>
        <w:t>months ended September 30, 2025 and 2024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9"/>
        <w:gridCol w:w="401"/>
        <w:gridCol w:w="404"/>
        <w:gridCol w:w="353"/>
        <w:gridCol w:w="435"/>
        <w:gridCol w:w="198"/>
        <w:gridCol w:w="109"/>
        <w:gridCol w:w="109"/>
        <w:gridCol w:w="109"/>
        <w:gridCol w:w="231"/>
        <w:gridCol w:w="582"/>
        <w:gridCol w:w="128"/>
        <w:gridCol w:w="109"/>
        <w:gridCol w:w="109"/>
        <w:gridCol w:w="109"/>
        <w:gridCol w:w="291"/>
        <w:gridCol w:w="830"/>
        <w:gridCol w:w="164"/>
        <w:gridCol w:w="109"/>
        <w:gridCol w:w="109"/>
        <w:gridCol w:w="109"/>
        <w:gridCol w:w="243"/>
        <w:gridCol w:w="689"/>
        <w:gridCol w:w="135"/>
        <w:gridCol w:w="109"/>
        <w:gridCol w:w="109"/>
        <w:gridCol w:w="109"/>
        <w:gridCol w:w="443"/>
        <w:gridCol w:w="749"/>
        <w:gridCol w:w="247"/>
        <w:gridCol w:w="109"/>
        <w:gridCol w:w="109"/>
        <w:gridCol w:w="109"/>
        <w:gridCol w:w="109"/>
        <w:gridCol w:w="109"/>
        <w:gridCol w:w="109"/>
        <w:gridCol w:w="109"/>
        <w:gridCol w:w="196"/>
        <w:gridCol w:w="556"/>
        <w:gridCol w:w="160"/>
      </w:tblGrid>
      <w:tr>
        <w:trPr/>
        <w:tc>
          <w:tcPr>
            <w:tcW w:w="6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2"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c>
          <w:tcPr>
            <w:tcW w:w="1239" w:type="dxa"/>
            <w:gridSpan w:val="6"/>
            <w:tcBorders/>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2025</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 2024</w:t>
            </w:r>
          </w:p>
        </w:tc>
        <w:tc>
          <w:tcPr>
            <w:tcW w:w="1461" w:type="dxa"/>
            <w:gridSpan w:val="8"/>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2024</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for warrants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for Aera Merger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2024</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2025</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2025</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25"/>
        <w:gridCol w:w="428"/>
        <w:gridCol w:w="343"/>
        <w:gridCol w:w="423"/>
        <w:gridCol w:w="192"/>
        <w:gridCol w:w="109"/>
        <w:gridCol w:w="109"/>
        <w:gridCol w:w="109"/>
        <w:gridCol w:w="224"/>
        <w:gridCol w:w="565"/>
        <w:gridCol w:w="124"/>
        <w:gridCol w:w="109"/>
        <w:gridCol w:w="109"/>
        <w:gridCol w:w="109"/>
        <w:gridCol w:w="276"/>
        <w:gridCol w:w="787"/>
        <w:gridCol w:w="155"/>
        <w:gridCol w:w="109"/>
        <w:gridCol w:w="109"/>
        <w:gridCol w:w="109"/>
        <w:gridCol w:w="234"/>
        <w:gridCol w:w="665"/>
        <w:gridCol w:w="130"/>
        <w:gridCol w:w="109"/>
        <w:gridCol w:w="109"/>
        <w:gridCol w:w="109"/>
        <w:gridCol w:w="438"/>
        <w:gridCol w:w="740"/>
        <w:gridCol w:w="244"/>
        <w:gridCol w:w="109"/>
        <w:gridCol w:w="109"/>
        <w:gridCol w:w="109"/>
        <w:gridCol w:w="109"/>
        <w:gridCol w:w="109"/>
        <w:gridCol w:w="109"/>
        <w:gridCol w:w="109"/>
        <w:gridCol w:w="196"/>
        <w:gridCol w:w="556"/>
        <w:gridCol w:w="164"/>
      </w:tblGrid>
      <w:tr>
        <w:trPr/>
        <w:tc>
          <w:tcPr>
            <w:tcW w:w="8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 2024</w:t>
            </w:r>
          </w:p>
        </w:tc>
        <w:tc>
          <w:tcPr>
            <w:tcW w:w="1243" w:type="dxa"/>
            <w:gridSpan w:val="6"/>
            <w:tcBorders/>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2023</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for warrants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for Aera Merger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net of tax</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September 30, 2024</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nine months ended September 30, 2025 and 2024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048"/>
        <w:gridCol w:w="1765"/>
        <w:gridCol w:w="177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4"/>
        <w:gridCol w:w="473"/>
        <w:gridCol w:w="109"/>
        <w:gridCol w:w="109"/>
        <w:gridCol w:w="109"/>
        <w:gridCol w:w="109"/>
        <w:gridCol w:w="156"/>
      </w:tblGrid>
      <w:tr>
        <w:trPr/>
        <w:tc>
          <w:tcPr>
            <w:tcW w:w="204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OPERATING ACTIVITIES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provided by operating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income tax provision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(gain) from commodity derivatives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proceeds (payments) on settled commodity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on early extinguishment of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asset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to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changes in operating assets and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investments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capital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asset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a business, net of cash acquired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FINANCING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2029 Senior Notes,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dividends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equivalents on equity-settled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Bridge loan commitments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warrants exercised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amendment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cancelled for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issuance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redemption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Increase (decrease) in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equivalents—beginning of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40740"/>
                <wp:effectExtent l="0" t="0" r="0" b="0"/>
                <wp:wrapNone/>
                <wp:docPr id="11" name="Frame11"/>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September 30,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On July 1, 2024, pursuant to the Agreement and Plan of Merger, dated as of February 7, 2024, we obtained all of the ownership interests in Aera Energy LLC (Aera) in an all-stock transaction (Aera Merger). Our consolidated results of operations include the results of Aera beginning July 1, 2024, the closing date of the Aera Merger. The Aera Merger significantly impacted the comparability of our financial results for the nine months ended September 30, 2025 as compared to the nine months ended September 30, 2024. See </w:t>
      </w:r>
      <w:r>
        <w:rPr>
          <w:rFonts w:ascii="Arial;sans-serif" w:hAnsi="Arial;sans-serif"/>
          <w:b w:val="false"/>
          <w:i/>
          <w:color w:val="000000"/>
          <w:sz w:val="20"/>
        </w:rPr>
        <w:t xml:space="preserve">Note 2 Business Combinations </w:t>
      </w:r>
      <w:r>
        <w:rPr>
          <w:rFonts w:ascii="Arial;sans-serif" w:hAnsi="Arial;sans-serif"/>
          <w:b w:val="false"/>
          <w:color w:val="000000"/>
          <w:sz w:val="20"/>
        </w:rPr>
        <w:t>for transaction details.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subsidiaries as of the date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recognized either at cost, as is the case with </w:t>
      </w:r>
      <w:r>
        <w:rPr>
          <w:rFonts w:ascii="Arial;sans-serif" w:hAnsi="Arial;sans-serif"/>
          <w:b w:val="false"/>
          <w:color w:val="000000"/>
          <w:sz w:val="20"/>
          <w:shd w:fill="FFFFFF" w:val="clear"/>
        </w:rPr>
        <w:t>Carbon TerraVault JV HoldCo, LLC, or at fair value if acquired in a business combination, as is the case for Midway Sunset Cogeneration Company. These investments are then</w:t>
      </w:r>
      <w:r>
        <w:rPr>
          <w:color w:val="000000"/>
        </w:rPr>
        <w:t xml:space="preserve"> </w:t>
      </w:r>
      <w:r>
        <w:rPr>
          <w:rFonts w:ascii="Arial;sans-serif" w:hAnsi="Arial;sans-serif"/>
          <w:b w:val="false"/>
          <w:color w:val="000000"/>
          <w:sz w:val="20"/>
        </w:rPr>
        <w:t xml:space="preserve">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2024 (2024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Issued but not Adopted Accounting and Disclosure Changes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September 2025, the Financial Accounting Standards Board’s (FASB) issued amendments to accounting requirements for Internal-Use Software (ASC 350-40). The amendment changes the framework for capitalizing internal-use software costs and adds disclosure requirements. The rule becomes effective for fiscal years beginning after December 15, 2027, but early adoption is permitted. We intend to apply the amendments on a prospective basis, but adoption on a retrospective basis is permitted. We do not expect the adoption of the rule to have a significant impact on our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Pending Berry Merger</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14, 2025, we entered into a definitive agreement and plan of merger (the Berry Merger Agreement) to combine with Berry Corporation (bry) (Berry) in an all-stock transaction (Berry Merger). Berry is an independent upstream energy company that operates in two business segments: (i) oil and natural gas and (ii) well servicing and abandonment services. Berry's oil and gas assets are located in California and Utah. We expect the transaction will add high quality, oil-weighted, mostly conventional proved developed reserves and sustainable cash flows to our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Pursuant to the Berry Merger Agreement, on the effective date of the merger, we will issue 0.0718 shares of our common stock for each outstanding share of Berry stock. Upon closing of the Berry Merger, we expect Berry's outstanding long-term debt to be repaid and the underlying credit agreement to be terminated. We expect to repay a significant portion of this indebtedness with proceeds from our 2034 Senior Notes, which closed in October 2025. Berry's Revolving Credit Facility is also expected to be terminated at closing. For more information on the 2034 Senior Notes, refer to </w:t>
      </w:r>
      <w:r>
        <w:rPr>
          <w:rFonts w:ascii="Arial;sans-serif" w:hAnsi="Arial;sans-serif"/>
          <w:b w:val="false"/>
          <w:i/>
          <w:color w:val="000000"/>
          <w:sz w:val="20"/>
        </w:rPr>
        <w:t>Note 16 Subsequent Events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Closing of the Berry Merger is subject to certain conditions, including, among others, adoption of the Berry Merger Agreement by its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1, 2024, we obtained by way of merger all of the ownership interests in Aera. Aera is a leading operator of mature fields in California, primarily in the San Joaquin and Ventura basins, with high oil-weighted production. The Aera Merger added significant proved developed reserves to CRC. In connection with the closing of the Aera Merger, we issued shares of common stock to the former Aera owners. We also paid approximately $990 million in connection with the extinguishment of all of Aera's outstanding indebtedness using the proceeds from the issuance of our 8.25% senior notes due 2029 (2029 Senior Notes) and cash on hand.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July 1, 2024, and immediately following closing of the Aera Merger, our existing stockholders prior to the Aera Merger owned 76% of CRC and the former owners of Aera owned 24% of CRC. For more information on the 2029 Senior Notes, refer to </w:t>
      </w:r>
      <w:r>
        <w:rPr>
          <w:rFonts w:ascii="Arial;sans-serif" w:hAnsi="Arial;sans-serif"/>
          <w:b w:val="false"/>
          <w:i/>
          <w:color w:val="000000"/>
          <w:sz w:val="20"/>
        </w:rPr>
        <w:t xml:space="preserve">Note 4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have measured assets and liabilities at acquisition date fair value on a nonrecurring basis. See </w:t>
      </w:r>
      <w:r>
        <w:rPr>
          <w:rFonts w:ascii="Arial;sans-serif" w:hAnsi="Arial;sans-serif"/>
          <w:b w:val="false"/>
          <w:i/>
          <w:color w:val="000000"/>
          <w:sz w:val="20"/>
        </w:rPr>
        <w:t>Note 2 Aera Merger</w:t>
      </w:r>
      <w:r>
        <w:rPr>
          <w:color w:val="000000"/>
        </w:rPr>
        <w:t xml:space="preserve"> </w:t>
      </w:r>
      <w:r>
        <w:rPr>
          <w:rFonts w:ascii="Arial;sans-serif" w:hAnsi="Arial;sans-serif"/>
          <w:b w:val="false"/>
          <w:color w:val="000000"/>
          <w:sz w:val="20"/>
        </w:rPr>
        <w:t>in our Quarterly Report on Form 10-Q for the six months ended June 30, 2025, for information on our final purchase price allocation.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consideration transferred: </w:t>
      </w:r>
    </w:p>
    <w:p>
      <w:pPr>
        <w:pStyle w:val="TextBody"/>
        <w:bidi w:val="0"/>
        <w:spacing w:before="0" w:after="0"/>
        <w:ind w:left="0" w:right="0" w:firstLine="360"/>
        <w:jc w:val="left"/>
        <w:rPr/>
      </w:pPr>
      <w:r>
        <w:rPr/>
      </w:r>
    </w:p>
    <w:tbl>
      <w:tblPr>
        <w:tblW w:w="8322"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714"/>
        <w:gridCol w:w="2196"/>
        <w:gridCol w:w="525"/>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Merger Consideration</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share and per share data)</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Shares of common stock (dividend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21,422,972 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Common stock per share fair value on July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Fair value of share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Settlement of Aera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Purchase price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2,121 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Supplemental Pro Forma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supplemental pro forma financial information presents the condensed consolidated results of operations for the nine months ended September 30, 2024 as if the Aera Merger had occurred on January 1, 2024.</w:t>
      </w:r>
    </w:p>
    <w:p>
      <w:pPr>
        <w:pStyle w:val="TextBody"/>
        <w:bidi w:val="0"/>
        <w:spacing w:before="0" w:after="0"/>
        <w:jc w:val="left"/>
        <w:rPr/>
      </w:pPr>
      <w:r>
        <w:rPr/>
      </w:r>
    </w:p>
    <w:tbl>
      <w:tblPr>
        <w:tblW w:w="6174" w:type="dxa"/>
        <w:jc w:val="left"/>
        <w:tblInd w:w="0" w:type="dxa"/>
        <w:tblLayout w:type="fixed"/>
        <w:tblCellMar>
          <w:top w:w="28" w:type="dxa"/>
          <w:left w:w="28" w:type="dxa"/>
          <w:bottom w:w="28" w:type="dxa"/>
          <w:right w:w="28" w:type="dxa"/>
        </w:tblCellMar>
      </w:tblPr>
      <w:tblGrid>
        <w:gridCol w:w="783"/>
        <w:gridCol w:w="686"/>
        <w:gridCol w:w="691"/>
        <w:gridCol w:w="109"/>
        <w:gridCol w:w="109"/>
        <w:gridCol w:w="109"/>
        <w:gridCol w:w="109"/>
        <w:gridCol w:w="722"/>
        <w:gridCol w:w="2214"/>
        <w:gridCol w:w="379"/>
        <w:gridCol w:w="109"/>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supplemental pro forma financial information is presented for illustration purposes only and is not necessarily indicative of the operating results that would have occurred had the Aera Merger been completed on January 1, 2024, nor is it necessarily indicative of future operating results of the combined entity. The pro forma financial information for the nine months ended September 30, 2024 is a result of combining our nine months statements of operations with Aera's pre-merger results from January 1, 2024 through June 30, 2024 and pro forma adjustments include estimates and assumptions based on currently available information.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Aera Merger. Management believes the estimates and assumptions are reasonable, and the relative effects of the Aera Merger are properly reflected.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INVESTMENTS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present changes to our investments in unconsolidated subsidiaries for the periods presented: </w:t>
      </w:r>
    </w:p>
    <w:p>
      <w:pPr>
        <w:pStyle w:val="TextBody"/>
        <w:bidi w:val="0"/>
        <w:spacing w:before="0" w:after="0"/>
        <w:jc w:val="both"/>
        <w:rPr/>
      </w:pPr>
      <w:r>
        <w:rPr/>
      </w:r>
    </w:p>
    <w:tbl>
      <w:tblPr>
        <w:tblW w:w="5219" w:type="dxa"/>
        <w:jc w:val="left"/>
        <w:tblInd w:w="0" w:type="dxa"/>
        <w:tblLayout w:type="fixed"/>
        <w:tblCellMar>
          <w:top w:w="28" w:type="dxa"/>
          <w:left w:w="28" w:type="dxa"/>
          <w:bottom w:w="28" w:type="dxa"/>
          <w:right w:w="28" w:type="dxa"/>
        </w:tblCellMar>
      </w:tblPr>
      <w:tblGrid>
        <w:gridCol w:w="1113"/>
        <w:gridCol w:w="978"/>
        <w:gridCol w:w="983"/>
        <w:gridCol w:w="610"/>
        <w:gridCol w:w="1087"/>
        <w:gridCol w:w="448"/>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TerraVault JV</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Contributions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September 30, 2025</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4"/>
        <w:gridCol w:w="2050"/>
        <w:gridCol w:w="2060"/>
        <w:gridCol w:w="1068"/>
        <w:gridCol w:w="1906"/>
        <w:gridCol w:w="787"/>
      </w:tblGrid>
      <w:tr>
        <w:trPr/>
        <w:tc>
          <w:tcPr>
            <w:tcW w:w="2334"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Midway Sunset Cogeneration Company</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December 31, 2024</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 to the preliminary purchase price allocation in the Aera Merger</w:t>
            </w:r>
          </w:p>
        </w:tc>
        <w:tc>
          <w:tcPr>
            <w:tcW w:w="2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6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Investment, September 30, 2025</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Carbon TerraVault JV</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August 2022, we entered into a joint venture with BGTF Sierra Aggregator LLC (Brookfield) for the further development of a carbon management business in California (Carbon TerraVault JV). We hold a </w:t>
      </w:r>
      <w:r>
        <w:rPr>
          <w:rFonts w:ascii="Arial;sans-serif" w:hAnsi="Arial;sans-serif"/>
          <w:b w:val="false"/>
          <w:color w:val="000000"/>
          <w:sz w:val="20"/>
        </w:rPr>
        <w:t>51%</w:t>
      </w:r>
      <w:r>
        <w:rPr>
          <w:color w:val="000000"/>
          <w:shd w:fill="FFFFFF" w:val="clear"/>
        </w:rPr>
        <w:t xml:space="preserve"> </w:t>
      </w:r>
      <w:r>
        <w:rPr>
          <w:rFonts w:ascii="Arial;sans-serif" w:hAnsi="Arial;sans-serif"/>
          <w:b w:val="false"/>
          <w:color w:val="000000"/>
          <w:sz w:val="20"/>
          <w:shd w:fill="FFFFFF" w:val="clear"/>
        </w:rPr>
        <w:t xml:space="preserve">interest in the Carbon TerraVault JV and Brookfield holds a </w:t>
      </w:r>
      <w:r>
        <w:rPr>
          <w:rFonts w:ascii="Arial;sans-serif" w:hAnsi="Arial;sans-serif"/>
          <w:b w:val="false"/>
          <w:color w:val="000000"/>
          <w:sz w:val="20"/>
        </w:rPr>
        <w:t>49%</w:t>
      </w:r>
      <w:r>
        <w:rPr>
          <w:color w:val="000000"/>
          <w:shd w:fill="FFFFFF" w:val="clear"/>
        </w:rPr>
        <w:t xml:space="preserve"> </w:t>
      </w:r>
      <w:r>
        <w:rPr>
          <w:rFonts w:ascii="Arial;sans-serif" w:hAnsi="Arial;sans-serif"/>
          <w:b w:val="false"/>
          <w:color w:val="000000"/>
          <w:sz w:val="20"/>
          <w:shd w:fill="FFFFFF" w:val="clear"/>
        </w:rPr>
        <w:t>interest. The Carbon TerraVault JV holds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storage (26R reservoir).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The contingent liability was $107 million at December 31, 2024 and $115 million at </w:t>
      </w:r>
      <w:r>
        <w:rPr>
          <w:rFonts w:ascii="Arial;sans-serif" w:hAnsi="Arial;sans-serif"/>
          <w:b w:val="false"/>
          <w:color w:val="000000"/>
          <w:sz w:val="20"/>
        </w:rPr>
        <w:t>September 30, 2025</w:t>
      </w:r>
      <w:r>
        <w:rPr>
          <w:rFonts w:ascii="Arial;sans-serif" w:hAnsi="Arial;sans-serif"/>
          <w:b w:val="false"/>
          <w:color w:val="000000"/>
          <w:sz w:val="20"/>
          <w:shd w:fill="FFFFFF" w:val="clear"/>
        </w:rPr>
        <w:t>,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condensed consolidated balance sheet relates solely to the initial investment by Brookfield and does not include capital contributions made for ongoing development activities of the 26R reservoir.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 </w:t>
      </w:r>
    </w:p>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885"/>
        <w:gridCol w:w="778"/>
        <w:gridCol w:w="782"/>
        <w:gridCol w:w="378"/>
        <w:gridCol w:w="865"/>
        <w:gridCol w:w="197"/>
        <w:gridCol w:w="109"/>
        <w:gridCol w:w="109"/>
        <w:gridCol w:w="109"/>
        <w:gridCol w:w="351"/>
        <w:gridCol w:w="801"/>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(a)</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liabilities</w:t>
            </w:r>
            <w:r>
              <w:rPr>
                <w:rFonts w:ascii="Arial;sans-serif" w:hAnsi="Arial;sans-serif"/>
                <w:b w:val="false"/>
                <w:color w:val="000000"/>
                <w:sz w:val="13"/>
              </w:rPr>
              <w:t>(b)</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At September 30, 2025, the amount of $26 million includes the remaining $17 million of Brookfield's first and second installments of their initial investment which is available to us and $9 million related to the Master Service Agreement (MSA) and vendor reimbursements. At December 31, 2024, the amount of $46 million includes $43 million remaining of Brookfield's initial contribution available to us and $3 million related to the MSA and vendor reimbursements.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(b)Other long-term liabilities include the contingent liability related to the Carbon TerraVault JV put and call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recognized a loss of $2 million and $4 million for the three and nine months ended September 30, 2025, respectively, and a loss of $3 million and $10 million for the three and nine months ended September 30, 2024, respectively, related to our investment in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During the three and nine months ended September 30, 2025, we performed well abandonment work to prepare the 26R reservoir for injection of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and sought reimbursement in the amounts of $2 million and $9 million, respectively, from the Carbon TerraVault JV. During the three and nine months ended September 30, 2024, we performed well abandonment work and sought reimbursement in the amounts of $4 million and $13 million, respectively, from the Carbon TerraVault JV. We recorded these reimbursements as a reduction to property, plant and equipment, net on our condensed consolidated balance sheets.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Midway Sunset Cogeneration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Aera Merger led to our partial ownership of Midway Sunset Cogeneration Company, which owns, manages, and operates a cogeneration facility in Kern County, California. The Midway Sunset Cogeneration Company is owned 50% by us and 50% by San Joaquin Energy Company, a subsidiary of NRG Energy Inc. There are no significant transactions between us and Midway Sunset Cogeneration Company. Our 50% share of the net income related to our investment in Midway Sunset Cogeneration Company was insignificant for the three and nine months ended September 30, 2025 and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September 30, 2025 and December 31, 2024, our long-term debt consisted of the following:</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36"/>
        <w:gridCol w:w="1024"/>
        <w:gridCol w:w="1027"/>
        <w:gridCol w:w="351"/>
        <w:gridCol w:w="804"/>
        <w:gridCol w:w="183"/>
        <w:gridCol w:w="109"/>
        <w:gridCol w:w="109"/>
        <w:gridCol w:w="109"/>
        <w:gridCol w:w="275"/>
        <w:gridCol w:w="844"/>
        <w:gridCol w:w="143"/>
        <w:gridCol w:w="109"/>
        <w:gridCol w:w="109"/>
        <w:gridCol w:w="109"/>
        <w:gridCol w:w="618"/>
        <w:gridCol w:w="618"/>
        <w:gridCol w:w="621"/>
        <w:gridCol w:w="109"/>
        <w:gridCol w:w="109"/>
        <w:gridCol w:w="109"/>
        <w:gridCol w:w="457"/>
        <w:gridCol w:w="420"/>
        <w:gridCol w:w="603"/>
      </w:tblGrid>
      <w:tr>
        <w:trPr/>
        <w:tc>
          <w:tcPr>
            <w:tcW w:w="123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2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1807" w:type="dxa"/>
            <w:gridSpan w:val="6"/>
            <w:tcBorders/>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SOFR plus 2.50%-3.50%</w:t>
            </w:r>
          </w:p>
          <w:p>
            <w:pPr>
              <w:pStyle w:val="TableContents"/>
              <w:bidi w:val="0"/>
              <w:spacing w:lineRule="auto" w:line="240" w:before="0" w:after="0"/>
              <w:jc w:val="center"/>
              <w:rPr/>
            </w:pPr>
            <w:r>
              <w:rPr>
                <w:rFonts w:ascii="Arial;sans-serif" w:hAnsi="Arial;sans-serif"/>
                <w:b w:val="false"/>
                <w:color w:val="000000"/>
                <w:sz w:val="20"/>
              </w:rPr>
              <w:t>ABR plus 1.50%-2.50%</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March 16, 2029</w:t>
            </w:r>
          </w:p>
        </w:tc>
      </w:tr>
      <w:tr>
        <w:trPr/>
        <w:tc>
          <w:tcPr>
            <w:tcW w:w="328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Senior Notes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February 1, 2026</w:t>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Senior Notes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June 15, 2029</w:t>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Principal amount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debt discount and issuance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Unamortized premium</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debt, net</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Long-term debt, net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 xml:space="preserve">At our election, borrowings under the amended Revolving Credit Facility may be alternate base rate (ABR) loans or term SOFR loans, plus an applicable margin. ABR loans bear interest at a rate equal to the highest of (i) the federal funds effective rate plus </w:t>
      </w:r>
      <w:r>
        <w:rPr>
          <w:rFonts w:ascii="Arial;sans-serif" w:hAnsi="Arial;sans-serif"/>
          <w:b w:val="false"/>
          <w:color w:val="000000"/>
          <w:sz w:val="16"/>
        </w:rPr>
        <w:t>0.50%</w:t>
      </w:r>
      <w:r>
        <w:rPr>
          <w:rFonts w:ascii="Arial;sans-serif" w:hAnsi="Arial;sans-serif"/>
          <w:b w:val="false"/>
          <w:color w:val="000000"/>
          <w:sz w:val="16"/>
          <w:shd w:fill="FFFFFF" w:val="clear"/>
        </w:rPr>
        <w:t xml:space="preserve">, (ii) the administrative agent prime rate and (iii) the one-month SOFR rate plus </w:t>
      </w:r>
      <w:r>
        <w:rPr>
          <w:rFonts w:ascii="Arial;sans-serif" w:hAnsi="Arial;sans-serif"/>
          <w:b w:val="false"/>
          <w:color w:val="000000"/>
          <w:sz w:val="16"/>
        </w:rPr>
        <w:t>1%</w:t>
      </w:r>
      <w:r>
        <w:rPr>
          <w:rFonts w:ascii="Arial;sans-serif" w:hAnsi="Arial;sans-serif"/>
          <w:b w:val="false"/>
          <w:color w:val="000000"/>
          <w:sz w:val="16"/>
          <w:shd w:fill="FFFFFF" w:val="clear"/>
        </w:rPr>
        <w:t xml:space="preserve">. Term SOFR loans bear interest at term SOFR, plus an additional </w:t>
      </w:r>
      <w:r>
        <w:rPr>
          <w:rFonts w:ascii="Arial;sans-serif" w:hAnsi="Arial;sans-serif"/>
          <w:b w:val="false"/>
          <w:color w:val="000000"/>
          <w:sz w:val="16"/>
        </w:rPr>
        <w:t>10</w:t>
      </w:r>
      <w:r>
        <w:rPr>
          <w:color w:val="000000"/>
          <w:shd w:fill="FFFFFF" w:val="clear"/>
        </w:rPr>
        <w:t xml:space="preserve"> </w:t>
      </w:r>
      <w:r>
        <w:rPr>
          <w:rFonts w:ascii="Arial;sans-serif" w:hAnsi="Arial;sans-serif"/>
          <w:b w:val="false"/>
          <w:color w:val="000000"/>
          <w:sz w:val="16"/>
          <w:shd w:fill="FFFFFF" w:val="clear"/>
        </w:rPr>
        <w:t>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a commitment utilization percentage and will vary from (i) in the case of ABR loans, </w:t>
      </w:r>
      <w:r>
        <w:rPr>
          <w:rFonts w:ascii="Arial;sans-serif" w:hAnsi="Arial;sans-serif"/>
          <w:b w:val="false"/>
          <w:color w:val="000000"/>
          <w:sz w:val="16"/>
        </w:rPr>
        <w:t>1.50%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and (ii) in the case of term SOFR loans, </w:t>
      </w:r>
      <w:r>
        <w:rPr>
          <w:rFonts w:ascii="Arial;sans-serif" w:hAnsi="Arial;sans-serif"/>
          <w:b w:val="false"/>
          <w:color w:val="000000"/>
          <w:sz w:val="16"/>
        </w:rPr>
        <w:t>2.50%</w:t>
      </w:r>
      <w:r>
        <w:rPr>
          <w:color w:val="000000"/>
          <w:shd w:fill="FFFFFF" w:val="clear"/>
        </w:rPr>
        <w:t xml:space="preserve"> </w:t>
      </w:r>
      <w:r>
        <w:rPr>
          <w:rFonts w:ascii="Arial;sans-serif" w:hAnsi="Arial;sans-serif"/>
          <w:b w:val="false"/>
          <w:color w:val="000000"/>
          <w:sz w:val="16"/>
          <w:shd w:fill="FFFFFF" w:val="clear"/>
        </w:rPr>
        <w:t xml:space="preserve">to </w:t>
      </w:r>
      <w:r>
        <w:rPr>
          <w:rFonts w:ascii="Arial;sans-serif" w:hAnsi="Arial;sans-serif"/>
          <w:b w:val="false"/>
          <w:color w:val="000000"/>
          <w:sz w:val="16"/>
        </w:rPr>
        <w:t>3.50%</w:t>
      </w:r>
      <w:r>
        <w:rPr>
          <w:rFonts w:ascii="Arial;sans-serif" w:hAnsi="Arial;sans-serif"/>
          <w:b w:val="false"/>
          <w:color w:val="000000"/>
          <w:sz w:val="16"/>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Amended and Restated Credit Agreement, dated April 26, 2023 (Revolving Credit Facility), consists of a senior revolving loan facility with an aggregate commitment of $1.15 billion. The amount we are able to borrow under our Revolving Credit Facility is limited to the amount of these commitments. Our Revolving Credit Facility also includes a sub-limit of $300 million for the issuance of letters of credit. As of September 30, 2025, $176 million letters of credit were issued to support ordinary course marketing, insurance, regulatory and other matters. As of September 30, 2025, we had $974 million of availability on our Revolving Credit Facility after taking into account $176 million in letters of credit outstanding. Our borrowing base of $1.5 billion is redetermined semi-annually and was re-affirmed in October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Berry Merger Agreement in September 2025, we entered into a sixth amendment to our Revolving Credit Facility to, among other things, allow for the incurrence of the 2034 Senior Notes without a corresponding reduction in our existing borrowing base.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Note 16 Subsequent Events </w:t>
      </w:r>
      <w:r>
        <w:rPr>
          <w:rFonts w:ascii="Arial;sans-serif" w:hAnsi="Arial;sans-serif"/>
          <w:b w:val="false"/>
          <w:color w:val="000000"/>
          <w:sz w:val="20"/>
        </w:rPr>
        <w:t xml:space="preserve">for more information on our 2034 Senior Notes and the seventh amendment to our Revolving Credit Facility. </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shown in the table below, we estimate the fair value of our fixed rate 2029 Senior Notes and 2026 Senior Notes based on known prices from market transactions (using Level 1 inputs on the fair value hierarchy). </w:t>
      </w:r>
    </w:p>
    <w:p>
      <w:pPr>
        <w:pStyle w:val="TextBody"/>
        <w:bidi w:val="0"/>
        <w:spacing w:before="0" w:after="0"/>
        <w:ind w:left="0" w:right="0" w:firstLine="360"/>
        <w:jc w:val="left"/>
        <w:rPr/>
      </w:pPr>
      <w:r>
        <w:rPr/>
      </w:r>
    </w:p>
    <w:tbl>
      <w:tblPr>
        <w:tblW w:w="6040" w:type="dxa"/>
        <w:jc w:val="left"/>
        <w:tblInd w:w="0" w:type="dxa"/>
        <w:tblLayout w:type="fixed"/>
        <w:tblCellMar>
          <w:top w:w="28" w:type="dxa"/>
          <w:left w:w="28" w:type="dxa"/>
          <w:bottom w:w="28" w:type="dxa"/>
          <w:right w:w="28" w:type="dxa"/>
        </w:tblCellMar>
      </w:tblPr>
      <w:tblGrid>
        <w:gridCol w:w="1035"/>
        <w:gridCol w:w="912"/>
        <w:gridCol w:w="918"/>
        <w:gridCol w:w="313"/>
        <w:gridCol w:w="962"/>
        <w:gridCol w:w="164"/>
        <w:gridCol w:w="109"/>
        <w:gridCol w:w="109"/>
        <w:gridCol w:w="109"/>
        <w:gridCol w:w="293"/>
        <w:gridCol w:w="900"/>
        <w:gridCol w:w="216"/>
      </w:tblGrid>
      <w:tr>
        <w:trPr/>
        <w:tc>
          <w:tcPr>
            <w:tcW w:w="103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Fixed rate debt</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 Senior Notes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Senior Notes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Fair Value of Long-Term Debt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2025, we were in compliance with all financial and other debt covenants under our Revolving Credit Facility, 2026 Senior Notes and 2029 Senior Notes.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Note Redemptions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February 2025, we redeemed $123 million of our 7.125% senior notes due 2026 (2026 Senior Notes) at 100% of the principal amount, resulting in an extinguishment loss in the amount of $1 million for the write-off of unamortized debt issuance costs. See </w:t>
      </w:r>
      <w:r>
        <w:rPr>
          <w:rFonts w:ascii="Arial;sans-serif" w:hAnsi="Arial;sans-serif"/>
          <w:b w:val="false"/>
          <w:i/>
          <w:color w:val="000000"/>
          <w:sz w:val="20"/>
        </w:rPr>
        <w:t>Note 16 Subsequent Events</w:t>
      </w:r>
      <w:r>
        <w:rPr>
          <w:color w:val="000000"/>
        </w:rPr>
        <w:t xml:space="preserve"> </w:t>
      </w:r>
      <w:r>
        <w:rPr>
          <w:rFonts w:ascii="Arial;sans-serif" w:hAnsi="Arial;sans-serif"/>
          <w:b w:val="false"/>
          <w:color w:val="000000"/>
          <w:sz w:val="20"/>
        </w:rPr>
        <w:t xml:space="preserve">for additional information on the redemption of the remaining balance of our 2026 Senior Notes in October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party to various legal and/or regulatory proceedings from time to time arising in the ordinary course of business. We accrue reserves for currently outstanding lawsuits, claims and proceedings when we determine it is probable that a liability has been incurred and the liability can be reasonably estimated. Reserve balances for these items at September 30, 2025 and December 31, 2024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September 30, 2025, we recognized a liability of $4 million, included in accrued liabilities in our condensed consolidated balance sheet related to this abandonment work. For the three and nine months ended September 30, 2025, other operating expenses, net on our condensed consolidated statement of operations includes $5 million and $7 million, respectively, for our ongoing share of maintenance costs and well abandonment work. We continue to challenge the BSEE order.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and 2024, the California Geologic Energy Management Division (CalGEM) plugged and abandoned approximately 120 "orphaned" oil and gas wells located in Cat Canyon, Santa Barbara County, at an aggregate cost of $25 million. These wells had previously been operated by us prior to being sold to their current operators. CalGEM is seeking to recover these costs from us due to our prior operatorship of the wells, and we are disputing these claims. In connection with this dispute, we were required to remit $25 million to CalGEM under protest pending the outcome of this matter. For the nine months ended September 30, 2025, other operating expenses, net on our condensed consolidated statement of operations includes $25 million related to this matter.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 into commodity derivative contracts to help protect our cash flows, margins and capital program from the volatility of commodity prices. We primarily hedge a portion of our forecasted oil production and purchase natural gas used in our steamflood operations. We did not have any derivative instruments designated as accounting hedges as of and for the three and nine months ended September 30, 2025 and 2024.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contracts as of September 30, 2025:</w:t>
      </w:r>
    </w:p>
    <w:p>
      <w:pPr>
        <w:pStyle w:val="TextBody"/>
        <w:bidi w:val="0"/>
        <w:spacing w:before="0" w:after="0"/>
        <w:ind w:left="0" w:right="0" w:firstLine="360"/>
        <w:jc w:val="left"/>
        <w:rPr/>
      </w:pPr>
      <w:r>
        <w:rPr/>
      </w:r>
    </w:p>
    <w:tbl>
      <w:tblPr>
        <w:tblW w:w="10450" w:type="dxa"/>
        <w:jc w:val="left"/>
        <w:tblInd w:w="0" w:type="dxa"/>
        <w:tblLayout w:type="fixed"/>
        <w:tblCellMar>
          <w:top w:w="28" w:type="dxa"/>
          <w:left w:w="28" w:type="dxa"/>
          <w:bottom w:w="28" w:type="dxa"/>
          <w:right w:w="28" w:type="dxa"/>
        </w:tblCellMar>
      </w:tblPr>
      <w:tblGrid>
        <w:gridCol w:w="829"/>
        <w:gridCol w:w="445"/>
        <w:gridCol w:w="40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September 30, 2025, we also held the following swaps to hedge purchased natural gas used in our operations as shown in the table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95"/>
        <w:gridCol w:w="635"/>
        <w:gridCol w:w="64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5"/>
      </w:tblGrid>
      <w:tr>
        <w:trPr/>
        <w:tc>
          <w:tcPr>
            <w:tcW w:w="8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SoCal Border</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NWPL Rockies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nine months ended September 30, 2025 and 2024, we also had a limited number of derivative contracts related to our natural gas marketing activities that were intended to lock in locational price spreads. These derivative contracts were not significant to our results of operations or financial statements taken as a whole.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shown in the tables above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9107" w:type="dxa"/>
        <w:jc w:val="left"/>
        <w:tblInd w:w="0" w:type="dxa"/>
        <w:tblLayout w:type="fixed"/>
        <w:tblCellMar>
          <w:top w:w="28" w:type="dxa"/>
          <w:left w:w="28" w:type="dxa"/>
          <w:bottom w:w="28" w:type="dxa"/>
          <w:right w:w="28" w:type="dxa"/>
        </w:tblCellMar>
      </w:tblPr>
      <w:tblGrid>
        <w:gridCol w:w="1730"/>
        <w:gridCol w:w="1523"/>
        <w:gridCol w:w="1531"/>
        <w:gridCol w:w="226"/>
        <w:gridCol w:w="468"/>
        <w:gridCol w:w="117"/>
        <w:gridCol w:w="117"/>
        <w:gridCol w:w="117"/>
        <w:gridCol w:w="117"/>
        <w:gridCol w:w="226"/>
        <w:gridCol w:w="517"/>
        <w:gridCol w:w="117"/>
        <w:gridCol w:w="109"/>
        <w:gridCol w:w="109"/>
        <w:gridCol w:w="109"/>
        <w:gridCol w:w="211"/>
        <w:gridCol w:w="481"/>
        <w:gridCol w:w="109"/>
        <w:gridCol w:w="109"/>
        <w:gridCol w:w="109"/>
        <w:gridCol w:w="109"/>
        <w:gridCol w:w="211"/>
        <w:gridCol w:w="481"/>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(loss) gain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proceeds (settlements) and premium amortization</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report gains and losses on our commodity derivative c</w:t>
      </w:r>
      <w:r>
        <w:rPr>
          <w:rFonts w:ascii="Arial;sans-serif" w:hAnsi="Arial;sans-serif"/>
          <w:b w:val="false"/>
          <w:color w:val="000000"/>
          <w:sz w:val="20"/>
          <w:shd w:fill="FFFFFF" w:val="clear"/>
        </w:rPr>
        <w:t>ontracts related to purchases of natural gas in operating expenses on our condensed consolidated statement</w:t>
      </w:r>
      <w:r>
        <w:rPr>
          <w:rFonts w:ascii="Arial;sans-serif" w:hAnsi="Arial;sans-serif"/>
          <w:b w:val="false"/>
          <w:color w:val="000000"/>
          <w:sz w:val="20"/>
        </w:rPr>
        <w:t xml:space="preserve">s of operations as shown in the table below: </w:t>
      </w:r>
    </w:p>
    <w:p>
      <w:pPr>
        <w:pStyle w:val="TextBody"/>
        <w:bidi w:val="0"/>
        <w:spacing w:before="0" w:after="0"/>
        <w:jc w:val="left"/>
        <w:rPr/>
      </w:pPr>
      <w:r>
        <w:rPr/>
      </w:r>
    </w:p>
    <w:tbl>
      <w:tblPr>
        <w:tblW w:w="9364" w:type="dxa"/>
        <w:jc w:val="left"/>
        <w:tblInd w:w="0" w:type="dxa"/>
        <w:tblLayout w:type="fixed"/>
        <w:tblCellMar>
          <w:top w:w="28" w:type="dxa"/>
          <w:left w:w="28" w:type="dxa"/>
          <w:bottom w:w="28" w:type="dxa"/>
          <w:right w:w="28" w:type="dxa"/>
        </w:tblCellMar>
      </w:tblPr>
      <w:tblGrid>
        <w:gridCol w:w="1830"/>
        <w:gridCol w:w="1607"/>
        <w:gridCol w:w="1617"/>
        <w:gridCol w:w="255"/>
        <w:gridCol w:w="455"/>
        <w:gridCol w:w="131"/>
        <w:gridCol w:w="131"/>
        <w:gridCol w:w="131"/>
        <w:gridCol w:w="131"/>
        <w:gridCol w:w="255"/>
        <w:gridCol w:w="400"/>
        <w:gridCol w:w="131"/>
        <w:gridCol w:w="109"/>
        <w:gridCol w:w="109"/>
        <w:gridCol w:w="109"/>
        <w:gridCol w:w="235"/>
        <w:gridCol w:w="419"/>
        <w:gridCol w:w="121"/>
        <w:gridCol w:w="121"/>
        <w:gridCol w:w="121"/>
        <w:gridCol w:w="121"/>
        <w:gridCol w:w="235"/>
        <w:gridCol w:w="419"/>
        <w:gridCol w:w="171"/>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loss (gain) on natural gas purchase derivatives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September 30, 2025 and December 31, 2024. </w:t>
      </w:r>
    </w:p>
    <w:p>
      <w:pPr>
        <w:pStyle w:val="TextBody"/>
        <w:bidi w:val="0"/>
        <w:spacing w:before="0" w:after="0"/>
        <w:ind w:left="0" w:right="0" w:firstLine="360"/>
        <w:jc w:val="left"/>
        <w:rPr/>
      </w:pPr>
      <w:r>
        <w:rPr/>
      </w:r>
    </w:p>
    <w:tbl>
      <w:tblPr>
        <w:tblW w:w="8354"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843"/>
        <w:gridCol w:w="1507"/>
        <w:gridCol w:w="439"/>
        <w:gridCol w:w="109"/>
        <w:gridCol w:w="109"/>
        <w:gridCol w:w="109"/>
        <w:gridCol w:w="222"/>
        <w:gridCol w:w="436"/>
        <w:gridCol w:w="116"/>
        <w:gridCol w:w="109"/>
        <w:gridCol w:w="109"/>
        <w:gridCol w:w="109"/>
        <w:gridCol w:w="431"/>
        <w:gridCol w:w="769"/>
        <w:gridCol w:w="315"/>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8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8354"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843"/>
        <w:gridCol w:w="1507"/>
        <w:gridCol w:w="439"/>
        <w:gridCol w:w="109"/>
        <w:gridCol w:w="109"/>
        <w:gridCol w:w="109"/>
        <w:gridCol w:w="222"/>
        <w:gridCol w:w="436"/>
        <w:gridCol w:w="116"/>
        <w:gridCol w:w="109"/>
        <w:gridCol w:w="109"/>
        <w:gridCol w:w="109"/>
        <w:gridCol w:w="399"/>
        <w:gridCol w:w="825"/>
        <w:gridCol w:w="291"/>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3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components of our income tax provision (benefit) and effective tax rate:</w:t>
      </w:r>
    </w:p>
    <w:p>
      <w:pPr>
        <w:pStyle w:val="TextBody"/>
        <w:bidi w:val="0"/>
        <w:spacing w:before="0" w:after="0"/>
        <w:ind w:left="0" w:right="0" w:firstLine="360"/>
        <w:jc w:val="left"/>
        <w:rPr/>
      </w:pPr>
      <w:r>
        <w:rPr/>
      </w:r>
    </w:p>
    <w:tbl>
      <w:tblPr>
        <w:tblW w:w="8704" w:type="dxa"/>
        <w:jc w:val="left"/>
        <w:tblInd w:w="0" w:type="dxa"/>
        <w:tblLayout w:type="fixed"/>
        <w:tblCellMar>
          <w:top w:w="28" w:type="dxa"/>
          <w:left w:w="28" w:type="dxa"/>
          <w:bottom w:w="28" w:type="dxa"/>
          <w:right w:w="28" w:type="dxa"/>
        </w:tblCellMar>
      </w:tblPr>
      <w:tblGrid>
        <w:gridCol w:w="1242"/>
        <w:gridCol w:w="1094"/>
        <w:gridCol w:w="1099"/>
        <w:gridCol w:w="211"/>
        <w:gridCol w:w="376"/>
        <w:gridCol w:w="286"/>
        <w:gridCol w:w="109"/>
        <w:gridCol w:w="109"/>
        <w:gridCol w:w="109"/>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Current income tax (benefit) provision </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income tax provision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Annual effective tax rate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income tax provision for interim periods is determined by applying an estimated annual effective tax rate to income before income taxes with the result adjusted for discrete items, if any, in the relevant period. Our annual effective tax rate for the three months ended September 30, 2025 differed from the U.S. statutory rate of 21% primarily due to state taxes and the marginal well tax credit. For all other periods presented, the difference between the U.S. statutory rate of 21% and our effective tax rate is primarily due to state taxes.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increase in our deferred tax liability of $99 million from $113 million as of December 31, 2024 to $212 million as of September 30, 2025 is primarily related to finalizing our purchase price allocations related to the Aera Merger and tax law changes. On July 4, 2025, An Act to Provide for Reconciliation Pursuant to Title II of H. Con. Res. 14th, commonly referred to as the One Big Beautiful Bill Act, was signed into law. This law contains several legislative changes including the reinstatement of 100% bonus depreciation under Section 168(k) of the Internal Revenue Code for qualified assets acquired and placed in service after January 19, 2025. This law also reinstated the current expensing of all domestic research and development costs, including favorable transition rules, and restored an EBITDA-based limitation on the amount of annual business interest expense which can be deducted each year under Section 163(j) of the Internal Revenue Code.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income and reversal of taxable temporary differences. Realization of our existing deferred tax assets is not assured and depends on a number of factors including our ability to generate sufficient taxable income in future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DIVESTITURES AND ASSETS HELD FOR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March 2024, we sold a 0.9-acre Fort Apache parcel in Huntington Beach, California for $10 million and recognized a $6 million gain.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Carbon Management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we acquired properties for carbon management activities with the intent to divest a portion of these assets. In May 2025, we sold a portion of these properties for $1 million. We did not recognize a gain or loss on this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September 2025, we reduced the carrying value of these properties classified as held for sale to fair value and recognized an impairment charge of $2 million during the three and nine months ended September 30, 2025. The fair value, using Level 3 inputs in the fair value hierarchy, declined due to market conditions.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SEGMENT INFORMATION</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primarily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 equipment, transportation assets and storage facilities. Our oil and natural gas segment and carbon management segment operate exclusively in California.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related to sales of produced natural gas to our Elk Hills power plant are included in oil, natural gas and natural gas liquids sales in the table below. Direct labor-related costs are allocated to our reportable segments based on job function and activity. General and administrative expenses are allocated to a segment if they directly support a segment's activities. We do not allocate income taxes to our segments. We use proportionate consolidation to account for our share of oil and natural gas producing activities.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provide segment profit or loss and reconciliations of segment profit or loss to total operating revenues and consolidated income before income taxes for the three and nine months ended September 30, 2025 and 2024.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92"/>
        <w:gridCol w:w="690"/>
        <w:gridCol w:w="693"/>
        <w:gridCol w:w="337"/>
        <w:gridCol w:w="745"/>
        <w:gridCol w:w="174"/>
        <w:gridCol w:w="109"/>
        <w:gridCol w:w="109"/>
        <w:gridCol w:w="109"/>
        <w:gridCol w:w="447"/>
        <w:gridCol w:w="863"/>
        <w:gridCol w:w="232"/>
        <w:gridCol w:w="109"/>
        <w:gridCol w:w="109"/>
        <w:gridCol w:w="109"/>
        <w:gridCol w:w="461"/>
        <w:gridCol w:w="1020"/>
        <w:gridCol w:w="238"/>
        <w:gridCol w:w="109"/>
        <w:gridCol w:w="109"/>
        <w:gridCol w:w="109"/>
        <w:gridCol w:w="318"/>
        <w:gridCol w:w="567"/>
        <w:gridCol w:w="166"/>
        <w:gridCol w:w="109"/>
        <w:gridCol w:w="109"/>
        <w:gridCol w:w="109"/>
        <w:gridCol w:w="109"/>
        <w:gridCol w:w="109"/>
        <w:gridCol w:w="211"/>
        <w:gridCol w:w="466"/>
        <w:gridCol w:w="159"/>
      </w:tblGrid>
      <w:tr>
        <w:trPr/>
        <w:tc>
          <w:tcPr>
            <w:tcW w:w="8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945"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945"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interest income and unallocated other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9"/>
        <w:gridCol w:w="575"/>
        <w:gridCol w:w="577"/>
        <w:gridCol w:w="278"/>
        <w:gridCol w:w="615"/>
        <w:gridCol w:w="143"/>
        <w:gridCol w:w="109"/>
        <w:gridCol w:w="109"/>
        <w:gridCol w:w="109"/>
        <w:gridCol w:w="403"/>
        <w:gridCol w:w="778"/>
        <w:gridCol w:w="209"/>
        <w:gridCol w:w="109"/>
        <w:gridCol w:w="109"/>
        <w:gridCol w:w="109"/>
        <w:gridCol w:w="378"/>
        <w:gridCol w:w="836"/>
        <w:gridCol w:w="195"/>
        <w:gridCol w:w="109"/>
        <w:gridCol w:w="109"/>
        <w:gridCol w:w="109"/>
        <w:gridCol w:w="502"/>
        <w:gridCol w:w="969"/>
        <w:gridCol w:w="262"/>
        <w:gridCol w:w="109"/>
        <w:gridCol w:w="109"/>
        <w:gridCol w:w="109"/>
        <w:gridCol w:w="109"/>
        <w:gridCol w:w="109"/>
        <w:gridCol w:w="211"/>
        <w:gridCol w:w="466"/>
        <w:gridCol w:w="109"/>
        <w:gridCol w:w="164"/>
      </w:tblGrid>
      <w:tr>
        <w:trPr/>
        <w:tc>
          <w:tcPr>
            <w:tcW w:w="10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4"/>
            <w:tcBorders/>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4"/>
            <w:tcBorders/>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costs: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 and an asset impairment.</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the margin we earn from marketing activities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net loss on natural gas purchase derivatives, transportation costs, other operating expenses, net, interest income and unallocated other revenue.</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855"/>
        <w:gridCol w:w="751"/>
        <w:gridCol w:w="754"/>
        <w:gridCol w:w="317"/>
        <w:gridCol w:w="700"/>
        <w:gridCol w:w="163"/>
        <w:gridCol w:w="109"/>
        <w:gridCol w:w="109"/>
        <w:gridCol w:w="109"/>
        <w:gridCol w:w="432"/>
        <w:gridCol w:w="833"/>
        <w:gridCol w:w="224"/>
        <w:gridCol w:w="109"/>
        <w:gridCol w:w="109"/>
        <w:gridCol w:w="109"/>
        <w:gridCol w:w="432"/>
        <w:gridCol w:w="956"/>
        <w:gridCol w:w="223"/>
        <w:gridCol w:w="109"/>
        <w:gridCol w:w="109"/>
        <w:gridCol w:w="109"/>
        <w:gridCol w:w="375"/>
        <w:gridCol w:w="481"/>
        <w:gridCol w:w="195"/>
        <w:gridCol w:w="109"/>
        <w:gridCol w:w="109"/>
        <w:gridCol w:w="109"/>
        <w:gridCol w:w="109"/>
        <w:gridCol w:w="109"/>
        <w:gridCol w:w="211"/>
        <w:gridCol w:w="616"/>
        <w:gridCol w:w="161"/>
      </w:tblGrid>
      <w:tr>
        <w:trPr/>
        <w:tc>
          <w:tcPr>
            <w:tcW w:w="8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2024</w:t>
            </w:r>
          </w:p>
        </w:tc>
        <w:tc>
          <w:tcPr>
            <w:tcW w:w="1097" w:type="dxa"/>
            <w:gridSpan w:val="4"/>
            <w:tcBorders/>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7" w:type="dxa"/>
            <w:gridSpan w:val="4"/>
            <w:tcBorders/>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 to external customers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 and income includes net gain from commodity derivatives, revenue from marketing of purchased commodities, electricity revenue, interest income and unallocated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8"/>
        <w:gridCol w:w="568"/>
        <w:gridCol w:w="571"/>
        <w:gridCol w:w="280"/>
        <w:gridCol w:w="618"/>
        <w:gridCol w:w="144"/>
        <w:gridCol w:w="109"/>
        <w:gridCol w:w="109"/>
        <w:gridCol w:w="109"/>
        <w:gridCol w:w="404"/>
        <w:gridCol w:w="780"/>
        <w:gridCol w:w="209"/>
        <w:gridCol w:w="109"/>
        <w:gridCol w:w="109"/>
        <w:gridCol w:w="109"/>
        <w:gridCol w:w="380"/>
        <w:gridCol w:w="840"/>
        <w:gridCol w:w="196"/>
        <w:gridCol w:w="109"/>
        <w:gridCol w:w="109"/>
        <w:gridCol w:w="109"/>
        <w:gridCol w:w="505"/>
        <w:gridCol w:w="974"/>
        <w:gridCol w:w="263"/>
        <w:gridCol w:w="109"/>
        <w:gridCol w:w="109"/>
        <w:gridCol w:w="109"/>
        <w:gridCol w:w="109"/>
        <w:gridCol w:w="109"/>
        <w:gridCol w:w="211"/>
        <w:gridCol w:w="466"/>
        <w:gridCol w:w="109"/>
        <w:gridCol w:w="163"/>
      </w:tblGrid>
      <w:tr>
        <w:trPr/>
        <w:tc>
          <w:tcPr>
            <w:tcW w:w="9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49" w:type="dxa"/>
            <w:gridSpan w:val="4"/>
            <w:tcBorders/>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(a)Amounts for our oil and natural gas segment include transportation costs, accretion expense, asset impairment, and other operating expenses, net. Amounts for our carbon management segment primarily include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margin from purchased commodities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transportation costs, other operating expenses, net, other non-operating loss, interest income, unallocated other revenue and loss on early extinguishment of debt.</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857"/>
        <w:gridCol w:w="652"/>
        <w:gridCol w:w="654"/>
        <w:gridCol w:w="293"/>
        <w:gridCol w:w="856"/>
        <w:gridCol w:w="151"/>
        <w:gridCol w:w="109"/>
        <w:gridCol w:w="109"/>
        <w:gridCol w:w="109"/>
        <w:gridCol w:w="439"/>
        <w:gridCol w:w="848"/>
        <w:gridCol w:w="228"/>
        <w:gridCol w:w="109"/>
        <w:gridCol w:w="109"/>
        <w:gridCol w:w="109"/>
        <w:gridCol w:w="373"/>
        <w:gridCol w:w="1095"/>
        <w:gridCol w:w="196"/>
        <w:gridCol w:w="109"/>
        <w:gridCol w:w="109"/>
        <w:gridCol w:w="109"/>
        <w:gridCol w:w="318"/>
        <w:gridCol w:w="567"/>
        <w:gridCol w:w="166"/>
        <w:gridCol w:w="109"/>
        <w:gridCol w:w="109"/>
        <w:gridCol w:w="109"/>
        <w:gridCol w:w="109"/>
        <w:gridCol w:w="109"/>
        <w:gridCol w:w="211"/>
        <w:gridCol w:w="616"/>
        <w:gridCol w:w="159"/>
      </w:tblGrid>
      <w:tr>
        <w:trPr/>
        <w:tc>
          <w:tcPr>
            <w:tcW w:w="8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c>
          <w:tcPr>
            <w:tcW w:w="1095" w:type="dxa"/>
            <w:gridSpan w:val="4"/>
            <w:tcBorders/>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 millions)</w:t>
            </w:r>
          </w:p>
        </w:tc>
        <w:tc>
          <w:tcPr>
            <w:tcW w:w="1095" w:type="dxa"/>
            <w:gridSpan w:val="4"/>
            <w:tcBorders/>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natural gas liquids sales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revenues and income includes net gain from commodity derivatives, revenue from marketing of purchased commodities, electricity revenue, interest income and unallocated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1"/>
        <w:gridCol w:w="537"/>
        <w:gridCol w:w="539"/>
        <w:gridCol w:w="252"/>
        <w:gridCol w:w="737"/>
        <w:gridCol w:w="130"/>
        <w:gridCol w:w="109"/>
        <w:gridCol w:w="109"/>
        <w:gridCol w:w="109"/>
        <w:gridCol w:w="397"/>
        <w:gridCol w:w="765"/>
        <w:gridCol w:w="205"/>
        <w:gridCol w:w="109"/>
        <w:gridCol w:w="109"/>
        <w:gridCol w:w="109"/>
        <w:gridCol w:w="305"/>
        <w:gridCol w:w="895"/>
        <w:gridCol w:w="160"/>
        <w:gridCol w:w="109"/>
        <w:gridCol w:w="109"/>
        <w:gridCol w:w="109"/>
        <w:gridCol w:w="486"/>
        <w:gridCol w:w="938"/>
        <w:gridCol w:w="254"/>
        <w:gridCol w:w="109"/>
        <w:gridCol w:w="109"/>
        <w:gridCol w:w="109"/>
        <w:gridCol w:w="109"/>
        <w:gridCol w:w="109"/>
        <w:gridCol w:w="211"/>
        <w:gridCol w:w="616"/>
        <w:gridCol w:w="109"/>
        <w:gridCol w:w="162"/>
      </w:tblGrid>
      <w:tr>
        <w:trPr/>
        <w:tc>
          <w:tcPr>
            <w:tcW w:w="98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4"/>
            <w:tcBorders/>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subsidiaries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segment expenses for our oil and natural gas segment includes transportation costs, accretion expense, and other operating expenses, net. Other segment expenses for our carbon management segment primarily includes operating lease costs and an asset impairment.</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the margin we earn from marketing activities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net loss on natural gas purchase derivatives, transportation costs, other operating expenses, net, other non-operating losses, loss on early extinguishment of debt, interest income and unallocated other revenue.</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837"/>
        <w:gridCol w:w="736"/>
        <w:gridCol w:w="739"/>
        <w:gridCol w:w="283"/>
        <w:gridCol w:w="828"/>
        <w:gridCol w:w="146"/>
        <w:gridCol w:w="109"/>
        <w:gridCol w:w="109"/>
        <w:gridCol w:w="109"/>
        <w:gridCol w:w="429"/>
        <w:gridCol w:w="828"/>
        <w:gridCol w:w="222"/>
        <w:gridCol w:w="109"/>
        <w:gridCol w:w="109"/>
        <w:gridCol w:w="109"/>
        <w:gridCol w:w="357"/>
        <w:gridCol w:w="1048"/>
        <w:gridCol w:w="187"/>
        <w:gridCol w:w="109"/>
        <w:gridCol w:w="109"/>
        <w:gridCol w:w="109"/>
        <w:gridCol w:w="318"/>
        <w:gridCol w:w="567"/>
        <w:gridCol w:w="166"/>
        <w:gridCol w:w="109"/>
        <w:gridCol w:w="109"/>
        <w:gridCol w:w="109"/>
        <w:gridCol w:w="109"/>
        <w:gridCol w:w="109"/>
        <w:gridCol w:w="211"/>
        <w:gridCol w:w="616"/>
        <w:gridCol w:w="161"/>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2024</w:t>
            </w:r>
          </w:p>
        </w:tc>
        <w:tc>
          <w:tcPr>
            <w:tcW w:w="1097" w:type="dxa"/>
            <w:gridSpan w:val="4"/>
            <w:tcBorders/>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7" w:type="dxa"/>
            <w:gridSpan w:val="4"/>
            <w:tcBorders/>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 to external customers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 and income</w:t>
            </w:r>
            <w:r>
              <w:rPr>
                <w:rFonts w:ascii="Arial;sans-serif" w:hAnsi="Arial;sans-serif"/>
                <w:b w:val="false"/>
                <w:color w:val="000000"/>
                <w:sz w:val="12"/>
              </w:rPr>
              <w:t>(a)</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(a)Other revenue and income includes net gain from commodity derivatives, revenue from marketing of purchased commodities, electricity revenue, interest income and unallocated other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3"/>
        <w:gridCol w:w="531"/>
        <w:gridCol w:w="533"/>
        <w:gridCol w:w="253"/>
        <w:gridCol w:w="740"/>
        <w:gridCol w:w="130"/>
        <w:gridCol w:w="109"/>
        <w:gridCol w:w="109"/>
        <w:gridCol w:w="109"/>
        <w:gridCol w:w="397"/>
        <w:gridCol w:w="766"/>
        <w:gridCol w:w="206"/>
        <w:gridCol w:w="109"/>
        <w:gridCol w:w="109"/>
        <w:gridCol w:w="109"/>
        <w:gridCol w:w="307"/>
        <w:gridCol w:w="900"/>
        <w:gridCol w:w="161"/>
        <w:gridCol w:w="109"/>
        <w:gridCol w:w="109"/>
        <w:gridCol w:w="109"/>
        <w:gridCol w:w="489"/>
        <w:gridCol w:w="942"/>
        <w:gridCol w:w="255"/>
        <w:gridCol w:w="109"/>
        <w:gridCol w:w="109"/>
        <w:gridCol w:w="109"/>
        <w:gridCol w:w="109"/>
        <w:gridCol w:w="109"/>
        <w:gridCol w:w="211"/>
        <w:gridCol w:w="616"/>
        <w:gridCol w:w="109"/>
        <w:gridCol w:w="160"/>
      </w:tblGrid>
      <w:tr>
        <w:trPr/>
        <w:tc>
          <w:tcPr>
            <w:tcW w:w="97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4"/>
            <w:tcBorders/>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Oil and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Carbon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4"/>
            <w:tcBorders/>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 operating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 processing costs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Non-energy operating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profit or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profit or loss</w:t>
            </w:r>
            <w:r>
              <w:rPr>
                <w:rFonts w:ascii="Arial;sans-serif" w:hAnsi="Arial;sans-serif"/>
                <w:b w:val="false"/>
                <w:color w:val="000000"/>
                <w:sz w:val="12"/>
              </w:rPr>
              <w:t>(b)</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Unallocated amounts</w:t>
            </w:r>
            <w:r>
              <w:rPr>
                <w:rFonts w:ascii="Arial;sans-serif" w:hAnsi="Arial;sans-serif"/>
                <w:b w:val="false"/>
                <w:color w:val="000000"/>
                <w:sz w:val="12"/>
              </w:rPr>
              <w:t>(c)</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(a)Amounts for our oil and natural gas segment include transportation costs, accretion expense, asset impairment and other operating expenses, net. Amounts for our carbon management segment primarily include operating lease costs.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(b)Other profit or loss includes margin from purchased commodities and the margin we earn on sales of electricity from our Elk Hills power plant to customers.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(c)Unallocated amounts include net gain from commodity derivatives, transportation costs, other operating expenses, net, other non-operating loss, interest income, unallocated other revenue, loss on early extinguishment of debt and gain on asset divestitures.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table provides capital investment by segment and a reconciliation to our consolidated capital investment for the three and nine months ended September 30, 2025 and 2024. We do not provide total assets by segment because it is not used by our Chief Operating Decision Maker. See </w:t>
      </w:r>
      <w:r>
        <w:rPr>
          <w:rFonts w:ascii="Arial;sans-serif" w:hAnsi="Arial;sans-serif"/>
          <w:b w:val="false"/>
          <w:i/>
          <w:color w:val="000000"/>
          <w:sz w:val="20"/>
        </w:rPr>
        <w:t>Note 3 Investments and Related Party Transactions</w:t>
      </w:r>
      <w:r>
        <w:rPr>
          <w:color w:val="000000"/>
        </w:rPr>
        <w:t xml:space="preserve"> </w:t>
      </w:r>
      <w:r>
        <w:rPr>
          <w:rFonts w:ascii="Arial;sans-serif" w:hAnsi="Arial;sans-serif"/>
          <w:b w:val="false"/>
          <w:color w:val="000000"/>
          <w:sz w:val="20"/>
        </w:rPr>
        <w:t xml:space="preserve">for information on our investment in the Carbon TerraVault JV, which is part of our carbon management segment.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42"/>
        <w:gridCol w:w="1003"/>
        <w:gridCol w:w="1009"/>
        <w:gridCol w:w="506"/>
        <w:gridCol w:w="902"/>
        <w:gridCol w:w="264"/>
        <w:gridCol w:w="109"/>
        <w:gridCol w:w="109"/>
        <w:gridCol w:w="109"/>
        <w:gridCol w:w="565"/>
        <w:gridCol w:w="1008"/>
        <w:gridCol w:w="293"/>
        <w:gridCol w:w="109"/>
        <w:gridCol w:w="109"/>
        <w:gridCol w:w="109"/>
        <w:gridCol w:w="637"/>
        <w:gridCol w:w="819"/>
        <w:gridCol w:w="330"/>
        <w:gridCol w:w="109"/>
        <w:gridCol w:w="109"/>
        <w:gridCol w:w="109"/>
        <w:gridCol w:w="211"/>
        <w:gridCol w:w="376"/>
        <w:gridCol w:w="159"/>
      </w:tblGrid>
      <w:tr>
        <w:trP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2025</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2024</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7"/>
        <w:gridCol w:w="971"/>
        <w:gridCol w:w="977"/>
        <w:gridCol w:w="441"/>
        <w:gridCol w:w="1006"/>
        <w:gridCol w:w="227"/>
        <w:gridCol w:w="109"/>
        <w:gridCol w:w="109"/>
        <w:gridCol w:w="109"/>
        <w:gridCol w:w="564"/>
        <w:gridCol w:w="1006"/>
        <w:gridCol w:w="292"/>
        <w:gridCol w:w="109"/>
        <w:gridCol w:w="109"/>
        <w:gridCol w:w="109"/>
        <w:gridCol w:w="539"/>
        <w:gridCol w:w="961"/>
        <w:gridCol w:w="280"/>
        <w:gridCol w:w="109"/>
        <w:gridCol w:w="109"/>
        <w:gridCol w:w="109"/>
        <w:gridCol w:w="211"/>
        <w:gridCol w:w="481"/>
        <w:gridCol w:w="161"/>
      </w:tblGrid>
      <w:tr>
        <w:trPr/>
        <w:tc>
          <w:tcPr>
            <w:tcW w:w="110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Oil and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Carbon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2024</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STOCKHOLDERS' EQUITY</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authorized a Share Repurchase Program to acquire up to $1.35 billion of our common stock through June 30, 2026. The total value of shares that may yet be purchased under the Share Repurchase Program totaled $205 million as of September 30,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our Share Repurchase Program, we repurchased 7,787,969 shares of common stock during the nine months ended September 30, 2025. For the nine months ended September 30, 2025, the aggregate purchase price consideration, inclusive of excise taxes, for our shares was $354 million. We funded our share repurchases with available cash.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share repurchases, for the periods presented. There were no repurchases during the three months ended September 30, 2025; however we remitted $34 million in U.S. federal taxes withheld from a June 2025 share repurchase.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47"/>
        <w:gridCol w:w="831"/>
        <w:gridCol w:w="836"/>
        <w:gridCol w:w="926"/>
        <w:gridCol w:w="805"/>
        <w:gridCol w:w="807"/>
        <w:gridCol w:w="109"/>
        <w:gridCol w:w="109"/>
        <w:gridCol w:w="109"/>
        <w:gridCol w:w="603"/>
        <w:gridCol w:w="1377"/>
        <w:gridCol w:w="314"/>
        <w:gridCol w:w="109"/>
        <w:gridCol w:w="109"/>
        <w:gridCol w:w="109"/>
        <w:gridCol w:w="438"/>
        <w:gridCol w:w="1343"/>
        <w:gridCol w:w="324"/>
      </w:tblGrid>
      <w:tr>
        <w:trPr/>
        <w:tc>
          <w:tcPr>
            <w:tcW w:w="9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2024</w:t>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835,319 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2024</w:t>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2,604,922 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7,787,969 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accrued excise taxes, which are generally paid in the year following the share repurchase.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declared the following cash dividends for each of the periods presented. </w:t>
      </w:r>
    </w:p>
    <w:p>
      <w:pPr>
        <w:pStyle w:val="TextBody"/>
        <w:bidi w:val="0"/>
        <w:spacing w:before="0" w:after="0"/>
        <w:ind w:left="0" w:right="0" w:firstLine="360"/>
        <w:jc w:val="left"/>
        <w:rPr/>
      </w:pPr>
      <w:r>
        <w:rPr/>
      </w:r>
    </w:p>
    <w:tbl>
      <w:tblPr>
        <w:tblW w:w="7032" w:type="dxa"/>
        <w:jc w:val="left"/>
        <w:tblInd w:w="0" w:type="dxa"/>
        <w:tblLayout w:type="fixed"/>
        <w:tblCellMar>
          <w:top w:w="28" w:type="dxa"/>
          <w:left w:w="28" w:type="dxa"/>
          <w:bottom w:w="28" w:type="dxa"/>
          <w:right w:w="28" w:type="dxa"/>
        </w:tblCellMar>
      </w:tblPr>
      <w:tblGrid>
        <w:gridCol w:w="1346"/>
        <w:gridCol w:w="1180"/>
        <w:gridCol w:w="1194"/>
        <w:gridCol w:w="383"/>
        <w:gridCol w:w="874"/>
        <w:gridCol w:w="198"/>
        <w:gridCol w:w="109"/>
        <w:gridCol w:w="109"/>
        <w:gridCol w:w="109"/>
        <w:gridCol w:w="289"/>
        <w:gridCol w:w="1030"/>
        <w:gridCol w:w="211"/>
      </w:tblGrid>
      <w:tr>
        <w:trPr/>
        <w:tc>
          <w:tcPr>
            <w:tcW w:w="13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Rate Per Share</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2025</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2025</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2025</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March 31, 2024</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Three months ended June 30, 2024</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2024</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Nine months ended September 30, 2024</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In addition to dividends on our common stock shown in the table above, we paid </w:t>
      </w:r>
      <w:r>
        <w:rPr>
          <w:rFonts w:ascii="Arial;sans-serif" w:hAnsi="Arial;sans-serif"/>
          <w:b w:val="false"/>
          <w:color w:val="000000"/>
          <w:sz w:val="20"/>
        </w:rPr>
        <w:t>$1 million</w:t>
      </w:r>
      <w:r>
        <w:rPr>
          <w:color w:val="000000"/>
          <w:shd w:fill="FFFFFF" w:val="clear"/>
        </w:rPr>
        <w:t xml:space="preserve"> </w:t>
      </w:r>
      <w:r>
        <w:rPr>
          <w:rFonts w:ascii="Arial;sans-serif" w:hAnsi="Arial;sans-serif"/>
          <w:b w:val="false"/>
          <w:color w:val="000000"/>
          <w:sz w:val="20"/>
          <w:shd w:fill="FFFFFF" w:val="clear"/>
        </w:rPr>
        <w:t xml:space="preserve">of dividend equivalents on equity-settled stock-based compensation awards in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$4 million</w:t>
      </w:r>
      <w:r>
        <w:rPr>
          <w:color w:val="000000"/>
          <w:shd w:fill="FFFFFF" w:val="clear"/>
        </w:rPr>
        <w:t xml:space="preserve"> </w:t>
      </w:r>
      <w:r>
        <w:rPr>
          <w:rFonts w:ascii="Arial;sans-serif" w:hAnsi="Arial;sans-serif"/>
          <w:b w:val="false"/>
          <w:color w:val="000000"/>
          <w:sz w:val="20"/>
          <w:shd w:fill="FFFFFF" w:val="clear"/>
        </w:rPr>
        <w:t xml:space="preserve">of dividend equivalents in the nine months ended September 30, 2024. 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16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nine months ended September 30, 2025 and 2024.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nine months ended September 30, 2025 and 2024:</w:t>
      </w:r>
    </w:p>
    <w:p>
      <w:pPr>
        <w:pStyle w:val="TextBody"/>
        <w:bidi w:val="0"/>
        <w:spacing w:before="0" w:after="0"/>
        <w:jc w:val="left"/>
        <w:rPr/>
      </w:pPr>
      <w:r>
        <w:rPr/>
      </w:r>
    </w:p>
    <w:tbl>
      <w:tblPr>
        <w:tblW w:w="8476" w:type="dxa"/>
        <w:jc w:val="left"/>
        <w:tblInd w:w="0" w:type="dxa"/>
        <w:tblLayout w:type="fixed"/>
        <w:tblCellMar>
          <w:top w:w="28" w:type="dxa"/>
          <w:left w:w="28" w:type="dxa"/>
          <w:bottom w:w="28" w:type="dxa"/>
          <w:right w:w="28" w:type="dxa"/>
        </w:tblCellMar>
      </w:tblPr>
      <w:tblGrid>
        <w:gridCol w:w="1293"/>
        <w:gridCol w:w="1137"/>
        <w:gridCol w:w="114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PENSION AND 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components of the net periodic benefit costs for our defined benefit pension and postretirement benefit plans for the three and nine months ended September 30, 2025 and 2024:</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65"/>
        <w:gridCol w:w="1038"/>
        <w:gridCol w:w="1045"/>
        <w:gridCol w:w="443"/>
        <w:gridCol w:w="585"/>
        <w:gridCol w:w="193"/>
        <w:gridCol w:w="193"/>
        <w:gridCol w:w="193"/>
        <w:gridCol w:w="193"/>
        <w:gridCol w:w="525"/>
        <w:gridCol w:w="688"/>
        <w:gridCol w:w="272"/>
        <w:gridCol w:w="109"/>
        <w:gridCol w:w="109"/>
        <w:gridCol w:w="109"/>
        <w:gridCol w:w="432"/>
        <w:gridCol w:w="489"/>
        <w:gridCol w:w="189"/>
        <w:gridCol w:w="189"/>
        <w:gridCol w:w="189"/>
        <w:gridCol w:w="189"/>
        <w:gridCol w:w="432"/>
        <w:gridCol w:w="833"/>
        <w:gridCol w:w="303"/>
      </w:tblGrid>
      <w:tr>
        <w:trPr/>
        <w:tc>
          <w:tcPr>
            <w:tcW w:w="1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5636" w:type="dxa"/>
            <w:gridSpan w:val="18"/>
            <w:tcBorders/>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special termination benefits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6"/>
        <w:gridCol w:w="1039"/>
        <w:gridCol w:w="1046"/>
        <w:gridCol w:w="429"/>
        <w:gridCol w:w="574"/>
        <w:gridCol w:w="188"/>
        <w:gridCol w:w="188"/>
        <w:gridCol w:w="188"/>
        <w:gridCol w:w="188"/>
        <w:gridCol w:w="525"/>
        <w:gridCol w:w="674"/>
        <w:gridCol w:w="272"/>
        <w:gridCol w:w="109"/>
        <w:gridCol w:w="109"/>
        <w:gridCol w:w="109"/>
        <w:gridCol w:w="390"/>
        <w:gridCol w:w="671"/>
        <w:gridCol w:w="179"/>
        <w:gridCol w:w="179"/>
        <w:gridCol w:w="179"/>
        <w:gridCol w:w="179"/>
        <w:gridCol w:w="502"/>
        <w:gridCol w:w="645"/>
        <w:gridCol w:w="377"/>
      </w:tblGrid>
      <w:tr>
        <w:trPr/>
        <w:tc>
          <w:tcPr>
            <w:tcW w:w="12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663" w:type="dxa"/>
            <w:gridSpan w:val="18"/>
            <w:tcBorders/>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 - benefits earned during the period</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 gain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special termination benefits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gain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Contributions to our pension benefit plans were insignificant during the </w:t>
      </w:r>
      <w:r>
        <w:rPr>
          <w:rFonts w:ascii="Arial;sans-serif" w:hAnsi="Arial;sans-serif"/>
          <w:b w:val="false"/>
          <w:color w:val="000000"/>
          <w:sz w:val="20"/>
        </w:rPr>
        <w:t>three and nine months ended September 30, 2025. Contributions were insignificant during the three months ended September 30, 2024 and we contributed $2 million to our pension benefit plans during the nine months ended September 30, 2024</w:t>
      </w:r>
      <w:r>
        <w:rPr>
          <w:rFonts w:ascii="Arial;sans-serif" w:hAnsi="Arial;sans-serif"/>
          <w:b w:val="false"/>
          <w:color w:val="000000"/>
          <w:sz w:val="20"/>
          <w:shd w:fill="FFFFFF" w:val="clear"/>
        </w:rPr>
        <w:t xml:space="preserve">. We do not expect to need to make any contributions to our qualified pension plans to satisfy minimum funding requirements during the remainder of </w:t>
      </w:r>
      <w:r>
        <w:rPr>
          <w:rFonts w:ascii="Arial;sans-serif" w:hAnsi="Arial;sans-serif"/>
          <w:b w:val="false"/>
          <w:color w:val="000000"/>
          <w:sz w:val="20"/>
        </w:rPr>
        <w:t>2025</w:t>
      </w:r>
      <w:r>
        <w:rPr>
          <w:rFonts w:ascii="Arial;sans-serif" w:hAnsi="Arial;sans-serif"/>
          <w:b w:val="false"/>
          <w:color w:val="000000"/>
          <w:sz w:val="20"/>
          <w:shd w:fill="FFFFFF" w:val="clear"/>
        </w:rPr>
        <w:t xml:space="preserve">. We expect to contribute an insignificant amount to fund our pension benefit distributions during the remainder of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13    SUPPLEMENTAL ACCOUNT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Restricted cash</w:t>
      </w:r>
      <w:r>
        <w:rPr>
          <w:color w:val="000000"/>
        </w:rPr>
        <w:t xml:space="preserve"> — </w:t>
      </w:r>
      <w:r>
        <w:rPr>
          <w:rFonts w:ascii="Arial;sans-serif" w:hAnsi="Arial;sans-serif"/>
          <w:b w:val="false"/>
          <w:color w:val="000000"/>
          <w:sz w:val="20"/>
        </w:rPr>
        <w:t>Cash and cash equivalents includes restricted cash of $16 million and $18 million at September 30, 2025 and December 31, 2024, respectively. Restricted cash primarily includes funds held in an escrow account established to secure oil field well and infrastructure abandonment and habitat restoration at an oil and gas field previously owned by Aera.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with the remaining revenue primarily generated from sales of electricity and revenue from resource adequacy contracts in addition to revenue from marketing activities related to storage and managing excess pipeline capacity. The following table provides disaggregated revenue for sales of produced oil, natural gas and natural gas liquids to customers: </w:t>
      </w:r>
    </w:p>
    <w:p>
      <w:pPr>
        <w:pStyle w:val="TextBody"/>
        <w:bidi w:val="0"/>
        <w:spacing w:before="0" w:after="0"/>
        <w:ind w:left="0" w:right="0" w:firstLine="360"/>
        <w:jc w:val="left"/>
        <w:rPr/>
      </w:pPr>
      <w:r>
        <w:rPr/>
      </w:r>
    </w:p>
    <w:tbl>
      <w:tblPr>
        <w:tblW w:w="9063" w:type="dxa"/>
        <w:jc w:val="left"/>
        <w:tblInd w:w="0" w:type="dxa"/>
        <w:tblLayout w:type="fixed"/>
        <w:tblCellMar>
          <w:top w:w="28" w:type="dxa"/>
          <w:left w:w="28" w:type="dxa"/>
          <w:bottom w:w="28" w:type="dxa"/>
          <w:right w:w="28" w:type="dxa"/>
        </w:tblCellMar>
      </w:tblPr>
      <w:tblGrid>
        <w:gridCol w:w="1432"/>
        <w:gridCol w:w="1263"/>
        <w:gridCol w:w="1279"/>
        <w:gridCol w:w="221"/>
        <w:gridCol w:w="505"/>
        <w:gridCol w:w="114"/>
        <w:gridCol w:w="114"/>
        <w:gridCol w:w="114"/>
        <w:gridCol w:w="114"/>
        <w:gridCol w:w="221"/>
        <w:gridCol w:w="505"/>
        <w:gridCol w:w="114"/>
        <w:gridCol w:w="109"/>
        <w:gridCol w:w="109"/>
        <w:gridCol w:w="109"/>
        <w:gridCol w:w="211"/>
        <w:gridCol w:w="646"/>
        <w:gridCol w:w="109"/>
        <w:gridCol w:w="109"/>
        <w:gridCol w:w="109"/>
        <w:gridCol w:w="109"/>
        <w:gridCol w:w="211"/>
        <w:gridCol w:w="646"/>
        <w:gridCol w:w="109"/>
        <w:gridCol w:w="109"/>
        <w:gridCol w:w="109"/>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Natural gas liquids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pStyle w:val="TextBody"/>
        <w:bidi w:val="0"/>
        <w:spacing w:before="0" w:after="0"/>
        <w:jc w:val="left"/>
        <w:rPr/>
      </w:pPr>
      <w:r>
        <w:rPr/>
      </w:r>
    </w:p>
    <w:tbl>
      <w:tblPr>
        <w:tblW w:w="9408" w:type="dxa"/>
        <w:jc w:val="left"/>
        <w:tblInd w:w="0" w:type="dxa"/>
        <w:tblLayout w:type="fixed"/>
        <w:tblCellMar>
          <w:top w:w="28" w:type="dxa"/>
          <w:left w:w="28" w:type="dxa"/>
          <w:bottom w:w="28" w:type="dxa"/>
          <w:right w:w="28" w:type="dxa"/>
        </w:tblCellMar>
      </w:tblPr>
      <w:tblGrid>
        <w:gridCol w:w="1659"/>
        <w:gridCol w:w="1464"/>
        <w:gridCol w:w="1482"/>
        <w:gridCol w:w="248"/>
        <w:gridCol w:w="443"/>
        <w:gridCol w:w="128"/>
        <w:gridCol w:w="128"/>
        <w:gridCol w:w="128"/>
        <w:gridCol w:w="128"/>
        <w:gridCol w:w="248"/>
        <w:gridCol w:w="443"/>
        <w:gridCol w:w="128"/>
        <w:gridCol w:w="109"/>
        <w:gridCol w:w="109"/>
        <w:gridCol w:w="109"/>
        <w:gridCol w:w="216"/>
        <w:gridCol w:w="493"/>
        <w:gridCol w:w="111"/>
        <w:gridCol w:w="111"/>
        <w:gridCol w:w="111"/>
        <w:gridCol w:w="111"/>
        <w:gridCol w:w="216"/>
        <w:gridCol w:w="493"/>
        <w:gridCol w:w="111"/>
        <w:gridCol w:w="109"/>
        <w:gridCol w:w="109"/>
        <w:gridCol w:w="109"/>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liquids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Inventory</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Inventory, by category, is as follows:</w:t>
      </w:r>
    </w:p>
    <w:p>
      <w:pPr>
        <w:pStyle w:val="TextBody"/>
        <w:bidi w:val="0"/>
        <w:spacing w:before="0" w:after="0"/>
        <w:ind w:left="0" w:right="0" w:firstLine="360"/>
        <w:jc w:val="left"/>
        <w:rPr/>
      </w:pPr>
      <w:r>
        <w:rPr/>
      </w:r>
    </w:p>
    <w:tbl>
      <w:tblPr>
        <w:tblW w:w="5244" w:type="dxa"/>
        <w:jc w:val="left"/>
        <w:tblInd w:w="0" w:type="dxa"/>
        <w:tblLayout w:type="fixed"/>
        <w:tblCellMar>
          <w:top w:w="28" w:type="dxa"/>
          <w:left w:w="28" w:type="dxa"/>
          <w:bottom w:w="28" w:type="dxa"/>
          <w:right w:w="28" w:type="dxa"/>
        </w:tblCellMar>
      </w:tblPr>
      <w:tblGrid>
        <w:gridCol w:w="750"/>
        <w:gridCol w:w="657"/>
        <w:gridCol w:w="662"/>
        <w:gridCol w:w="435"/>
        <w:gridCol w:w="778"/>
        <w:gridCol w:w="226"/>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7286" w:type="dxa"/>
        <w:jc w:val="left"/>
        <w:tblInd w:w="0" w:type="dxa"/>
        <w:tblLayout w:type="fixed"/>
        <w:tblCellMar>
          <w:top w:w="28" w:type="dxa"/>
          <w:left w:w="28" w:type="dxa"/>
          <w:bottom w:w="28" w:type="dxa"/>
          <w:right w:w="28" w:type="dxa"/>
        </w:tblCellMar>
      </w:tblPr>
      <w:tblGrid>
        <w:gridCol w:w="1486"/>
        <w:gridCol w:w="1307"/>
        <w:gridCol w:w="1316"/>
        <w:gridCol w:w="378"/>
        <w:gridCol w:w="865"/>
        <w:gridCol w:w="197"/>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(a)The amounts due from joint interest partners include insignificant amounts of allowances for credit losses for each period presented.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noncurrent assets</w:t>
      </w:r>
      <w:r>
        <w:rPr>
          <w:color w:val="000000"/>
        </w:rPr>
        <w:t xml:space="preserve"> — </w:t>
      </w:r>
      <w:r>
        <w:rPr>
          <w:rFonts w:ascii="Arial;sans-serif" w:hAnsi="Arial;sans-serif"/>
          <w:b w:val="false"/>
          <w:color w:val="000000"/>
          <w:sz w:val="20"/>
        </w:rPr>
        <w:t>Other noncurrent assets include the following:</w:t>
      </w:r>
    </w:p>
    <w:tbl>
      <w:tblPr>
        <w:tblW w:w="7707" w:type="dxa"/>
        <w:jc w:val="left"/>
        <w:tblInd w:w="0" w:type="dxa"/>
        <w:tblLayout w:type="fixed"/>
        <w:tblCellMar>
          <w:top w:w="28" w:type="dxa"/>
          <w:left w:w="28" w:type="dxa"/>
          <w:bottom w:w="28" w:type="dxa"/>
          <w:right w:w="28" w:type="dxa"/>
        </w:tblCellMar>
      </w:tblPr>
      <w:tblGrid>
        <w:gridCol w:w="1640"/>
        <w:gridCol w:w="1443"/>
        <w:gridCol w:w="1447"/>
        <w:gridCol w:w="378"/>
        <w:gridCol w:w="865"/>
        <w:gridCol w:w="197"/>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Funded pension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Postretirement plan</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pPr>
      <w:r>
        <w:rPr>
          <w:rFonts w:ascii="Arial;sans-serif" w:hAnsi="Arial;sans-serif"/>
          <w:b/>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7616" w:type="dxa"/>
        <w:jc w:val="left"/>
        <w:tblInd w:w="0" w:type="dxa"/>
        <w:tblLayout w:type="fixed"/>
        <w:tblCellMar>
          <w:top w:w="28" w:type="dxa"/>
          <w:left w:w="28" w:type="dxa"/>
          <w:bottom w:w="28" w:type="dxa"/>
          <w:right w:w="28" w:type="dxa"/>
        </w:tblCellMar>
      </w:tblPr>
      <w:tblGrid>
        <w:gridCol w:w="1609"/>
        <w:gridCol w:w="1413"/>
        <w:gridCol w:w="1417"/>
        <w:gridCol w:w="378"/>
        <w:gridCol w:w="865"/>
        <w:gridCol w:w="197"/>
        <w:gridCol w:w="109"/>
        <w:gridCol w:w="109"/>
        <w:gridCol w:w="109"/>
        <w:gridCol w:w="351"/>
        <w:gridCol w:w="801"/>
        <w:gridCol w:w="258"/>
      </w:tblGrid>
      <w:tr>
        <w:trPr/>
        <w:tc>
          <w:tcPr>
            <w:tcW w:w="16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 retirement obligations - current portion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Advanced payments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Payable to the former owners of Aera</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 the following: </w:t>
      </w:r>
    </w:p>
    <w:p>
      <w:pPr>
        <w:pStyle w:val="TextBody"/>
        <w:bidi w:val="0"/>
        <w:spacing w:before="0" w:after="0"/>
        <w:ind w:left="0" w:right="0" w:firstLine="360"/>
        <w:jc w:val="left"/>
        <w:rPr/>
      </w:pPr>
      <w:r>
        <w:rPr/>
      </w:r>
    </w:p>
    <w:tbl>
      <w:tblPr>
        <w:tblW w:w="9581" w:type="dxa"/>
        <w:jc w:val="left"/>
        <w:tblInd w:w="0" w:type="dxa"/>
        <w:tblLayout w:type="fixed"/>
        <w:tblCellMar>
          <w:top w:w="28" w:type="dxa"/>
          <w:left w:w="28" w:type="dxa"/>
          <w:bottom w:w="28" w:type="dxa"/>
          <w:right w:w="28" w:type="dxa"/>
        </w:tblCellMar>
      </w:tblPr>
      <w:tblGrid>
        <w:gridCol w:w="2322"/>
        <w:gridCol w:w="2037"/>
        <w:gridCol w:w="2045"/>
        <w:gridCol w:w="378"/>
        <w:gridCol w:w="865"/>
        <w:gridCol w:w="197"/>
        <w:gridCol w:w="109"/>
        <w:gridCol w:w="109"/>
        <w:gridCol w:w="109"/>
        <w:gridCol w:w="351"/>
        <w:gridCol w:w="801"/>
        <w:gridCol w:w="258"/>
      </w:tblGrid>
      <w:tr>
        <w:trPr/>
        <w:tc>
          <w:tcPr>
            <w:tcW w:w="232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and pension benefit plans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liability (</w:t>
            </w:r>
            <w:r>
              <w:rPr>
                <w:rFonts w:ascii="Arial;sans-serif" w:hAnsi="Arial;sans-serif"/>
                <w:b w:val="false"/>
                <w:i/>
                <w:color w:val="000000"/>
                <w:sz w:val="20"/>
              </w:rPr>
              <w:t>Note 3 Investments and Related Party Transactions</w:t>
            </w:r>
            <w:r>
              <w:rPr>
                <w:rFonts w:ascii="Arial;sans-serif" w:hAnsi="Arial;sans-serif"/>
                <w:b w:val="false"/>
                <w:color w:val="000000"/>
                <w:sz w:val="20"/>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condensed consolidated statements of cash flows are presented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22"/>
        <w:gridCol w:w="1337"/>
        <w:gridCol w:w="1343"/>
        <w:gridCol w:w="312"/>
        <w:gridCol w:w="602"/>
        <w:gridCol w:w="161"/>
        <w:gridCol w:w="161"/>
        <w:gridCol w:w="161"/>
        <w:gridCol w:w="161"/>
        <w:gridCol w:w="312"/>
        <w:gridCol w:w="602"/>
        <w:gridCol w:w="161"/>
        <w:gridCol w:w="109"/>
        <w:gridCol w:w="109"/>
        <w:gridCol w:w="109"/>
        <w:gridCol w:w="313"/>
        <w:gridCol w:w="559"/>
        <w:gridCol w:w="161"/>
        <w:gridCol w:w="161"/>
        <w:gridCol w:w="161"/>
        <w:gridCol w:w="161"/>
        <w:gridCol w:w="313"/>
        <w:gridCol w:w="559"/>
        <w:gridCol w:w="161"/>
        <w:gridCol w:w="109"/>
        <w:gridCol w:w="109"/>
        <w:gridCol w:w="109"/>
        <w:gridCol w:w="167"/>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42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cash flow information</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paid, net of amounts capitalized</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Contributions to the Carbon TerraVault JV</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Issuance of shares for stock-based compensation awards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for stock-based compensation awards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Excise tax on share repurchases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15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2026 Senior Notes (2026 Senior Notes Indenture) and the indenture governing our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condensed consolidating balance sheets as of September 30, 2025 and December 31, 2024 and the condensed consolidating statements of operations for the three and nine months ended September 30, 2025 and 2024,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September 30, 2025 and December 31,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4"/>
        <w:gridCol w:w="396"/>
        <w:gridCol w:w="400"/>
        <w:gridCol w:w="211"/>
        <w:gridCol w:w="646"/>
        <w:gridCol w:w="109"/>
        <w:gridCol w:w="109"/>
        <w:gridCol w:w="109"/>
        <w:gridCol w:w="109"/>
        <w:gridCol w:w="408"/>
        <w:gridCol w:w="931"/>
        <w:gridCol w:w="211"/>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September 30, 2025</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Investment in unconsolidated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2"/>
        <w:gridCol w:w="398"/>
        <w:gridCol w:w="400"/>
        <w:gridCol w:w="211"/>
        <w:gridCol w:w="646"/>
        <w:gridCol w:w="109"/>
        <w:gridCol w:w="109"/>
        <w:gridCol w:w="109"/>
        <w:gridCol w:w="109"/>
        <w:gridCol w:w="408"/>
        <w:gridCol w:w="931"/>
        <w:gridCol w:w="211"/>
        <w:gridCol w:w="109"/>
        <w:gridCol w:w="109"/>
        <w:gridCol w:w="109"/>
        <w:gridCol w:w="300"/>
        <w:gridCol w:w="1069"/>
        <w:gridCol w:w="156"/>
        <w:gridCol w:w="109"/>
        <w:gridCol w:w="109"/>
        <w:gridCol w:w="109"/>
        <w:gridCol w:w="254"/>
        <w:gridCol w:w="905"/>
        <w:gridCol w:w="132"/>
        <w:gridCol w:w="109"/>
        <w:gridCol w:w="109"/>
        <w:gridCol w:w="109"/>
        <w:gridCol w:w="288"/>
        <w:gridCol w:w="882"/>
        <w:gridCol w:w="215"/>
      </w:tblGrid>
      <w:tr>
        <w:trPr/>
        <w:tc>
          <w:tcPr>
            <w:tcW w:w="13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2024</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September 30, 2025 and 2024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91"/>
        <w:gridCol w:w="697"/>
        <w:gridCol w:w="203"/>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91"/>
        <w:gridCol w:w="697"/>
        <w:gridCol w:w="203"/>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2024</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91"/>
        <w:gridCol w:w="697"/>
        <w:gridCol w:w="203"/>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2025</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40"/>
        <w:gridCol w:w="775"/>
        <w:gridCol w:w="176"/>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2024</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16    SUBSEQUENT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2034 Senior Notes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October 8, 2025, we completed a private offering of $400 million in an aggregate principal amount of 7.000% senior notes due 2034 (2034 Senior Notes). The terms of the 2034 Senior Notes are governed by the Indenture, dated as of October 8, 2025, by and among us, the guarantors and Wilmington Trust, National Association, as trustee (2034 Senior Notes Indenture). The 2034 Senior Notes will mature on January 15, 2034. Our 2034 Senior Notes are subject to a special mandatory redemption in certain circumstances if the Berry Merger does not close prior to March 14, 2026 (subject to up to two three-month extensions by either us or Berry upon written notice in certain circumstances). As of September 30, 2025, it was not probable that this redemption feature would be triggered.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Security</w:t>
      </w:r>
      <w:r>
        <w:rPr>
          <w:color w:val="000000"/>
          <w:shd w:fill="FFFFFF" w:val="clear"/>
        </w:rPr>
        <w:t xml:space="preserve"> – </w:t>
      </w:r>
      <w:r>
        <w:rPr>
          <w:rFonts w:ascii="Arial;sans-serif" w:hAnsi="Arial;sans-serif"/>
          <w:b w:val="false"/>
          <w:color w:val="000000"/>
          <w:sz w:val="20"/>
          <w:shd w:fill="FFFFFF" w:val="clear"/>
        </w:rPr>
        <w:t>Our 2034 Senior Notes are general unsecured obligations which are guaranteed on a senior unsecured basis by all of our existing subsidiaries that guarantee our obligations under the Revolving Credit Facility and our existing 2029 Senior Notes.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 xml:space="preserve">Redemption </w:t>
      </w:r>
      <w:r>
        <w:rPr>
          <w:color w:val="000000"/>
          <w:shd w:fill="FFFFFF" w:val="clear"/>
        </w:rPr>
        <w:t xml:space="preserve">– </w:t>
      </w:r>
      <w:r>
        <w:rPr>
          <w:rFonts w:ascii="Arial;sans-serif" w:hAnsi="Arial;sans-serif"/>
          <w:b w:val="false"/>
          <w:color w:val="000000"/>
          <w:sz w:val="20"/>
          <w:shd w:fill="FFFFFF" w:val="clear"/>
        </w:rPr>
        <w:t xml:space="preserve">We may redeem the 2034 Senior Notes at any time on or after January 15, 2029 at the redemption prices of (i) 103.500% during the twelve-month period beginning on January 15, 2029, (ii) 101.750% during the twelve-month period beginning on January 15, 2030 and (iii) 100.000% after January 15, 2031 and before the maturity date. Prior to January 15, 2029, we may on one or more occasions redeem up to 40% of the aggregate principal amount of the 2034 Senior Notes with an amount not greater than the net cash proceeds of one or more equity offerings at the redemption price of 107.000% provided that (i) at least 60% of the aggregate principal amount of the 2034 Senior Notes originally issued remains outstanding immediately after the redemption and (ii) the redemption occurs within 180 days of the date of the closing of the equity offering.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before January 15, 2029, we may redeem some or all of the 2034 Senior Notes at a redemption price equal to 100% of the aggregate principal amount of the 2034 Senior Notes redeemed, plus the applicable premium as specified in the 2034 Senior Notes Indenture and accrued and unpaid interest, if any, to, but excluding, the redemption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Other Covenants</w:t>
      </w:r>
      <w:r>
        <w:rPr>
          <w:color w:val="000000"/>
          <w:shd w:fill="FFFFFF" w:val="clear"/>
        </w:rPr>
        <w:t xml:space="preserve"> – </w:t>
      </w:r>
      <w:r>
        <w:rPr>
          <w:rFonts w:ascii="Arial;sans-serif" w:hAnsi="Arial;sans-serif"/>
          <w:b w:val="false"/>
          <w:color w:val="000000"/>
          <w:sz w:val="20"/>
          <w:shd w:fill="FFFFFF" w:val="clear"/>
        </w:rPr>
        <w:t>Our 2034 Senior Notes include covenants that, among other things, restrict our ability to incur additional indebtedness, issue preferred stock, grant liens, make asset sales and investments, repay existing indebtedness, make subsidiary distributions, and enter into transactions that would result in fundamental changes.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Events of Default and Change of Control</w:t>
      </w:r>
      <w:r>
        <w:rPr>
          <w:color w:val="000000"/>
          <w:shd w:fill="FFFFFF" w:val="clear"/>
        </w:rPr>
        <w:t xml:space="preserve"> – </w:t>
      </w:r>
      <w:r>
        <w:rPr>
          <w:rFonts w:ascii="Arial;sans-serif" w:hAnsi="Arial;sans-serif"/>
          <w:b w:val="false"/>
          <w:color w:val="000000"/>
          <w:sz w:val="20"/>
          <w:shd w:fill="FFFFFF" w:val="clear"/>
        </w:rPr>
        <w:t>Our 2034 Senior Notes provide for certain triggering events, including upon a change of control, as defined in the 2034 Senior Notes Indenture, that would require us to repurchase all or any part of the 2034 Senior Notes at a price equal to 101% of the aggregate principal amount plus accrued and unpaid interest.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2026 Senior Notes Redemption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2025, we redeemed $122 million of our 2026 Senior Notes at 100% of the principal amount, resulting in an insignificant extinguishment loss for the write-off of unamortized debt issuance costs. Following this redemption, none of our 2026 Senior Notes were outstanding.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Seventh Amendment to Revolving Credit Facility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October 2025, we entered into a seventh amendment to our Revolving Credit Facility to, among other things, (i) add certain new lenders to the facility, and (ii) increase the aggregate elected commitment amount of the lenders from $1.15 billion to $1.45 billion.</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November 4, 2025</w:t>
      </w:r>
      <w:r>
        <w:rPr>
          <w:rFonts w:ascii="Arial;sans-serif" w:hAnsi="Arial;sans-serif"/>
          <w:b w:val="false"/>
          <w:color w:val="000000"/>
          <w:sz w:val="20"/>
          <w:shd w:fill="FFFFFF" w:val="clear"/>
        </w:rPr>
        <w:t>, our Board of Directors increased the cash dividend policy to anticipate a total annual dividend of $1.62, payable to shareholders in quarterly increments of $0.405 per share of common stock. The actual declaration of future cash dividends, and the establishment of record and payment dates, is subject to final determination by our Board of Directors each quarter after reviewing our financial performance and position.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On </w:t>
      </w:r>
      <w:r>
        <w:rPr>
          <w:rFonts w:ascii="Arial;sans-serif" w:hAnsi="Arial;sans-serif"/>
          <w:b w:val="false"/>
          <w:color w:val="000000"/>
          <w:sz w:val="20"/>
        </w:rPr>
        <w:t>November 4, 2025</w:t>
      </w:r>
      <w:r>
        <w:rPr>
          <w:rFonts w:ascii="Arial;sans-serif" w:hAnsi="Arial;sans-serif"/>
          <w:b w:val="false"/>
          <w:color w:val="000000"/>
          <w:sz w:val="20"/>
          <w:shd w:fill="FFFFFF" w:val="clear"/>
        </w:rPr>
        <w:t xml:space="preserve">, our Board of Directors declared a quarterly cash dividend of $0.405 per share of common stock. The dividend is payable to shareholders of record at the close of business on </w:t>
      </w:r>
      <w:r>
        <w:rPr>
          <w:rFonts w:ascii="Arial;sans-serif" w:hAnsi="Arial;sans-serif"/>
          <w:b w:val="false"/>
          <w:color w:val="000000"/>
          <w:sz w:val="20"/>
        </w:rPr>
        <w:t>December 1, 2025</w:t>
      </w:r>
      <w:r>
        <w:rPr>
          <w:color w:val="000000"/>
          <w:shd w:fill="FFFFFF" w:val="clear"/>
        </w:rPr>
        <w:t xml:space="preserve"> </w:t>
      </w:r>
      <w:r>
        <w:rPr>
          <w:rFonts w:ascii="Arial;sans-serif" w:hAnsi="Arial;sans-serif"/>
          <w:b w:val="false"/>
          <w:color w:val="000000"/>
          <w:sz w:val="20"/>
          <w:shd w:fill="FFFFFF" w:val="clear"/>
        </w:rPr>
        <w:t xml:space="preserve">and is expected to be paid on </w:t>
      </w:r>
      <w:r>
        <w:rPr>
          <w:rFonts w:ascii="Arial;sans-serif" w:hAnsi="Arial;sans-serif"/>
          <w:b w:val="false"/>
          <w:color w:val="000000"/>
          <w:sz w:val="20"/>
        </w:rPr>
        <w:t>December 15, 2025</w:t>
      </w:r>
      <w:r>
        <w:rPr>
          <w:rFonts w:ascii="Arial;sans-serif" w:hAnsi="Arial;sans-serif"/>
          <w:b w:val="false"/>
          <w:color w:val="000000"/>
          <w:sz w:val="20"/>
          <w:shd w:fill="FFFFFF" w:val="clear"/>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as of the date presented.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Pending Berry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14, 2025, we entered into a definitive agreement and plan of merger (the Berry Merger Agreement) to combine with Berry Corporation (Berry) in an all-stock transaction (Berry Merger). Berry is an independent upstream energy company that operates in two business segments: (i) oil and natural gas and (ii) well servicing and abandonment services. Berry's oil and gas assets are located in California and Utah. We expect the transaction will add high quality, oil-weighted, mostly conventional proved developed reserves and sustainable cash flows to our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Berry Merger Agreement, on the effective date of the merger, we will issue 0.0718 shares of our common stock for each outstanding share of Berry stock. Upon completion of the Berry Merger, we expect our existing stockholders to own approximately 94% of the combined company upon closing.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expect Berry's outstanding long-term debt to be repaid and the underlying credit agreement to be terminated at closing. We expect to repay a significant portion of this indebtedness with proceeds from our 2034 Senior Notes, which closed in October 2025. Berry's Revolving Credit Facility is also expected to be terminated at closing. For more information on the 2034 Senior Notes, refer to </w:t>
      </w:r>
      <w:r>
        <w:rPr>
          <w:rFonts w:ascii="Arial;sans-serif" w:hAnsi="Arial;sans-serif"/>
          <w:b w:val="false"/>
          <w:i/>
          <w:color w:val="000000"/>
          <w:sz w:val="20"/>
        </w:rPr>
        <w:t>Part I, Item 1 – Financial Statements, Note 16 Subsequent Events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Closing of the Berry Merger is subject to certain conditions, including, among others, adoption of the Berry Merger Agreement by its stockholders, expiration of the applicable waiting period under the Hart-Scott-Rodino Antitrust Improvements Act of 1976, as amended, prior authorization by the Federal Energy Regulatory Commission under Section 203 of the Federal Power Act and other customary closing conditions. The Berry Merger is expected to close in the first quarter of 2026.</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results, and those of the oil and natural gas industry, are heavily influenced by commodity prices. Oil and natural gas prices and differentials can fluctuate significantly due to various market-related factors, making it challenging to predict realized prices reliably. We may respond to changing economic conditions by adjusting the amount and allocation of our capital program or by pursuing additional efficiencies and cost savings. Prolonged volatility in oil and natural gas prices may also affect the quantities of reserves that we can economically produce over the longer term. Refer to </w:t>
      </w:r>
      <w:r>
        <w:rPr>
          <w:rFonts w:ascii="Arial;sans-serif" w:hAnsi="Arial;sans-serif"/>
          <w:b w:val="false"/>
          <w:i/>
          <w:color w:val="000000"/>
          <w:sz w:val="20"/>
        </w:rPr>
        <w:t xml:space="preserve">Results of Our Oil and Natural Gas Operations, Production, Prices and Realizations </w:t>
      </w:r>
      <w:r>
        <w:rPr>
          <w:rFonts w:ascii="Arial;sans-serif" w:hAnsi="Arial;sans-serif"/>
          <w:b w:val="false"/>
          <w:color w:val="000000"/>
          <w:sz w:val="20"/>
        </w:rPr>
        <w:t xml:space="preserve">below for information on our realized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2025, oil prices experienced volatility driven by global supply and demand factors, including a series of announcements by OPEC+ indicating its intention to return offline production to the market more quickly than previously anticipated, and by concerns over global trade following multiple tariff announcements.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9580" w:type="dxa"/>
        <w:jc w:val="left"/>
        <w:tblInd w:w="0" w:type="dxa"/>
        <w:tblLayout w:type="fixed"/>
        <w:tblCellMar>
          <w:top w:w="28" w:type="dxa"/>
          <w:left w:w="28" w:type="dxa"/>
          <w:bottom w:w="28" w:type="dxa"/>
          <w:right w:w="28" w:type="dxa"/>
        </w:tblCellMar>
      </w:tblPr>
      <w:tblGrid>
        <w:gridCol w:w="1025"/>
        <w:gridCol w:w="903"/>
        <w:gridCol w:w="907"/>
        <w:gridCol w:w="313"/>
        <w:gridCol w:w="962"/>
        <w:gridCol w:w="164"/>
        <w:gridCol w:w="109"/>
        <w:gridCol w:w="109"/>
        <w:gridCol w:w="109"/>
        <w:gridCol w:w="211"/>
        <w:gridCol w:w="646"/>
        <w:gridCol w:w="109"/>
        <w:gridCol w:w="109"/>
        <w:gridCol w:w="109"/>
        <w:gridCol w:w="109"/>
        <w:gridCol w:w="313"/>
        <w:gridCol w:w="962"/>
        <w:gridCol w:w="164"/>
        <w:gridCol w:w="109"/>
        <w:gridCol w:w="109"/>
        <w:gridCol w:w="109"/>
        <w:gridCol w:w="313"/>
        <w:gridCol w:w="962"/>
        <w:gridCol w:w="164"/>
        <w:gridCol w:w="109"/>
        <w:gridCol w:w="10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NYMEX Henry Hub ($/MMBtu)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Supply Chain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continued to experience relatively flat pricing from our suppliers during the first nine months of 2025 compared to the prior year. U.S. tariff policy regarding both country of origin and material type remains highly uncertain and subject to future changes. The United States recently expanded tariff rates on imported goods including a 50% tariff on the steel and aluminum value of imported products. If sustained, these expanded tariff rates could increase our cost of oilfield goods and extend delivery lead times over the longer term. We have taken measures to limit the effects of potential price increases caused by the recent expansion of U.S. tariffs by entering into fixed price contracts with terms of one to three years for a significant majority of our materials and services based on our current expected development plans. We also pre-purchased inventory prior to the implementation of the tariffs and continue to purchase from vendors who source domestic content to limit the impact of foreign tariffs on our business. Overall, we expect minimal impact from tariffs on our supply chain in 2025. However, if the current tariff regime persists or expands, our inventory, capital and operating costs could increase over the long-term.</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2025, Phillips 66 closed its Wilmington refinery in Los Angeles, California. In April 2025, Valero notified the California Energy Commission of its intent to idle, restructure, or cease refining operations at its Benicia refinery in the San Francisco Bay Area by the end of April 2026. Although Valero has stated that it is in ongoing discussion with the California government, it recently confirmed plans to cease refining operations at Benicia and presently does not expect any changes to the previously announced timeline. We have historically sold a portion of our crude oil to these refineries.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 closure of the Phillips 66 refinery, and assuming Valero's Benicia refinery ceases operations, six major petroleum refineries would remain in California, each with a refining capacity exceeding 75,000 barrels per day. Five of these refineries currently purchase California crude oil. If Valero's Benicia refinery ceases operations, California would have approximately 1.1 million barrels per day of refining capacity available to process California crude oil, which is approximately four times the volume of crude oil produced in the state in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Given this available refining capacity and the flexibility we have in marketing our crude oil production, we do not currently expect the cessation of operations at these refineries, should the Valero Benicia refinery cease operations, to have a material impact on our ability to market our crude oil. While these announcements have not affected our price realizations to date, a reduction in the number of refineries operating in California has the potential to impact our future price realizations.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 Legislation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Senate Bill 237 (Oil and Gas Permitting)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Senate Bill 237 (SB 237) was enacted in September 2025 and implements a number of changes to help facilitate new and continued oil and gas production in California (particularly in Kern County). Among other provisions, SB 237 deems a specified Kern County environmental impact report sufficient for full compliance with the requirements of the California Environmental Quality Act (CEQA) for purposes of a certain County of Kern zoning ordinance related to oil and gas activities and requires no further environmental review. These provisions of SB 237 will become effective as of January 1, 2026. We expect Kern County and the California Geologic Energy Management Division to resume issuing new well permits in Kern County in 2026 up to the maximum allowable amount of 2,000 new drill wells per year for up to ten years.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believe that this legislation provides greater regulatory certainty for oil and gas operations in Kern County, which accounts for a substantial portion of California’s crude oil and natural gas production. The adoption of SB 237 is particularly important to our business as we are the largest producer of oil and gas in Kern County and the majority of our production and reserves are located there. By facilitating the timely resumption of permitting activity, we expect that this legislation will support operational continuity and investment planning by California’s oil and gas industry. In addition, we believe that the increased clarity around permitting standards will help to enhance long-term development opportunities in Kern County, benefiting both the broader industry and CRC’s asset base in the region.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Assembly Bill 1207 (Cap-and-Invest Extension)</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Assembly Bill 1207 (AB 1207) was enacted in September 2025. AB 1207 primarily extends California’s greenhouse-gas Cap-and-Invest program through 2045, providing long-term policy certainty for covered entities under the Program. AB 1207 establishes emission reduction initiatives and enhances program transparency through expanded reporting requirements for the California Air Resources Board. The legislation also establishes a Climate Mitigation Fund to support consumer rebates and investments to reduce household energy costs.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Senate Bill 614 (Carbon Dioxide Pipeline Regulation)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Senate Bill 614 (SB 614), enacted in October 2025, revises the definition of “pipeline” for purposes of the Elder California Pipeline Safety Act of 1981 to include intrastate pipelines used for the transportation of carbon dioxide (CO₂). The law requires the Office of the State Fire Marshal to, by July 1, 2026, adopt implementing regulations regarding the safe transportation of CO₂ in pipelines, after which the current moratorium on CO₂ pipeline operations may be lifted. The legislation mandates stringent design, routing, and disclosure standards consistent with or exceeding federal requirements under the Pipeline and Hazardous Materials Safety Administration. Upon implementation, SB 614 is expected to enable the development of carbon-capture and storage infrastructure in California while imposing additional permitting, safety, and compliance obligations on operators of CO₂ transportation systems.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Well Permitting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2025, we received well permits for 140 workovers and 89 sidetracks. During the nine months ended September 30, 2025, we have received total well permits for 279 workovers, 194 sidetracks and 5 deepenings.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not received any permits for new oil and gas wells in 2025. We believe that the enactment of SB 237 will ultimately result in CalGEM issuing new well permits beginning in 2026, and expect the rate of workover and sidetrack permit approvals to also increase throughout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currently hold sufficient permits to exit the year with a four drilling rig capital program. Our ability to maintain a four drilling rig program throughout 2026 will require us to obtain new permits which we expect to become available in 2026 following the enactment of SB 237. See </w:t>
      </w:r>
      <w:r>
        <w:rPr>
          <w:rFonts w:ascii="Arial;sans-serif" w:hAnsi="Arial;sans-serif"/>
          <w:b w:val="false"/>
          <w:i/>
          <w:color w:val="000000"/>
          <w:sz w:val="20"/>
        </w:rPr>
        <w:t xml:space="preserve">Liquidity and Capital Resources, Capital Program </w:t>
      </w:r>
      <w:r>
        <w:rPr>
          <w:rFonts w:ascii="Arial;sans-serif" w:hAnsi="Arial;sans-serif"/>
          <w:b w:val="false"/>
          <w:color w:val="000000"/>
          <w:sz w:val="20"/>
        </w:rPr>
        <w:t xml:space="preserve">for more information.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regarding well permitting, see </w:t>
      </w:r>
      <w:r>
        <w:rPr>
          <w:rFonts w:ascii="Arial;sans-serif" w:hAnsi="Arial;sans-serif"/>
          <w:b w:val="false"/>
          <w:i/>
          <w:color w:val="000000"/>
          <w:sz w:val="20"/>
        </w:rPr>
        <w:t>Part I, Items 1 &amp; 2 – Business and Properties, Regulation of the Industries in Which We Operate, Regulation of Exploration and Production Activities, Well Permitting</w:t>
      </w:r>
      <w:r>
        <w:rPr>
          <w:color w:val="000000"/>
        </w:rPr>
        <w:t xml:space="preserve"> </w:t>
      </w:r>
      <w:r>
        <w:rPr>
          <w:rFonts w:ascii="Arial;sans-serif" w:hAnsi="Arial;sans-serif"/>
          <w:b w:val="false"/>
          <w:color w:val="000000"/>
          <w:sz w:val="20"/>
        </w:rPr>
        <w:t>in our 2024 Annual Report.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Kern County EIR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Trial Court may act in the Kern County litigation matter later this year, although timing is uncertain. The enactment of SB 237 does not result in an immediate dismissal of the pending litigation, although it will provide support for dismissal of this litigation if it is still pending when the law becomes effective in January 2026. Developments in this litigation or in the permitting process more broadly that are adverse to Kern County could further adversely affect our business, results of operations and financial condition.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consolidated results of operations include the results of Aera beginning on July 1, 2024, the closing date of the Aera Merger. For more information on the Aera Merger, see </w:t>
      </w:r>
      <w:r>
        <w:rPr>
          <w:rFonts w:ascii="Arial;sans-serif" w:hAnsi="Arial;sans-serif"/>
          <w:b w:val="false"/>
          <w:i/>
          <w:color w:val="000000"/>
          <w:sz w:val="20"/>
        </w:rPr>
        <w:t>Part I, Item 1 – Financial Statements, Note 2 Business Combinations</w:t>
      </w:r>
      <w:r>
        <w:rPr>
          <w:rFonts w:ascii="Arial;sans-serif" w:hAnsi="Arial;sans-serif"/>
          <w:b w:val="false"/>
          <w:color w:val="000000"/>
          <w:sz w:val="20"/>
        </w:rPr>
        <w:t>. The Aera Merger affected the comparability of our financial results for the nine months ended September 30, 2025 to the prior comparative period.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September 30, 2025 compared to June 30, 2025</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8820" w:type="dxa"/>
        <w:jc w:val="left"/>
        <w:tblInd w:w="0" w:type="dxa"/>
        <w:tblLayout w:type="fixed"/>
        <w:tblCellMar>
          <w:top w:w="28" w:type="dxa"/>
          <w:left w:w="28" w:type="dxa"/>
          <w:bottom w:w="28" w:type="dxa"/>
          <w:right w:w="28" w:type="dxa"/>
        </w:tblCellMar>
      </w:tblPr>
      <w:tblGrid>
        <w:gridCol w:w="1663"/>
        <w:gridCol w:w="1468"/>
        <w:gridCol w:w="1473"/>
        <w:gridCol w:w="504"/>
        <w:gridCol w:w="1153"/>
        <w:gridCol w:w="262"/>
        <w:gridCol w:w="114"/>
        <w:gridCol w:w="114"/>
        <w:gridCol w:w="114"/>
        <w:gridCol w:w="359"/>
        <w:gridCol w:w="821"/>
        <w:gridCol w:w="185"/>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Oil, natural gas and natural gas liquids sales, excluding the effects of cash settlements on our commodity derivative contracts, were $715 million for the three months ended September 30, 2025, which is an increase of $14 million compared to $702 million for the three months ended June 30,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shows changes in oil, natural gas and natural gas liquids sales for the three months ended September 30, 2025 compared to the three months ended June 30, 2025: </w:t>
      </w:r>
    </w:p>
    <w:p>
      <w:pPr>
        <w:pStyle w:val="TextBody"/>
        <w:bidi w:val="0"/>
        <w:spacing w:before="0" w:after="0"/>
        <w:ind w:left="0" w:right="0" w:firstLine="360"/>
        <w:jc w:val="left"/>
        <w:rPr/>
      </w:pPr>
      <w:r>
        <w:rPr/>
      </w:r>
    </w:p>
    <w:tbl>
      <w:tblPr>
        <w:tblW w:w="9077" w:type="dxa"/>
        <w:jc w:val="left"/>
        <w:tblInd w:w="0" w:type="dxa"/>
        <w:tblLayout w:type="fixed"/>
        <w:tblCellMar>
          <w:top w:w="28" w:type="dxa"/>
          <w:left w:w="28" w:type="dxa"/>
          <w:bottom w:w="28" w:type="dxa"/>
          <w:right w:w="28" w:type="dxa"/>
        </w:tblCellMar>
      </w:tblPr>
      <w:tblGrid>
        <w:gridCol w:w="1345"/>
        <w:gridCol w:w="1185"/>
        <w:gridCol w:w="1190"/>
        <w:gridCol w:w="211"/>
        <w:gridCol w:w="481"/>
        <w:gridCol w:w="109"/>
        <w:gridCol w:w="109"/>
        <w:gridCol w:w="109"/>
        <w:gridCol w:w="109"/>
        <w:gridCol w:w="211"/>
        <w:gridCol w:w="376"/>
        <w:gridCol w:w="109"/>
        <w:gridCol w:w="109"/>
        <w:gridCol w:w="109"/>
        <w:gridCol w:w="109"/>
        <w:gridCol w:w="359"/>
        <w:gridCol w:w="639"/>
        <w:gridCol w:w="187"/>
        <w:gridCol w:w="109"/>
        <w:gridCol w:w="109"/>
        <w:gridCol w:w="109"/>
        <w:gridCol w:w="422"/>
        <w:gridCol w:w="963"/>
        <w:gridCol w:w="309"/>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production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gain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oil and marketing activities in operating revenues. Net loss from commodity derivatives was $23 million for the three months ended September 30, 2025 compared to a net gain of $157 million for the three months ended June 30, 2025. The change primarily resulted from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7563" w:type="dxa"/>
        <w:jc w:val="left"/>
        <w:tblInd w:w="0" w:type="dxa"/>
        <w:tblLayout w:type="fixed"/>
        <w:tblCellMar>
          <w:top w:w="28" w:type="dxa"/>
          <w:left w:w="28" w:type="dxa"/>
          <w:bottom w:w="28" w:type="dxa"/>
          <w:right w:w="28" w:type="dxa"/>
        </w:tblCellMar>
      </w:tblPr>
      <w:tblGrid>
        <w:gridCol w:w="1405"/>
        <w:gridCol w:w="1236"/>
        <w:gridCol w:w="1243"/>
        <w:gridCol w:w="580"/>
        <w:gridCol w:w="1037"/>
        <w:gridCol w:w="302"/>
        <w:gridCol w:w="117"/>
        <w:gridCol w:w="117"/>
        <w:gridCol w:w="117"/>
        <w:gridCol w:w="351"/>
        <w:gridCol w:w="802"/>
        <w:gridCol w:w="256"/>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Non-cash commodity derivative (loss) gain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proceeds and premium amortization</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gain from commodity derivatives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Electricity revenue increased by</w:t>
      </w:r>
      <w:r>
        <w:rPr>
          <w:color w:val="000000"/>
          <w:shd w:fill="FFFFFF" w:val="clear"/>
        </w:rPr>
        <w:t xml:space="preserve"> </w:t>
      </w:r>
      <w:r>
        <w:rPr>
          <w:rFonts w:ascii="Arial;sans-serif" w:hAnsi="Arial;sans-serif"/>
          <w:b w:val="false"/>
          <w:color w:val="000000"/>
          <w:sz w:val="20"/>
          <w:shd w:fill="FFFFFF" w:val="clear"/>
        </w:rPr>
        <w:t>$43 million</w:t>
      </w:r>
      <w:r>
        <w:rPr>
          <w:color w:val="000000"/>
        </w:rPr>
        <w:t xml:space="preserve"> </w:t>
      </w:r>
      <w:r>
        <w:rPr>
          <w:rFonts w:ascii="Arial;sans-serif" w:hAnsi="Arial;sans-serif"/>
          <w:b w:val="false"/>
          <w:color w:val="000000"/>
          <w:sz w:val="20"/>
        </w:rPr>
        <w:t xml:space="preserve">to </w:t>
      </w:r>
      <w:r>
        <w:rPr>
          <w:rFonts w:ascii="Arial;sans-serif" w:hAnsi="Arial;sans-serif"/>
          <w:b w:val="false"/>
          <w:color w:val="000000"/>
          <w:sz w:val="20"/>
          <w:shd w:fill="FFFFFF" w:val="clear"/>
        </w:rPr>
        <w:t>$101 million</w:t>
      </w:r>
      <w:r>
        <w:rPr>
          <w:color w:val="000000"/>
        </w:rPr>
        <w:t xml:space="preserve"> </w:t>
      </w:r>
      <w:r>
        <w:rPr>
          <w:rFonts w:ascii="Arial;sans-serif" w:hAnsi="Arial;sans-serif"/>
          <w:b w:val="false"/>
          <w:color w:val="000000"/>
          <w:sz w:val="20"/>
        </w:rPr>
        <w:t xml:space="preserve">for the three months ended September 30, 2025 compared to $58 million for the three months ended June 30, 2025. This increase was primarily a result of higher resource adequacy revenues during the three months ended September 30, 2025 compared to the three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three months ended September 30, 2025 and June 30, 2025. </w:t>
      </w:r>
    </w:p>
    <w:p>
      <w:pPr>
        <w:pStyle w:val="TextBody"/>
        <w:bidi w:val="0"/>
        <w:spacing w:before="0" w:after="0"/>
        <w:ind w:left="0" w:right="0" w:firstLine="360"/>
        <w:jc w:val="left"/>
        <w:rPr/>
      </w:pPr>
      <w:r>
        <w:rPr/>
      </w:r>
    </w:p>
    <w:tbl>
      <w:tblPr>
        <w:tblW w:w="8985" w:type="dxa"/>
        <w:jc w:val="left"/>
        <w:tblInd w:w="0" w:type="dxa"/>
        <w:tblLayout w:type="fixed"/>
        <w:tblCellMar>
          <w:top w:w="28" w:type="dxa"/>
          <w:left w:w="28" w:type="dxa"/>
          <w:bottom w:w="28" w:type="dxa"/>
          <w:right w:w="28" w:type="dxa"/>
        </w:tblCellMar>
      </w:tblPr>
      <w:tblGrid>
        <w:gridCol w:w="1725"/>
        <w:gridCol w:w="1519"/>
        <w:gridCol w:w="1525"/>
        <w:gridCol w:w="504"/>
        <w:gridCol w:w="1153"/>
        <w:gridCol w:w="262"/>
        <w:gridCol w:w="114"/>
        <w:gridCol w:w="114"/>
        <w:gridCol w:w="114"/>
        <w:gridCol w:w="359"/>
        <w:gridCol w:w="821"/>
        <w:gridCol w:w="185"/>
        <w:gridCol w:w="109"/>
        <w:gridCol w:w="109"/>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asset divestitures</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Operating costs </w:t>
      </w:r>
      <w:r>
        <w:rPr>
          <w:color w:val="000000"/>
        </w:rPr>
        <w:t xml:space="preserve">— </w:t>
      </w:r>
      <w:r>
        <w:rPr>
          <w:rFonts w:ascii="Arial;sans-serif" w:hAnsi="Arial;sans-serif"/>
          <w:b w:val="false"/>
          <w:color w:val="000000"/>
          <w:sz w:val="20"/>
        </w:rPr>
        <w:t xml:space="preserve">The following table presents our operating costs for the three months ended September 30, 2025 and June 30, 2025: </w:t>
      </w:r>
    </w:p>
    <w:tbl>
      <w:tblPr>
        <w:tblW w:w="6174" w:type="dxa"/>
        <w:jc w:val="left"/>
        <w:tblInd w:w="0" w:type="dxa"/>
        <w:tblLayout w:type="fixed"/>
        <w:tblCellMar>
          <w:top w:w="28" w:type="dxa"/>
          <w:left w:w="28" w:type="dxa"/>
          <w:bottom w:w="28" w:type="dxa"/>
          <w:right w:w="28" w:type="dxa"/>
        </w:tblCellMar>
      </w:tblPr>
      <w:tblGrid>
        <w:gridCol w:w="908"/>
        <w:gridCol w:w="795"/>
        <w:gridCol w:w="801"/>
        <w:gridCol w:w="504"/>
        <w:gridCol w:w="1153"/>
        <w:gridCol w:w="262"/>
        <w:gridCol w:w="114"/>
        <w:gridCol w:w="114"/>
        <w:gridCol w:w="114"/>
        <w:gridCol w:w="351"/>
        <w:gridCol w:w="802"/>
        <w:gridCol w:w="256"/>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Energy operating costs consist of purchased natural gas used to generate electricity for our operations and steam for our steamfloods, purchased electricity and internal costs to produce electricity used in our operations. These internal costs include an allocation of the direct costs to produce electricity at our Elk Hills power plant based on electricity consumption by our Elk Hills and nearby fields. We do not allocate the costs to produce steam at our Elk Hills power plant which is then used in oil and natural gas operations. Gas processing costs include costs associated with compression, maintenance and other activities needed to run our gas processing facilities at Elk Hills. Non-energy operating costs equal total operating costs less energy operating costs and gas processing costs.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September 30, 2025 were $92 million, which was an increase of $14 million from $78 million for the three months ended June 30, 2025. This increase was primarily due to higher prices for electricity and </w:t>
      </w:r>
      <w:r>
        <w:rPr>
          <w:rFonts w:ascii="Arial;sans-serif" w:hAnsi="Arial;sans-serif"/>
          <w:b w:val="false"/>
          <w:color w:val="000000"/>
          <w:sz w:val="20"/>
          <w:shd w:fill="FFFFFF" w:val="clear"/>
        </w:rPr>
        <w:t>natural gas used in our steamflood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for the three months ended September 30, 2025 were $70 million, which was an increase of $23 million from $47 million for the three months ended June 30, 2025. The three months ended June 30, 2025, included a downward adjustment to our estimated annual production tax rate. Greenhouse gas expense increased for the three months ended September 30, 2025 due to running the Elk Hills power plant at a higher operational capacity and market prices for purchased allowances were higher than prevailing market prices during the three months ended June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on natural gas purchase derivatives</w:t>
      </w:r>
      <w:r>
        <w:rPr>
          <w:color w:val="000000"/>
        </w:rPr>
        <w:t xml:space="preserve"> — </w:t>
      </w:r>
      <w:r>
        <w:rPr>
          <w:rFonts w:ascii="Arial;sans-serif" w:hAnsi="Arial;sans-serif"/>
          <w:b w:val="false"/>
          <w:color w:val="000000"/>
          <w:sz w:val="20"/>
        </w:rPr>
        <w:t xml:space="preserve">Net loss from derivatives related to our purchase of natural gas was $27 million for the three months ended September 30, 2025 compared to a net loss of $3 million for the three months ended June 30, 2025. The change primarily resulted from changes in the fair value of our outstanding commodity derivatives from the positions held, as well as the relationship between contract prices and the associated forward curves at the end of each measurement period. Gains and losses from our commodity derivative contracts are shown in the table below: </w:t>
      </w:r>
    </w:p>
    <w:p>
      <w:pPr>
        <w:pStyle w:val="TextBody"/>
        <w:bidi w:val="0"/>
        <w:spacing w:before="0" w:after="0"/>
        <w:ind w:left="0" w:right="0" w:firstLine="360"/>
        <w:jc w:val="left"/>
        <w:rPr/>
      </w:pPr>
      <w:r>
        <w:rPr/>
      </w:r>
    </w:p>
    <w:p>
      <w:pPr>
        <w:pStyle w:val="TextBody"/>
        <w:bidi w:val="0"/>
        <w:spacing w:before="0" w:after="0"/>
        <w:jc w:val="left"/>
        <w:rPr/>
      </w:pPr>
      <w:r>
        <w:rPr/>
      </w:r>
    </w:p>
    <w:tbl>
      <w:tblPr>
        <w:tblW w:w="8775" w:type="dxa"/>
        <w:jc w:val="left"/>
        <w:tblInd w:w="0" w:type="dxa"/>
        <w:tblLayout w:type="fixed"/>
        <w:tblCellMar>
          <w:top w:w="28" w:type="dxa"/>
          <w:left w:w="28" w:type="dxa"/>
          <w:bottom w:w="28" w:type="dxa"/>
          <w:right w:w="28" w:type="dxa"/>
        </w:tblCellMar>
      </w:tblPr>
      <w:tblGrid>
        <w:gridCol w:w="1830"/>
        <w:gridCol w:w="1607"/>
        <w:gridCol w:w="1617"/>
        <w:gridCol w:w="580"/>
        <w:gridCol w:w="1037"/>
        <w:gridCol w:w="302"/>
        <w:gridCol w:w="131"/>
        <w:gridCol w:w="131"/>
        <w:gridCol w:w="131"/>
        <w:gridCol w:w="428"/>
        <w:gridCol w:w="670"/>
        <w:gridCol w:w="311"/>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loss (gain) on natural gas purchase derivatives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Other operating expenses, net decreased $36 million to</w:t>
      </w:r>
      <w:r>
        <w:rPr>
          <w:color w:val="000000"/>
          <w:shd w:fill="FFFFFF" w:val="clear"/>
        </w:rPr>
        <w:t xml:space="preserve"> </w:t>
      </w:r>
      <w:r>
        <w:rPr>
          <w:rFonts w:ascii="Arial;sans-serif" w:hAnsi="Arial;sans-serif"/>
          <w:b w:val="false"/>
          <w:color w:val="000000"/>
          <w:sz w:val="20"/>
          <w:shd w:fill="FFFFFF" w:val="clear"/>
        </w:rPr>
        <w:t xml:space="preserve">$29 million </w:t>
      </w:r>
      <w:r>
        <w:rPr>
          <w:rFonts w:ascii="Arial;sans-serif" w:hAnsi="Arial;sans-serif"/>
          <w:b w:val="false"/>
          <w:color w:val="000000"/>
          <w:sz w:val="20"/>
        </w:rPr>
        <w:t xml:space="preserve">for the three months ended September 30, 2025 compared to $65 million for the three months ended June 30, 2025. For the three months ended September 30, 2025 and June 30, 2025, other operating expenses, net includes the following: </w:t>
      </w:r>
    </w:p>
    <w:tbl>
      <w:tblPr>
        <w:tblW w:w="7668" w:type="dxa"/>
        <w:jc w:val="left"/>
        <w:tblInd w:w="0" w:type="dxa"/>
        <w:tblLayout w:type="fixed"/>
        <w:tblCellMar>
          <w:top w:w="28" w:type="dxa"/>
          <w:left w:w="28" w:type="dxa"/>
          <w:bottom w:w="28" w:type="dxa"/>
          <w:right w:w="28" w:type="dxa"/>
        </w:tblCellMar>
      </w:tblPr>
      <w:tblGrid>
        <w:gridCol w:w="1433"/>
        <w:gridCol w:w="1261"/>
        <w:gridCol w:w="1265"/>
        <w:gridCol w:w="580"/>
        <w:gridCol w:w="1037"/>
        <w:gridCol w:w="302"/>
        <w:gridCol w:w="127"/>
        <w:gridCol w:w="127"/>
        <w:gridCol w:w="127"/>
        <w:gridCol w:w="401"/>
        <w:gridCol w:w="716"/>
        <w:gridCol w:w="292"/>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Signal Hill decommissioning expense </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for more information on a $25 million payment we made to CalGEM during the three months ended June 30, 2025.</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provision for the three months ended September 30, 2025 was $11 million (representing an effective tax rate of 15%), compared to a provision of $70 million (representing an effective tax rate of 29%) for the three months ended June 30, 2025. The effective tax rate for the three months ended September 30, 2025, reflects the benefit related to guidance published for the marginal well tax credit. See </w:t>
      </w:r>
      <w:r>
        <w:rPr>
          <w:rFonts w:ascii="Arial;sans-serif" w:hAnsi="Arial;sans-serif"/>
          <w:b w:val="false"/>
          <w:i/>
          <w:color w:val="000000"/>
          <w:sz w:val="20"/>
        </w:rPr>
        <w:t>Part I, Item 1 – Financial Statements, Note 7 Income Taxes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Nine months ended September 30, 2025 compared to September 30, 2024</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revenues for the periods indicated: </w:t>
      </w:r>
    </w:p>
    <w:tbl>
      <w:tblPr>
        <w:tblW w:w="9359" w:type="dxa"/>
        <w:jc w:val="left"/>
        <w:tblInd w:w="0" w:type="dxa"/>
        <w:tblLayout w:type="fixed"/>
        <w:tblCellMar>
          <w:top w:w="28" w:type="dxa"/>
          <w:left w:w="28" w:type="dxa"/>
          <w:bottom w:w="28" w:type="dxa"/>
          <w:right w:w="28" w:type="dxa"/>
        </w:tblCellMar>
      </w:tblPr>
      <w:tblGrid>
        <w:gridCol w:w="1663"/>
        <w:gridCol w:w="1468"/>
        <w:gridCol w:w="1473"/>
        <w:gridCol w:w="418"/>
        <w:gridCol w:w="1282"/>
        <w:gridCol w:w="219"/>
        <w:gridCol w:w="109"/>
        <w:gridCol w:w="109"/>
        <w:gridCol w:w="109"/>
        <w:gridCol w:w="418"/>
        <w:gridCol w:w="1282"/>
        <w:gridCol w:w="219"/>
        <w:gridCol w:w="109"/>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Oil, natural gas and natural gas liquids sales</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from commodity derivatives</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from marketing of purchased commodities</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Electricity revenue</w:t>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revenue</w:t>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natural gas liquids sales</w:t>
      </w:r>
      <w:r>
        <w:rPr>
          <w:color w:val="000000"/>
        </w:rPr>
        <w:t xml:space="preserve"> — </w:t>
      </w:r>
      <w:r>
        <w:rPr>
          <w:rFonts w:ascii="Arial;sans-serif" w:hAnsi="Arial;sans-serif"/>
          <w:b w:val="false"/>
          <w:color w:val="000000"/>
          <w:sz w:val="20"/>
        </w:rPr>
        <w:t xml:space="preserve">Oil, natural gas and natural gas liquids sales, excluding the effects of cash settlements on our commodity derivative contracts, were $2,231 million for the nine months ended September 30, 2025, which is an increase of $520 million compared to $1,711 million for the nine months ended September 30,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changes in oil, natural gas and natural gas liquids sales for the nine months ended September 30, 2025 compared to the nine months ended September 30, 2024.</w:t>
      </w:r>
    </w:p>
    <w:tbl>
      <w:tblPr>
        <w:tblW w:w="9242" w:type="dxa"/>
        <w:jc w:val="left"/>
        <w:tblInd w:w="0" w:type="dxa"/>
        <w:tblLayout w:type="fixed"/>
        <w:tblCellMar>
          <w:top w:w="28" w:type="dxa"/>
          <w:left w:w="28" w:type="dxa"/>
          <w:bottom w:w="28" w:type="dxa"/>
          <w:right w:w="28" w:type="dxa"/>
        </w:tblCellMar>
      </w:tblPr>
      <w:tblGrid>
        <w:gridCol w:w="1309"/>
        <w:gridCol w:w="1149"/>
        <w:gridCol w:w="1156"/>
        <w:gridCol w:w="211"/>
        <w:gridCol w:w="646"/>
        <w:gridCol w:w="109"/>
        <w:gridCol w:w="109"/>
        <w:gridCol w:w="109"/>
        <w:gridCol w:w="109"/>
        <w:gridCol w:w="211"/>
        <w:gridCol w:w="481"/>
        <w:gridCol w:w="109"/>
        <w:gridCol w:w="109"/>
        <w:gridCol w:w="109"/>
        <w:gridCol w:w="109"/>
        <w:gridCol w:w="359"/>
        <w:gridCol w:w="639"/>
        <w:gridCol w:w="187"/>
        <w:gridCol w:w="109"/>
        <w:gridCol w:w="109"/>
        <w:gridCol w:w="109"/>
        <w:gridCol w:w="353"/>
        <w:gridCol w:w="1083"/>
        <w:gridCol w:w="259"/>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Operations</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Changes in production and other </w:t>
            </w:r>
            <w:r>
              <w:rPr>
                <w:rFonts w:ascii="Arial;sans-serif" w:hAnsi="Arial;sans-serif"/>
                <w:b w:val="false"/>
                <w:color w:val="000000"/>
                <w:sz w:val="13"/>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Changes in intersegment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Nine months ended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lineRule="auto" w:line="288" w:before="0" w:after="0"/>
        <w:ind w:left="0" w:right="0" w:hanging="360"/>
        <w:jc w:val="left"/>
        <w:rPr/>
      </w:pPr>
      <w:r>
        <w:rPr>
          <w:rFonts w:ascii="Arial;sans-serif" w:hAnsi="Arial;sans-serif"/>
          <w:b w:val="false"/>
          <w:color w:val="000000"/>
          <w:sz w:val="16"/>
        </w:rPr>
        <w:t xml:space="preserve">(a)The increase in production primarily relates to the addition of the Aera fields on July 1, 2024. See </w:t>
      </w:r>
      <w:r>
        <w:rPr>
          <w:rFonts w:ascii="Arial;sans-serif" w:hAnsi="Arial;sans-serif"/>
          <w:b w:val="false"/>
          <w:i/>
          <w:color w:val="000000"/>
          <w:sz w:val="16"/>
        </w:rPr>
        <w:t xml:space="preserve">Part I, Item 1 – Financial Statements, Note 2 Business Combinations </w:t>
      </w:r>
      <w:r>
        <w:rPr>
          <w:rFonts w:ascii="Arial;sans-serif" w:hAnsi="Arial;sans-serif"/>
          <w:b w:val="false"/>
          <w:color w:val="000000"/>
          <w:sz w:val="16"/>
        </w:rPr>
        <w:t xml:space="preserve">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from commodity derivatives</w:t>
      </w:r>
      <w:r>
        <w:rPr>
          <w:color w:val="000000"/>
        </w:rPr>
        <w:t xml:space="preserve"> – </w:t>
      </w:r>
      <w:r>
        <w:rPr>
          <w:rFonts w:ascii="Arial;sans-serif" w:hAnsi="Arial;sans-serif"/>
          <w:b w:val="false"/>
          <w:color w:val="000000"/>
          <w:sz w:val="20"/>
        </w:rPr>
        <w:t xml:space="preserve">We report gains and losses on our derivative contracts related to sales of our produced oil and marketing activities in operating revenue. Net gain from commodity derivatives was $140 million for the nine months ended September 30, 2025 compared to a net gain of $290 million for the nine months ended September 30, 2024.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8994" w:type="dxa"/>
        <w:jc w:val="left"/>
        <w:tblInd w:w="0" w:type="dxa"/>
        <w:tblLayout w:type="fixed"/>
        <w:tblCellMar>
          <w:top w:w="28" w:type="dxa"/>
          <w:left w:w="28" w:type="dxa"/>
          <w:bottom w:w="28" w:type="dxa"/>
          <w:right w:w="28" w:type="dxa"/>
        </w:tblCellMar>
      </w:tblPr>
      <w:tblGrid>
        <w:gridCol w:w="1731"/>
        <w:gridCol w:w="1522"/>
        <w:gridCol w:w="1531"/>
        <w:gridCol w:w="504"/>
        <w:gridCol w:w="1153"/>
        <w:gridCol w:w="262"/>
        <w:gridCol w:w="109"/>
        <w:gridCol w:w="109"/>
        <w:gridCol w:w="109"/>
        <w:gridCol w:w="489"/>
        <w:gridCol w:w="1117"/>
        <w:gridCol w:w="358"/>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proceeds (settlements) and premium amortization</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 from commodity derivatives</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revenue</w:t>
      </w:r>
      <w:r>
        <w:rPr>
          <w:color w:val="000000"/>
        </w:rPr>
        <w:t xml:space="preserve"> — </w:t>
      </w:r>
      <w:r>
        <w:rPr>
          <w:rFonts w:ascii="Arial;sans-serif" w:hAnsi="Arial;sans-serif"/>
          <w:b w:val="false"/>
          <w:color w:val="000000"/>
          <w:sz w:val="20"/>
        </w:rPr>
        <w:t xml:space="preserve">Electricity revenue increased by $61 million to $181 million for the nine months ended September 30, 2025 compared to $120 million for the nine months ended September 30, 2024. This increase was primarily a result of higher pricing from resource adequacy contracts. Additionally, we experienced lower revenues during the nine months ended September 30, 2024 as a result of downtime at our Elk Hills power plant.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and non-operating expenses and income for the nine months ended September 30, 2025 and September 30, 2024. </w:t>
      </w:r>
    </w:p>
    <w:p>
      <w:pPr>
        <w:pStyle w:val="TextBody"/>
        <w:bidi w:val="0"/>
        <w:spacing w:before="0" w:after="0"/>
        <w:ind w:left="0" w:right="0" w:firstLine="360"/>
        <w:jc w:val="left"/>
        <w:rPr/>
      </w:pPr>
      <w:r>
        <w:rPr/>
      </w:r>
    </w:p>
    <w:tbl>
      <w:tblPr>
        <w:tblW w:w="9524" w:type="dxa"/>
        <w:jc w:val="left"/>
        <w:tblInd w:w="0" w:type="dxa"/>
        <w:tblLayout w:type="fixed"/>
        <w:tblCellMar>
          <w:top w:w="28" w:type="dxa"/>
          <w:left w:w="28" w:type="dxa"/>
          <w:bottom w:w="28" w:type="dxa"/>
          <w:right w:w="28" w:type="dxa"/>
        </w:tblCellMar>
      </w:tblPr>
      <w:tblGrid>
        <w:gridCol w:w="1725"/>
        <w:gridCol w:w="1519"/>
        <w:gridCol w:w="1525"/>
        <w:gridCol w:w="504"/>
        <w:gridCol w:w="1153"/>
        <w:gridCol w:w="262"/>
        <w:gridCol w:w="109"/>
        <w:gridCol w:w="109"/>
        <w:gridCol w:w="109"/>
        <w:gridCol w:w="504"/>
        <w:gridCol w:w="1153"/>
        <w:gridCol w:w="262"/>
        <w:gridCol w:w="109"/>
        <w:gridCol w:w="109"/>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related to marketing of purchased commodities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Transportation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Measurement period adjustments,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gain on asset divestitures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w:t>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and debt expense, net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subsidiaries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(expenses), net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Operating costs</w:t>
      </w:r>
      <w:r>
        <w:rPr>
          <w:color w:val="000000"/>
        </w:rPr>
        <w:t xml:space="preserve"> </w:t>
      </w:r>
      <w:r>
        <w:rPr>
          <w:color w:val="000000"/>
          <w:shd w:fill="FFFFFF" w:val="clear"/>
        </w:rPr>
        <w:t xml:space="preserve">— </w:t>
      </w:r>
      <w:r>
        <w:rPr>
          <w:rFonts w:ascii="Arial;sans-serif" w:hAnsi="Arial;sans-serif"/>
          <w:b w:val="false"/>
          <w:color w:val="000000"/>
          <w:sz w:val="20"/>
        </w:rPr>
        <w:t xml:space="preserve">The following table presents our operating costs for the nine months ended September 30, 2025 and September 30, 2024. </w:t>
      </w:r>
    </w:p>
    <w:tbl>
      <w:tblPr>
        <w:tblW w:w="6714" w:type="dxa"/>
        <w:jc w:val="left"/>
        <w:tblInd w:w="0" w:type="dxa"/>
        <w:tblLayout w:type="fixed"/>
        <w:tblCellMar>
          <w:top w:w="28" w:type="dxa"/>
          <w:left w:w="28" w:type="dxa"/>
          <w:bottom w:w="28" w:type="dxa"/>
          <w:right w:w="28" w:type="dxa"/>
        </w:tblCellMar>
      </w:tblPr>
      <w:tblGrid>
        <w:gridCol w:w="908"/>
        <w:gridCol w:w="795"/>
        <w:gridCol w:w="801"/>
        <w:gridCol w:w="504"/>
        <w:gridCol w:w="1153"/>
        <w:gridCol w:w="262"/>
        <w:gridCol w:w="109"/>
        <w:gridCol w:w="109"/>
        <w:gridCol w:w="109"/>
        <w:gridCol w:w="489"/>
        <w:gridCol w:w="1117"/>
        <w:gridCol w:w="358"/>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Energy operating costs</w:t>
      </w:r>
      <w:r>
        <w:rPr>
          <w:color w:val="000000"/>
          <w:shd w:fill="FFFFFF" w:val="clear"/>
        </w:rPr>
        <w:t xml:space="preserve"> — </w:t>
      </w:r>
      <w:r>
        <w:rPr>
          <w:rFonts w:ascii="Arial;sans-serif" w:hAnsi="Arial;sans-serif"/>
          <w:b w:val="false"/>
          <w:color w:val="000000"/>
          <w:sz w:val="20"/>
          <w:shd w:fill="FFFFFF" w:val="clear"/>
        </w:rPr>
        <w:t xml:space="preserve">Energy operating costs for the nine months ended September 30, 2025 were </w:t>
      </w:r>
      <w:r>
        <w:rPr>
          <w:rFonts w:ascii="Arial;sans-serif" w:hAnsi="Arial;sans-serif"/>
          <w:b w:val="false"/>
          <w:color w:val="000000"/>
          <w:sz w:val="20"/>
        </w:rPr>
        <w:t>$273 million</w:t>
      </w:r>
      <w:r>
        <w:rPr>
          <w:rFonts w:ascii="Arial;sans-serif" w:hAnsi="Arial;sans-serif"/>
          <w:b w:val="false"/>
          <w:color w:val="000000"/>
          <w:sz w:val="20"/>
          <w:shd w:fill="FFFFFF" w:val="clear"/>
        </w:rPr>
        <w:t xml:space="preserve">, which was an increase of $87 million from </w:t>
      </w:r>
      <w:r>
        <w:rPr>
          <w:rFonts w:ascii="Arial;sans-serif" w:hAnsi="Arial;sans-serif"/>
          <w:b w:val="false"/>
          <w:color w:val="000000"/>
          <w:sz w:val="20"/>
        </w:rPr>
        <w:t>$186 million</w:t>
      </w:r>
      <w:r>
        <w:rPr>
          <w:color w:val="000000"/>
          <w:shd w:fill="FFFFFF" w:val="clear"/>
        </w:rPr>
        <w:t xml:space="preserve"> </w:t>
      </w:r>
      <w:r>
        <w:rPr>
          <w:rFonts w:ascii="Arial;sans-serif" w:hAnsi="Arial;sans-serif"/>
          <w:b w:val="false"/>
          <w:color w:val="000000"/>
          <w:sz w:val="20"/>
          <w:shd w:fill="FFFFFF" w:val="clear"/>
        </w:rPr>
        <w:t xml:space="preserve">for the nine months ended September 30, 2024. The increase is primarily related to the addition of the Aera fields for the full nine months of 2025 compared to the same prior year period. Excluding the Aera fields, our energy operating costs for the nine months ended September 30, 2025 decreased primarily due to the additional supply of electricity generated at our Elk Hills power plant which is used at our Elk Hills field. During the nine months ended September 30, 2024, our Elk Hills power plant experienced unplanned downtime and scheduled maintenance.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shd w:fill="FFFFFF" w:val="clear"/>
        </w:rPr>
        <w:t xml:space="preserve">Non-energy operating costs </w:t>
      </w:r>
      <w:r>
        <w:rPr>
          <w:color w:val="000000"/>
          <w:shd w:fill="FFFFFF" w:val="clear"/>
        </w:rPr>
        <w:t xml:space="preserve">— </w:t>
      </w:r>
      <w:r>
        <w:rPr>
          <w:rFonts w:ascii="Arial;sans-serif" w:hAnsi="Arial;sans-serif"/>
          <w:b w:val="false"/>
          <w:color w:val="000000"/>
          <w:sz w:val="20"/>
          <w:shd w:fill="FFFFFF" w:val="clear"/>
        </w:rPr>
        <w:t xml:space="preserve">Non-energy operating costs for the nine months ended September 30, 2025 were </w:t>
      </w:r>
      <w:r>
        <w:rPr>
          <w:rFonts w:ascii="Arial;sans-serif" w:hAnsi="Arial;sans-serif"/>
          <w:b w:val="false"/>
          <w:color w:val="000000"/>
          <w:sz w:val="20"/>
        </w:rPr>
        <w:t>$639 million</w:t>
      </w:r>
      <w:r>
        <w:rPr>
          <w:rFonts w:ascii="Arial;sans-serif" w:hAnsi="Arial;sans-serif"/>
          <w:b w:val="false"/>
          <w:color w:val="000000"/>
          <w:sz w:val="20"/>
          <w:shd w:fill="FFFFFF" w:val="clear"/>
        </w:rPr>
        <w:t xml:space="preserve">, which was an increase of </w:t>
      </w:r>
      <w:r>
        <w:rPr>
          <w:rFonts w:ascii="Arial;sans-serif" w:hAnsi="Arial;sans-serif"/>
          <w:b w:val="false"/>
          <w:color w:val="000000"/>
          <w:sz w:val="20"/>
        </w:rPr>
        <w:t>$194 million</w:t>
      </w:r>
      <w:r>
        <w:rPr>
          <w:color w:val="000000"/>
          <w:shd w:fill="FFFFFF" w:val="clear"/>
        </w:rPr>
        <w:t xml:space="preserve"> </w:t>
      </w:r>
      <w:r>
        <w:rPr>
          <w:rFonts w:ascii="Arial;sans-serif" w:hAnsi="Arial;sans-serif"/>
          <w:b w:val="false"/>
          <w:color w:val="000000"/>
          <w:sz w:val="20"/>
          <w:shd w:fill="FFFFFF" w:val="clear"/>
        </w:rPr>
        <w:t xml:space="preserve">from </w:t>
      </w:r>
      <w:r>
        <w:rPr>
          <w:rFonts w:ascii="Arial;sans-serif" w:hAnsi="Arial;sans-serif"/>
          <w:b w:val="false"/>
          <w:color w:val="000000"/>
          <w:sz w:val="20"/>
        </w:rPr>
        <w:t>$445 million</w:t>
      </w:r>
      <w:r>
        <w:rPr>
          <w:color w:val="000000"/>
          <w:shd w:fill="FFFFFF" w:val="clear"/>
        </w:rPr>
        <w:t xml:space="preserve"> </w:t>
      </w:r>
      <w:r>
        <w:rPr>
          <w:rFonts w:ascii="Arial;sans-serif" w:hAnsi="Arial;sans-serif"/>
          <w:b w:val="false"/>
          <w:color w:val="000000"/>
          <w:sz w:val="20"/>
          <w:shd w:fill="FFFFFF" w:val="clear"/>
        </w:rPr>
        <w:t xml:space="preserve">for the nine months ended September 30, 2024. The increase is primarily related to the operation of the Aera fields for the full nine months of 2025 compared to a three-month period in the same prior year period. We also had higher surface maintenance activity during the nine months ended September 30, 2025 compared to the same prior 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$238 million for the nine months ended September 30, 2025 compared to $226 million for the nine months ended September 30, 2024, which was an increas</w:t>
      </w:r>
      <w:r>
        <w:rPr>
          <w:rFonts w:ascii="Arial;sans-serif" w:hAnsi="Arial;sans-serif"/>
          <w:b w:val="false"/>
          <w:color w:val="000000"/>
          <w:sz w:val="20"/>
          <w:shd w:fill="FFFFFF" w:val="clear"/>
        </w:rPr>
        <w:t xml:space="preserve">e of </w:t>
      </w:r>
      <w:r>
        <w:rPr>
          <w:rFonts w:ascii="Arial;sans-serif" w:hAnsi="Arial;sans-serif"/>
          <w:b w:val="false"/>
          <w:color w:val="000000"/>
          <w:sz w:val="20"/>
        </w:rPr>
        <w:t>$12 million. The increase was primarily due to additional compensation-related expense and other corporate expenses resulting from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Depreciation, depletion and amortization</w:t>
      </w:r>
      <w:r>
        <w:rPr>
          <w:color w:val="000000"/>
        </w:rPr>
        <w:t xml:space="preserve"> — </w:t>
      </w:r>
      <w:r>
        <w:rPr>
          <w:rFonts w:ascii="Arial;sans-serif" w:hAnsi="Arial;sans-serif"/>
          <w:b w:val="false"/>
          <w:color w:val="000000"/>
          <w:sz w:val="20"/>
        </w:rPr>
        <w:t xml:space="preserve">Depreciation, depletion and amortization (DD&amp;A) for the nine months ended September 30, 2025 was $382 million compared to </w:t>
      </w:r>
      <w:r>
        <w:rPr>
          <w:rFonts w:ascii="Arial;sans-serif" w:hAnsi="Arial;sans-serif"/>
          <w:b w:val="false"/>
          <w:color w:val="000000"/>
          <w:sz w:val="20"/>
          <w:shd w:fill="FFFFFF" w:val="clear"/>
        </w:rPr>
        <w:t>$246 million durin</w:t>
      </w:r>
      <w:r>
        <w:rPr>
          <w:rFonts w:ascii="Arial;sans-serif" w:hAnsi="Arial;sans-serif"/>
          <w:b w:val="false"/>
          <w:color w:val="000000"/>
          <w:sz w:val="20"/>
        </w:rPr>
        <w:t xml:space="preserve">g the nine months ended September 30, 2024. The increase of $136 million was primarily the result of the addition of the Aera assets included in the nine months ended September 30, 2025. See </w:t>
      </w:r>
      <w:r>
        <w:rPr>
          <w:rFonts w:ascii="Arial;sans-serif" w:hAnsi="Arial;sans-serif"/>
          <w:b w:val="false"/>
          <w:i/>
          <w:color w:val="000000"/>
          <w:sz w:val="20"/>
        </w:rPr>
        <w:t xml:space="preserve">Part I, Item 1 – Financial Statements, Note 2 Business Combinations </w:t>
      </w:r>
      <w:r>
        <w:rPr>
          <w:rFonts w:ascii="Arial;sans-serif" w:hAnsi="Arial;sans-serif"/>
          <w:b w:val="false"/>
          <w:color w:val="000000"/>
          <w:sz w:val="20"/>
        </w:rPr>
        <w:t xml:space="preserve">for information on the Aera assets.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Asset impairments </w:t>
      </w:r>
      <w:r>
        <w:rPr>
          <w:color w:val="000000"/>
        </w:rPr>
        <w:t xml:space="preserve">— </w:t>
      </w:r>
      <w:r>
        <w:rPr>
          <w:rFonts w:ascii="Arial;sans-serif" w:hAnsi="Arial;sans-serif"/>
          <w:b w:val="false"/>
          <w:color w:val="000000"/>
          <w:sz w:val="20"/>
        </w:rPr>
        <w:t xml:space="preserve">During the nine months ended September 30, 2024, we recognized a $13 million impairment for excess and obsolete materials and supplies related to our oilfield operations. We recognized a $2 million asset impairment during the nine months ended September 30, 2025 related to a fair value adjustment for properties held for sale. See </w:t>
      </w:r>
      <w:r>
        <w:rPr>
          <w:rFonts w:ascii="Arial;sans-serif" w:hAnsi="Arial;sans-serif"/>
          <w:b w:val="false"/>
          <w:i/>
          <w:color w:val="000000"/>
          <w:sz w:val="20"/>
        </w:rPr>
        <w:t xml:space="preserve">Part I, Item 1 – Financial Statements, Note 8 Divestitures and Acquisitions </w:t>
      </w:r>
      <w:r>
        <w:rPr>
          <w:rFonts w:ascii="Arial;sans-serif" w:hAnsi="Arial;sans-serif"/>
          <w:b w:val="false"/>
          <w:color w:val="000000"/>
          <w:sz w:val="20"/>
        </w:rPr>
        <w:t xml:space="preserve">for additional information on the impairment.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Taxes other than on income</w:t>
      </w:r>
      <w:r>
        <w:rPr>
          <w:color w:val="000000"/>
        </w:rPr>
        <w:t xml:space="preserve"> — </w:t>
      </w:r>
      <w:r>
        <w:rPr>
          <w:rFonts w:ascii="Arial;sans-serif" w:hAnsi="Arial;sans-serif"/>
          <w:b w:val="false"/>
          <w:color w:val="000000"/>
          <w:sz w:val="20"/>
        </w:rPr>
        <w:t xml:space="preserve">Taxes other than on income for the nine months ended September 30, 2025 were $187 million, which is an increase of $25 million from $162 million for the nine months ended September 30, 2024. This </w:t>
      </w:r>
      <w:r>
        <w:rPr>
          <w:rFonts w:ascii="Arial;sans-serif" w:hAnsi="Arial;sans-serif"/>
          <w:b w:val="false"/>
          <w:color w:val="000000"/>
          <w:sz w:val="20"/>
          <w:shd w:fill="FFFFFF" w:val="clear"/>
        </w:rPr>
        <w:t>increase</w:t>
      </w:r>
      <w:r>
        <w:rPr>
          <w:color w:val="000000"/>
        </w:rPr>
        <w:t xml:space="preserve"> </w:t>
      </w:r>
      <w:r>
        <w:rPr>
          <w:rFonts w:ascii="Arial;sans-serif" w:hAnsi="Arial;sans-serif"/>
          <w:b w:val="false"/>
          <w:color w:val="000000"/>
          <w:sz w:val="20"/>
        </w:rPr>
        <w:t>was a result of higher greenhouse gas expense, production taxes and ad valorem taxes related to the Aera assets following the completion of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Accretion expense </w:t>
      </w:r>
      <w:r>
        <w:rPr>
          <w:color w:val="000000"/>
        </w:rPr>
        <w:t xml:space="preserve">— </w:t>
      </w:r>
      <w:r>
        <w:rPr>
          <w:rFonts w:ascii="Arial;sans-serif" w:hAnsi="Arial;sans-serif"/>
          <w:b w:val="false"/>
          <w:color w:val="000000"/>
          <w:sz w:val="20"/>
        </w:rPr>
        <w:t>Accretion expense for the nine months ended September 30, 2025 was $85 million compared to $56 million for the nine months ended September 30, 2024. The increase was primarily due to the addition of the Aera asset retirement liability assumed as of July 1, 2024 in connection with the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on natural gas purchased derivatives</w:t>
      </w:r>
      <w:r>
        <w:rPr>
          <w:color w:val="000000"/>
        </w:rPr>
        <w:t xml:space="preserve"> — </w:t>
      </w:r>
      <w:r>
        <w:rPr>
          <w:rFonts w:ascii="Arial;sans-serif" w:hAnsi="Arial;sans-serif"/>
          <w:b w:val="false"/>
          <w:color w:val="000000"/>
          <w:sz w:val="20"/>
        </w:rPr>
        <w:t xml:space="preserve">Net loss from derivatives related to our purchase of natural gas was $24 million for the nine months ended September 30, 2025 compared to a net loss of $11 million for the nine months ended September 30, 2024. The change primarily resulted from changes in the fair value of our outstanding commodity derivatives from the positions held, as well as the relationship between contract prices and the associated forward curves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9300" w:type="dxa"/>
        <w:jc w:val="left"/>
        <w:tblInd w:w="0" w:type="dxa"/>
        <w:tblLayout w:type="fixed"/>
        <w:tblCellMar>
          <w:top w:w="28" w:type="dxa"/>
          <w:left w:w="28" w:type="dxa"/>
          <w:bottom w:w="28" w:type="dxa"/>
          <w:right w:w="28" w:type="dxa"/>
        </w:tblCellMar>
      </w:tblPr>
      <w:tblGrid>
        <w:gridCol w:w="1830"/>
        <w:gridCol w:w="1607"/>
        <w:gridCol w:w="1617"/>
        <w:gridCol w:w="580"/>
        <w:gridCol w:w="1037"/>
        <w:gridCol w:w="302"/>
        <w:gridCol w:w="121"/>
        <w:gridCol w:w="121"/>
        <w:gridCol w:w="121"/>
        <w:gridCol w:w="559"/>
        <w:gridCol w:w="996"/>
        <w:gridCol w:w="409"/>
      </w:tblGrid>
      <w:tr>
        <w:trPr/>
        <w:tc>
          <w:tcPr>
            <w:tcW w:w="183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loss (gain) on natural gas purchase derivatives</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on natural gas purchase derivatives</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 xml:space="preserve">Other operating expenses, net decreased $61 million to $127 million for the nine months ended September 30, 2025 compared to $188 million for the nine months ended September 30, 2024.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2025 and September 30, 2024, other operating expenses, net includes the following: </w:t>
      </w:r>
    </w:p>
    <w:p>
      <w:pPr>
        <w:pStyle w:val="TextBody"/>
        <w:bidi w:val="0"/>
        <w:spacing w:before="0" w:after="0"/>
        <w:ind w:left="0" w:right="0" w:firstLine="360"/>
        <w:jc w:val="left"/>
        <w:rPr/>
      </w:pPr>
      <w:r>
        <w:rPr/>
      </w:r>
    </w:p>
    <w:tbl>
      <w:tblPr>
        <w:tblW w:w="9024" w:type="dxa"/>
        <w:jc w:val="left"/>
        <w:tblInd w:w="0" w:type="dxa"/>
        <w:tblLayout w:type="fixed"/>
        <w:tblCellMar>
          <w:top w:w="28" w:type="dxa"/>
          <w:left w:w="28" w:type="dxa"/>
          <w:bottom w:w="28" w:type="dxa"/>
          <w:right w:w="28" w:type="dxa"/>
        </w:tblCellMar>
      </w:tblPr>
      <w:tblGrid>
        <w:gridCol w:w="1743"/>
        <w:gridCol w:w="1534"/>
        <w:gridCol w:w="1537"/>
        <w:gridCol w:w="504"/>
        <w:gridCol w:w="1153"/>
        <w:gridCol w:w="262"/>
        <w:gridCol w:w="109"/>
        <w:gridCol w:w="109"/>
        <w:gridCol w:w="109"/>
        <w:gridCol w:w="489"/>
        <w:gridCol w:w="1117"/>
        <w:gridCol w:w="358"/>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Transaction and integration costs</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Energy costs due to downtime at Elk Hills power plant</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and settlement related expenses</w:t>
            </w:r>
            <w:r>
              <w:rPr>
                <w:rFonts w:ascii="Arial;sans-serif" w:hAnsi="Arial;sans-serif"/>
                <w:b w:val="false"/>
                <w:color w:val="000000"/>
                <w:sz w:val="13"/>
              </w:rPr>
              <w:t>(a)</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Offshore platforms maintenance and abandonment</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Information technology infrastructure</w:t>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All other</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expenses, net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(a)See </w:t>
      </w:r>
      <w:r>
        <w:rPr>
          <w:rFonts w:ascii="Arial;sans-serif" w:hAnsi="Arial;sans-serif"/>
          <w:b w:val="false"/>
          <w:i/>
          <w:color w:val="000000"/>
          <w:sz w:val="16"/>
        </w:rPr>
        <w:t xml:space="preserve">Part I, Item 1 – Financial Statements, Note 5 Lawsuits, Claims, Commitments and Contingencies </w:t>
      </w:r>
      <w:r>
        <w:rPr>
          <w:rFonts w:ascii="Arial;sans-serif" w:hAnsi="Arial;sans-serif"/>
          <w:b w:val="false"/>
          <w:color w:val="000000"/>
          <w:sz w:val="16"/>
        </w:rPr>
        <w:t xml:space="preserve">for more information on a $25 million payment we made to CalGEM during the nine months ended September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Interest and debt expense, net </w:t>
      </w:r>
      <w:r>
        <w:rPr>
          <w:color w:val="000000"/>
        </w:rPr>
        <w:t xml:space="preserve">— </w:t>
      </w:r>
      <w:r>
        <w:rPr>
          <w:rFonts w:ascii="Arial;sans-serif" w:hAnsi="Arial;sans-serif"/>
          <w:b w:val="false"/>
          <w:color w:val="000000"/>
          <w:sz w:val="20"/>
        </w:rPr>
        <w:t xml:space="preserve">Interest and debt expense, net was $77 million for the nine months ended September 30, 2025 compared to $59 million for the nine months ended September 30, 2024. The increase was predominantly due to higher interest expense resulting from the issuance of our 2029 Senior Notes. In June 2024, we issued $600 million in aggregate principal amount of 2029 Senior Notes and in August 2024, we completed a follow-on offering of $300 million in aggregate principal amount of 2029 Senior Notes.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taxes</w:t>
      </w:r>
      <w:r>
        <w:rPr>
          <w:color w:val="000000"/>
        </w:rPr>
        <w:t xml:space="preserve"> – </w:t>
      </w:r>
      <w:r>
        <w:rPr>
          <w:rFonts w:ascii="Arial;sans-serif" w:hAnsi="Arial;sans-serif"/>
          <w:b w:val="false"/>
          <w:color w:val="000000"/>
          <w:sz w:val="20"/>
        </w:rPr>
        <w:t xml:space="preserve">The income tax provision for the nine months ended September 30, 2025 was $128 million (representing an effective tax rate of 27%), compared to a provision of $132 million (representing an effective tax rate of 28%) for the nine months ended September 30, 2024. See </w:t>
      </w:r>
      <w:r>
        <w:rPr>
          <w:rFonts w:ascii="Arial;sans-serif" w:hAnsi="Arial;sans-serif"/>
          <w:b w:val="false"/>
          <w:i/>
          <w:color w:val="000000"/>
          <w:sz w:val="20"/>
        </w:rPr>
        <w:t>Part I, Item 1 – Financial Statements, Note 7 Income Taxes</w:t>
      </w:r>
      <w:r>
        <w:rPr>
          <w:color w:val="000000"/>
        </w:rPr>
        <w:t xml:space="preserve"> </w:t>
      </w:r>
      <w:r>
        <w:rPr>
          <w:rFonts w:ascii="Arial;sans-serif" w:hAnsi="Arial;sans-serif"/>
          <w:b w:val="false"/>
          <w:color w:val="000000"/>
          <w:sz w:val="20"/>
        </w:rPr>
        <w:t>for additional information on our income taxes.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2026 Senior Notes Indenture and 2029 Senior Notes Indenture, see </w:t>
      </w:r>
      <w:r>
        <w:rPr>
          <w:rFonts w:ascii="Arial;sans-serif" w:hAnsi="Arial;sans-serif"/>
          <w:b w:val="false"/>
          <w:i/>
          <w:color w:val="000000"/>
          <w:sz w:val="20"/>
        </w:rPr>
        <w:t xml:space="preserve">Part I, Item 1 – Financial Statements, Note 15 Condensed Consolidated Financial Information.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Our Oil and Natural Gas Operations</w:t>
      </w:r>
    </w:p>
    <w:p>
      <w:pPr>
        <w:pStyle w:val="TextBody"/>
        <w:bidi w:val="0"/>
        <w:spacing w:before="0" w:after="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financial results and key operating data for our oil and natural gas segment for the three months ended September 30, 2025 and June 30, 2025 and the nine months ended September 30, 2025 and 2024.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20"/>
        <w:gridCol w:w="1299"/>
        <w:gridCol w:w="1302"/>
        <w:gridCol w:w="296"/>
        <w:gridCol w:w="911"/>
        <w:gridCol w:w="155"/>
        <w:gridCol w:w="109"/>
        <w:gridCol w:w="109"/>
        <w:gridCol w:w="109"/>
        <w:gridCol w:w="211"/>
        <w:gridCol w:w="646"/>
        <w:gridCol w:w="109"/>
        <w:gridCol w:w="109"/>
        <w:gridCol w:w="109"/>
        <w:gridCol w:w="109"/>
        <w:gridCol w:w="296"/>
        <w:gridCol w:w="911"/>
        <w:gridCol w:w="155"/>
        <w:gridCol w:w="109"/>
        <w:gridCol w:w="109"/>
        <w:gridCol w:w="109"/>
        <w:gridCol w:w="293"/>
        <w:gridCol w:w="899"/>
        <w:gridCol w:w="221"/>
      </w:tblGrid>
      <w:tr>
        <w:trPr/>
        <w:tc>
          <w:tcPr>
            <w:tcW w:w="152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(in millions, except as otherwise stated) </w:t>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429" w:type="dxa"/>
            <w:gridSpan w:val="12"/>
            <w:tcBorders/>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Production and oil and gas segment financial data</w:t>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production sold (MBoe/d)</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profit</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Items affecting comparability:</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(loss) gain on asset divestitures</w:t>
            </w:r>
            <w:r>
              <w:rPr>
                <w:rFonts w:ascii="Arial;sans-serif" w:hAnsi="Arial;sans-serif"/>
                <w:b w:val="false"/>
                <w:color w:val="000000"/>
                <w:sz w:val="13"/>
              </w:rPr>
              <w:t>(a)</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Key operating expenses per Boe</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Operating costs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costs, after hedges on purchased natural gas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 xml:space="preserve">(b)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depletion and amortization</w:t>
            </w:r>
            <w:r>
              <w:rPr>
                <w:rFonts w:ascii="Arial;sans-serif" w:hAnsi="Arial;sans-serif"/>
                <w:b w:val="false"/>
                <w:color w:val="000000"/>
                <w:sz w:val="13"/>
              </w:rPr>
              <w:t xml:space="preserve">(c)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(a)Net loss on asset divestitures for the three and nine months ended September 30, 2025 related to the sale of oil and gas assets located in Ventura. Net gain on asset divestitures for the nine months ended September 30, 2024 related to the sale of our Fort Apache parcel in Huntington Beach.</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(b)Includes general and administrative expenses allocated to our oil and natural gas segment.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(c)Excludes depreciation, depletion and amortization related to our corporate assets and our Elk Hills power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i/>
          <w:color w:val="000000"/>
          <w:sz w:val="20"/>
        </w:rPr>
      </w:pPr>
      <w:r>
        <w:rPr>
          <w:rFonts w:ascii="Arial;sans-serif" w:hAnsi="Arial;sans-serif"/>
          <w:b/>
          <w:i/>
          <w:color w:val="000000"/>
          <w:sz w:val="20"/>
        </w:rPr>
        <w:t>Production, Prices, and Realizations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Net Production Sold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net production sold per day in each of the California basins in which we operate for the periods presented. The amounts in the production table below include volumes produced from operated and non-operated fields for each of the periods presented. </w:t>
      </w:r>
    </w:p>
    <w:tbl>
      <w:tblPr>
        <w:tblW w:w="10205" w:type="dxa"/>
        <w:jc w:val="left"/>
        <w:tblInd w:w="0" w:type="dxa"/>
        <w:tblLayout w:type="fixed"/>
        <w:tblCellMar>
          <w:top w:w="28" w:type="dxa"/>
          <w:left w:w="28" w:type="dxa"/>
          <w:bottom w:w="28" w:type="dxa"/>
          <w:right w:w="28" w:type="dxa"/>
        </w:tblCellMar>
      </w:tblPr>
      <w:tblGrid>
        <w:gridCol w:w="1172"/>
        <w:gridCol w:w="1007"/>
        <w:gridCol w:w="974"/>
        <w:gridCol w:w="463"/>
        <w:gridCol w:w="463"/>
        <w:gridCol w:w="465"/>
        <w:gridCol w:w="208"/>
        <w:gridCol w:w="208"/>
        <w:gridCol w:w="208"/>
        <w:gridCol w:w="289"/>
        <w:gridCol w:w="284"/>
        <w:gridCol w:w="268"/>
        <w:gridCol w:w="109"/>
        <w:gridCol w:w="109"/>
        <w:gridCol w:w="109"/>
        <w:gridCol w:w="463"/>
        <w:gridCol w:w="463"/>
        <w:gridCol w:w="465"/>
        <w:gridCol w:w="198"/>
        <w:gridCol w:w="198"/>
        <w:gridCol w:w="198"/>
        <w:gridCol w:w="463"/>
        <w:gridCol w:w="463"/>
        <w:gridCol w:w="465"/>
        <w:gridCol w:w="109"/>
        <w:gridCol w:w="109"/>
        <w:gridCol w:w="109"/>
        <w:gridCol w:w="166"/>
      </w:tblGrid>
      <w:tr>
        <w:trPr/>
        <w:tc>
          <w:tcPr>
            <w:tcW w:w="11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Sacramento Basin</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Other Basins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Net Production Sold (MBoe/d)</w:t>
            </w:r>
          </w:p>
        </w:tc>
        <w:tc>
          <w:tcPr>
            <w:tcW w:w="9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Total average net production sold remained flat at </w:t>
      </w:r>
      <w:r>
        <w:rPr>
          <w:rFonts w:ascii="Arial;sans-serif" w:hAnsi="Arial;sans-serif"/>
          <w:b w:val="false"/>
          <w:color w:val="000000"/>
          <w:sz w:val="20"/>
        </w:rPr>
        <w:t>137</w:t>
      </w:r>
      <w:r>
        <w:rPr>
          <w:color w:val="000000"/>
          <w:shd w:fill="FFFFFF" w:val="clear"/>
        </w:rPr>
        <w:t xml:space="preserve"> </w:t>
      </w:r>
      <w:r>
        <w:rPr>
          <w:rFonts w:ascii="Arial;sans-serif" w:hAnsi="Arial;sans-serif"/>
          <w:b w:val="false"/>
          <w:color w:val="000000"/>
          <w:sz w:val="20"/>
          <w:shd w:fill="FFFFFF" w:val="clear"/>
        </w:rPr>
        <w:t xml:space="preserve">MBoe/d for the three months ended September 30, 2025 compared to the three months ended June 30, 2025. Our production-sharing contracts (PSCs), which are described below, positively impacted our net oil production by 1 MBoe/d in the three months ended September 30, 2025 compared to the three months ended June 30, 2025. This positive production impact was offset by natural decline.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Total average net production sold increased to </w:t>
      </w:r>
      <w:r>
        <w:rPr>
          <w:rFonts w:ascii="Arial;sans-serif" w:hAnsi="Arial;sans-serif"/>
          <w:b w:val="false"/>
          <w:color w:val="000000"/>
          <w:sz w:val="20"/>
        </w:rPr>
        <w:t>138</w:t>
      </w:r>
      <w:r>
        <w:rPr>
          <w:color w:val="000000"/>
          <w:shd w:fill="FFFFFF" w:val="clear"/>
        </w:rPr>
        <w:t xml:space="preserve"> </w:t>
      </w:r>
      <w:r>
        <w:rPr>
          <w:rFonts w:ascii="Arial;sans-serif" w:hAnsi="Arial;sans-serif"/>
          <w:b w:val="false"/>
          <w:color w:val="000000"/>
          <w:sz w:val="20"/>
          <w:shd w:fill="FFFFFF" w:val="clear"/>
        </w:rPr>
        <w:t xml:space="preserve">MBoe/d for the nine months ended September 30, 2025 compared to </w:t>
      </w:r>
      <w:r>
        <w:rPr>
          <w:rFonts w:ascii="Arial;sans-serif" w:hAnsi="Arial;sans-serif"/>
          <w:b w:val="false"/>
          <w:color w:val="000000"/>
          <w:sz w:val="20"/>
        </w:rPr>
        <w:t>99</w:t>
      </w:r>
      <w:r>
        <w:rPr>
          <w:color w:val="000000"/>
          <w:shd w:fill="FFFFFF" w:val="clear"/>
        </w:rPr>
        <w:t xml:space="preserve"> </w:t>
      </w:r>
      <w:r>
        <w:rPr>
          <w:rFonts w:ascii="Arial;sans-serif" w:hAnsi="Arial;sans-serif"/>
          <w:b w:val="false"/>
          <w:color w:val="000000"/>
          <w:sz w:val="20"/>
          <w:shd w:fill="FFFFFF" w:val="clear"/>
        </w:rPr>
        <w:t>MBoe/d for the nine months ended September 30, 2024. The increase was primarily a result of the Aera Merger. Our PSCs, which are described below, positively impacted our net oil production by approximately 2 MBoe/d in the nine months ended September 30, 2025 compared to the nine months ended September 30, 2024.</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Production-Sharing Contracts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of production and reserves from operations in the Wilmington field in the Los Angeles basin is subject to contractual arrangements similar to production-sharing contracts that are in effect through the economic life of the assets. The reporting of our PSCs creates a difference between reported operating costs, which are for the full field, and reported volumes, which are only our net share, inflating the per barrel operating costs.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Prices and Realizations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on the commodities we sell as a percentage of average Brent, WTI and NYMEX Henry Hub indexes for our oil and natural gas operations for the periods presented:</w:t>
      </w:r>
    </w:p>
    <w:tbl>
      <w:tblPr>
        <w:tblW w:w="9919" w:type="dxa"/>
        <w:jc w:val="center"/>
        <w:tblInd w:w="0" w:type="dxa"/>
        <w:tblLayout w:type="fixed"/>
        <w:tblCellMar>
          <w:top w:w="28" w:type="dxa"/>
          <w:left w:w="28" w:type="dxa"/>
          <w:bottom w:w="28" w:type="dxa"/>
          <w:right w:w="28" w:type="dxa"/>
        </w:tblCellMar>
      </w:tblPr>
      <w:tblGrid>
        <w:gridCol w:w="1451"/>
        <w:gridCol w:w="1269"/>
        <w:gridCol w:w="1284"/>
        <w:gridCol w:w="250"/>
        <w:gridCol w:w="766"/>
        <w:gridCol w:w="129"/>
        <w:gridCol w:w="129"/>
        <w:gridCol w:w="129"/>
        <w:gridCol w:w="129"/>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tbl>
      <w:tblPr>
        <w:tblW w:w="9713" w:type="dxa"/>
        <w:jc w:val="left"/>
        <w:tblInd w:w="0" w:type="dxa"/>
        <w:tblLayout w:type="fixed"/>
        <w:tblCellMar>
          <w:top w:w="28" w:type="dxa"/>
          <w:left w:w="28" w:type="dxa"/>
          <w:bottom w:w="28" w:type="dxa"/>
          <w:right w:w="28" w:type="dxa"/>
        </w:tblCellMar>
      </w:tblPr>
      <w:tblGrid>
        <w:gridCol w:w="1451"/>
        <w:gridCol w:w="1269"/>
        <w:gridCol w:w="1284"/>
        <w:gridCol w:w="250"/>
        <w:gridCol w:w="766"/>
        <w:gridCol w:w="129"/>
        <w:gridCol w:w="129"/>
        <w:gridCol w:w="129"/>
        <w:gridCol w:w="129"/>
        <w:gridCol w:w="380"/>
        <w:gridCol w:w="380"/>
        <w:gridCol w:w="381"/>
        <w:gridCol w:w="109"/>
        <w:gridCol w:w="109"/>
        <w:gridCol w:w="109"/>
        <w:gridCol w:w="249"/>
        <w:gridCol w:w="762"/>
        <w:gridCol w:w="128"/>
        <w:gridCol w:w="128"/>
        <w:gridCol w:w="128"/>
        <w:gridCol w:w="128"/>
        <w:gridCol w:w="347"/>
        <w:gridCol w:w="347"/>
        <w:gridCol w:w="492"/>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Realization</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 per Bbl)</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settlements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94%</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without derivative settlements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with derivative settlements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Natural Gas Liquids ($ per Bbl)</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Brent)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 of WTI)</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Natural gas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NYMEX Henry Hub ($/MMBtu)</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Realized price ($/Mcf)</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price movements in 2025 have been dominated by OPEC+ signaling higher output, which put downward pressure on prices during the three months ended June 30, 2025. Brent prices rebounded during the three months ended September 30, 2025 as output was lower than expected and seasonal demand. Brent oil prices were lower for the nine months ended September 30, 2025 compared to the same period in 2024 as OPEC+ shifted their production cuts and quotas to increase supply. See </w:t>
      </w:r>
      <w:r>
        <w:rPr>
          <w:rFonts w:ascii="Arial;sans-serif" w:hAnsi="Arial;sans-serif"/>
          <w:b w:val="false"/>
          <w:i/>
          <w:color w:val="000000"/>
          <w:sz w:val="20"/>
        </w:rPr>
        <w:t>Business Environment and Industry Outlook</w:t>
      </w:r>
      <w:r>
        <w:rPr>
          <w:color w:val="000000"/>
        </w:rPr>
        <w:t xml:space="preserve"> </w:t>
      </w:r>
      <w:r>
        <w:rPr>
          <w:rFonts w:ascii="Arial;sans-serif" w:hAnsi="Arial;sans-serif"/>
          <w:b w:val="false"/>
          <w:color w:val="000000"/>
          <w:sz w:val="20"/>
        </w:rPr>
        <w:t xml:space="preserve">above for more information on factors influencing Brent commodity prices for the periods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Prices for natural gas liquids during the three months ended September 30, 2025 decreased compared to the three months ended June 30, 2025, reflecting typical seasonal patterns. Prices for natural gas liquids during the nine months ended September 30, 2025 were lower than in the same prior year period, consistent with broader declines in oil commodity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 xml:space="preserve">Natural gas index prices decreased for the three months ended September 30, 2025 compared to the three months ended June 30, 2025 driven by substantial natural gas production relative to modest demand for electricity generation. Realized natural gas prices in California were higher in the three months ended September 30, 2025 compared to the three months ended June 30, 2025 reflecting pipeline system maintenance and constraints impacting natural gas deliveries into California. Natural gas prices increased for the nine months ended September 30, 2025 compared to the nine months ended September 30, 2024 driven by higher demand in 2025 and the effects of elevated inventories in the prior year.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Our Carbon Management Segment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carbon management segment, which we refer to as Carbon TerraVault, primarily pursues the development of CCS projects. We expect that our Carbon TerraVault CCS projects will inject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captured from industrial, power, agriculture and other emissions sources into subsurface reservoirs and permanently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deep underground. We also expect to invest in projects that rely on CCS technology in connection with reducing our own emissions. In addition, we may participate in the development of projects that are the source of these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emissions. Our carbon management segment is in its early stages of development. We expect construction of our first carbon capture project at our cryogenic gas processing facility to be completed at or around year end. We expect first injection in 2026, subject to receipt of final regulatory approvals.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include results for our carbon management segment for the three months ended September 30, 2025 and June 30, 2025 and the nine months ended September 30, 2025 and September 30 2024.</w:t>
      </w:r>
    </w:p>
    <w:p>
      <w:pPr>
        <w:pStyle w:val="TextBody"/>
        <w:bidi w:val="0"/>
        <w:spacing w:before="0" w:after="0"/>
        <w:ind w:left="0" w:right="0" w:firstLine="360"/>
        <w:jc w:val="left"/>
        <w:rPr/>
      </w:pPr>
      <w:r>
        <w:rPr/>
      </w:r>
    </w:p>
    <w:tbl>
      <w:tblPr>
        <w:tblW w:w="8355" w:type="dxa"/>
        <w:jc w:val="left"/>
        <w:tblInd w:w="0" w:type="dxa"/>
        <w:tblLayout w:type="fixed"/>
        <w:tblCellMar>
          <w:top w:w="28" w:type="dxa"/>
          <w:left w:w="28" w:type="dxa"/>
          <w:bottom w:w="28" w:type="dxa"/>
          <w:right w:w="28" w:type="dxa"/>
        </w:tblCellMar>
      </w:tblPr>
      <w:tblGrid>
        <w:gridCol w:w="477"/>
        <w:gridCol w:w="420"/>
        <w:gridCol w:w="422"/>
        <w:gridCol w:w="435"/>
        <w:gridCol w:w="778"/>
        <w:gridCol w:w="226"/>
        <w:gridCol w:w="120"/>
        <w:gridCol w:w="120"/>
        <w:gridCol w:w="120"/>
        <w:gridCol w:w="247"/>
        <w:gridCol w:w="511"/>
        <w:gridCol w:w="127"/>
        <w:gridCol w:w="109"/>
        <w:gridCol w:w="109"/>
        <w:gridCol w:w="109"/>
        <w:gridCol w:w="435"/>
        <w:gridCol w:w="778"/>
        <w:gridCol w:w="226"/>
        <w:gridCol w:w="113"/>
        <w:gridCol w:w="113"/>
        <w:gridCol w:w="113"/>
        <w:gridCol w:w="435"/>
        <w:gridCol w:w="778"/>
        <w:gridCol w:w="226"/>
        <w:gridCol w:w="109"/>
        <w:gridCol w:w="109"/>
        <w:gridCol w:w="109"/>
        <w:gridCol w:w="109"/>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loss</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3"/>
        <w:gridCol w:w="1236"/>
        <w:gridCol w:w="1241"/>
        <w:gridCol w:w="416"/>
        <w:gridCol w:w="744"/>
        <w:gridCol w:w="216"/>
        <w:gridCol w:w="124"/>
        <w:gridCol w:w="124"/>
        <w:gridCol w:w="124"/>
        <w:gridCol w:w="257"/>
        <w:gridCol w:w="459"/>
        <w:gridCol w:w="132"/>
        <w:gridCol w:w="109"/>
        <w:gridCol w:w="109"/>
        <w:gridCol w:w="109"/>
        <w:gridCol w:w="416"/>
        <w:gridCol w:w="744"/>
        <w:gridCol w:w="216"/>
        <w:gridCol w:w="118"/>
        <w:gridCol w:w="118"/>
        <w:gridCol w:w="118"/>
        <w:gridCol w:w="416"/>
        <w:gridCol w:w="744"/>
        <w:gridCol w:w="216"/>
        <w:gridCol w:w="109"/>
        <w:gridCol w:w="167"/>
      </w:tblGrid>
      <w:tr>
        <w:trPr/>
        <w:tc>
          <w:tcPr>
            <w:tcW w:w="14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expenses</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general and administrative expenses</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the Carbon TerraVault JV</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decreased for the </w:t>
      </w:r>
      <w:r>
        <w:rPr>
          <w:rFonts w:ascii="Arial;sans-serif" w:hAnsi="Arial;sans-serif"/>
          <w:b w:val="false"/>
          <w:color w:val="000000"/>
          <w:sz w:val="20"/>
        </w:rPr>
        <w:t>three months ended September 30, 2025</w:t>
      </w:r>
      <w:r>
        <w:rPr>
          <w:color w:val="000000"/>
          <w:shd w:fill="FFFFFF" w:val="clear"/>
        </w:rPr>
        <w:t xml:space="preserve"> </w:t>
      </w:r>
      <w:r>
        <w:rPr>
          <w:rFonts w:ascii="Arial;sans-serif" w:hAnsi="Arial;sans-serif"/>
          <w:b w:val="false"/>
          <w:color w:val="000000"/>
          <w:sz w:val="20"/>
          <w:shd w:fill="FFFFFF" w:val="clear"/>
        </w:rPr>
        <w:t>compared to the t</w:t>
      </w:r>
      <w:r>
        <w:rPr>
          <w:rFonts w:ascii="Arial;sans-serif" w:hAnsi="Arial;sans-serif"/>
          <w:b w:val="false"/>
          <w:color w:val="000000"/>
          <w:sz w:val="20"/>
        </w:rPr>
        <w:t xml:space="preserve">hree months ended June 30, 2025 </w:t>
      </w:r>
      <w:r>
        <w:rPr>
          <w:rFonts w:ascii="Arial;sans-serif" w:hAnsi="Arial;sans-serif"/>
          <w:b w:val="false"/>
          <w:color w:val="000000"/>
          <w:sz w:val="20"/>
          <w:shd w:fill="FFFFFF" w:val="clear"/>
        </w:rPr>
        <w:t>as a result of lower legal and compensation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Carbon management expenses increased for the </w:t>
      </w:r>
      <w:r>
        <w:rPr>
          <w:rFonts w:ascii="Arial;sans-serif" w:hAnsi="Arial;sans-serif"/>
          <w:b w:val="false"/>
          <w:color w:val="000000"/>
          <w:sz w:val="20"/>
        </w:rPr>
        <w:t>nine months ended September 30, 2025</w:t>
      </w:r>
      <w:r>
        <w:rPr>
          <w:color w:val="000000"/>
          <w:shd w:fill="FFFFFF" w:val="clear"/>
        </w:rPr>
        <w:t xml:space="preserve"> </w:t>
      </w:r>
      <w:r>
        <w:rPr>
          <w:rFonts w:ascii="Arial;sans-serif" w:hAnsi="Arial;sans-serif"/>
          <w:b w:val="false"/>
          <w:color w:val="000000"/>
          <w:sz w:val="20"/>
          <w:shd w:fill="FFFFFF" w:val="clear"/>
        </w:rPr>
        <w:t>compared to the nine</w:t>
      </w:r>
      <w:r>
        <w:rPr>
          <w:color w:val="000000"/>
        </w:rPr>
        <w:t xml:space="preserve"> </w:t>
      </w:r>
      <w:r>
        <w:rPr>
          <w:rFonts w:ascii="Arial;sans-serif" w:hAnsi="Arial;sans-serif"/>
          <w:b w:val="false"/>
          <w:color w:val="000000"/>
          <w:sz w:val="20"/>
        </w:rPr>
        <w:t xml:space="preserve">months ended September 30, 2024 </w:t>
      </w:r>
      <w:r>
        <w:rPr>
          <w:rFonts w:ascii="Arial;sans-serif" w:hAnsi="Arial;sans-serif"/>
          <w:b w:val="false"/>
          <w:color w:val="000000"/>
          <w:sz w:val="20"/>
          <w:shd w:fill="FFFFFF" w:val="clear"/>
        </w:rPr>
        <w:t>as a result of increased expenditure related to the evaluation of CCS projects and increased lease cost.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primary sources of liquidity and capital resources are cash flows from operations, available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and nine months ended September 30, 2025 were for repurchases of our common stock, payment of dividends, and capital investments.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5430" w:type="dxa"/>
        <w:jc w:val="left"/>
        <w:tblInd w:w="0" w:type="dxa"/>
        <w:tblLayout w:type="fixed"/>
        <w:tblCellMar>
          <w:top w:w="28" w:type="dxa"/>
          <w:left w:w="28" w:type="dxa"/>
          <w:bottom w:w="28" w:type="dxa"/>
          <w:right w:w="28" w:type="dxa"/>
        </w:tblCellMar>
      </w:tblPr>
      <w:tblGrid>
        <w:gridCol w:w="1256"/>
        <w:gridCol w:w="1103"/>
        <w:gridCol w:w="1106"/>
        <w:gridCol w:w="409"/>
        <w:gridCol w:w="1255"/>
        <w:gridCol w:w="301"/>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Available cash and cash equivalents</w:t>
            </w:r>
            <w:r>
              <w:rPr>
                <w:rFonts w:ascii="Arial;sans-serif" w:hAnsi="Arial;sans-serif"/>
                <w:b w:val="false"/>
                <w:color w:val="000000"/>
                <w:sz w:val="13"/>
              </w:rPr>
              <w:t>(a)</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Borrowing capacity</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(a)Excludes restricted cash of $16 million.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2025 capital program described below, we expect to generate operating cash flow to return cash to shareholders through dividends and repurchases of our common stock. We regularly review our financial position and evaluate whether to (i) adjust our drilling program, (ii) return available cash to shareholders through dividends or share repurchases to the extent permitted under our Revolving Credit Facility, our 8.25% senior notes due 2029 (2029 Senior Notes), and our 7.00% senior notes due 2034 (2034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5 Debt </w:t>
      </w:r>
      <w:r>
        <w:rPr>
          <w:rFonts w:ascii="Arial;sans-serif" w:hAnsi="Arial;sans-serif"/>
          <w:b w:val="false"/>
          <w:color w:val="000000"/>
          <w:sz w:val="20"/>
        </w:rPr>
        <w:t xml:space="preserve">in our 2024 Annual Report for information on the Revolving Credit Facility and related amendments. See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 xml:space="preserve">for information on a recent amendment to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2034 Senior Notes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 xml:space="preserve">for information on our 2034 Senior Notes.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2026 Senior Notes Redemption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4 Debt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 xml:space="preserve">Note 16 Subsequent Events </w:t>
      </w:r>
      <w:r>
        <w:rPr>
          <w:rFonts w:ascii="Arial;sans-serif" w:hAnsi="Arial;sans-serif"/>
          <w:b w:val="false"/>
          <w:color w:val="000000"/>
          <w:sz w:val="20"/>
        </w:rPr>
        <w:t xml:space="preserve">for information on the redemption of our 2026 Senior Notes.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and Part II, Item 2 – Other Information, Unregistered Sales of Equity Securities and Use of Proceeds </w:t>
      </w:r>
      <w:r>
        <w:rPr>
          <w:rFonts w:ascii="Arial;sans-serif" w:hAnsi="Arial;sans-serif"/>
          <w:b w:val="false"/>
          <w:color w:val="000000"/>
          <w:sz w:val="20"/>
        </w:rPr>
        <w:t xml:space="preserve">for more information on our Share Repurchase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 Item 1 – Financial Statements, Note 10 Stockholders' Equity </w:t>
      </w:r>
      <w:r>
        <w:rPr>
          <w:rFonts w:ascii="Arial;sans-serif" w:hAnsi="Arial;sans-serif"/>
          <w:b w:val="false"/>
          <w:color w:val="000000"/>
          <w:sz w:val="20"/>
        </w:rPr>
        <w:t xml:space="preserve">for more information on our dividends. See </w:t>
      </w:r>
      <w:r>
        <w:rPr>
          <w:rFonts w:ascii="Arial;sans-serif" w:hAnsi="Arial;sans-serif"/>
          <w:b w:val="false"/>
          <w:i/>
          <w:color w:val="000000"/>
          <w:sz w:val="20"/>
        </w:rPr>
        <w:t xml:space="preserve">Part I, Item 1 – Financial Statements, Note 16 Subsequent Events </w:t>
      </w:r>
      <w:r>
        <w:rPr>
          <w:rFonts w:ascii="Arial;sans-serif" w:hAnsi="Arial;sans-serif"/>
          <w:b w:val="false"/>
          <w:color w:val="000000"/>
          <w:sz w:val="20"/>
        </w:rPr>
        <w:t>for information on an increased dividend declared in November 2025.</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Capital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capital investment for the nine months ended September 30, 2025</w:t>
      </w:r>
      <w:r>
        <w:rPr>
          <w:color w:val="000000"/>
          <w:shd w:fill="FFFFFF" w:val="clear"/>
        </w:rPr>
        <w:t xml:space="preserve"> </w:t>
      </w:r>
      <w:r>
        <w:rPr>
          <w:rFonts w:ascii="Arial;sans-serif" w:hAnsi="Arial;sans-serif"/>
          <w:b w:val="false"/>
          <w:color w:val="000000"/>
          <w:sz w:val="20"/>
          <w:shd w:fill="FFFFFF" w:val="clear"/>
        </w:rPr>
        <w:t>was $202 million. We expect our full year 2025 capital program to range between $280 million</w:t>
      </w:r>
      <w:r>
        <w:rPr>
          <w:color w:val="000000"/>
        </w:rPr>
        <w:t xml:space="preserve"> </w:t>
      </w:r>
      <w:r>
        <w:rPr>
          <w:rFonts w:ascii="Arial;sans-serif" w:hAnsi="Arial;sans-serif"/>
          <w:b w:val="false"/>
          <w:color w:val="000000"/>
          <w:sz w:val="20"/>
        </w:rPr>
        <w:t xml:space="preserve">and $330 million. Of this amount, $250 million to $275 million is related to our oil and natural gas segment, $20 million to $40 million is for our carbon management segment and $10 million to $15 million is for corporate and other activities. The above amounts related to carbon management projects do not include amounts funded by Brookfield through the Carbon TerraVault JV, such as drilling injection and monitoring wells at our 26R reservoir.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With respect to oil and natural gas development, we ran an average of two rigs during the three months ended September 30, 2025 and expect to exit the year with four rigs. Refer to </w:t>
      </w:r>
      <w:r>
        <w:rPr>
          <w:rFonts w:ascii="Arial;sans-serif" w:hAnsi="Arial;sans-serif"/>
          <w:b w:val="false"/>
          <w:i/>
          <w:color w:val="000000"/>
          <w:sz w:val="20"/>
        </w:rPr>
        <w:t>Regulatory Updates</w:t>
      </w:r>
      <w:r>
        <w:rPr>
          <w:color w:val="000000"/>
        </w:rPr>
        <w:t xml:space="preserve"> </w:t>
      </w:r>
      <w:r>
        <w:rPr>
          <w:rFonts w:ascii="Arial;sans-serif" w:hAnsi="Arial;sans-serif"/>
          <w:b w:val="false"/>
          <w:color w:val="000000"/>
          <w:sz w:val="20"/>
        </w:rPr>
        <w:t xml:space="preserve">above for more information on permitting. Refer to </w:t>
      </w:r>
      <w:r>
        <w:rPr>
          <w:rFonts w:ascii="Arial;sans-serif" w:hAnsi="Arial;sans-serif"/>
          <w:b w:val="false"/>
          <w:i/>
          <w:color w:val="000000"/>
          <w:sz w:val="20"/>
        </w:rPr>
        <w:t xml:space="preserve">Part I, Item 1 – Financial Statements, Note 9 Segment Information </w:t>
      </w:r>
      <w:r>
        <w:rPr>
          <w:rFonts w:ascii="Arial;sans-serif" w:hAnsi="Arial;sans-serif"/>
          <w:b w:val="false"/>
          <w:color w:val="000000"/>
          <w:sz w:val="20"/>
        </w:rPr>
        <w:t xml:space="preserve">for information on capital investment by segment.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plan to average four rigs during 2026, which activity is underpinned by the strength of hedges currently in place. We expect to operate four rigs using existing permits and new permits which we expect to become available in 2026 following the recent enactment of SB 237. We retain the flexibility to adjust our 2026 capital plan to reflect changes in commodity prices and other market factors. This program does not include the impact of the Berry Merger.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oil prices negatively affect our operating cash flow, and the inverse applies during periods of rising oil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nine months ended September 30, 2025. See </w:t>
      </w:r>
      <w:r>
        <w:rPr>
          <w:rFonts w:ascii="Arial;sans-serif" w:hAnsi="Arial;sans-serif"/>
          <w:b w:val="false"/>
          <w:i/>
          <w:color w:val="000000"/>
          <w:sz w:val="20"/>
        </w:rPr>
        <w:t>Part I, Item 1 – Financial Statements, Note 6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September 30, 2025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5 Debt </w:t>
      </w:r>
      <w:r>
        <w:rPr>
          <w:rFonts w:ascii="Arial;sans-serif" w:hAnsi="Arial;sans-serif"/>
          <w:b w:val="false"/>
          <w:color w:val="000000"/>
          <w:sz w:val="20"/>
        </w:rPr>
        <w:t>in our 2024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from operating activities</w:t>
      </w:r>
      <w:r>
        <w:rPr>
          <w:color w:val="000000"/>
        </w:rPr>
        <w:t xml:space="preserve"> — </w:t>
      </w:r>
      <w:r>
        <w:rPr>
          <w:rFonts w:ascii="Arial;sans-serif" w:hAnsi="Arial;sans-serif"/>
          <w:b w:val="false"/>
          <w:color w:val="000000"/>
          <w:sz w:val="20"/>
        </w:rPr>
        <w:t xml:space="preserve">For the nine months ended September 30, 2025, our operating cash flow increased by $226 million to $630 million from $404 million in the same period in 2024. This increase in operating cash flow was primarily driven by the Aera Merger on July 1,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Oil production during the nine months ended September 30, 2025 as compared to the same period in 2024 increased 40 </w:t>
      </w:r>
      <w:r>
        <w:rPr>
          <w:rFonts w:ascii="Arial;sans-serif" w:hAnsi="Arial;sans-serif"/>
          <w:b w:val="false"/>
          <w:color w:val="000000"/>
          <w:sz w:val="20"/>
          <w:shd w:fill="FFFFFF" w:val="clear"/>
        </w:rPr>
        <w:t xml:space="preserve">MBbl/d from </w:t>
      </w:r>
      <w:r>
        <w:rPr>
          <w:rFonts w:ascii="Arial;sans-serif" w:hAnsi="Arial;sans-serif"/>
          <w:b w:val="false"/>
          <w:color w:val="000000"/>
          <w:sz w:val="20"/>
        </w:rPr>
        <w:t>69</w:t>
      </w:r>
      <w:r>
        <w:rPr>
          <w:color w:val="000000"/>
          <w:shd w:fill="FFFFFF" w:val="clear"/>
        </w:rPr>
        <w:t xml:space="preserve"> </w:t>
      </w:r>
      <w:r>
        <w:rPr>
          <w:rFonts w:ascii="Arial;sans-serif" w:hAnsi="Arial;sans-serif"/>
          <w:b w:val="false"/>
          <w:color w:val="000000"/>
          <w:sz w:val="20"/>
          <w:shd w:fill="FFFFFF" w:val="clear"/>
        </w:rPr>
        <w:t xml:space="preserve">MBbl/d to </w:t>
      </w:r>
      <w:r>
        <w:rPr>
          <w:rFonts w:ascii="Arial;sans-serif" w:hAnsi="Arial;sans-serif"/>
          <w:b w:val="false"/>
          <w:color w:val="000000"/>
          <w:sz w:val="20"/>
        </w:rPr>
        <w:t xml:space="preserve">109 </w:t>
      </w:r>
      <w:r>
        <w:rPr>
          <w:rFonts w:ascii="Arial;sans-serif" w:hAnsi="Arial;sans-serif"/>
          <w:b w:val="false"/>
          <w:color w:val="000000"/>
          <w:sz w:val="20"/>
          <w:shd w:fill="FFFFFF" w:val="clear"/>
        </w:rPr>
        <w:t xml:space="preserve">MBbl/d as a result of the Aera Merger. Higher revenue from this increase in production was partially offset by lower average realized oil prices (after derivative settlements). Average realized prices for oil decreased by $8.49 per barrel to </w:t>
      </w:r>
      <w:r>
        <w:rPr>
          <w:rFonts w:ascii="Arial;sans-serif" w:hAnsi="Arial;sans-serif"/>
          <w:b w:val="false"/>
          <w:color w:val="000000"/>
          <w:sz w:val="20"/>
        </w:rPr>
        <w:t>$68.61</w:t>
      </w:r>
      <w:r>
        <w:rPr>
          <w:color w:val="000000"/>
          <w:shd w:fill="FFFFFF" w:val="clear"/>
        </w:rPr>
        <w:t xml:space="preserve"> </w:t>
      </w:r>
      <w:r>
        <w:rPr>
          <w:rFonts w:ascii="Arial;sans-serif" w:hAnsi="Arial;sans-serif"/>
          <w:b w:val="false"/>
          <w:color w:val="000000"/>
          <w:sz w:val="20"/>
          <w:shd w:fill="FFFFFF" w:val="clear"/>
        </w:rPr>
        <w:t xml:space="preserve">in the nine months ended </w:t>
      </w:r>
      <w:r>
        <w:rPr>
          <w:rFonts w:ascii="Arial;sans-serif" w:hAnsi="Arial;sans-serif"/>
          <w:b w:val="false"/>
          <w:color w:val="000000"/>
          <w:sz w:val="20"/>
        </w:rPr>
        <w:t>September</w:t>
      </w:r>
      <w:r>
        <w:rPr>
          <w:color w:val="000000"/>
          <w:shd w:fill="FFFFFF" w:val="clear"/>
        </w:rPr>
        <w:t xml:space="preserve"> </w:t>
      </w:r>
      <w:r>
        <w:rPr>
          <w:rFonts w:ascii="Arial;sans-serif" w:hAnsi="Arial;sans-serif"/>
          <w:b w:val="false"/>
          <w:color w:val="000000"/>
          <w:sz w:val="20"/>
          <w:shd w:fill="FFFFFF" w:val="clear"/>
        </w:rPr>
        <w:t xml:space="preserve">30, 2025 from </w:t>
      </w:r>
      <w:r>
        <w:rPr>
          <w:rFonts w:ascii="Arial;sans-serif" w:hAnsi="Arial;sans-serif"/>
          <w:b w:val="false"/>
          <w:color w:val="000000"/>
          <w:sz w:val="20"/>
        </w:rPr>
        <w:t>$77.10</w:t>
      </w:r>
      <w:r>
        <w:rPr>
          <w:color w:val="000000"/>
          <w:shd w:fill="FFFFFF" w:val="clear"/>
        </w:rPr>
        <w:t xml:space="preserve"> </w:t>
      </w:r>
      <w:r>
        <w:rPr>
          <w:rFonts w:ascii="Arial;sans-serif" w:hAnsi="Arial;sans-serif"/>
          <w:b w:val="false"/>
          <w:color w:val="000000"/>
          <w:sz w:val="20"/>
          <w:shd w:fill="FFFFFF" w:val="clear"/>
        </w:rPr>
        <w:t xml:space="preserve">in the same prior year period. Further, as a result of the Aera Merger, we experienced higher operating costs, employee costs, well abandonment costs, production taxes and greenhouse gas taxes during the nine months ended </w:t>
      </w:r>
      <w:r>
        <w:rPr>
          <w:rFonts w:ascii="Arial;sans-serif" w:hAnsi="Arial;sans-serif"/>
          <w:b w:val="false"/>
          <w:color w:val="000000"/>
          <w:sz w:val="20"/>
        </w:rPr>
        <w:t>September</w:t>
      </w:r>
      <w:r>
        <w:rPr>
          <w:color w:val="000000"/>
          <w:shd w:fill="FFFFFF" w:val="clear"/>
        </w:rPr>
        <w:t xml:space="preserve"> </w:t>
      </w:r>
      <w:r>
        <w:rPr>
          <w:rFonts w:ascii="Arial;sans-serif" w:hAnsi="Arial;sans-serif"/>
          <w:b w:val="false"/>
          <w:color w:val="000000"/>
          <w:sz w:val="20"/>
          <w:shd w:fill="FFFFFF" w:val="clear"/>
        </w:rPr>
        <w:t>30, 2025 as compared to the same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During the nine months ended </w:t>
      </w:r>
      <w:r>
        <w:rPr>
          <w:rFonts w:ascii="Arial;sans-serif" w:hAnsi="Arial;sans-serif"/>
          <w:b w:val="false"/>
          <w:color w:val="000000"/>
          <w:sz w:val="20"/>
        </w:rPr>
        <w:t>September</w:t>
      </w:r>
      <w:r>
        <w:rPr>
          <w:color w:val="000000"/>
          <w:shd w:fill="FFFFFF" w:val="clear"/>
        </w:rPr>
        <w:t xml:space="preserve"> </w:t>
      </w:r>
      <w:r>
        <w:rPr>
          <w:rFonts w:ascii="Arial;sans-serif" w:hAnsi="Arial;sans-serif"/>
          <w:b w:val="false"/>
          <w:color w:val="000000"/>
          <w:sz w:val="20"/>
          <w:shd w:fill="FFFFFF" w:val="clear"/>
        </w:rPr>
        <w:t xml:space="preserve">30, 2024, downtime at the Elk Hills power plant negatively impacted our production and we purchased electricity at higher prices.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7599" w:type="dxa"/>
        <w:jc w:val="left"/>
        <w:tblInd w:w="0" w:type="dxa"/>
        <w:tblLayout w:type="fixed"/>
        <w:tblCellMar>
          <w:top w:w="28" w:type="dxa"/>
          <w:left w:w="28" w:type="dxa"/>
          <w:bottom w:w="28" w:type="dxa"/>
          <w:right w:w="28" w:type="dxa"/>
        </w:tblCellMar>
      </w:tblPr>
      <w:tblGrid>
        <w:gridCol w:w="1475"/>
        <w:gridCol w:w="1292"/>
        <w:gridCol w:w="1298"/>
        <w:gridCol w:w="109"/>
        <w:gridCol w:w="109"/>
        <w:gridCol w:w="200"/>
        <w:gridCol w:w="200"/>
        <w:gridCol w:w="391"/>
        <w:gridCol w:w="921"/>
        <w:gridCol w:w="206"/>
        <w:gridCol w:w="109"/>
        <w:gridCol w:w="109"/>
        <w:gridCol w:w="109"/>
        <w:gridCol w:w="211"/>
        <w:gridCol w:w="70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398"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asset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 of a business,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7763" w:type="dxa"/>
        <w:jc w:val="left"/>
        <w:tblInd w:w="0" w:type="dxa"/>
        <w:tblLayout w:type="fixed"/>
        <w:tblCellMar>
          <w:top w:w="28" w:type="dxa"/>
          <w:left w:w="28" w:type="dxa"/>
          <w:bottom w:w="28" w:type="dxa"/>
          <w:right w:w="28" w:type="dxa"/>
        </w:tblCellMar>
      </w:tblPr>
      <w:tblGrid>
        <w:gridCol w:w="1612"/>
        <w:gridCol w:w="1418"/>
        <w:gridCol w:w="1424"/>
        <w:gridCol w:w="109"/>
        <w:gridCol w:w="109"/>
        <w:gridCol w:w="200"/>
        <w:gridCol w:w="200"/>
        <w:gridCol w:w="391"/>
        <w:gridCol w:w="921"/>
        <w:gridCol w:w="206"/>
        <w:gridCol w:w="109"/>
        <w:gridCol w:w="109"/>
        <w:gridCol w:w="109"/>
        <w:gridCol w:w="211"/>
        <w:gridCol w:w="48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c>
          <w:tcPr>
            <w:tcW w:w="1173" w:type="dxa"/>
            <w:gridSpan w:val="6"/>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2029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Repurchases of common stock</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equivalents on equity-settled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Bridge loan commitment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redemption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 warrants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 xml:space="preserve">Note: The total value of shares purchased includes excise taxes, which are generally paid in the year following the share repurchase. Commissions paid on share repurchases were not significant in all periods presented.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2025, our cash flow used in financing activities was $589 million compared to cash flow provided by financing activities of $351 million in the same period in 2024. This decrease in cash flow from financing activities was primarily driven by the $888 million of proceeds from 2029 Senior Notes issued in the nine months ended September 30, 2024. Additionally, the decrease is caused by the $352 million cash outflow used to repurchase stock in the nine months ended September 30, 2025 compared to $135 million in the nine months ended September 30,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and Assets Held for Sale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8 Divestitures and Assets Held for Sale</w:t>
      </w:r>
      <w:r>
        <w:rPr>
          <w:color w:val="000000"/>
        </w:rPr>
        <w:t xml:space="preserve"> </w:t>
      </w:r>
      <w:r>
        <w:rPr>
          <w:rFonts w:ascii="Arial;sans-serif" w:hAnsi="Arial;sans-serif"/>
          <w:b w:val="false"/>
          <w:color w:val="000000"/>
          <w:sz w:val="20"/>
        </w:rPr>
        <w:t xml:space="preserve">for information on our divestitures and acquisitions during the three months ended September 30, 2025 and 2024.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5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fluctuations in commodity prices, including supply and demand considerations for our products and services, and the impact of such fluctuations on revenues and operating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decisions as to production levels and/or pricing by OPEC+ or U.S. producers in future periods;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Lebanon, Ukraine and the Middle East;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execute integration efforts in connection with the Aera Merger, and achieve projected synergies and ensure that such synergies are sustainable;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expected timing and resumption of the issuance of well permits following the enactment of SB 237;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efforts of activists to delay prevent oil and gas activities or the development of our carbon management segment through a variety of tactics, including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tariffs and changes in domestic or global trade policies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business strategy and our capital plan;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lower-than-expected production or higher-than-expected production decline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estimates of reserves and related future cash flows, including changes arising from our inability to develop such reserves in a timely manner, and any inability to replace such reserves;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realize the anticipated benefits from prior or future efforts to reduce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environmental risks and liability under federal, regional, state, provincial, tribal, local and international environmental laws and regulations (including remedial 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creditworthiness and performance of our counterparties, including financial institutions, operating partners, CCS project participants and other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reorganization or restructuring of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strategies and initiatives, including CCS projects and other renewable energy efforts;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power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maximize the value of our carbon management segment and operate it on a stand alone basis;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develop infrastructure projects and enter into third party contracts on contemplated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uncertainty around the accounting of emissions and our ability to successfully gather and verify emissions data and other environmental impacts;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to our dividend policy and share repurchase program, and our ability to declare future dividends or repurchase shares under our debt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segment;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pandemics, epidemics, outbreaks, or other public health events, such as the COVID-19 pandemic;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transaction costs;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unknown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that any announcements relating to the Berry Merger could have adverse effects on the market price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integrate Berry;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achieve projected synergies from the Berry Merger or it may take longer than expected to achieve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risks related to financial community and rating agency perceptions of us and our business, operations, financial condition and the industry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occurrence of any event, change or other circumstances that could give rise to the termination of the Berry Merger;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risk that stockholders of Berry may not approve the Berry Merger;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risk that the any of the other closing conditions to the Berry Merger may not be satisfied in a timely manner, including the risk that all necessary regulatory approvals may not be obtained or may be obtained subject to conditions that are not anticipated;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risks related to disruption of management time from ongoing business operations due to the Berry transaction;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the announcement, pendency or completion of the transaction on our ability to retain customers and retain and hire key personnel and maintain relationships with our suppliers and customers;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factors discussed in Part I, Item 1A – Risk Factors of our 2024 Annual Report.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nine months ended September 30, 2025,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2024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September 30, 2025, we had a net asset of $71 million for our commodity derivative positions which are carried at fair value.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September 30, 2025</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6 Derivatives.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2025, we have hedges on approximately 69% of our expected oil production for the remainder of 2025 at a weighted average floor price of $66.60. As of September 30, 2025, our hedges for purchased natural gas approximate 69% of our expected fuel use in oil and natural gas operations for the remainder of 2025 at a fixed price of $4.01.</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September 30, 2025, the majority of our credit exposure was with investment-grade counterparties. We believe exposure to counterparty credit-related losses related to our business at September 30, 2025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rates may affect the amount of interest we pay on our long-term debt. We had no variable-rate debt outstanding as of September 30, 2025</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2029 Senior Notes bear interest at a fixed rate of 8.250% per annum. Our 2034 Senior Notes bear interest at a fixed rate of 7.000% per annum.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4Controls and Procedures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September 30,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other changes in our internal controls over financial reporting (as defined in Rules 13a-15(f) and 15d-15(f) under the Securities Exchange Act of 1934) during the three months ended September 30, 2025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5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2024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2024 Annual Report. There were no material changes to those risk factors during the three months ended September 30, 2025, except as described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Acquisition and disposition activities, including the Berry Merger, involve substantial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September 14, 2025, we entered into the Berry Merger Agreement with Berry. In addition, from time to time, we engage in acquisition activities. The Berry Merger and other such activities carry risks that we may:</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 fully realize anticipated benefits due to less-than-expected reserves or production or changed circumstances;</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bear unexpected integration costs or experience other integration difficulties;</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assume liabilities that are greater than anticipated; and</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be exposed to currency, political, marketing, labor and other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Berry Merger is expected to close in the first quarter of 2026 and is subject to certain closing conditions, including, among others, adoption of the Berry Merger Agreement by its stockholders, the receipt of certain required government approvals, and other customary closing conditions. Our other acquisition activities may similarly require us to seek approvals from government agencies and other regulatory bodies, depending on the nature and extent of the businesses being acquired. There can be no assurances that we would be able to obtain such approvals. If we are not able to complete acquisitions, we may not be able to grow our reserves or develop our properties in a timely manner or at all.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not be able to realize reasonable prices or rates of return for assets;</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be required to retain liabilities that are greater than desired or anticipated;</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experience increased operating costs; and</w:t>
      </w:r>
    </w:p>
    <w:p>
      <w:pPr>
        <w:pStyle w:val="TextBody"/>
        <w:bidi w:val="0"/>
        <w:spacing w:lineRule="auto" w:line="288" w:before="0" w:after="0"/>
        <w:ind w:left="0" w:right="0" w:firstLine="360"/>
        <w:jc w:val="left"/>
        <w:rPr/>
      </w:pPr>
      <w:r>
        <w:rPr>
          <w:color w:val="000000"/>
        </w:rPr>
        <w:t>•</w:t>
      </w:r>
      <w:r>
        <w:rPr>
          <w:rFonts w:ascii="Arial;sans-serif" w:hAnsi="Arial;sans-serif"/>
          <w:b w:val="false"/>
          <w:color w:val="000000"/>
          <w:sz w:val="20"/>
        </w:rPr>
        <w:t>reduce our cash flows if we cannot replace associated revenue.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we have expended and will continue to expend significant time and resources in connection with the Berry Merger, as well as any future acquisition and disposition activities. For example, time and resources will be expended in connection with seeking regulatory approvals for the Berry Merger.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While the Berry Merger is pending, we will be subject to certain contractual restrictions that could adversely affect our business and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Due to certain restrictions in the Berry Merger Agreement on the conduct of business prior to completing the Berry Merger, we may be unable, during the pendency of the Berry Merger, to pursue strategic transactions and otherwise pursue other actions, even if such actions would prove beneficial, and we may have to forgo certain opportunities we might otherwise pursue.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the Berry Merger Agreement also contains certain termination rights for us and Berry. Upon termination of the Berry Merger Agreement in accordance with its terms, under certain circumstances, we will be required to reimburse Berry up to $5 million for certain costs and expenses incurred or paid by Berry in connection with the Berry Merger. In addition, upon a termination of the Berry Merger Agreement resulting from our fraud or willful breach of the Berry Merger Agreement, we may be liable to Berry, under certain circumstances, for damages up to $40,255,219, only to the extent proven, based on the loss of the premium that the Berry stockholders would have received if the Berry Merger was consummated pursuant to the terms of the Berry Merger Agreement and Section 261(a)(1) of the Delaware General Corporation Law.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has authorized a Share Repurchase Program to acquire up to $1.35 billion of our common stock through </w:t>
      </w:r>
      <w:r>
        <w:rPr>
          <w:rFonts w:ascii="Arial;sans-serif" w:hAnsi="Arial;sans-serif"/>
          <w:b w:val="false"/>
          <w:color w:val="000000"/>
          <w:sz w:val="20"/>
          <w:shd w:fill="FFFFFF" w:val="clear"/>
        </w:rPr>
        <w:t>June 30, 2026.</w:t>
      </w:r>
      <w:r>
        <w:rPr>
          <w:color w:val="000000"/>
        </w:rPr>
        <w:t xml:space="preserve"> </w:t>
      </w:r>
      <w:r>
        <w:rPr>
          <w:rFonts w:ascii="Arial;sans-serif" w:hAnsi="Arial;sans-serif"/>
          <w:b w:val="false"/>
          <w:color w:val="000000"/>
          <w:sz w:val="20"/>
        </w:rPr>
        <w:t>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either retired or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September 30, 2025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826"/>
        <w:gridCol w:w="402"/>
        <w:gridCol w:w="405"/>
        <w:gridCol w:w="499"/>
        <w:gridCol w:w="499"/>
        <w:gridCol w:w="500"/>
        <w:gridCol w:w="109"/>
        <w:gridCol w:w="109"/>
        <w:gridCol w:w="109"/>
        <w:gridCol w:w="349"/>
        <w:gridCol w:w="674"/>
        <w:gridCol w:w="183"/>
        <w:gridCol w:w="109"/>
        <w:gridCol w:w="109"/>
        <w:gridCol w:w="109"/>
        <w:gridCol w:w="799"/>
        <w:gridCol w:w="799"/>
        <w:gridCol w:w="800"/>
        <w:gridCol w:w="109"/>
        <w:gridCol w:w="109"/>
        <w:gridCol w:w="109"/>
        <w:gridCol w:w="679"/>
        <w:gridCol w:w="1306"/>
        <w:gridCol w:w="504"/>
      </w:tblGrid>
      <w:tr>
        <w:trPr/>
        <w:tc>
          <w:tcPr>
            <w:tcW w:w="8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 2025 - July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2025 - August 31, 2025</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2025 - September 30, 2025</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$205 million as of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November 4, 2025, the Board of Directors approved the grant of restricted stock unit awards (RSUs) under our 2021 Long Term Incentive Plan to certain executive officers of the Company in order to provide a one-time retention award to our management team. The amount of restricted stock units granted to each executive officer is as follows: </w:t>
      </w:r>
    </w:p>
    <w:p>
      <w:pPr>
        <w:pStyle w:val="TextBody"/>
        <w:bidi w:val="0"/>
        <w:spacing w:before="0" w:after="0"/>
        <w:ind w:left="0" w:right="0" w:firstLine="360"/>
        <w:jc w:val="left"/>
        <w:rPr/>
      </w:pPr>
      <w:r>
        <w:rPr/>
      </w:r>
    </w:p>
    <w:tbl>
      <w:tblPr>
        <w:tblW w:w="4994" w:type="dxa"/>
        <w:jc w:val="center"/>
        <w:tblInd w:w="0" w:type="dxa"/>
        <w:tblLayout w:type="fixed"/>
        <w:tblCellMar>
          <w:top w:w="28" w:type="dxa"/>
          <w:left w:w="28" w:type="dxa"/>
          <w:bottom w:w="28" w:type="dxa"/>
          <w:right w:w="28" w:type="dxa"/>
        </w:tblCellMar>
      </w:tblPr>
      <w:tblGrid>
        <w:gridCol w:w="634"/>
        <w:gridCol w:w="556"/>
        <w:gridCol w:w="564"/>
        <w:gridCol w:w="947"/>
        <w:gridCol w:w="947"/>
        <w:gridCol w:w="1346"/>
      </w:tblGrid>
      <w:tr>
        <w:trPr/>
        <w:tc>
          <w:tcPr>
            <w:tcW w:w="63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Name</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Number of Restricted Stock Units</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Francisco J. Leon</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84,710</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Michael L. Preston</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47,649</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Clio Crespy</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42,355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Omar Hayat</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42,355</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Jay A. Bys</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26,472</w:t>
            </w:r>
          </w:p>
        </w:tc>
      </w:tr>
      <w:tr>
        <w:trPr/>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Chris D. Gould</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26,472</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RSUs are eligible to vest, subject to the grantee’s continuous employment, according to the following schedule: 10% of the RSUs will vest each on the first, second, and third annual anniversaries of the grant date; (ii) 30% of the RSUs will vest on the fourth annual anniversary of the grant date; and (iii) 40% of the RSUs will vest on the fifth annual anniversary of the grant date. Vested RSUs are settled in shares of the Company’s common stock.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Upon a termination of grantee’s employment by the Company without cause, by the grantee for good reason or due to death or disability, any unvested RSUs will vest in full, but will not be paid until the original settlement dates. Upon grantee’s retirement, any unvested RSUs continue to vest on the original vesting schedule. In the event of a change in control, any unvested RSUs vest in full if the grantee remains continuously employed through such change in control. Any unvested RSUs are subject to forfeiture in the event of all other terminations of employment. Vested and unvested RSUs will also be subject to special clawback provisions in the event of a termination for cause, and will be subject to our general compensation recovery and clawback policies, applicable law and stock exchange rules.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foregoing description of the RSUs is not complete and is qualified in its entirety by reference to the full text of the RSU award, the form of which is attached as Exhibit 10.5 on this Quarterly Report on Form 10-Q and incorporated herein by reference.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September 30, 2025, no directors or officers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52"/>
        <w:gridCol w:w="200"/>
        <w:gridCol w:w="169"/>
        <w:gridCol w:w="3130"/>
        <w:gridCol w:w="2872"/>
        <w:gridCol w:w="2879"/>
        <w:gridCol w:w="109"/>
        <w:gridCol w:w="109"/>
        <w:gridCol w:w="109"/>
        <w:gridCol w:w="109"/>
        <w:gridCol w:w="109"/>
        <w:gridCol w:w="158"/>
      </w:tblGrid>
      <w:tr>
        <w:trPr/>
        <w:tc>
          <w:tcPr>
            <w:tcW w:w="2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2.1**</w:t>
            </w:r>
          </w:p>
        </w:tc>
        <w:tc>
          <w:tcPr>
            <w:tcW w:w="88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80"/>
                  <w:sz w:val="20"/>
                  <w:u w:val="single"/>
                </w:rPr>
                <w:t>A</w:t>
              </w:r>
            </w:hyperlink>
            <w:hyperlink r:id="rId3">
              <w:r>
                <w:rPr>
                  <w:rStyle w:val="InternetLink"/>
                  <w:rFonts w:ascii="Arial;sans-serif" w:hAnsi="Arial;sans-serif"/>
                  <w:b w:val="false"/>
                  <w:color w:val="000080"/>
                  <w:sz w:val="20"/>
                  <w:u w:val="single"/>
                </w:rPr>
                <w:t xml:space="preserve">greement and Plan of Merger, </w:t>
              </w:r>
            </w:hyperlink>
            <w:hyperlink r:id="rId4">
              <w:r>
                <w:rPr>
                  <w:rStyle w:val="InternetLink"/>
                  <w:rFonts w:ascii="Arial;sans-serif" w:hAnsi="Arial;sans-serif"/>
                  <w:b w:val="false"/>
                  <w:color w:val="000080"/>
                  <w:sz w:val="20"/>
                  <w:u w:val="single"/>
                </w:rPr>
                <w:t>dated September 14, 2025, by and among California Resources Corporation, Berry Corporation (bry) and Dornoch Merger Sub, LLC (filed as Exhibit 2.1 to Registrant's</w:t>
              </w:r>
            </w:hyperlink>
            <w:hyperlink r:id="rId5">
              <w:r>
                <w:rPr>
                  <w:rStyle w:val="InternetLink"/>
                  <w:rFonts w:ascii="Arial;sans-serif" w:hAnsi="Arial;sans-serif"/>
                  <w:b w:val="false"/>
                  <w:color w:val="000080"/>
                  <w:sz w:val="20"/>
                  <w:u w:val="single"/>
                </w:rPr>
                <w:t xml:space="preserve"> </w:t>
              </w:r>
            </w:hyperlink>
            <w:hyperlink r:id="rId6">
              <w:r>
                <w:rPr>
                  <w:rStyle w:val="InternetLink"/>
                  <w:rFonts w:ascii="Arial;sans-serif" w:hAnsi="Arial;sans-serif"/>
                  <w:b w:val="false"/>
                  <w:color w:val="000080"/>
                  <w:sz w:val="20"/>
                  <w:u w:val="single"/>
                </w:rPr>
                <w:t xml:space="preserve">Current </w:t>
              </w:r>
            </w:hyperlink>
            <w:hyperlink r:id="rId7">
              <w:r>
                <w:rPr>
                  <w:rStyle w:val="InternetLink"/>
                  <w:rFonts w:ascii="Arial;sans-serif" w:hAnsi="Arial;sans-serif"/>
                  <w:b w:val="false"/>
                  <w:color w:val="000080"/>
                  <w:sz w:val="20"/>
                  <w:u w:val="single"/>
                </w:rPr>
                <w:t>Report on Form 8-</w:t>
              </w:r>
            </w:hyperlink>
            <w:hyperlink r:id="rId8">
              <w:r>
                <w:rPr>
                  <w:rStyle w:val="InternetLink"/>
                  <w:rFonts w:ascii="Arial;sans-serif" w:hAnsi="Arial;sans-serif"/>
                  <w:b w:val="false"/>
                  <w:color w:val="000080"/>
                  <w:sz w:val="20"/>
                  <w:u w:val="single"/>
                </w:rPr>
                <w:t>K file</w:t>
              </w:r>
            </w:hyperlink>
            <w:hyperlink r:id="rId9">
              <w:r>
                <w:rPr>
                  <w:rStyle w:val="InternetLink"/>
                  <w:rFonts w:ascii="Arial;sans-serif" w:hAnsi="Arial;sans-serif"/>
                  <w:b w:val="false"/>
                  <w:color w:val="000080"/>
                  <w:sz w:val="20"/>
                  <w:u w:val="single"/>
                </w:rPr>
                <w:t>d on September 17, 2025 and incorporated her</w:t>
              </w:r>
            </w:hyperlink>
            <w:hyperlink r:id="rId10">
              <w:r>
                <w:rPr>
                  <w:rStyle w:val="InternetLink"/>
                  <w:rFonts w:ascii="Arial;sans-serif" w:hAnsi="Arial;sans-serif"/>
                  <w:b w:val="false"/>
                  <w:color w:val="000080"/>
                  <w:sz w:val="20"/>
                  <w:u w:val="single"/>
                </w:rPr>
                <w:t>e</w:t>
              </w:r>
            </w:hyperlink>
            <w:hyperlink r:id="rId11">
              <w:r>
                <w:rPr>
                  <w:rStyle w:val="InternetLink"/>
                  <w:rFonts w:ascii="Arial;sans-serif" w:hAnsi="Arial;sans-serif"/>
                  <w:b w:val="false"/>
                  <w:color w:val="000080"/>
                  <w:sz w:val="20"/>
                  <w:u w:val="single"/>
                </w:rPr>
                <w:t xml:space="preserve">in by reference).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88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88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88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88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80"/>
                  <w:sz w:val="20"/>
                  <w:u w:val="single"/>
                </w:rPr>
                <w:t>I</w:t>
              </w:r>
            </w:hyperlink>
            <w:hyperlink r:id="rId17">
              <w:r>
                <w:rPr>
                  <w:rStyle w:val="InternetLink"/>
                  <w:rFonts w:ascii="Arial;sans-serif" w:hAnsi="Arial;sans-serif"/>
                  <w:b w:val="false"/>
                  <w:color w:val="000080"/>
                  <w:sz w:val="20"/>
                  <w:u w:val="single"/>
                </w:rPr>
                <w:t>ndenture</w:t>
              </w:r>
            </w:hyperlink>
            <w:hyperlink r:id="rId18">
              <w:r>
                <w:rPr>
                  <w:rStyle w:val="InternetLink"/>
                  <w:rFonts w:ascii="Arial;sans-serif" w:hAnsi="Arial;sans-serif"/>
                  <w:b w:val="false"/>
                  <w:color w:val="000080"/>
                  <w:sz w:val="20"/>
                  <w:u w:val="single"/>
                </w:rPr>
                <w:t>, dated October 8, 2025, by and among the Company, the Guarantors and the Trustee (fi</w:t>
              </w:r>
            </w:hyperlink>
            <w:hyperlink r:id="rId19">
              <w:r>
                <w:rPr>
                  <w:rStyle w:val="InternetLink"/>
                  <w:rFonts w:ascii="Arial;sans-serif" w:hAnsi="Arial;sans-serif"/>
                  <w:b w:val="false"/>
                  <w:color w:val="000080"/>
                  <w:sz w:val="20"/>
                  <w:u w:val="single"/>
                </w:rPr>
                <w:t>led as Exhibit 4.1 to Registrant's Current Report on Form 8-K filed on October 8, 2025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80"/>
                  <w:sz w:val="20"/>
                  <w:u w:val="single"/>
                </w:rPr>
                <w:t>Amended and Restated Employment Agreement by and between Jay A. Bys and California Resources Corporation, dated August 4, 2025</w:t>
              </w:r>
            </w:hyperlink>
            <w:hyperlink r:id="rId21">
              <w:r>
                <w:rPr>
                  <w:rStyle w:val="InternetLink"/>
                  <w:rFonts w:ascii="Arial;sans-serif" w:hAnsi="Arial;sans-serif"/>
                  <w:b w:val="false"/>
                  <w:color w:val="000080"/>
                  <w:sz w:val="20"/>
                  <w:u w:val="single"/>
                </w:rPr>
                <w:t xml:space="preserve"> (</w:t>
              </w:r>
            </w:hyperlink>
            <w:hyperlink r:id="rId22">
              <w:r>
                <w:rPr>
                  <w:rStyle w:val="InternetLink"/>
                  <w:rFonts w:ascii="Arial;sans-serif" w:hAnsi="Arial;sans-serif"/>
                  <w:b w:val="false"/>
                  <w:color w:val="000080"/>
                  <w:sz w:val="20"/>
                  <w:u w:val="single"/>
                </w:rPr>
                <w:t>filed as Exhibit 10.</w:t>
              </w:r>
            </w:hyperlink>
            <w:hyperlink r:id="rId23">
              <w:r>
                <w:rPr>
                  <w:rStyle w:val="InternetLink"/>
                  <w:rFonts w:ascii="Arial;sans-serif" w:hAnsi="Arial;sans-serif"/>
                  <w:b w:val="false"/>
                  <w:color w:val="000080"/>
                  <w:sz w:val="20"/>
                  <w:u w:val="single"/>
                </w:rPr>
                <w:t>1</w:t>
              </w:r>
            </w:hyperlink>
            <w:hyperlink r:id="rId24">
              <w:r>
                <w:rPr>
                  <w:rStyle w:val="InternetLink"/>
                  <w:rFonts w:ascii="Arial;sans-serif" w:hAnsi="Arial;sans-serif"/>
                  <w:b w:val="false"/>
                  <w:color w:val="000080"/>
                  <w:sz w:val="20"/>
                  <w:u w:val="single"/>
                </w:rPr>
                <w:t xml:space="preserve"> to Registrant's Quarterly Report on Form 10-Q filed August 6, 2025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10.2**</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80"/>
                  <w:sz w:val="20"/>
                  <w:u w:val="single"/>
                </w:rPr>
                <w:t>Amended and Restated Employment Agreement by and between Michael L. Preston and California Resources Corporation, dated August 4, 2025</w:t>
              </w:r>
            </w:hyperlink>
            <w:hyperlink r:id="rId26">
              <w:r>
                <w:rPr>
                  <w:rStyle w:val="InternetLink"/>
                  <w:rFonts w:ascii="Arial;sans-serif" w:hAnsi="Arial;sans-serif"/>
                  <w:b w:val="false"/>
                  <w:color w:val="000080"/>
                  <w:sz w:val="20"/>
                  <w:u w:val="single"/>
                </w:rPr>
                <w:t xml:space="preserve"> (</w:t>
              </w:r>
            </w:hyperlink>
            <w:hyperlink r:id="rId27">
              <w:r>
                <w:rPr>
                  <w:rStyle w:val="InternetLink"/>
                  <w:rFonts w:ascii="Arial;sans-serif" w:hAnsi="Arial;sans-serif"/>
                  <w:b w:val="false"/>
                  <w:color w:val="000080"/>
                  <w:sz w:val="20"/>
                  <w:u w:val="single"/>
                </w:rPr>
                <w:t>filed as</w:t>
              </w:r>
            </w:hyperlink>
            <w:hyperlink r:id="rId28">
              <w:r>
                <w:rPr>
                  <w:rStyle w:val="InternetLink"/>
                  <w:rFonts w:ascii="Arial;sans-serif" w:hAnsi="Arial;sans-serif"/>
                  <w:b w:val="false"/>
                  <w:color w:val="000080"/>
                  <w:sz w:val="20"/>
                  <w:u w:val="single"/>
                </w:rPr>
                <w:t xml:space="preserve"> Exhibit 10.2 to Registrant's </w:t>
              </w:r>
            </w:hyperlink>
            <w:hyperlink r:id="rId29">
              <w:r>
                <w:rPr>
                  <w:rStyle w:val="InternetLink"/>
                  <w:rFonts w:ascii="Arial;sans-serif" w:hAnsi="Arial;sans-serif"/>
                  <w:b w:val="false"/>
                  <w:color w:val="000080"/>
                  <w:sz w:val="20"/>
                  <w:u w:val="single"/>
                </w:rPr>
                <w:t xml:space="preserve">Quarterly </w:t>
              </w:r>
            </w:hyperlink>
            <w:hyperlink r:id="rId30">
              <w:r>
                <w:rPr>
                  <w:rStyle w:val="InternetLink"/>
                  <w:rFonts w:ascii="Arial;sans-serif" w:hAnsi="Arial;sans-serif"/>
                  <w:b w:val="false"/>
                  <w:color w:val="000080"/>
                  <w:sz w:val="20"/>
                  <w:u w:val="single"/>
                </w:rPr>
                <w:t xml:space="preserve">Report on Form 10-Q filed August </w:t>
              </w:r>
            </w:hyperlink>
            <w:hyperlink r:id="rId31">
              <w:r>
                <w:rPr>
                  <w:rStyle w:val="InternetLink"/>
                  <w:rFonts w:ascii="Arial;sans-serif" w:hAnsi="Arial;sans-serif"/>
                  <w:b w:val="false"/>
                  <w:color w:val="000080"/>
                  <w:sz w:val="20"/>
                  <w:u w:val="single"/>
                </w:rPr>
                <w:t>6, 2025 and incorporated herein by reference).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10.3</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80"/>
                  <w:sz w:val="20"/>
                  <w:u w:val="single"/>
                </w:rPr>
                <w:t>S</w:t>
              </w:r>
            </w:hyperlink>
            <w:hyperlink r:id="rId33">
              <w:r>
                <w:rPr>
                  <w:rStyle w:val="InternetLink"/>
                  <w:rFonts w:ascii="Arial;sans-serif" w:hAnsi="Arial;sans-serif"/>
                  <w:b w:val="false"/>
                  <w:color w:val="000080"/>
                  <w:sz w:val="20"/>
                  <w:u w:val="single"/>
                </w:rPr>
                <w:t xml:space="preserve">ixth Amendment </w:t>
              </w:r>
            </w:hyperlink>
            <w:hyperlink r:id="rId34">
              <w:r>
                <w:rPr>
                  <w:rStyle w:val="InternetLink"/>
                  <w:rFonts w:ascii="Arial;sans-serif" w:hAnsi="Arial;sans-serif"/>
                  <w:b w:val="false"/>
                  <w:color w:val="000080"/>
                  <w:sz w:val="20"/>
                  <w:u w:val="single"/>
                </w:rPr>
                <w:t xml:space="preserve">to Amended and Restated Credit </w:t>
              </w:r>
            </w:hyperlink>
            <w:hyperlink r:id="rId35">
              <w:r>
                <w:rPr>
                  <w:rStyle w:val="InternetLink"/>
                  <w:rFonts w:ascii="Arial;sans-serif" w:hAnsi="Arial;sans-serif"/>
                  <w:b w:val="false"/>
                  <w:color w:val="000080"/>
                  <w:sz w:val="20"/>
                  <w:u w:val="single"/>
                </w:rPr>
                <w:t>Agreement, entered into effective as of September 22,</w:t>
              </w:r>
            </w:hyperlink>
            <w:hyperlink r:id="rId36">
              <w:r>
                <w:rPr>
                  <w:rStyle w:val="InternetLink"/>
                  <w:rFonts w:ascii="Arial;sans-serif" w:hAnsi="Arial;sans-serif"/>
                  <w:b w:val="false"/>
                  <w:color w:val="000080"/>
                  <w:sz w:val="20"/>
                  <w:u w:val="single"/>
                </w:rPr>
                <w:t xml:space="preserve"> 2025</w:t>
              </w:r>
            </w:hyperlink>
            <w:hyperlink r:id="rId37">
              <w:r>
                <w:rPr>
                  <w:rStyle w:val="InternetLink"/>
                  <w:rFonts w:ascii="Arial;sans-serif" w:hAnsi="Arial;sans-serif"/>
                  <w:b w:val="false"/>
                  <w:color w:val="000080"/>
                  <w:sz w:val="20"/>
                  <w:u w:val="single"/>
                </w:rPr>
                <w:t xml:space="preserve">, </w:t>
              </w:r>
            </w:hyperlink>
            <w:hyperlink r:id="rId38">
              <w:r>
                <w:rPr>
                  <w:rStyle w:val="InternetLink"/>
                  <w:rFonts w:ascii="Arial;sans-serif" w:hAnsi="Arial;sans-serif"/>
                  <w:b w:val="false"/>
                  <w:color w:val="000080"/>
                  <w:sz w:val="20"/>
                  <w:u w:val="single"/>
                </w:rPr>
                <w:t xml:space="preserve">by and among California Resources Corporation, as the Borrower, the several lenders from time to time parties thereto and Citibank, N.A., as Administrative Agent </w:t>
              </w:r>
            </w:hyperlink>
            <w:hyperlink r:id="rId39">
              <w:r>
                <w:rPr>
                  <w:rStyle w:val="InternetLink"/>
                  <w:rFonts w:ascii="Arial;sans-serif" w:hAnsi="Arial;sans-serif"/>
                  <w:b w:val="false"/>
                  <w:color w:val="000080"/>
                  <w:sz w:val="20"/>
                  <w:u w:val="single"/>
                </w:rPr>
                <w:t>(filed as Exhibit 10.1 to Registrant's Current Report on Form 8-K filed on September 24, 2025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80"/>
                  <w:sz w:val="20"/>
                  <w:u w:val="single"/>
                </w:rPr>
                <w:t>S</w:t>
              </w:r>
            </w:hyperlink>
            <w:hyperlink r:id="rId41">
              <w:r>
                <w:rPr>
                  <w:rStyle w:val="InternetLink"/>
                  <w:rFonts w:ascii="Arial;sans-serif" w:hAnsi="Arial;sans-serif"/>
                  <w:b w:val="false"/>
                  <w:color w:val="000080"/>
                  <w:sz w:val="20"/>
                  <w:u w:val="single"/>
                </w:rPr>
                <w:t>eventh Amendment to Amended and Restated Credit Agreement, entered into effective as of October 29, 2025</w:t>
              </w:r>
            </w:hyperlink>
            <w:hyperlink r:id="rId42">
              <w:r>
                <w:rPr>
                  <w:rStyle w:val="InternetLink"/>
                  <w:rFonts w:ascii="Arial;sans-serif" w:hAnsi="Arial;sans-serif"/>
                  <w:b w:val="false"/>
                  <w:color w:val="000080"/>
                  <w:sz w:val="20"/>
                  <w:u w:val="single"/>
                </w:rPr>
                <w:t>, by and among California Resources Corporation, as the Borrower, the several lenders from time to ti</w:t>
              </w:r>
            </w:hyperlink>
            <w:hyperlink r:id="rId43">
              <w:r>
                <w:rPr>
                  <w:rStyle w:val="InternetLink"/>
                  <w:rFonts w:ascii="Arial;sans-serif" w:hAnsi="Arial;sans-serif"/>
                  <w:b w:val="false"/>
                  <w:color w:val="000080"/>
                  <w:sz w:val="20"/>
                  <w:u w:val="single"/>
                </w:rPr>
                <w:t>me parties thereto and Citibank, N.A., as Administrative Agent</w:t>
              </w:r>
            </w:hyperlink>
            <w:hyperlink r:id="rId44">
              <w:r>
                <w:rPr>
                  <w:rStyle w:val="InternetLink"/>
                  <w:rFonts w:ascii="Arial;sans-serif" w:hAnsi="Arial;sans-serif"/>
                  <w:b w:val="false"/>
                  <w:color w:val="000080"/>
                  <w:sz w:val="20"/>
                  <w:u w:val="single"/>
                </w:rPr>
                <w:t xml:space="preserve"> (filed as Exhibit 10.1 to Registrant's Current Report on Form 8</w:t>
              </w:r>
            </w:hyperlink>
            <w:hyperlink r:id="rId45">
              <w:r>
                <w:rPr>
                  <w:rStyle w:val="InternetLink"/>
                  <w:rFonts w:ascii="Arial;sans-serif" w:hAnsi="Arial;sans-serif"/>
                  <w:b w:val="false"/>
                  <w:color w:val="000080"/>
                  <w:sz w:val="20"/>
                  <w:u w:val="single"/>
                </w:rPr>
                <w:t xml:space="preserve">-K filed on </w:t>
              </w:r>
            </w:hyperlink>
            <w:hyperlink r:id="rId46">
              <w:r>
                <w:rPr>
                  <w:rStyle w:val="InternetLink"/>
                  <w:rFonts w:ascii="Arial;sans-serif" w:hAnsi="Arial;sans-serif"/>
                  <w:b w:val="false"/>
                  <w:color w:val="000080"/>
                  <w:sz w:val="20"/>
                  <w:u w:val="single"/>
                </w:rPr>
                <w:t xml:space="preserve">October 31, </w:t>
              </w:r>
            </w:hyperlink>
            <w:hyperlink r:id="rId47">
              <w:r>
                <w:rPr>
                  <w:rStyle w:val="InternetLink"/>
                  <w:rFonts w:ascii="Arial;sans-serif" w:hAnsi="Arial;sans-serif"/>
                  <w:b w:val="false"/>
                  <w:color w:val="000080"/>
                  <w:sz w:val="20"/>
                  <w:u w:val="single"/>
                </w:rPr>
                <w:t>2025</w:t>
              </w:r>
            </w:hyperlink>
            <w:hyperlink r:id="rId48">
              <w:r>
                <w:rPr>
                  <w:rStyle w:val="InternetLink"/>
                  <w:rFonts w:ascii="Arial;sans-serif" w:hAnsi="Arial;sans-serif"/>
                  <w:b w:val="false"/>
                  <w:color w:val="000080"/>
                  <w:sz w:val="20"/>
                  <w:u w:val="single"/>
                </w:rPr>
                <w:t xml:space="preserve"> and incorporated herein </w:t>
              </w:r>
            </w:hyperlink>
            <w:hyperlink r:id="rId49">
              <w:r>
                <w:rPr>
                  <w:rStyle w:val="InternetLink"/>
                  <w:rFonts w:ascii="Arial;sans-serif" w:hAnsi="Arial;sans-serif"/>
                  <w:b w:val="false"/>
                  <w:color w:val="000080"/>
                  <w:sz w:val="20"/>
                  <w:u w:val="single"/>
                </w:rPr>
                <w:t>by referen</w:t>
              </w:r>
            </w:hyperlink>
            <w:hyperlink r:id="rId50">
              <w:r>
                <w:rPr>
                  <w:rStyle w:val="InternetLink"/>
                  <w:rFonts w:ascii="Arial;sans-serif" w:hAnsi="Arial;sans-serif"/>
                  <w:b w:val="false"/>
                  <w:color w:val="000080"/>
                  <w:sz w:val="20"/>
                  <w:u w:val="single"/>
                </w:rPr>
                <w:t xml:space="preserve">ce).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10.5*</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5formofrestrictedstocku.htm">
              <w:r>
                <w:rPr>
                  <w:rStyle w:val="InternetLink"/>
                  <w:rFonts w:ascii="Arial;sans-serif" w:hAnsi="Arial;sans-serif"/>
                  <w:b w:val="false"/>
                  <w:color w:val="000080"/>
                  <w:sz w:val="20"/>
                  <w:u w:val="single"/>
                </w:rPr>
                <w:t xml:space="preserve">Form of California Resources Corporation 2021 Long Term Incentive Plan </w:t>
              </w:r>
            </w:hyperlink>
            <w:hyperlink w:anchor="a105formofrestrictedstocku.htm">
              <w:r>
                <w:rPr>
                  <w:rStyle w:val="InternetLink"/>
                  <w:rFonts w:ascii="Arial;sans-serif" w:hAnsi="Arial;sans-serif"/>
                  <w:b w:val="false"/>
                  <w:color w:val="000080"/>
                  <w:sz w:val="20"/>
                  <w:u w:val="single"/>
                </w:rPr>
                <w:t>Restricted</w:t>
              </w:r>
            </w:hyperlink>
            <w:hyperlink w:anchor="a105formofrestrictedstocku.htm">
              <w:r>
                <w:rPr>
                  <w:rStyle w:val="InternetLink"/>
                  <w:rFonts w:ascii="Arial;sans-serif" w:hAnsi="Arial;sans-serif"/>
                  <w:b w:val="false"/>
                  <w:color w:val="000080"/>
                  <w:sz w:val="20"/>
                  <w:u w:val="single"/>
                </w:rPr>
                <w:t xml:space="preserve"> Stock Unit Award Terms and Conditions.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11.htm">
              <w:r>
                <w:rPr>
                  <w:rStyle w:val="InternetLink"/>
                  <w:rFonts w:ascii="Arial;sans-serif" w:hAnsi="Arial;sans-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12.htm">
              <w:r>
                <w:rPr>
                  <w:rStyle w:val="InternetLink"/>
                  <w:rFonts w:ascii="Arial;sans-serif" w:hAnsi="Arial;sans-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3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Certain portions of this exhibit (indicated by "[*****]") have been omitted pursuant to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255"/>
        <w:gridCol w:w="224"/>
        <w:gridCol w:w="226"/>
        <w:gridCol w:w="564"/>
        <w:gridCol w:w="564"/>
        <w:gridCol w:w="56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10.5</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CALIFORNIA RESOURCES CORPORATION </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2021 LONG TERM INCENTIVE PLAN</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RESTRICTED STOCK UNIT AWARD </w:t>
        <w:br/>
        <w:t>TERMS AND CONDITIONS</w:t>
      </w:r>
    </w:p>
    <w:p>
      <w:pPr>
        <w:pStyle w:val="TextBody"/>
        <w:bidi w:val="0"/>
        <w:spacing w:lineRule="auto" w:line="288" w:before="0" w:after="240"/>
        <w:ind w:left="0" w:right="0" w:hanging="3240"/>
        <w:jc w:val="left"/>
        <w:rPr>
          <w:rFonts w:ascii="sans-serif" w:hAnsi="sans-serif"/>
          <w:b w:val="false"/>
          <w:color w:val="000000"/>
          <w:sz w:val="24"/>
        </w:rPr>
      </w:pPr>
      <w:r>
        <w:rPr>
          <w:rFonts w:ascii="sans-serif" w:hAnsi="sans-serif"/>
          <w:b w:val="false"/>
          <w:color w:val="000000"/>
          <w:sz w:val="24"/>
        </w:rPr>
        <w:t>Grantee:    &lt;&lt;Grantee Name&gt;&gt;</w:t>
      </w:r>
    </w:p>
    <w:p>
      <w:pPr>
        <w:pStyle w:val="TextBody"/>
        <w:bidi w:val="0"/>
        <w:spacing w:lineRule="auto" w:line="288" w:before="0" w:after="240"/>
        <w:ind w:left="0" w:right="0" w:hanging="3240"/>
        <w:jc w:val="left"/>
        <w:rPr>
          <w:rFonts w:ascii="sans-serif" w:hAnsi="sans-serif"/>
          <w:b w:val="false"/>
          <w:color w:val="000000"/>
          <w:sz w:val="24"/>
        </w:rPr>
      </w:pPr>
      <w:r>
        <w:rPr>
          <w:rFonts w:ascii="sans-serif" w:hAnsi="sans-serif"/>
          <w:b w:val="false"/>
          <w:color w:val="000000"/>
          <w:sz w:val="24"/>
        </w:rPr>
        <w:t>Date of Grant:    &lt;&lt;Grant Date&gt;&gt;</w:t>
      </w:r>
    </w:p>
    <w:p>
      <w:pPr>
        <w:pStyle w:val="TextBody"/>
        <w:bidi w:val="0"/>
        <w:spacing w:lineRule="auto" w:line="288" w:before="0" w:after="0"/>
        <w:ind w:left="0" w:right="0" w:hanging="3240"/>
        <w:jc w:val="left"/>
        <w:rPr>
          <w:rFonts w:ascii="sans-serif" w:hAnsi="sans-serif"/>
          <w:b w:val="false"/>
          <w:color w:val="000000"/>
          <w:sz w:val="24"/>
        </w:rPr>
      </w:pPr>
      <w:r>
        <w:rPr>
          <w:rFonts w:ascii="sans-serif" w:hAnsi="sans-serif"/>
          <w:b w:val="false"/>
          <w:color w:val="000000"/>
          <w:sz w:val="24"/>
        </w:rPr>
        <w:t>Restricted Stock Units    &lt;&lt;Units Granted&gt;&gt;</w:t>
      </w:r>
    </w:p>
    <w:p>
      <w:pPr>
        <w:pStyle w:val="TextBody"/>
        <w:bidi w:val="0"/>
        <w:spacing w:before="0" w:after="0"/>
        <w:ind w:left="0" w:right="0" w:hanging="3240"/>
        <w:jc w:val="left"/>
        <w:rPr/>
      </w:pPr>
      <w:r>
        <w:rPr/>
      </w:r>
    </w:p>
    <w:p>
      <w:pPr>
        <w:pStyle w:val="TextBody"/>
        <w:bidi w:val="0"/>
        <w:spacing w:lineRule="auto" w:line="288" w:before="0" w:after="240"/>
        <w:ind w:left="0" w:right="0" w:hanging="3240"/>
        <w:jc w:val="left"/>
        <w:rPr>
          <w:rFonts w:ascii="sans-serif" w:hAnsi="sans-serif"/>
          <w:b w:val="false"/>
          <w:color w:val="000000"/>
          <w:sz w:val="24"/>
        </w:rPr>
      </w:pPr>
      <w:r>
        <w:rPr>
          <w:rFonts w:ascii="sans-serif" w:hAnsi="sans-serif"/>
          <w:b w:val="false"/>
          <w:color w:val="000000"/>
          <w:sz w:val="24"/>
        </w:rPr>
        <w:t>Vesting Schedule:    Subject to the terms and conditions set forth herein, the Restricted Stock Units shall vest according to the following schedule, so long as the Grantee remains continuously employed by the Company or an Affiliate, as applicable, from the Date of Grant through each such vesting date:</w:t>
      </w:r>
    </w:p>
    <w:p>
      <w:pPr>
        <w:pStyle w:val="TextBody"/>
        <w:bidi w:val="0"/>
        <w:spacing w:lineRule="auto" w:line="288" w:before="0" w:after="240"/>
        <w:jc w:val="left"/>
        <w:rPr/>
      </w:pPr>
      <w:r>
        <w:rPr>
          <w:rFonts w:ascii="sans-serif" w:hAnsi="sans-serif"/>
          <w:b w:val="false"/>
          <w:color w:val="000000"/>
          <w:sz w:val="24"/>
        </w:rPr>
        <w:t>(i) 10% of the Restricted Stock Units each on the first, second, and third annual anniversaries of the Date of Grant; (ii) 30% of the Restricted Stock Units on the fourth annual anniversary of the Date of Grant; and (iii) 40% of the Restricted Stock Units on the fifth annual anniversary of the Date of Grant (each being a “</w:t>
      </w:r>
      <w:r>
        <w:rPr>
          <w:rFonts w:ascii="sans-serif" w:hAnsi="sans-serif"/>
          <w:b/>
          <w:color w:val="000000"/>
          <w:sz w:val="24"/>
        </w:rPr>
        <w:t>Vesting Date</w:t>
      </w:r>
      <w:r>
        <w:rPr>
          <w:color w:val="000000"/>
        </w:rPr>
        <w:t>”</w:t>
      </w:r>
      <w:r>
        <w:rPr>
          <w:rFonts w:ascii="sans-serif" w:hAnsi="sans-serif"/>
          <w:b w:val="false"/>
          <w:color w:val="000000"/>
          <w:sz w:val="24"/>
        </w:rPr>
        <w:t>)</w:t>
      </w:r>
    </w:p>
    <w:p>
      <w:pPr>
        <w:pStyle w:val="TextBody"/>
        <w:bidi w:val="0"/>
        <w:spacing w:lineRule="auto" w:line="288" w:before="0" w:after="240"/>
        <w:ind w:left="0" w:right="0" w:firstLine="720"/>
        <w:jc w:val="left"/>
        <w:rPr/>
      </w:pPr>
      <w:r>
        <w:rPr>
          <w:rFonts w:ascii="sans-serif" w:hAnsi="sans-serif"/>
          <w:b w:val="false"/>
          <w:color w:val="000000"/>
          <w:sz w:val="24"/>
        </w:rPr>
        <w:t>The following Terms and Conditions (these “</w:t>
      </w:r>
      <w:r>
        <w:rPr>
          <w:rFonts w:ascii="sans-serif" w:hAnsi="sans-serif"/>
          <w:b/>
          <w:color w:val="000000"/>
          <w:sz w:val="24"/>
        </w:rPr>
        <w:t>Terms and Conditions</w:t>
      </w:r>
      <w:r>
        <w:rPr>
          <w:color w:val="000000"/>
        </w:rPr>
        <w:t>”</w:t>
      </w:r>
      <w:r>
        <w:rPr>
          <w:rFonts w:ascii="sans-serif" w:hAnsi="sans-serif"/>
          <w:b w:val="false"/>
          <w:color w:val="000000"/>
          <w:sz w:val="24"/>
        </w:rPr>
        <w:t>) are set forth as of the Date of Grant between CALIFORNIA RESOURCES CORPORATION, a Delaware corporation (“</w:t>
      </w:r>
      <w:r>
        <w:rPr>
          <w:rFonts w:ascii="sans-serif" w:hAnsi="sans-serif"/>
          <w:b/>
          <w:color w:val="000000"/>
          <w:sz w:val="24"/>
        </w:rPr>
        <w:t>CRC</w:t>
      </w:r>
      <w:r>
        <w:rPr>
          <w:color w:val="000000"/>
        </w:rPr>
        <w:t xml:space="preserve">” </w:t>
      </w:r>
      <w:r>
        <w:rPr>
          <w:rFonts w:ascii="sans-serif" w:hAnsi="sans-serif"/>
          <w:b w:val="false"/>
          <w:color w:val="000000"/>
          <w:sz w:val="24"/>
        </w:rPr>
        <w:t>and, with its subsidiaries, the “</w:t>
      </w:r>
      <w:r>
        <w:rPr>
          <w:rFonts w:ascii="sans-serif" w:hAnsi="sans-serif"/>
          <w:b/>
          <w:color w:val="000000"/>
          <w:sz w:val="24"/>
        </w:rPr>
        <w:t>Company</w:t>
      </w:r>
      <w:r>
        <w:rPr>
          <w:color w:val="000000"/>
        </w:rPr>
        <w:t>”</w:t>
      </w:r>
      <w:r>
        <w:rPr>
          <w:rFonts w:ascii="sans-serif" w:hAnsi="sans-serif"/>
          <w:b w:val="false"/>
          <w:color w:val="000000"/>
          <w:sz w:val="24"/>
        </w:rPr>
        <w:t>), and the eligible employee receiving this award (the “</w:t>
      </w:r>
      <w:r>
        <w:rPr>
          <w:rFonts w:ascii="sans-serif" w:hAnsi="sans-serif"/>
          <w:b/>
          <w:color w:val="000000"/>
          <w:sz w:val="24"/>
        </w:rPr>
        <w:t>Grantee</w:t>
      </w:r>
      <w:r>
        <w:rPr>
          <w:color w:val="000000"/>
        </w:rPr>
        <w:t>”</w:t>
      </w:r>
      <w:r>
        <w:rPr>
          <w:rFonts w:ascii="sans-serif" w:hAnsi="sans-serif"/>
          <w:b w:val="false"/>
          <w:color w:val="000000"/>
          <w:sz w:val="24"/>
        </w:rPr>
        <w:t>). Terms that are capitalized but not defined herein shall have the meanings ascribed to them in the California Resources Corporation 2021 Long Term Incentive Plan, as the same may be amended from time to time (the “</w:t>
      </w:r>
      <w:r>
        <w:rPr>
          <w:rFonts w:ascii="sans-serif" w:hAnsi="sans-serif"/>
          <w:b/>
          <w:color w:val="000000"/>
          <w:sz w:val="24"/>
        </w:rPr>
        <w:t>Plan</w:t>
      </w:r>
      <w:r>
        <w:rPr>
          <w:color w:val="000000"/>
        </w:rPr>
        <w:t>”</w:t>
      </w:r>
      <w:r>
        <w:rPr>
          <w:rFonts w:ascii="sans-serif" w:hAnsi="sans-serif"/>
          <w:b w:val="false"/>
          <w:color w:val="000000"/>
          <w:sz w:val="24"/>
        </w:rPr>
        <w:t>).</w:t>
      </w:r>
    </w:p>
    <w:p>
      <w:pPr>
        <w:pStyle w:val="TextBody"/>
        <w:bidi w:val="0"/>
        <w:spacing w:lineRule="auto" w:line="288" w:before="0" w:after="240"/>
        <w:ind w:left="0" w:right="0" w:firstLine="720"/>
        <w:jc w:val="left"/>
        <w:rPr/>
      </w:pPr>
      <w:r>
        <w:rPr>
          <w:rFonts w:ascii="sans-serif" w:hAnsi="sans-serif"/>
          <w:b/>
          <w:color w:val="000000"/>
          <w:sz w:val="24"/>
        </w:rPr>
        <w:t>1.</w:t>
      </w:r>
      <w:r>
        <w:rPr>
          <w:rFonts w:ascii="sans-serif" w:hAnsi="sans-serif"/>
          <w:b/>
          <w:color w:val="000000"/>
          <w:sz w:val="24"/>
        </w:rPr>
        <w:t>Definitions</w:t>
      </w:r>
      <w:r>
        <w:rPr>
          <w:rFonts w:ascii="sans-serif" w:hAnsi="sans-serif"/>
          <w:b w:val="false"/>
          <w:color w:val="000000"/>
          <w:sz w:val="24"/>
        </w:rPr>
        <w:t>. For purposes of these Terms and Conditions, the following terms shall have the meanings specified below.</w:t>
      </w:r>
    </w:p>
    <w:p>
      <w:pPr>
        <w:pStyle w:val="TextBody"/>
        <w:bidi w:val="0"/>
        <w:spacing w:lineRule="auto" w:line="288" w:before="0" w:after="120"/>
        <w:ind w:left="0" w:right="0" w:firstLine="720"/>
        <w:jc w:val="left"/>
        <w:rPr/>
      </w:pPr>
      <w:r>
        <w:rPr>
          <w:rFonts w:ascii="sans-serif" w:hAnsi="sans-serif"/>
          <w:b w:val="false"/>
          <w:color w:val="000000"/>
          <w:sz w:val="24"/>
        </w:rPr>
        <w:t>(a)    “</w:t>
      </w:r>
      <w:r>
        <w:rPr>
          <w:rFonts w:ascii="sans-serif" w:hAnsi="sans-serif"/>
          <w:b/>
          <w:color w:val="000000"/>
          <w:sz w:val="24"/>
        </w:rPr>
        <w:t>Cause</w:t>
      </w:r>
      <w:r>
        <w:rPr>
          <w:color w:val="000000"/>
        </w:rPr>
        <w:t xml:space="preserve">” </w:t>
      </w:r>
      <w:r>
        <w:rPr>
          <w:rFonts w:ascii="sans-serif" w:hAnsi="sans-serif"/>
          <w:b w:val="false"/>
          <w:color w:val="000000"/>
          <w:sz w:val="24"/>
        </w:rPr>
        <w:t xml:space="preserve">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265555"/>
                <wp:effectExtent l="0" t="0" r="0" b="0"/>
                <wp:wrapNone/>
                <wp:docPr id="64" name="Frame64"/>
                <a:graphic xmlns:a="http://schemas.openxmlformats.org/drawingml/2006/main">
                  <a:graphicData uri="http://schemas.microsoft.com/office/word/2010/wordprocessingShape">
                    <wps:wsp>
                      <wps:cNvSpPr txBox="1"/>
                      <wps:spPr>
                        <a:xfrm>
                          <a:off x="0" y="0"/>
                          <a:ext cx="6480175" cy="126555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p>
                            <w:pPr>
                              <w:pStyle w:val="TextBody"/>
                              <w:bidi w:val="0"/>
                              <w:spacing w:lineRule="auto" w:line="288" w:before="0" w:after="0"/>
                              <w:jc w:val="center"/>
                              <w:rPr>
                                <w:color w:val="000000"/>
                              </w:rPr>
                            </w:pPr>
                            <w:r>
                              <w:rPr>
                                <w:color w:val="000000"/>
                              </w:rPr>
                              <w:t>    </w:t>
                            </w:r>
                            <w:r>
                              <w:rPr>
                                <w:rFonts w:ascii="sans-serif" w:hAnsi="sans-serif"/>
                                <w:b w:val="false"/>
                                <w:color w:val="000000"/>
                                <w:sz w:val="24"/>
                              </w:rPr>
                              <w:t>1</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center"/>
                        <w:rPr>
                          <w:color w:val="000000"/>
                        </w:rPr>
                      </w:pPr>
                      <w:r>
                        <w:rPr>
                          <w:color w:val="000000"/>
                        </w:rPr>
                        <w:t>    </w:t>
                      </w:r>
                      <w:r>
                        <w:rPr>
                          <w:rFonts w:ascii="sans-serif" w:hAnsi="sans-serif"/>
                          <w:b w:val="false"/>
                          <w:color w:val="000000"/>
                          <w:sz w:val="24"/>
                        </w:rPr>
                        <w:t>1</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4"/>
        </w:rPr>
      </w:pPr>
      <w:r>
        <w:rPr>
          <w:rFonts w:ascii="sans-serif" w:hAnsi="sans-serif"/>
          <w:b w:val="false"/>
          <w:color w:val="000000"/>
          <w:sz w:val="24"/>
        </w:rPr>
        <w:t xml:space="preserve">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 </w:t>
      </w:r>
    </w:p>
    <w:p>
      <w:pPr>
        <w:pStyle w:val="TextBody"/>
        <w:bidi w:val="0"/>
        <w:spacing w:lineRule="auto" w:line="288" w:before="0" w:after="120"/>
        <w:ind w:left="0" w:right="0" w:firstLine="720"/>
        <w:jc w:val="left"/>
        <w:rPr/>
      </w:pPr>
      <w:r>
        <w:rPr>
          <w:rFonts w:ascii="sans-serif" w:hAnsi="sans-serif"/>
          <w:b w:val="false"/>
          <w:color w:val="000000"/>
          <w:sz w:val="24"/>
        </w:rPr>
        <w:t>(b)    “</w:t>
      </w:r>
      <w:r>
        <w:rPr>
          <w:rFonts w:ascii="sans-serif" w:hAnsi="sans-serif"/>
          <w:b/>
          <w:color w:val="000000"/>
          <w:sz w:val="24"/>
        </w:rPr>
        <w:t>Good Reason</w:t>
      </w:r>
      <w:r>
        <w:rPr>
          <w:color w:val="000000"/>
        </w:rPr>
        <w:t xml:space="preserve">” </w:t>
      </w:r>
      <w:r>
        <w:rPr>
          <w:rFonts w:ascii="sans-serif" w:hAnsi="sans-serif"/>
          <w:b w:val="false"/>
          <w:color w:val="000000"/>
          <w:sz w:val="24"/>
        </w:rPr>
        <w:t>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w:t>
      </w:r>
    </w:p>
    <w:p>
      <w:pPr>
        <w:pStyle w:val="TextBody"/>
        <w:bidi w:val="0"/>
        <w:spacing w:lineRule="auto" w:line="288" w:before="0" w:after="120"/>
        <w:ind w:left="0" w:right="0" w:firstLine="720"/>
        <w:jc w:val="left"/>
        <w:rPr/>
      </w:pPr>
      <w:r>
        <w:rPr>
          <w:rFonts w:ascii="sans-serif" w:hAnsi="sans-serif"/>
          <w:b w:val="false"/>
          <w:color w:val="000000"/>
          <w:sz w:val="24"/>
        </w:rPr>
        <w:t>(c)    “</w:t>
      </w:r>
      <w:r>
        <w:rPr>
          <w:rFonts w:ascii="sans-serif" w:hAnsi="sans-serif"/>
          <w:b/>
          <w:color w:val="000000"/>
          <w:sz w:val="24"/>
        </w:rPr>
        <w:t>Nonqualifying Change in Control</w:t>
      </w:r>
      <w:r>
        <w:rPr>
          <w:color w:val="000000"/>
        </w:rPr>
        <w:t xml:space="preserve">” </w:t>
      </w:r>
      <w:r>
        <w:rPr>
          <w:rFonts w:ascii="sans-serif" w:hAnsi="sans-serif"/>
          <w:b w:val="false"/>
          <w:color w:val="000000"/>
          <w:sz w:val="24"/>
        </w:rPr>
        <w:t>means a Change in Control (as defined in the Plan) that does not comply with the meaning of a change in control established in Treasury Regulation Section 1.409A-3(i)(5)(i) because it is not a (i) change in ownership of a corporation, (ii) a change in effective control of a corporation, or (iii) a change in the ownership of a substantial portion of a corporation's assets.</w:t>
      </w:r>
    </w:p>
    <w:p>
      <w:pPr>
        <w:pStyle w:val="TextBody"/>
        <w:bidi w:val="0"/>
        <w:spacing w:lineRule="auto" w:line="288" w:before="0" w:after="120"/>
        <w:ind w:left="0" w:right="0" w:firstLine="720"/>
        <w:jc w:val="left"/>
        <w:rPr/>
      </w:pPr>
      <w:r>
        <w:rPr>
          <w:rFonts w:ascii="sans-serif" w:hAnsi="sans-serif"/>
          <w:b w:val="false"/>
          <w:color w:val="000000"/>
          <w:sz w:val="24"/>
        </w:rPr>
        <w:t>(d)    “</w:t>
      </w:r>
      <w:r>
        <w:rPr>
          <w:rFonts w:ascii="sans-serif" w:hAnsi="sans-serif"/>
          <w:b/>
          <w:color w:val="000000"/>
          <w:sz w:val="24"/>
        </w:rPr>
        <w:t>Qualifying Change in Control</w:t>
      </w:r>
      <w:r>
        <w:rPr>
          <w:color w:val="000000"/>
        </w:rPr>
        <w:t xml:space="preserve">” </w:t>
      </w:r>
      <w:r>
        <w:rPr>
          <w:rFonts w:ascii="sans-serif" w:hAnsi="sans-serif"/>
          <w:b w:val="false"/>
          <w:color w:val="000000"/>
          <w:sz w:val="24"/>
        </w:rPr>
        <w:t xml:space="preserve">means a Change in Control (as defined in the Plan) that complies with the meaning of a change in control established in Treasury Regulation Section 1.409A-3(i)(5)(i) because it is a (i) change in ownership of a corporation, (ii) a change in effective control of a corporation, or (iii) a change in the ownership of a substantial portion of a corporation's assets, but excluding any event that would otherwise constitute a Change in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4515"/>
                <wp:effectExtent l="0" t="0" r="0" b="0"/>
                <wp:wrapNone/>
                <wp:docPr id="65" name="Frame65"/>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2</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4"/>
        </w:rPr>
      </w:pPr>
      <w:r>
        <w:rPr>
          <w:rFonts w:ascii="sans-serif" w:hAnsi="sans-serif"/>
          <w:b w:val="false"/>
          <w:color w:val="000000"/>
          <w:sz w:val="24"/>
        </w:rPr>
        <w:t>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pStyle w:val="TextBody"/>
        <w:bidi w:val="0"/>
        <w:spacing w:lineRule="auto" w:line="288" w:before="0" w:after="120"/>
        <w:ind w:left="0" w:right="0" w:firstLine="720"/>
        <w:jc w:val="left"/>
        <w:rPr/>
      </w:pPr>
      <w:r>
        <w:rPr>
          <w:rFonts w:ascii="sans-serif" w:hAnsi="sans-serif"/>
          <w:b w:val="false"/>
          <w:color w:val="000000"/>
          <w:sz w:val="24"/>
        </w:rPr>
        <w:t>(e)    “</w:t>
      </w:r>
      <w:r>
        <w:rPr>
          <w:rFonts w:ascii="sans-serif" w:hAnsi="sans-serif"/>
          <w:b/>
          <w:color w:val="000000"/>
          <w:sz w:val="24"/>
        </w:rPr>
        <w:t>Qualifying Termination</w:t>
      </w:r>
      <w:r>
        <w:rPr>
          <w:color w:val="000000"/>
        </w:rPr>
        <w:t xml:space="preserve">” </w:t>
      </w:r>
      <w:r>
        <w:rPr>
          <w:rFonts w:ascii="sans-serif" w:hAnsi="sans-serif"/>
          <w:b w:val="false"/>
          <w:color w:val="000000"/>
          <w:sz w:val="24"/>
        </w:rPr>
        <w:t>means a termination of the Grantee’s employment with the Company or an Affiliate (i) by the Company or an Affiliate without Cause, (ii) by the Grantee for Good Reason (if applicable), (iii) due to the Grantee’s death, or (iv) due to the Grantee’s disability within the meaning of Treasury Regulation Section 1.409A-3(i)(4).</w:t>
      </w:r>
    </w:p>
    <w:p>
      <w:pPr>
        <w:pStyle w:val="TextBody"/>
        <w:bidi w:val="0"/>
        <w:spacing w:lineRule="auto" w:line="288" w:before="0" w:after="120"/>
        <w:ind w:left="0" w:right="0" w:firstLine="720"/>
        <w:jc w:val="left"/>
        <w:rPr/>
      </w:pPr>
      <w:r>
        <w:rPr>
          <w:rFonts w:ascii="sans-serif" w:hAnsi="sans-serif"/>
          <w:b w:val="false"/>
          <w:color w:val="000000"/>
          <w:sz w:val="24"/>
        </w:rPr>
        <w:t>(f)    “</w:t>
      </w:r>
      <w:r>
        <w:rPr>
          <w:rFonts w:ascii="sans-serif" w:hAnsi="sans-serif"/>
          <w:b/>
          <w:color w:val="000000"/>
          <w:sz w:val="24"/>
        </w:rPr>
        <w:t>Retirement</w:t>
      </w:r>
      <w:r>
        <w:rPr>
          <w:color w:val="000000"/>
        </w:rPr>
        <w:t xml:space="preserve">” </w:t>
      </w:r>
      <w:r>
        <w:rPr>
          <w:rFonts w:ascii="sans-serif" w:hAnsi="sans-serif"/>
          <w:b w:val="false"/>
          <w:color w:val="000000"/>
          <w:sz w:val="24"/>
        </w:rPr>
        <w:t>means a termination of employment with the Company or an Affiliate on or after the Grantee’s attainment of age 55 or older, provided that (i) the Grantee has provided the Company (or the applicable employing Affiliate) with written notice of the anticipated Retirement at least 6 months prior to the anticipated termination event, and (ii) at the time of the Retirement, Grantee has 10 or more years of service with the Company and its Affiliates.</w:t>
      </w:r>
    </w:p>
    <w:p>
      <w:pPr>
        <w:pStyle w:val="TextBody"/>
        <w:bidi w:val="0"/>
        <w:spacing w:lineRule="auto" w:line="288" w:before="0" w:after="240"/>
        <w:ind w:left="0" w:right="0" w:firstLine="720"/>
        <w:jc w:val="left"/>
        <w:rPr/>
      </w:pPr>
      <w:r>
        <w:rPr>
          <w:rFonts w:ascii="sans-serif" w:hAnsi="sans-serif"/>
          <w:b/>
          <w:color w:val="000000"/>
          <w:sz w:val="24"/>
        </w:rPr>
        <w:t>2.</w:t>
      </w:r>
      <w:r>
        <w:rPr>
          <w:rFonts w:ascii="sans-serif" w:hAnsi="sans-serif"/>
          <w:b/>
          <w:color w:val="000000"/>
          <w:sz w:val="24"/>
        </w:rPr>
        <w:t>Grant of Restricted Stock Units.</w:t>
      </w:r>
      <w:r>
        <w:rPr>
          <w:color w:val="000000"/>
        </w:rPr>
        <w:t xml:space="preserve"> </w:t>
      </w:r>
      <w:r>
        <w:rPr>
          <w:rFonts w:ascii="sans-serif" w:hAnsi="sans-serif"/>
          <w:b w:val="false"/>
          <w:color w:val="000000"/>
          <w:sz w:val="24"/>
        </w:rPr>
        <w:t>In accordance with these Terms and Conditions and the Plan, CRC grants to the Grantee as of the Date of Grant, the number of Restricted Stock Units (“</w:t>
      </w:r>
      <w:r>
        <w:rPr>
          <w:rFonts w:ascii="sans-serif" w:hAnsi="sans-serif"/>
          <w:b/>
          <w:color w:val="000000"/>
          <w:sz w:val="24"/>
        </w:rPr>
        <w:t>RS Units</w:t>
      </w:r>
      <w:r>
        <w:rPr>
          <w:color w:val="000000"/>
        </w:rPr>
        <w:t>”</w:t>
      </w:r>
      <w:r>
        <w:rPr>
          <w:rFonts w:ascii="sans-serif" w:hAnsi="sans-serif"/>
          <w:b w:val="false"/>
          <w:color w:val="000000"/>
          <w:sz w:val="24"/>
        </w:rPr>
        <w:t>) set forth above, subject to adjustment under the Plan and Section 7 of these Terms and Conditions. An RS Unit is a bookkeeping entry that represents the right to receive upon vesting, as set forth in Section 4, one share of CRC common stock, $0.01 par value (the “</w:t>
      </w:r>
      <w:r>
        <w:rPr>
          <w:rFonts w:ascii="sans-serif" w:hAnsi="sans-serif"/>
          <w:b/>
          <w:color w:val="000000"/>
          <w:sz w:val="24"/>
        </w:rPr>
        <w:t>Common Stock</w:t>
      </w:r>
      <w:r>
        <w:rPr>
          <w:color w:val="000000"/>
        </w:rPr>
        <w:t>”</w:t>
      </w:r>
      <w:r>
        <w:rPr>
          <w:rFonts w:ascii="sans-serif" w:hAnsi="sans-serif"/>
          <w:b w:val="false"/>
          <w:color w:val="000000"/>
          <w:sz w:val="24"/>
        </w:rPr>
        <w:t xml:space="preserve">), at the time provided in Section 5. RS Units are not Common Stock and have no voting rights or, except as stated in Section 6, dividend equivalent rights. </w:t>
      </w:r>
    </w:p>
    <w:p>
      <w:pPr>
        <w:pStyle w:val="TextBody"/>
        <w:bidi w:val="0"/>
        <w:spacing w:lineRule="auto" w:line="288" w:before="0" w:after="240"/>
        <w:ind w:left="0" w:right="0" w:firstLine="720"/>
        <w:jc w:val="left"/>
        <w:rPr/>
      </w:pPr>
      <w:r>
        <w:rPr>
          <w:rFonts w:ascii="sans-serif" w:hAnsi="sans-serif"/>
          <w:b/>
          <w:color w:val="000000"/>
          <w:sz w:val="24"/>
        </w:rPr>
        <w:t>3.</w:t>
      </w:r>
      <w:r>
        <w:rPr>
          <w:rFonts w:ascii="sans-serif" w:hAnsi="sans-serif"/>
          <w:b/>
          <w:color w:val="000000"/>
          <w:sz w:val="24"/>
        </w:rPr>
        <w:t>Restrictions on Transfer.</w:t>
      </w:r>
      <w:r>
        <w:rPr>
          <w:color w:val="000000"/>
        </w:rPr>
        <w:t xml:space="preserve"> </w:t>
      </w:r>
      <w:r>
        <w:rPr>
          <w:rFonts w:ascii="sans-serif" w:hAnsi="sans-serif"/>
          <w:b w:val="false"/>
          <w:color w:val="000000"/>
          <w:sz w:val="24"/>
        </w:rPr>
        <w:t>Neither these Terms and Conditions nor any right to receive Common Stock 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pStyle w:val="TextBody"/>
        <w:bidi w:val="0"/>
        <w:spacing w:lineRule="auto" w:line="288" w:before="0" w:after="240"/>
        <w:ind w:left="0" w:right="0" w:firstLine="720"/>
        <w:jc w:val="left"/>
        <w:rPr/>
      </w:pPr>
      <w:r>
        <w:rPr>
          <w:rFonts w:ascii="sans-serif" w:hAnsi="sans-serif"/>
          <w:b/>
          <w:color w:val="000000"/>
          <w:sz w:val="24"/>
        </w:rPr>
        <w:t>4.</w:t>
      </w:r>
      <w:r>
        <w:rPr>
          <w:rFonts w:ascii="sans-serif" w:hAnsi="sans-serif"/>
          <w:b/>
          <w:color w:val="000000"/>
          <w:sz w:val="24"/>
        </w:rPr>
        <w:t>Vesting and Forfeiture of Restricted Stock Unit Award.</w:t>
      </w:r>
      <w:r>
        <w:rPr>
          <w:color w:val="000000"/>
        </w:rPr>
        <w:t xml:space="preserve"> </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(a)If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4515"/>
                <wp:effectExtent l="0" t="0" r="0" b="0"/>
                <wp:wrapNone/>
                <wp:docPr id="66" name="Frame66"/>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3</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(b)Except as otherwise set forth in Sections 4(c), (d), (e) and (f), the RS Units shall vest in accordance with the Vesting Schedule set forth above. Upon a termination of the Grantee’s employment with the Company or an Affiliate prior to the vesting of all of the RS Units (but after giving effect to any accelerated vesting pursuant to Sections 4(c), (d) and (e)), any unvested RS Units (and all rights arising from such RS Units and from being a holder thereof) will terminate automatically without any further action by the Company and will be forfeited without further notice and at no cost to the Company.</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 xml:space="preserve">(c)If the Grantee’s employment with the Company or an Affiliate is terminated prior to the vesting of all RS Units due to a Qualifying Termination, any then unvested RS Units shall immediately vest and become nonforfeitable as of the date of such termination of employment. </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(d)If the Grantee’s employment with the Company or an Affiliate is terminated prior to the vesting of all RS Units due to a Retirement, any then unvested RS Units shall continue to vest according to the Vesting Schedule described herein.</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(e)In the event of a Change in Control (whether a Nonqualifying Change in Control or a Qualifying Change in Control), any then unvested RS Units shall immediately vest so long as the Grantee’s employment with the Company or an Affiliate continues from the Grant Date through the consummation of the Change in Control.</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(f)Notwithstanding the preceding provisions of this Section 4 or anything to the contrary in this award, in the event of the Grantee’s termination of employment for Cause at any time prior to the settlement of all of the RS Units pursuant to Section 5, the Grantee will forfeit, for no consideration, all of the RS Units that have not yet been so settled as of the date of such termination of employment (including those that may have become vested pursuant to the preceding paragraphs) and all rights arising from such RS Units without any further action or notice by the Company. In addition, in the event that all or a portion of the RS Units have become vested pursuant to the preceding paragraphs but, after such vesting and prior to the settlement of such RS Units, the Committee acquires evidence or determines that a Cause condition existed at any time prior to the settlement of all of the RS Units (whether or not the Company or an Affiliate was aware of the condition), then the Grantee will forfeit, for no consideration, all of the RS Units that have not been so settled and all rights arising from such RS Units.</w:t>
      </w:r>
    </w:p>
    <w:p>
      <w:pPr>
        <w:pStyle w:val="TextBody"/>
        <w:bidi w:val="0"/>
        <w:spacing w:lineRule="auto" w:line="288" w:before="0" w:after="240"/>
        <w:ind w:left="0" w:right="0" w:firstLine="720"/>
        <w:jc w:val="left"/>
        <w:rPr/>
      </w:pPr>
      <w:r>
        <w:rPr>
          <w:rFonts w:ascii="sans-serif" w:hAnsi="sans-serif"/>
          <w:b/>
          <w:color w:val="000000"/>
          <w:sz w:val="24"/>
        </w:rPr>
        <w:t>5.</w:t>
      </w:r>
      <w:r>
        <w:rPr>
          <w:rFonts w:ascii="sans-serif" w:hAnsi="sans-serif"/>
          <w:b/>
          <w:color w:val="000000"/>
          <w:sz w:val="24"/>
        </w:rPr>
        <w:t>Payment of Awards.</w:t>
      </w:r>
      <w:r>
        <w:rPr>
          <w:color w:val="000000"/>
        </w:rPr>
        <w:t xml:space="preserve"> </w:t>
      </w:r>
      <w:r>
        <w:rPr>
          <w:rFonts w:ascii="sans-serif" w:hAnsi="sans-serif"/>
          <w:b w:val="false"/>
          <w:color w:val="000000"/>
          <w:sz w:val="24"/>
        </w:rPr>
        <w:t xml:space="preserve">RS Units that become vested in accordance with Section 4 shall be made in the form of shares of Common Stock equal to the number of RS Units with respect to which payment is being made on that date, plus cash for any fractional share units based on the Fair Market Value of a share of Common Stock as of the date immediately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4515"/>
                <wp:effectExtent l="0" t="0" r="0" b="0"/>
                <wp:wrapNone/>
                <wp:docPr id="67" name="Frame67"/>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4</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4</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preceding the date of such payment, subject to Section 10 below. The timing of payments shall be as follows:</w:t>
      </w:r>
    </w:p>
    <w:p>
      <w:pPr>
        <w:pStyle w:val="TextBody"/>
        <w:bidi w:val="0"/>
        <w:spacing w:lineRule="auto" w:line="288" w:before="0" w:after="240"/>
        <w:ind w:left="0" w:right="0" w:firstLine="720"/>
        <w:jc w:val="left"/>
        <w:rPr/>
      </w:pPr>
      <w:r>
        <w:rPr>
          <w:rFonts w:ascii="sans-serif" w:hAnsi="sans-serif"/>
          <w:b w:val="false"/>
          <w:color w:val="000000"/>
          <w:sz w:val="24"/>
        </w:rPr>
        <w:t>(a)</w:t>
      </w:r>
      <w:r>
        <w:rPr>
          <w:rFonts w:ascii="sans-serif" w:hAnsi="sans-serif"/>
          <w:b w:val="false"/>
          <w:color w:val="000000"/>
          <w:sz w:val="24"/>
          <w:u w:val="single"/>
        </w:rPr>
        <w:t>Ordinary Course Vesting</w:t>
      </w:r>
      <w:r>
        <w:rPr>
          <w:rFonts w:ascii="sans-serif" w:hAnsi="sans-serif"/>
          <w:b w:val="false"/>
          <w:color w:val="000000"/>
          <w:sz w:val="24"/>
        </w:rPr>
        <w:t xml:space="preserve">. If the Grantee receives vesting of the RS Units in accordance with the original Vesting Dates assigned to this Award, all such vested RSU Units shall be paid as promptly as practicable following each Vesting Date, but in no event shall any such payment occur later than 45 days following the appliable Vesting Date. </w:t>
      </w:r>
    </w:p>
    <w:p>
      <w:pPr>
        <w:pStyle w:val="TextBody"/>
        <w:bidi w:val="0"/>
        <w:spacing w:lineRule="auto" w:line="288" w:before="0" w:after="240"/>
        <w:ind w:left="0" w:right="0" w:firstLine="720"/>
        <w:jc w:val="left"/>
        <w:rPr/>
      </w:pPr>
      <w:r>
        <w:rPr>
          <w:rFonts w:ascii="sans-serif" w:hAnsi="sans-serif"/>
          <w:b w:val="false"/>
          <w:color w:val="000000"/>
          <w:sz w:val="24"/>
        </w:rPr>
        <w:t>(b)</w:t>
      </w:r>
      <w:r>
        <w:rPr>
          <w:rFonts w:ascii="sans-serif" w:hAnsi="sans-serif"/>
          <w:b w:val="false"/>
          <w:color w:val="000000"/>
          <w:sz w:val="24"/>
          <w:u w:val="single"/>
        </w:rPr>
        <w:t>Qualifying Termination</w:t>
      </w:r>
      <w:r>
        <w:rPr>
          <w:rFonts w:ascii="sans-serif" w:hAnsi="sans-serif"/>
          <w:b w:val="false"/>
          <w:color w:val="000000"/>
          <w:sz w:val="24"/>
        </w:rPr>
        <w:t xml:space="preserve">. If the Grantee’s employment with the Company or an Affiliate is terminated due to a Qualifying Termination and the Grantee has received vesting pursuant to Section 4(c) above, all such vested RS Units shall be paid as promptly as practicable following each Vesting Date originally assigned to the RSU Units on the Grant Date, but in no event shall any such payment occur later than 45 days following the appliable Vesting Date. </w:t>
      </w:r>
    </w:p>
    <w:p>
      <w:pPr>
        <w:pStyle w:val="TextBody"/>
        <w:bidi w:val="0"/>
        <w:spacing w:lineRule="auto" w:line="288" w:before="0" w:after="240"/>
        <w:ind w:left="0" w:right="0" w:firstLine="720"/>
        <w:jc w:val="left"/>
        <w:rPr/>
      </w:pPr>
      <w:r>
        <w:rPr>
          <w:rFonts w:ascii="sans-serif" w:hAnsi="sans-serif"/>
          <w:b w:val="false"/>
          <w:color w:val="000000"/>
          <w:sz w:val="24"/>
        </w:rPr>
        <w:t>(c)</w:t>
      </w:r>
      <w:r>
        <w:rPr>
          <w:rFonts w:ascii="sans-serif" w:hAnsi="sans-serif"/>
          <w:b w:val="false"/>
          <w:color w:val="000000"/>
          <w:sz w:val="24"/>
          <w:u w:val="single"/>
        </w:rPr>
        <w:t>Retirement</w:t>
      </w:r>
      <w:r>
        <w:rPr>
          <w:rFonts w:ascii="sans-serif" w:hAnsi="sans-serif"/>
          <w:b w:val="false"/>
          <w:color w:val="000000"/>
          <w:sz w:val="24"/>
        </w:rPr>
        <w:t>. If the Grantee’s employment with the Company or an Affiliate is terminated due to a Retirement and the Grantee has received continued vesting pursuant to Section 4(d) above, all such vested RS Units shall be paid as promptly as practicable following each Vesting Date originally assigned to the RSU Units on the Grant Date, but no event shall any such payment occur later than 45 days following the appliable Vesting Date.</w:t>
      </w:r>
    </w:p>
    <w:p>
      <w:pPr>
        <w:pStyle w:val="TextBody"/>
        <w:bidi w:val="0"/>
        <w:spacing w:lineRule="auto" w:line="288" w:before="0" w:after="240"/>
        <w:ind w:left="0" w:right="0" w:firstLine="720"/>
        <w:jc w:val="left"/>
        <w:rPr/>
      </w:pPr>
      <w:r>
        <w:rPr>
          <w:rFonts w:ascii="sans-serif" w:hAnsi="sans-serif"/>
          <w:b w:val="false"/>
          <w:color w:val="000000"/>
          <w:sz w:val="24"/>
        </w:rPr>
        <w:t>(d)</w:t>
      </w:r>
      <w:r>
        <w:rPr>
          <w:rFonts w:ascii="sans-serif" w:hAnsi="sans-serif"/>
          <w:b w:val="false"/>
          <w:color w:val="000000"/>
          <w:sz w:val="24"/>
          <w:u w:val="single"/>
        </w:rPr>
        <w:t>Change in Control</w:t>
      </w:r>
      <w:r>
        <w:rPr>
          <w:rFonts w:ascii="sans-serif" w:hAnsi="sans-serif"/>
          <w:b w:val="false"/>
          <w:color w:val="000000"/>
          <w:sz w:val="24"/>
        </w:rPr>
        <w:t xml:space="preserve">: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     if the Grantee has received vesting pursuant to Section 4(e) above in connection with a Nonqualifying Change in Control, all such vested RSU Units shall be paid as promptly as practicable following each Vesting Date originally assigned to the RSU Units on the Grant Date, but in no event shall any such payment occur later than 45 days following the appliable Vesting Date; or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(ii)     if the Grantee has received vesting pursuant to Section 4(e) above in connection with a Qualifying Change in Control, all such vested RSU Units shall be paid as promptly as practicable following that Qualifying Change in Control event, but in no event shall any such payment occur later than 45 days following the Qualifying Change in Control event. </w:t>
      </w:r>
    </w:p>
    <w:p>
      <w:pPr>
        <w:pStyle w:val="TextBody"/>
        <w:bidi w:val="0"/>
        <w:spacing w:lineRule="auto" w:line="288" w:before="0" w:after="240"/>
        <w:ind w:left="0" w:right="0" w:firstLine="720"/>
        <w:jc w:val="left"/>
        <w:rPr/>
      </w:pPr>
      <w:r>
        <w:rPr>
          <w:rFonts w:ascii="sans-serif" w:hAnsi="sans-serif"/>
          <w:b/>
          <w:color w:val="000000"/>
          <w:sz w:val="24"/>
        </w:rPr>
        <w:t>6.</w:t>
      </w:r>
      <w:r>
        <w:rPr>
          <w:rFonts w:ascii="sans-serif" w:hAnsi="sans-serif"/>
          <w:b/>
          <w:color w:val="000000"/>
          <w:sz w:val="24"/>
        </w:rPr>
        <w:t>Crediting and Payment of Dividend Equivalents.</w:t>
      </w:r>
      <w:r>
        <w:rPr>
          <w:color w:val="000000"/>
        </w:rPr>
        <w:t xml:space="preserve"> </w:t>
      </w:r>
      <w:r>
        <w:rPr>
          <w:rFonts w:ascii="sans-serif" w:hAnsi="sans-serif"/>
          <w:b w:val="false"/>
          <w:color w:val="000000"/>
          <w:sz w:val="24"/>
        </w:rPr>
        <w:t>With respect to the number of RS Units listed above that have not been paid pursuant to Section 5, the Grantee will be credited on the books and records of CRC with an amount (the “</w:t>
      </w:r>
      <w:r>
        <w:rPr>
          <w:rFonts w:ascii="sans-serif" w:hAnsi="sans-serif"/>
          <w:b/>
          <w:color w:val="000000"/>
          <w:sz w:val="24"/>
        </w:rPr>
        <w:t>Dividend Equivalent</w:t>
      </w:r>
      <w:r>
        <w:rPr>
          <w:color w:val="000000"/>
        </w:rPr>
        <w:t>”</w:t>
      </w:r>
      <w:r>
        <w:rPr>
          <w:rFonts w:ascii="sans-serif" w:hAnsi="sans-serif"/>
          <w:b w:val="false"/>
          <w:color w:val="000000"/>
          <w:sz w:val="24"/>
        </w:rPr>
        <w:t xml:space="preserve">) equal to the amount per share of any cash dividends declared by the Board on the outstanding Common Stock as and when declared during the period beginning on the Date of Grant and ending, with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4515"/>
                <wp:effectExtent l="0" t="0" r="0" b="0"/>
                <wp:wrapNone/>
                <wp:docPr id="68" name="Frame68"/>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5</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5</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respect to any portion of the RS Units covered by these Terms and Conditions, on the applicable payment date set forth in Section 5. CRC will pay in cash to the Grantee an amount equal to the Dividend Equivalents credited to such Grantee on the same date that the RS Units to which they are attributable are settled and paid in accordance with Section 5. If the RS Units (or any portion thereof) are forfeited by the Grantee pursuant to these Terms and Conditions, then the Grantee shall also forfeit the Dividend Equivalents, if any, accrued and unpaid with respect to such forfeited RS Units. No interest will accrue on the Dividend Equivalents between the declaration and payment of the applicable dividends and the settlement of the Dividend Equivalents.</w:t>
      </w:r>
    </w:p>
    <w:p>
      <w:pPr>
        <w:pStyle w:val="TextBody"/>
        <w:bidi w:val="0"/>
        <w:spacing w:lineRule="auto" w:line="288" w:before="0" w:after="240"/>
        <w:ind w:left="0" w:right="0" w:firstLine="720"/>
        <w:jc w:val="left"/>
        <w:rPr/>
      </w:pPr>
      <w:r>
        <w:rPr>
          <w:rFonts w:ascii="sans-serif" w:hAnsi="sans-serif"/>
          <w:b/>
          <w:color w:val="000000"/>
          <w:sz w:val="24"/>
        </w:rPr>
        <w:t>7.</w:t>
      </w:r>
      <w:r>
        <w:rPr>
          <w:rFonts w:ascii="sans-serif" w:hAnsi="sans-serif"/>
          <w:b/>
          <w:color w:val="000000"/>
          <w:sz w:val="24"/>
        </w:rPr>
        <w:t>Adjustments.</w:t>
      </w:r>
      <w:r>
        <w:rPr>
          <w:color w:val="000000"/>
        </w:rPr>
        <w:t xml:space="preserve"> </w:t>
      </w:r>
      <w:r>
        <w:rPr>
          <w:rFonts w:ascii="sans-serif" w:hAnsi="sans-serif"/>
          <w:b w:val="false"/>
          <w:color w:val="000000"/>
          <w:sz w:val="24"/>
        </w:rPr>
        <w:t>The number of RS Units covered by these Terms and Conditions may be adjusted as the 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pStyle w:val="TextBody"/>
        <w:bidi w:val="0"/>
        <w:spacing w:lineRule="auto" w:line="288" w:before="0" w:after="240"/>
        <w:ind w:left="0" w:right="0" w:firstLine="720"/>
        <w:jc w:val="left"/>
        <w:rPr/>
      </w:pPr>
      <w:r>
        <w:rPr>
          <w:rFonts w:ascii="sans-serif" w:hAnsi="sans-serif"/>
          <w:b/>
          <w:color w:val="000000"/>
          <w:sz w:val="24"/>
        </w:rPr>
        <w:t>8.</w:t>
      </w:r>
      <w:r>
        <w:rPr>
          <w:rFonts w:ascii="sans-serif" w:hAnsi="sans-serif"/>
          <w:b/>
          <w:color w:val="000000"/>
          <w:sz w:val="24"/>
        </w:rPr>
        <w:t>Compensation Recoupment.</w:t>
      </w:r>
      <w:r>
        <w:rPr>
          <w:color w:val="000000"/>
        </w:rPr>
        <w:t xml:space="preserve"> </w:t>
      </w:r>
      <w:r>
        <w:rPr>
          <w:rFonts w:ascii="sans-serif" w:hAnsi="sans-serif"/>
          <w:b w:val="false"/>
          <w:color w:val="000000"/>
          <w:sz w:val="24"/>
        </w:rPr>
        <w:t>The Grantee’s receipt of this award is expressly conditioned on the Grantee’s agreement to the terms and provisions of this Section, and the Grantee acknowledges that the Grantee would not have received this award in the absence of such agreement. By accepting this award, the Grantee acknowledges and agrees that:</w:t>
      </w:r>
    </w:p>
    <w:p>
      <w:pPr>
        <w:pStyle w:val="TextBody"/>
        <w:bidi w:val="0"/>
        <w:spacing w:lineRule="auto" w:line="240" w:before="0" w:after="240"/>
        <w:ind w:left="0" w:right="0" w:firstLine="720"/>
        <w:jc w:val="left"/>
        <w:rPr>
          <w:rFonts w:ascii="sans-serif" w:hAnsi="sans-serif"/>
          <w:b w:val="false"/>
          <w:color w:val="000000"/>
          <w:sz w:val="24"/>
        </w:rPr>
      </w:pPr>
      <w:r>
        <w:rPr>
          <w:rFonts w:ascii="sans-serif" w:hAnsi="sans-serif"/>
          <w:b w:val="false"/>
          <w:color w:val="000000"/>
          <w:sz w:val="24"/>
        </w:rPr>
        <w:t>(a)in the event that all or a portion of the RS Units have become vested and settled pursuant to this Agreement but, after such settlement, the Committee acquires evidence or determines that a Cause condition existed at any time prior to the payment of any of the RS Units (whether or not the Company or an Affiliate was aware of the condition), the Company shall be entitled, in its sole discretion and to the maximum extent permitted by law, to clawback and require immediate repayment or return by the Grantee (or the Grantee’s estate, transferee, or other recipient) of any RS Units or other consideration previously issued, delivered, distributed, or otherwise paid pursuant to this Agreement prior to the date on which the event giving rise to Cause first occurred and ending on the date of such termination of employment, or the cash value thereof if the Grantee has sold, transferred, disposed of, or otherwise encumbered such RS Units, in each case net of taxes or any broker’s commissions previously paid;</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 xml:space="preserve">(b)    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“Act”), (ii) any rules or regulations promulgated under the Act or by any stock exchange on which the Company’s common stock is listed (collectively, the “Rules”), or (iii) any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4515"/>
                <wp:effectExtent l="0" t="0" r="0" b="0"/>
                <wp:wrapNone/>
                <wp:docPr id="69" name="Frame69"/>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6</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6</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pStyle w:val="TextBody"/>
        <w:bidi w:val="0"/>
        <w:spacing w:lineRule="auto" w:line="288" w:before="0" w:after="0"/>
        <w:ind w:left="0" w:right="0" w:firstLine="720"/>
        <w:jc w:val="left"/>
        <w:rPr>
          <w:rFonts w:ascii="sans-serif" w:hAnsi="sans-serif"/>
          <w:b w:val="false"/>
          <w:color w:val="000000"/>
          <w:sz w:val="24"/>
        </w:rPr>
      </w:pPr>
      <w:r>
        <w:rPr>
          <w:rFonts w:ascii="sans-serif" w:hAnsi="sans-serif"/>
          <w:b w:val="false"/>
          <w:color w:val="000000"/>
          <w:sz w:val="24"/>
        </w:rPr>
        <w:t>(c)    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pStyle w:val="TextBody"/>
        <w:bidi w:val="0"/>
        <w:spacing w:before="0" w:after="0"/>
        <w:jc w:val="both"/>
        <w:rPr/>
      </w:pPr>
      <w:r>
        <w:rPr/>
      </w:r>
    </w:p>
    <w:p>
      <w:pPr>
        <w:pStyle w:val="TextBody"/>
        <w:bidi w:val="0"/>
        <w:spacing w:lineRule="auto" w:line="288" w:before="0" w:after="120"/>
        <w:jc w:val="left"/>
        <w:rPr>
          <w:rFonts w:ascii="sans-serif" w:hAnsi="sans-serif"/>
          <w:b w:val="false"/>
          <w:color w:val="000000"/>
          <w:sz w:val="24"/>
        </w:rPr>
      </w:pPr>
      <w:r>
        <w:rPr>
          <w:rFonts w:ascii="sans-serif" w:hAnsi="sans-serif"/>
          <w:b w:val="false"/>
          <w:color w:val="000000"/>
          <w:sz w:val="24"/>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pStyle w:val="TextBody"/>
        <w:bidi w:val="0"/>
        <w:spacing w:lineRule="auto" w:line="288" w:before="240" w:after="240"/>
        <w:ind w:left="0" w:right="0" w:firstLine="720"/>
        <w:jc w:val="left"/>
        <w:rPr/>
      </w:pPr>
      <w:r>
        <w:rPr>
          <w:rFonts w:ascii="sans-serif" w:hAnsi="sans-serif"/>
          <w:b/>
          <w:color w:val="000000"/>
          <w:sz w:val="24"/>
        </w:rPr>
        <w:t>9.</w:t>
      </w:r>
      <w:r>
        <w:rPr>
          <w:rFonts w:ascii="sans-serif" w:hAnsi="sans-serif"/>
          <w:b/>
          <w:color w:val="000000"/>
          <w:sz w:val="24"/>
        </w:rPr>
        <w:t>No Employment Contract.</w:t>
      </w:r>
      <w:r>
        <w:rPr>
          <w:color w:val="000000"/>
        </w:rPr>
        <w:t xml:space="preserve"> </w:t>
      </w:r>
      <w:r>
        <w:rPr>
          <w:rFonts w:ascii="sans-serif" w:hAnsi="sans-serif"/>
          <w:b w:val="false"/>
          <w:color w:val="000000"/>
          <w:sz w:val="24"/>
        </w:rPr>
        <w:t>Nothing in these Terms and Conditions confers upon the Grantee any right 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pStyle w:val="TextBody"/>
        <w:bidi w:val="0"/>
        <w:spacing w:lineRule="auto" w:line="288" w:before="0" w:after="240"/>
        <w:ind w:left="0" w:right="0" w:firstLine="720"/>
        <w:jc w:val="left"/>
        <w:rPr/>
      </w:pPr>
      <w:r>
        <w:rPr>
          <w:rFonts w:ascii="sans-serif" w:hAnsi="sans-serif"/>
          <w:b/>
          <w:color w:val="000000"/>
          <w:sz w:val="24"/>
        </w:rPr>
        <w:t>10.</w:t>
      </w:r>
      <w:r>
        <w:rPr>
          <w:rFonts w:ascii="sans-serif" w:hAnsi="sans-serif"/>
          <w:b/>
          <w:color w:val="000000"/>
          <w:sz w:val="24"/>
        </w:rPr>
        <w:t>Taxes and Withholding.</w:t>
      </w:r>
      <w:r>
        <w:rPr>
          <w:color w:val="000000"/>
        </w:rPr>
        <w:t xml:space="preserve"> </w:t>
      </w:r>
      <w:r>
        <w:rPr>
          <w:rFonts w:ascii="sans-serif" w:hAnsi="sans-serif"/>
          <w:b w:val="false"/>
          <w:color w:val="000000"/>
          <w:sz w:val="24"/>
        </w:rPr>
        <w:t>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sans-serif" w:hAnsi="sans-serif"/>
          <w:b/>
          <w:color w:val="000000"/>
          <w:sz w:val="24"/>
        </w:rPr>
        <w:t>Tax-Related Items</w:t>
      </w:r>
      <w:r>
        <w:rPr>
          <w:color w:val="000000"/>
        </w:rPr>
        <w:t>”</w:t>
      </w:r>
      <w:r>
        <w:rPr>
          <w:rFonts w:ascii="sans-serif" w:hAnsi="sans-serif"/>
          <w:b w:val="false"/>
          <w:color w:val="000000"/>
          <w:sz w:val="24"/>
        </w:rPr>
        <w:t xml:space="preserve">), the Grantee acknowledges that the ultimate liability for all Tax-Related Items is and remains the 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4515"/>
                <wp:effectExtent l="0" t="0" r="0" b="0"/>
                <wp:wrapNone/>
                <wp:docPr id="70" name="Frame70"/>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7</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7</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Restricted Stock Unit Award (including Dividend Equivalents); (ii) any Common Stock payable pursuant to this Restricted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Restricted Stock Unit Award that cannot be satisfied by the means previously described.</w:t>
      </w:r>
    </w:p>
    <w:p>
      <w:pPr>
        <w:pStyle w:val="TextBody"/>
        <w:bidi w:val="0"/>
        <w:spacing w:lineRule="auto" w:line="288" w:before="0" w:after="240"/>
        <w:ind w:left="0" w:right="0" w:firstLine="720"/>
        <w:jc w:val="left"/>
        <w:rPr/>
      </w:pPr>
      <w:r>
        <w:rPr>
          <w:rFonts w:ascii="sans-serif" w:hAnsi="sans-serif"/>
          <w:b/>
          <w:color w:val="000000"/>
          <w:sz w:val="24"/>
        </w:rPr>
        <w:t>11.</w:t>
      </w:r>
      <w:r>
        <w:rPr>
          <w:rFonts w:ascii="sans-serif" w:hAnsi="sans-serif"/>
          <w:b/>
          <w:color w:val="000000"/>
          <w:sz w:val="24"/>
        </w:rPr>
        <w:t>Compliance With Law.</w:t>
      </w:r>
      <w:r>
        <w:rPr>
          <w:color w:val="000000"/>
        </w:rPr>
        <w:t xml:space="preserve"> </w:t>
      </w:r>
      <w:r>
        <w:rPr>
          <w:rFonts w:ascii="sans-serif" w:hAnsi="sans-serif"/>
          <w:b w:val="false"/>
          <w:color w:val="000000"/>
          <w:sz w:val="24"/>
        </w:rPr>
        <w:t>The Company will make reasonable efforts to comply with all federal, state and 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pStyle w:val="TextBody"/>
        <w:bidi w:val="0"/>
        <w:spacing w:lineRule="auto" w:line="288" w:before="0" w:after="240"/>
        <w:ind w:left="0" w:right="0" w:firstLine="720"/>
        <w:jc w:val="left"/>
        <w:rPr/>
      </w:pPr>
      <w:r>
        <w:rPr>
          <w:rFonts w:ascii="sans-serif" w:hAnsi="sans-serif"/>
          <w:b/>
          <w:color w:val="000000"/>
          <w:sz w:val="24"/>
        </w:rPr>
        <w:t>12.</w:t>
      </w:r>
      <w:r>
        <w:rPr>
          <w:rFonts w:ascii="sans-serif" w:hAnsi="sans-serif"/>
          <w:b/>
          <w:color w:val="000000"/>
          <w:sz w:val="24"/>
        </w:rPr>
        <w:t>Relation to Other Benefits.</w:t>
      </w:r>
      <w:r>
        <w:rPr>
          <w:color w:val="000000"/>
        </w:rPr>
        <w:t xml:space="preserve"> </w:t>
      </w:r>
      <w:r>
        <w:rPr>
          <w:rFonts w:ascii="sans-serif" w:hAnsi="sans-serif"/>
          <w:b w:val="false"/>
          <w:color w:val="000000"/>
          <w:sz w:val="24"/>
        </w:rPr>
        <w:t>The benefits received by the Grantee under these Terms and Conditions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pStyle w:val="TextBody"/>
        <w:bidi w:val="0"/>
        <w:spacing w:lineRule="auto" w:line="288" w:before="0" w:after="240"/>
        <w:ind w:left="0" w:right="0" w:firstLine="720"/>
        <w:jc w:val="left"/>
        <w:rPr/>
      </w:pPr>
      <w:r>
        <w:rPr>
          <w:rFonts w:ascii="sans-serif" w:hAnsi="sans-serif"/>
          <w:b/>
          <w:color w:val="000000"/>
          <w:sz w:val="24"/>
        </w:rPr>
        <w:t>13.</w:t>
      </w:r>
      <w:r>
        <w:rPr>
          <w:rFonts w:ascii="sans-serif" w:hAnsi="sans-serif"/>
          <w:b/>
          <w:color w:val="000000"/>
          <w:sz w:val="24"/>
        </w:rPr>
        <w:t>Amendments.</w:t>
      </w:r>
      <w:r>
        <w:rPr>
          <w:color w:val="000000"/>
        </w:rPr>
        <w:t xml:space="preserve"> </w:t>
      </w:r>
      <w:r>
        <w:rPr>
          <w:rFonts w:ascii="sans-serif" w:hAnsi="sans-serif"/>
          <w:b w:val="false"/>
          <w:color w:val="000000"/>
          <w:sz w:val="24"/>
        </w:rPr>
        <w:t xml:space="preserve">The Plan may be modified, amended, suspended or terminated by the Board at any time, as provided in the Plan. Any amendment to the Plan will be deemed to be an amendment to these Terms and Conditions to the extent it is applicable to these Terms and Conditions; however, except to the extent necessary to comply with applicable law, no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4515"/>
                <wp:effectExtent l="0" t="0" r="0" b="0"/>
                <wp:wrapNone/>
                <wp:docPr id="71" name="Frame71"/>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8</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8</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 xml:space="preserve">amendment will adversely affect the rights of the Grantee under these Terms and Conditions in any material respect without the Grantee’s consent. </w:t>
      </w:r>
    </w:p>
    <w:p>
      <w:pPr>
        <w:pStyle w:val="TextBody"/>
        <w:bidi w:val="0"/>
        <w:spacing w:lineRule="auto" w:line="288" w:before="0" w:after="240"/>
        <w:ind w:left="0" w:right="0" w:firstLine="720"/>
        <w:jc w:val="left"/>
        <w:rPr/>
      </w:pPr>
      <w:r>
        <w:rPr>
          <w:rFonts w:ascii="sans-serif" w:hAnsi="sans-serif"/>
          <w:b/>
          <w:color w:val="000000"/>
          <w:sz w:val="24"/>
        </w:rPr>
        <w:t>14.</w:t>
      </w:r>
      <w:r>
        <w:rPr>
          <w:rFonts w:ascii="sans-serif" w:hAnsi="sans-serif"/>
          <w:b/>
          <w:color w:val="000000"/>
          <w:sz w:val="24"/>
        </w:rPr>
        <w:t>Severability.</w:t>
      </w:r>
      <w:r>
        <w:rPr>
          <w:color w:val="000000"/>
        </w:rPr>
        <w:t xml:space="preserve"> </w:t>
      </w:r>
      <w:r>
        <w:rPr>
          <w:rFonts w:ascii="sans-serif" w:hAnsi="sans-serif"/>
          <w:b w:val="false"/>
          <w:color w:val="000000"/>
          <w:sz w:val="24"/>
        </w:rPr>
        <w:t>If one or more of the provisions of these Terms and Conditions is invalidated for any reason by any tribunal, the invalidated provisions shall be deemed to be separable from the other provisions of these Terms and Conditions, and the remaining provisions of these Terms and Conditions will continue to be valid and fully enforceable.</w:t>
      </w:r>
    </w:p>
    <w:p>
      <w:pPr>
        <w:pStyle w:val="TextBody"/>
        <w:bidi w:val="0"/>
        <w:spacing w:lineRule="auto" w:line="288" w:before="0" w:after="240"/>
        <w:ind w:left="0" w:right="0" w:firstLine="720"/>
        <w:jc w:val="left"/>
        <w:rPr/>
      </w:pPr>
      <w:r>
        <w:rPr>
          <w:rFonts w:ascii="sans-serif" w:hAnsi="sans-serif"/>
          <w:b/>
          <w:color w:val="000000"/>
          <w:sz w:val="24"/>
        </w:rPr>
        <w:t>15.</w:t>
      </w:r>
      <w:r>
        <w:rPr>
          <w:rFonts w:ascii="sans-serif" w:hAnsi="sans-serif"/>
          <w:b/>
          <w:color w:val="000000"/>
          <w:sz w:val="24"/>
        </w:rPr>
        <w:t>Entire Agreement; Relation to Plan; Interpretation.</w:t>
      </w:r>
      <w:r>
        <w:rPr>
          <w:color w:val="000000"/>
        </w:rPr>
        <w:t xml:space="preserve"> </w:t>
      </w:r>
      <w:r>
        <w:rPr>
          <w:rFonts w:ascii="sans-serif" w:hAnsi="sans-serif"/>
          <w:b w:val="false"/>
          <w:color w:val="000000"/>
          <w:sz w:val="24"/>
        </w:rPr>
        <w:t>Except as specifically provided in this Section, 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pStyle w:val="TextBody"/>
        <w:bidi w:val="0"/>
        <w:spacing w:lineRule="auto" w:line="288" w:before="0" w:after="240"/>
        <w:ind w:left="0" w:right="0" w:firstLine="720"/>
        <w:jc w:val="left"/>
        <w:rPr/>
      </w:pPr>
      <w:r>
        <w:rPr>
          <w:rFonts w:ascii="sans-serif" w:hAnsi="sans-serif"/>
          <w:b/>
          <w:color w:val="000000"/>
          <w:sz w:val="24"/>
        </w:rPr>
        <w:t>16.</w:t>
      </w:r>
      <w:r>
        <w:rPr>
          <w:rFonts w:ascii="sans-serif" w:hAnsi="sans-serif"/>
          <w:b/>
          <w:color w:val="000000"/>
          <w:sz w:val="24"/>
        </w:rPr>
        <w:t>Successors and Assigns.</w:t>
      </w:r>
      <w:r>
        <w:rPr>
          <w:color w:val="000000"/>
        </w:rPr>
        <w:t xml:space="preserve"> </w:t>
      </w:r>
      <w:r>
        <w:rPr>
          <w:rFonts w:ascii="sans-serif" w:hAnsi="sans-serif"/>
          <w:b w:val="false"/>
          <w:color w:val="000000"/>
          <w:sz w:val="24"/>
        </w:rPr>
        <w:t>Subject to Sections 3 and 4, the provisions of these Terms and Conditions shall be for the benefit of, and be binding upon, the successors, administrators, heirs, legal representatives and assigns of the Grantee, and the successors and assigns of the Company.</w:t>
      </w:r>
    </w:p>
    <w:p>
      <w:pPr>
        <w:pStyle w:val="TextBody"/>
        <w:bidi w:val="0"/>
        <w:spacing w:lineRule="auto" w:line="288" w:before="0" w:after="240"/>
        <w:ind w:left="0" w:right="0" w:firstLine="720"/>
        <w:jc w:val="left"/>
        <w:rPr/>
      </w:pPr>
      <w:r>
        <w:rPr>
          <w:rFonts w:ascii="sans-serif" w:hAnsi="sans-serif"/>
          <w:b/>
          <w:color w:val="000000"/>
          <w:sz w:val="24"/>
        </w:rPr>
        <w:t>17.</w:t>
      </w:r>
      <w:r>
        <w:rPr>
          <w:rFonts w:ascii="sans-serif" w:hAnsi="sans-serif"/>
          <w:b/>
          <w:color w:val="000000"/>
          <w:sz w:val="24"/>
        </w:rPr>
        <w:t>Governing Law.</w:t>
      </w:r>
      <w:r>
        <w:rPr>
          <w:color w:val="000000"/>
        </w:rPr>
        <w:t xml:space="preserve"> </w:t>
      </w:r>
      <w:r>
        <w:rPr>
          <w:rFonts w:ascii="sans-serif" w:hAnsi="sans-serif"/>
          <w:b w:val="false"/>
          <w:color w:val="000000"/>
          <w:sz w:val="24"/>
        </w:rPr>
        <w:t>The laws of the State of Delaware govern the interpretation, performance, and enforcement of these Terms and Conditions.</w:t>
      </w:r>
    </w:p>
    <w:p>
      <w:pPr>
        <w:pStyle w:val="TextBody"/>
        <w:bidi w:val="0"/>
        <w:spacing w:lineRule="auto" w:line="288" w:before="0" w:after="240"/>
        <w:ind w:left="0" w:right="0" w:firstLine="720"/>
        <w:jc w:val="left"/>
        <w:rPr/>
      </w:pPr>
      <w:r>
        <w:rPr>
          <w:rFonts w:ascii="sans-serif" w:hAnsi="sans-serif"/>
          <w:b/>
          <w:color w:val="000000"/>
          <w:sz w:val="24"/>
        </w:rPr>
        <w:t>18.</w:t>
      </w:r>
      <w:r>
        <w:rPr>
          <w:rFonts w:ascii="sans-serif" w:hAnsi="sans-serif"/>
          <w:b/>
          <w:color w:val="000000"/>
          <w:sz w:val="24"/>
        </w:rPr>
        <w:t>Privacy Rights.</w:t>
      </w:r>
      <w:r>
        <w:rPr>
          <w:color w:val="000000"/>
        </w:rPr>
        <w:t xml:space="preserve"> </w:t>
      </w:r>
      <w:r>
        <w:rPr>
          <w:rFonts w:ascii="sans-serif" w:hAnsi="sans-serif"/>
          <w:b w:val="false"/>
          <w:color w:val="000000"/>
          <w:sz w:val="24"/>
        </w:rPr>
        <w:t>By accepting this Restricted Stock Unit Award, the Grantee explicitly and 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sans-serif" w:hAnsi="sans-serif"/>
          <w:b/>
          <w:color w:val="000000"/>
          <w:sz w:val="24"/>
        </w:rPr>
        <w:t>Data</w:t>
      </w:r>
      <w:r>
        <w:rPr>
          <w:color w:val="000000"/>
        </w:rPr>
        <w:t>”</w:t>
      </w:r>
      <w:r>
        <w:rPr>
          <w:rFonts w:ascii="sans-serif" w:hAnsi="sans-serif"/>
          <w:b w:val="false"/>
          <w:color w:val="000000"/>
          <w:sz w:val="24"/>
        </w:rPr>
        <w:t xml:space="preserve">).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4515"/>
                <wp:effectExtent l="0" t="0" r="0" b="0"/>
                <wp:wrapNone/>
                <wp:docPr id="72" name="Frame72"/>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9</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9</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pStyle w:val="TextBody"/>
        <w:bidi w:val="0"/>
        <w:spacing w:lineRule="auto" w:line="288" w:before="0" w:after="240"/>
        <w:ind w:left="0" w:right="0" w:firstLine="720"/>
        <w:jc w:val="left"/>
        <w:rPr/>
      </w:pPr>
      <w:r>
        <w:rPr>
          <w:rFonts w:ascii="sans-serif" w:hAnsi="sans-serif"/>
          <w:b/>
          <w:color w:val="000000"/>
          <w:sz w:val="24"/>
        </w:rPr>
        <w:t>19.</w:t>
      </w:r>
      <w:r>
        <w:rPr>
          <w:rFonts w:ascii="sans-serif" w:hAnsi="sans-serif"/>
          <w:b/>
          <w:color w:val="000000"/>
          <w:sz w:val="24"/>
        </w:rPr>
        <w:t>Electronic Delivery and Acceptance.</w:t>
      </w:r>
      <w:r>
        <w:rPr>
          <w:color w:val="000000"/>
        </w:rPr>
        <w:t xml:space="preserve"> </w:t>
      </w:r>
      <w:r>
        <w:rPr>
          <w:rFonts w:ascii="sans-serif" w:hAnsi="sans-serif"/>
          <w:b w:val="false"/>
          <w:color w:val="000000"/>
          <w:sz w:val="24"/>
        </w:rPr>
        <w:t>The Company may, in its sole discretion, decide to deliver any 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pStyle w:val="TextBody"/>
        <w:bidi w:val="0"/>
        <w:spacing w:lineRule="auto" w:line="288" w:before="0" w:after="240"/>
        <w:ind w:left="0" w:right="0" w:firstLine="720"/>
        <w:jc w:val="left"/>
        <w:rPr/>
      </w:pPr>
      <w:r>
        <w:rPr>
          <w:rFonts w:ascii="sans-serif" w:hAnsi="sans-serif"/>
          <w:b/>
          <w:color w:val="000000"/>
          <w:sz w:val="24"/>
        </w:rPr>
        <w:t>20.</w:t>
      </w:r>
      <w:r>
        <w:rPr>
          <w:rFonts w:ascii="sans-serif" w:hAnsi="sans-serif"/>
          <w:b/>
          <w:color w:val="000000"/>
          <w:sz w:val="24"/>
        </w:rPr>
        <w:t>Grantee’s Representations and Releases.</w:t>
      </w:r>
      <w:r>
        <w:rPr>
          <w:color w:val="000000"/>
        </w:rPr>
        <w:t xml:space="preserve"> </w:t>
      </w:r>
      <w:r>
        <w:rPr>
          <w:rFonts w:ascii="sans-serif" w:hAnsi="sans-serif"/>
          <w:b w:val="false"/>
          <w:color w:val="000000"/>
          <w:sz w:val="24"/>
        </w:rPr>
        <w:t>By accepting this Restricted Stock Unit Award, the Grantee 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pStyle w:val="TextBody"/>
        <w:bidi w:val="0"/>
        <w:spacing w:lineRule="auto" w:line="288" w:before="0" w:after="240"/>
        <w:ind w:left="0" w:right="0" w:firstLine="720"/>
        <w:jc w:val="left"/>
        <w:rPr>
          <w:rFonts w:ascii="sans-serif" w:hAnsi="sans-serif"/>
          <w:b w:val="false"/>
          <w:color w:val="000000"/>
          <w:sz w:val="24"/>
        </w:rPr>
      </w:pPr>
      <w:r>
        <w:rPr>
          <w:rFonts w:ascii="sans-serif" w:hAnsi="sans-serif"/>
          <w:b w:val="false"/>
          <w:color w:val="000000"/>
          <w:sz w:val="24"/>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4515"/>
                <wp:effectExtent l="0" t="0" r="0" b="0"/>
                <wp:wrapNone/>
                <wp:docPr id="73" name="Frame73"/>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10</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10</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sans-serif" w:hAnsi="sans-serif"/>
          <w:b/>
          <w:color w:val="000000"/>
          <w:sz w:val="24"/>
        </w:rPr>
        <w:t>21.</w:t>
      </w:r>
      <w:r>
        <w:rPr>
          <w:rFonts w:ascii="sans-serif" w:hAnsi="sans-serif"/>
          <w:b/>
          <w:color w:val="000000"/>
          <w:sz w:val="24"/>
        </w:rPr>
        <w:t>Grantee’s Agreement to General Terms of Employment.</w:t>
      </w:r>
      <w:r>
        <w:rPr>
          <w:color w:val="000000"/>
        </w:rPr>
        <w:t xml:space="preserve"> </w:t>
      </w:r>
      <w:r>
        <w:rPr>
          <w:rFonts w:ascii="sans-serif" w:hAnsi="sans-serif"/>
          <w:b w:val="false"/>
          <w:color w:val="000000"/>
          <w:sz w:val="24"/>
        </w:rPr>
        <w:t>By accepting this Restricted Stock Unit Award, the Grantee agrees, to the extent not contrary to applicable law, to the General Terms of Employment set out on Attachment 1, which is incorporated in these Terms and Conditions by reference.</w:t>
      </w:r>
    </w:p>
    <w:p>
      <w:pPr>
        <w:pStyle w:val="TextBody"/>
        <w:bidi w:val="0"/>
        <w:spacing w:lineRule="auto" w:line="288" w:before="0" w:after="240"/>
        <w:ind w:left="0" w:right="0" w:firstLine="720"/>
        <w:jc w:val="left"/>
        <w:rPr/>
      </w:pPr>
      <w:r>
        <w:rPr>
          <w:rFonts w:ascii="sans-serif" w:hAnsi="sans-serif"/>
          <w:b/>
          <w:color w:val="000000"/>
          <w:sz w:val="24"/>
        </w:rPr>
        <w:t>22.</w:t>
      </w:r>
      <w:r>
        <w:rPr>
          <w:rFonts w:ascii="sans-serif" w:hAnsi="sans-serif"/>
          <w:b/>
          <w:color w:val="000000"/>
          <w:sz w:val="24"/>
        </w:rPr>
        <w:t>Imposition of Other Requirements.</w:t>
      </w:r>
      <w:r>
        <w:rPr>
          <w:color w:val="000000"/>
        </w:rPr>
        <w:t xml:space="preserve"> </w:t>
      </w:r>
      <w:r>
        <w:rPr>
          <w:rFonts w:ascii="sans-serif" w:hAnsi="sans-serif"/>
          <w:b w:val="false"/>
          <w:color w:val="000000"/>
          <w:sz w:val="24"/>
        </w:rPr>
        <w:t>CRC reserves the right to impose other requirements on the 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lineRule="auto" w:line="288" w:before="0" w:after="240"/>
        <w:ind w:left="0" w:right="0" w:firstLine="720"/>
        <w:jc w:val="left"/>
        <w:rPr/>
      </w:pPr>
      <w:r>
        <w:rPr>
          <w:rFonts w:ascii="sans-serif" w:hAnsi="sans-serif"/>
          <w:b/>
          <w:color w:val="000000"/>
          <w:sz w:val="24"/>
        </w:rPr>
        <w:t>23.</w:t>
      </w:r>
      <w:r>
        <w:rPr>
          <w:rFonts w:ascii="sans-serif" w:hAnsi="sans-serif"/>
          <w:b/>
          <w:color w:val="000000"/>
          <w:sz w:val="24"/>
        </w:rPr>
        <w:t>Compliance With Section 409A of the Code.</w:t>
      </w:r>
      <w:r>
        <w:rPr>
          <w:color w:val="000000"/>
        </w:rPr>
        <w:t xml:space="preserve"> </w:t>
      </w:r>
      <w:r>
        <w:rPr>
          <w:rFonts w:ascii="sans-serif" w:hAnsi="sans-serif"/>
          <w:b w:val="false"/>
          <w:color w:val="000000"/>
          <w:sz w:val="24"/>
        </w:rPr>
        <w:t>These Terms and Conditions shall be interpreted and administered in such a way as to comply with the applicable provisions of Section 409A of the Code (“</w:t>
      </w:r>
      <w:r>
        <w:rPr>
          <w:rFonts w:ascii="sans-serif" w:hAnsi="sans-serif"/>
          <w:b/>
          <w:color w:val="000000"/>
          <w:sz w:val="24"/>
        </w:rPr>
        <w:t>Section 409A</w:t>
      </w:r>
      <w:r>
        <w:rPr>
          <w:color w:val="000000"/>
        </w:rPr>
        <w:t>”</w:t>
      </w:r>
      <w:r>
        <w:rPr>
          <w:rFonts w:ascii="sans-serif" w:hAnsi="sans-serif"/>
          <w:b w:val="false"/>
          <w:color w:val="000000"/>
          <w:sz w:val="24"/>
        </w:rPr>
        <w:t>) to the maximum extent possible. In addition, if the Grantee must be treated as a “specified employee” within the meaning of Section 409A, any payment made on account of the Grantee’s separation from service (as defined for purposes of Section 409A) (other than by reason of death) will be made at the later of (A) the time specified above in these Terms and Conditions or (B) the date that is six (6) months and one (1) day following the date of the Grantee’s separation from service or the date of the Grantee’s death.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pStyle w:val="TextBody"/>
        <w:bidi w:val="0"/>
        <w:spacing w:before="0" w:after="12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4515"/>
                <wp:effectExtent l="0" t="0" r="0" b="0"/>
                <wp:wrapNone/>
                <wp:docPr id="74" name="Frame74"/>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11</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11</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480"/>
        <w:jc w:val="center"/>
        <w:rPr/>
      </w:pPr>
      <w:r>
        <w:rPr>
          <w:rFonts w:ascii="sans-serif" w:hAnsi="sans-serif"/>
          <w:b/>
          <w:color w:val="000000"/>
          <w:sz w:val="24"/>
        </w:rPr>
        <w:t>Attachment 1</w:t>
      </w:r>
      <w:r>
        <w:rPr>
          <w:rFonts w:ascii="sans-serif" w:hAnsi="sans-serif"/>
          <w:b/>
          <w:color w:val="000000"/>
          <w:sz w:val="24"/>
        </w:rPr>
        <w:br/>
      </w:r>
      <w:r>
        <w:rPr>
          <w:rFonts w:ascii="sans-serif" w:hAnsi="sans-serif"/>
          <w:b/>
          <w:color w:val="000000"/>
          <w:sz w:val="24"/>
          <w:u w:val="single"/>
        </w:rPr>
        <w:t>GENERAL TERMS OF EMPLOYMENT</w:t>
      </w:r>
    </w:p>
    <w:p>
      <w:pPr>
        <w:pStyle w:val="TextBody"/>
        <w:bidi w:val="0"/>
        <w:spacing w:lineRule="auto" w:line="288" w:before="0" w:after="240"/>
        <w:ind w:left="0" w:right="0" w:firstLine="720"/>
        <w:jc w:val="both"/>
        <w:rPr/>
      </w:pPr>
      <w:r>
        <w:rPr>
          <w:rFonts w:ascii="sans-serif" w:hAnsi="sans-serif"/>
          <w:b/>
          <w:color w:val="000000"/>
          <w:sz w:val="24"/>
        </w:rPr>
        <w:t>A.</w:t>
      </w:r>
      <w:r>
        <w:rPr>
          <w:rFonts w:ascii="sans-serif" w:hAnsi="sans-serif"/>
          <w:b w:val="false"/>
          <w:color w:val="000000"/>
          <w:sz w:val="24"/>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sans-serif" w:hAnsi="sans-serif"/>
          <w:b/>
          <w:color w:val="000000"/>
          <w:sz w:val="24"/>
        </w:rPr>
        <w:t>CRC Parties</w:t>
      </w:r>
      <w:r>
        <w:rPr>
          <w:color w:val="000000"/>
        </w:rPr>
        <w:t>”</w:t>
      </w:r>
      <w:r>
        <w:rPr>
          <w:rFonts w:ascii="sans-serif" w:hAnsi="sans-serif"/>
          <w:b w:val="false"/>
          <w:color w:val="000000"/>
          <w:sz w:val="24"/>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pStyle w:val="TextBody"/>
        <w:bidi w:val="0"/>
        <w:spacing w:lineRule="auto" w:line="288" w:before="0" w:after="240"/>
        <w:ind w:left="0" w:right="0" w:firstLine="720"/>
        <w:jc w:val="both"/>
        <w:rPr/>
      </w:pPr>
      <w:r>
        <w:rPr>
          <w:rFonts w:ascii="sans-serif" w:hAnsi="sans-serif"/>
          <w:b/>
          <w:color w:val="000000"/>
          <w:sz w:val="24"/>
        </w:rPr>
        <w:t>B.</w:t>
      </w:r>
      <w:r>
        <w:rPr>
          <w:rFonts w:ascii="sans-serif" w:hAnsi="sans-serif"/>
          <w:b w:val="false"/>
          <w:color w:val="000000"/>
          <w:sz w:val="24"/>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pStyle w:val="TextBody"/>
        <w:bidi w:val="0"/>
        <w:spacing w:lineRule="auto" w:line="288" w:before="0" w:after="240"/>
        <w:ind w:left="0" w:right="0" w:firstLine="720"/>
        <w:jc w:val="both"/>
        <w:rPr/>
      </w:pPr>
      <w:r>
        <w:rPr>
          <w:rFonts w:ascii="sans-serif" w:hAnsi="sans-serif"/>
          <w:b/>
          <w:color w:val="000000"/>
          <w:sz w:val="24"/>
        </w:rPr>
        <w:t>C.</w:t>
      </w:r>
      <w:r>
        <w:rPr>
          <w:rFonts w:ascii="sans-serif" w:hAnsi="sans-serif"/>
          <w:b w:val="false"/>
          <w:color w:val="000000"/>
          <w:sz w:val="24"/>
        </w:rPr>
        <w:t>The Grantee will, during the Grantee’s employment by the Company, comply with the provisions of CRC’s ethics code and other corporate policies.</w:t>
      </w:r>
    </w:p>
    <w:p>
      <w:pPr>
        <w:pStyle w:val="TextBody"/>
        <w:bidi w:val="0"/>
        <w:spacing w:lineRule="auto" w:line="288" w:before="0" w:after="240"/>
        <w:ind w:left="0" w:right="0" w:firstLine="720"/>
        <w:jc w:val="both"/>
        <w:rPr/>
      </w:pPr>
      <w:r>
        <w:rPr>
          <w:rFonts w:ascii="sans-serif" w:hAnsi="sans-serif"/>
          <w:b/>
          <w:color w:val="000000"/>
          <w:sz w:val="24"/>
        </w:rPr>
        <w:t>D.</w:t>
      </w:r>
      <w:r>
        <w:rPr>
          <w:rFonts w:ascii="sans-serif" w:hAnsi="sans-serif"/>
          <w:b w:val="false"/>
          <w:color w:val="000000"/>
          <w:sz w:val="24"/>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pStyle w:val="TextBody"/>
        <w:bidi w:val="0"/>
        <w:spacing w:lineRule="auto" w:line="288" w:before="0" w:after="240"/>
        <w:ind w:left="0" w:right="0" w:firstLine="720"/>
        <w:jc w:val="both"/>
        <w:rPr/>
      </w:pPr>
      <w:r>
        <w:rPr>
          <w:rFonts w:ascii="sans-serif" w:hAnsi="sans-serif"/>
          <w:b/>
          <w:color w:val="000000"/>
          <w:sz w:val="24"/>
        </w:rPr>
        <w:t>E.</w:t>
      </w:r>
      <w:r>
        <w:rPr>
          <w:rFonts w:ascii="sans-serif" w:hAnsi="sans-serif"/>
          <w:b w:val="false"/>
          <w:color w:val="000000"/>
          <w:sz w:val="24"/>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pStyle w:val="TextBody"/>
        <w:bidi w:val="0"/>
        <w:spacing w:lineRule="auto" w:line="288" w:before="0" w:after="240"/>
        <w:ind w:left="0" w:right="0" w:firstLine="720"/>
        <w:jc w:val="both"/>
        <w:rPr>
          <w:rFonts w:ascii="sans-serif" w:hAnsi="sans-serif"/>
          <w:b w:val="false"/>
          <w:color w:val="000000"/>
          <w:sz w:val="24"/>
        </w:rPr>
      </w:pPr>
      <w:r>
        <w:rPr>
          <w:rFonts w:ascii="sans-serif" w:hAnsi="sans-serif"/>
          <w:b w:val="false"/>
          <w:color w:val="000000"/>
          <w:sz w:val="24"/>
        </w:rPr>
        <w:t xml:space="preserve">The provisions of this Section do not apply to an invention that qualifies fully under the provisions of Section 2870 of the California Labor Code, which provides in substance that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4515"/>
                <wp:effectExtent l="0" t="0" r="0" b="0"/>
                <wp:wrapNone/>
                <wp:docPr id="75" name="Frame75"/>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12</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sans-serif" w:hAnsi="sans-serif"/>
          <w:b w:val="false"/>
          <w:color w:val="000000"/>
          <w:sz w:val="24"/>
        </w:rPr>
      </w:pPr>
      <w:r>
        <w:rPr>
          <w:rFonts w:ascii="sans-serif" w:hAnsi="sans-serif"/>
          <w:b w:val="false"/>
          <w:color w:val="000000"/>
          <w:sz w:val="24"/>
        </w:rPr>
        <w:t>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pStyle w:val="TextBody"/>
        <w:bidi w:val="0"/>
        <w:spacing w:lineRule="auto" w:line="288" w:before="0" w:after="240"/>
        <w:ind w:left="0" w:right="0" w:firstLine="720"/>
        <w:jc w:val="both"/>
        <w:rPr/>
      </w:pPr>
      <w:r>
        <w:rPr>
          <w:rFonts w:ascii="sans-serif" w:hAnsi="sans-serif"/>
          <w:b/>
          <w:color w:val="000000"/>
          <w:sz w:val="24"/>
        </w:rPr>
        <w:t>F.</w:t>
      </w:r>
      <w:r>
        <w:rPr>
          <w:rFonts w:ascii="sans-serif" w:hAnsi="sans-serif"/>
          <w:b w:val="false"/>
          <w:color w:val="000000"/>
          <w:sz w:val="24"/>
        </w:rPr>
        <w:t>The Grantee has executed a Mutual Agreement to Arbitrate with the Company.</w:t>
      </w:r>
    </w:p>
    <w:p>
      <w:pPr>
        <w:pStyle w:val="TextBody"/>
        <w:bidi w:val="0"/>
        <w:spacing w:lineRule="auto" w:line="288" w:before="0" w:after="240"/>
        <w:ind w:left="0" w:right="0" w:firstLine="720"/>
        <w:jc w:val="both"/>
        <w:rPr/>
      </w:pPr>
      <w:r>
        <w:rPr>
          <w:rFonts w:ascii="sans-serif" w:hAnsi="sans-serif"/>
          <w:b/>
          <w:color w:val="000000"/>
          <w:sz w:val="24"/>
        </w:rPr>
        <w:t>G.</w:t>
      </w:r>
      <w:r>
        <w:rPr>
          <w:rFonts w:ascii="sans-serif" w:hAnsi="sans-serif"/>
          <w:b w:val="false"/>
          <w:color w:val="000000"/>
          <w:sz w:val="24"/>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4515"/>
                <wp:effectExtent l="0" t="0" r="0" b="0"/>
                <wp:wrapNone/>
                <wp:docPr id="76" name="Frame76"/>
                <a:graphic xmlns:a="http://schemas.openxmlformats.org/drawingml/2006/main">
                  <a:graphicData uri="http://schemas.microsoft.com/office/word/2010/wordprocessingShape">
                    <wps:wsp>
                      <wps:cNvSpPr txBox="1"/>
                      <wps:spPr>
                        <a:xfrm>
                          <a:off x="0" y="0"/>
                          <a:ext cx="6480175" cy="56451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13</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sans-serif" w:hAnsi="sans-serif"/>
                          <w:b w:val="false"/>
                          <w:color w:val="000000"/>
                          <w:sz w:val="24"/>
                        </w:rPr>
                        <w:t>13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Date:  </w:t>
      </w:r>
      <w:r>
        <w:rPr>
          <w:rFonts w:ascii="Arial;sans-serif" w:hAnsi="Arial;sans-serif"/>
          <w:b w:val="false"/>
          <w:color w:val="000000"/>
          <w:sz w:val="20"/>
        </w:rPr>
        <w:t>November 5, 2025</w:t>
      </w:r>
      <w:r>
        <w:rPr>
          <w:color w:val="000000"/>
        </w:rPr>
        <w:t xml:space="preserve"> </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4"/>
        <w:gridCol w:w="1004"/>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Clio Crespy,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9"/>
        </w:rPr>
        <w:t xml:space="preserve">Date: </w:t>
      </w:r>
      <w:r>
        <w:rPr>
          <w:rFonts w:ascii="Arial;sans-serif" w:hAnsi="Arial;sans-serif"/>
          <w:b w:val="false"/>
          <w:color w:val="000000"/>
          <w:sz w:val="20"/>
        </w:rPr>
        <w:t>November 5, 2025</w:t>
      </w:r>
      <w:r>
        <w:rPr>
          <w:color w:val="000000"/>
        </w:rPr>
        <w:t xml:space="preserve"> </w:t>
      </w:r>
    </w:p>
    <w:tbl>
      <w:tblPr>
        <w:tblW w:w="3131" w:type="dxa"/>
        <w:jc w:val="left"/>
        <w:tblInd w:w="0" w:type="dxa"/>
        <w:tblLayout w:type="fixed"/>
        <w:tblCellMar>
          <w:top w:w="28" w:type="dxa"/>
          <w:left w:w="28" w:type="dxa"/>
          <w:bottom w:w="28" w:type="dxa"/>
          <w:right w:w="28" w:type="dxa"/>
        </w:tblCellMar>
      </w:tblPr>
      <w:tblGrid>
        <w:gridCol w:w="124"/>
        <w:gridCol w:w="109"/>
        <w:gridCol w:w="109"/>
        <w:gridCol w:w="815"/>
        <w:gridCol w:w="815"/>
        <w:gridCol w:w="1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Clio Crespy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September 30, 2025, as filed with the Securities and Exchange Commission on November 5, 2025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590" w:type="dxa"/>
        <w:jc w:val="center"/>
        <w:tblInd w:w="0" w:type="dxa"/>
        <w:tblLayout w:type="fixed"/>
        <w:tblCellMar>
          <w:top w:w="28" w:type="dxa"/>
          <w:left w:w="28" w:type="dxa"/>
          <w:bottom w:w="28" w:type="dxa"/>
          <w:right w:w="28" w:type="dxa"/>
        </w:tblCellMar>
      </w:tblPr>
      <w:tblGrid>
        <w:gridCol w:w="271"/>
        <w:gridCol w:w="239"/>
        <w:gridCol w:w="240"/>
        <w:gridCol w:w="154"/>
        <w:gridCol w:w="154"/>
        <w:gridCol w:w="154"/>
        <w:gridCol w:w="1557"/>
        <w:gridCol w:w="1557"/>
        <w:gridCol w:w="1565"/>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Clio Crespy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9253/000160925325000076/mergeragreementedgar.htm" TargetMode="External"/><Relationship Id="rId3" Type="http://schemas.openxmlformats.org/officeDocument/2006/relationships/hyperlink" Target="https://www.sec.gov/Archives/edgar/data/1609253/000160925325000076/mergeragreementedgar.htm" TargetMode="External"/><Relationship Id="rId4" Type="http://schemas.openxmlformats.org/officeDocument/2006/relationships/hyperlink" Target="https://www.sec.gov/Archives/edgar/data/1609253/000160925325000076/mergeragreementedgar.htm" TargetMode="External"/><Relationship Id="rId5" Type="http://schemas.openxmlformats.org/officeDocument/2006/relationships/hyperlink" Target="https://www.sec.gov/Archives/edgar/data/1609253/000160925325000076/mergeragreementedgar.htm" TargetMode="External"/><Relationship Id="rId6" Type="http://schemas.openxmlformats.org/officeDocument/2006/relationships/hyperlink" Target="https://www.sec.gov/Archives/edgar/data/1609253/000160925325000076/mergeragreementedgar.htm" TargetMode="External"/><Relationship Id="rId7" Type="http://schemas.openxmlformats.org/officeDocument/2006/relationships/hyperlink" Target="https://www.sec.gov/Archives/edgar/data/1609253/000160925325000076/mergeragreementedgar.htm" TargetMode="External"/><Relationship Id="rId8" Type="http://schemas.openxmlformats.org/officeDocument/2006/relationships/hyperlink" Target="https://www.sec.gov/Archives/edgar/data/1609253/000160925325000076/mergeragreementedgar.htm" TargetMode="External"/><Relationship Id="rId9" Type="http://schemas.openxmlformats.org/officeDocument/2006/relationships/hyperlink" Target="https://www.sec.gov/Archives/edgar/data/1609253/000160925325000076/mergeragreementedgar.htm" TargetMode="External"/><Relationship Id="rId10" Type="http://schemas.openxmlformats.org/officeDocument/2006/relationships/hyperlink" Target="https://www.sec.gov/Archives/edgar/data/1609253/000160925325000076/mergeragreementedgar.htm" TargetMode="External"/><Relationship Id="rId11" Type="http://schemas.openxmlformats.org/officeDocument/2006/relationships/hyperlink" Target="https://www.sec.gov/Archives/edgar/data/1609253/000160925325000076/mergeragreementedgar.htm" TargetMode="External"/><Relationship Id="rId12" Type="http://schemas.openxmlformats.org/officeDocument/2006/relationships/hyperlink" Target="https://www.sec.gov/Archives/edgar/data/1609253/000160925320000137/a8aex31.htm" TargetMode="External"/><Relationship Id="rId13" Type="http://schemas.openxmlformats.org/officeDocument/2006/relationships/hyperlink" Target="https://www.sec.gov/Archives/edgar/data/1609253/000160925322000036/a20220504ex31.htm" TargetMode="External"/><Relationship Id="rId14" Type="http://schemas.openxmlformats.org/officeDocument/2006/relationships/hyperlink" Target="https://www.sec.gov/Archives/edgar/data/1609253/000160925323000034/a20230428exhibit31.htm" TargetMode="External"/><Relationship Id="rId15" Type="http://schemas.openxmlformats.org/officeDocument/2006/relationships/hyperlink" Target="https://www.sec.gov/Archives/edgar/data/1609253/000160925320000137/a8aex32.htm" TargetMode="External"/><Relationship Id="rId16" Type="http://schemas.openxmlformats.org/officeDocument/2006/relationships/hyperlink" Target="https://www.sec.gov/Archives/edgar/data/1609253/000119312525234517/d845351dex41.htm" TargetMode="External"/><Relationship Id="rId17" Type="http://schemas.openxmlformats.org/officeDocument/2006/relationships/hyperlink" Target="https://www.sec.gov/Archives/edgar/data/1609253/000119312525234517/d845351dex41.htm" TargetMode="External"/><Relationship Id="rId18" Type="http://schemas.openxmlformats.org/officeDocument/2006/relationships/hyperlink" Target="https://www.sec.gov/Archives/edgar/data/1609253/000119312525234517/d845351dex41.htm" TargetMode="External"/><Relationship Id="rId19" Type="http://schemas.openxmlformats.org/officeDocument/2006/relationships/hyperlink" Target="https://www.sec.gov/Archives/edgar/data/1609253/000119312525234517/d845351dex41.htm" TargetMode="External"/><Relationship Id="rId20" Type="http://schemas.openxmlformats.org/officeDocument/2006/relationships/hyperlink" Target="https://www.sec.gov/Archives/edgar/data/1609253/000160925325000069/a101formamendedandrestated.htm" TargetMode="External"/><Relationship Id="rId21" Type="http://schemas.openxmlformats.org/officeDocument/2006/relationships/hyperlink" Target="https://www.sec.gov/Archives/edgar/data/1609253/000160925325000069/a101formamendedandrestated.htm" TargetMode="External"/><Relationship Id="rId22" Type="http://schemas.openxmlformats.org/officeDocument/2006/relationships/hyperlink" Target="https://www.sec.gov/Archives/edgar/data/1609253/000160925325000069/a101formamendedandrestated.htm" TargetMode="External"/><Relationship Id="rId23" Type="http://schemas.openxmlformats.org/officeDocument/2006/relationships/hyperlink" Target="https://www.sec.gov/Archives/edgar/data/1609253/000160925325000069/a101formamendedandrestated.htm" TargetMode="External"/><Relationship Id="rId24" Type="http://schemas.openxmlformats.org/officeDocument/2006/relationships/hyperlink" Target="https://www.sec.gov/Archives/edgar/data/1609253/000160925325000069/a101formamendedandrestated.htm" TargetMode="External"/><Relationship Id="rId25" Type="http://schemas.openxmlformats.org/officeDocument/2006/relationships/hyperlink" Target="https://www.sec.gov/Archives/edgar/data/1609253/000160925325000069/a102formamendedandrestated.htm" TargetMode="External"/><Relationship Id="rId26" Type="http://schemas.openxmlformats.org/officeDocument/2006/relationships/hyperlink" Target="https://www.sec.gov/Archives/edgar/data/1609253/000160925325000069/a102formamendedandrestated.htm" TargetMode="External"/><Relationship Id="rId27" Type="http://schemas.openxmlformats.org/officeDocument/2006/relationships/hyperlink" Target="https://www.sec.gov/Archives/edgar/data/1609253/000160925325000069/a102formamendedandrestated.htm" TargetMode="External"/><Relationship Id="rId28" Type="http://schemas.openxmlformats.org/officeDocument/2006/relationships/hyperlink" Target="https://www.sec.gov/Archives/edgar/data/1609253/000160925325000069/a102formamendedandrestated.htm" TargetMode="External"/><Relationship Id="rId29" Type="http://schemas.openxmlformats.org/officeDocument/2006/relationships/hyperlink" Target="https://www.sec.gov/Archives/edgar/data/1609253/000160925325000069/a102formamendedandrestated.htm" TargetMode="External"/><Relationship Id="rId30" Type="http://schemas.openxmlformats.org/officeDocument/2006/relationships/hyperlink" Target="https://www.sec.gov/Archives/edgar/data/1609253/000160925325000069/a102formamendedandrestated.htm" TargetMode="External"/><Relationship Id="rId31" Type="http://schemas.openxmlformats.org/officeDocument/2006/relationships/hyperlink" Target="https://www.sec.gov/Archives/edgar/data/1609253/000160925325000069/a102formamendedandrestated.htm" TargetMode="External"/><Relationship Id="rId32" Type="http://schemas.openxmlformats.org/officeDocument/2006/relationships/hyperlink" Target="https://www.sec.gov/Archives/edgar/data/1609253/000119312525214054/d175953dex101.htm" TargetMode="External"/><Relationship Id="rId33" Type="http://schemas.openxmlformats.org/officeDocument/2006/relationships/hyperlink" Target="https://www.sec.gov/Archives/edgar/data/1609253/000119312525214054/d175953dex101.htm" TargetMode="External"/><Relationship Id="rId34" Type="http://schemas.openxmlformats.org/officeDocument/2006/relationships/hyperlink" Target="https://www.sec.gov/Archives/edgar/data/1609253/000119312525214054/d175953dex101.htm" TargetMode="External"/><Relationship Id="rId35" Type="http://schemas.openxmlformats.org/officeDocument/2006/relationships/hyperlink" Target="https://www.sec.gov/Archives/edgar/data/1609253/000119312525214054/d175953dex101.htm" TargetMode="External"/><Relationship Id="rId36" Type="http://schemas.openxmlformats.org/officeDocument/2006/relationships/hyperlink" Target="https://www.sec.gov/Archives/edgar/data/1609253/000119312525214054/d175953dex101.htm" TargetMode="External"/><Relationship Id="rId37" Type="http://schemas.openxmlformats.org/officeDocument/2006/relationships/hyperlink" Target="https://www.sec.gov/Archives/edgar/data/1609253/000119312525214054/d175953dex101.htm" TargetMode="External"/><Relationship Id="rId38" Type="http://schemas.openxmlformats.org/officeDocument/2006/relationships/hyperlink" Target="https://www.sec.gov/Archives/edgar/data/1609253/000119312525214054/d175953dex101.htm" TargetMode="External"/><Relationship Id="rId39" Type="http://schemas.openxmlformats.org/officeDocument/2006/relationships/hyperlink" Target="https://www.sec.gov/Archives/edgar/data/1609253/000119312525214054/d175953dex101.htm" TargetMode="External"/><Relationship Id="rId40" Type="http://schemas.openxmlformats.org/officeDocument/2006/relationships/hyperlink" Target="https://www.sec.gov/Archives/edgar/data/1609253/000160925325000083/a20251029exhibit101.htm" TargetMode="External"/><Relationship Id="rId41" Type="http://schemas.openxmlformats.org/officeDocument/2006/relationships/hyperlink" Target="https://www.sec.gov/Archives/edgar/data/1609253/000160925325000083/a20251029exhibit101.htm" TargetMode="External"/><Relationship Id="rId42" Type="http://schemas.openxmlformats.org/officeDocument/2006/relationships/hyperlink" Target="https://www.sec.gov/Archives/edgar/data/1609253/000160925325000083/a20251029exhibit101.htm" TargetMode="External"/><Relationship Id="rId43" Type="http://schemas.openxmlformats.org/officeDocument/2006/relationships/hyperlink" Target="https://www.sec.gov/Archives/edgar/data/1609253/000160925325000083/a20251029exhibit101.htm" TargetMode="External"/><Relationship Id="rId44" Type="http://schemas.openxmlformats.org/officeDocument/2006/relationships/hyperlink" Target="https://www.sec.gov/Archives/edgar/data/1609253/000160925325000083/a20251029exhibit101.htm" TargetMode="External"/><Relationship Id="rId45" Type="http://schemas.openxmlformats.org/officeDocument/2006/relationships/hyperlink" Target="https://www.sec.gov/Archives/edgar/data/1609253/000160925325000083/a20251029exhibit101.htm" TargetMode="External"/><Relationship Id="rId46" Type="http://schemas.openxmlformats.org/officeDocument/2006/relationships/hyperlink" Target="https://www.sec.gov/Archives/edgar/data/1609253/000160925325000083/a20251029exhibit101.htm" TargetMode="External"/><Relationship Id="rId47" Type="http://schemas.openxmlformats.org/officeDocument/2006/relationships/hyperlink" Target="https://www.sec.gov/Archives/edgar/data/1609253/000160925325000083/a20251029exhibit101.htm" TargetMode="External"/><Relationship Id="rId48" Type="http://schemas.openxmlformats.org/officeDocument/2006/relationships/hyperlink" Target="https://www.sec.gov/Archives/edgar/data/1609253/000160925325000083/a20251029exhibit101.htm" TargetMode="External"/><Relationship Id="rId49" Type="http://schemas.openxmlformats.org/officeDocument/2006/relationships/hyperlink" Target="https://www.sec.gov/Archives/edgar/data/1609253/000160925325000083/a20251029exhibit101.htm" TargetMode="External"/><Relationship Id="rId50" Type="http://schemas.openxmlformats.org/officeDocument/2006/relationships/hyperlink" Target="https://www.sec.gov/Archives/edgar/data/1609253/000160925325000083/a20251029exhibit101.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31756</Words>
  <Characters>168280</Characters>
  <CharactersWithSpaces>198044</CharactersWithSpaces>
  <Paragraphs>4765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