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13057Q206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840" w:firstLine="5"/>
        <w:spacing w:after="0" w:line="563" w:lineRule="auto"/>
        <w:tabs>
          <w:tab w:leader="none" w:pos="155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[_] Rule 13d-1(c)</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[_] Rule 13d-1(d)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right="260"/>
        <w:spacing w:after="0" w:line="26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CUSIP No</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13057Q206</w:t>
            </w:r>
          </w:p>
        </w:tc>
      </w:tr>
    </w:tbl>
    <w:p>
      <w:pPr>
        <w:spacing w:after="0" w:line="200" w:lineRule="exact"/>
        <w:rPr>
          <w:sz w:val="20"/>
          <w:szCs w:val="20"/>
          <w:color w:val="auto"/>
        </w:rPr>
      </w:pPr>
    </w:p>
    <w:p>
      <w:pPr>
        <w:spacing w:after="0" w:line="218" w:lineRule="exact"/>
        <w:rPr>
          <w:sz w:val="20"/>
          <w:szCs w:val="20"/>
          <w:color w:val="auto"/>
        </w:rPr>
      </w:pPr>
    </w:p>
    <w:p>
      <w:pPr>
        <w:ind w:left="1160" w:hanging="1152"/>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60" w:right="406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Masters Capital Management, LLC</w:t>
      </w:r>
    </w:p>
    <w:p>
      <w:pPr>
        <w:spacing w:after="0" w:line="1" w:lineRule="exact"/>
        <w:rPr>
          <w:rFonts w:ascii="Arial" w:cs="Arial" w:eastAsia="Arial" w:hAnsi="Arial"/>
          <w:sz w:val="18"/>
          <w:szCs w:val="18"/>
          <w:color w:val="auto"/>
        </w:rPr>
      </w:pPr>
    </w:p>
    <w:p>
      <w:pPr>
        <w:ind w:left="1160" w:hanging="1152"/>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160" w:hanging="115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60" w:right="5980" w:hanging="1152"/>
        <w:spacing w:after="0" w:line="52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Georgia</w:t>
      </w:r>
    </w:p>
    <w:p>
      <w:pPr>
        <w:spacing w:after="0" w:line="386" w:lineRule="exact"/>
        <w:rPr>
          <w:sz w:val="20"/>
          <w:szCs w:val="20"/>
          <w:color w:val="auto"/>
        </w:rPr>
      </w:pPr>
    </w:p>
    <w:p>
      <w:pPr>
        <w:ind w:left="1160" w:right="7780" w:hanging="1152"/>
        <w:spacing w:after="0" w:line="50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160" w:right="7520" w:hanging="1152"/>
        <w:spacing w:after="0" w:line="50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1,149,480</w:t>
      </w:r>
    </w:p>
    <w:p>
      <w:pPr>
        <w:ind w:left="1160" w:right="7380" w:hanging="1152"/>
        <w:spacing w:after="0" w:line="50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160" w:right="7120" w:hanging="1152"/>
        <w:spacing w:after="0" w:line="50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1,149,480</w:t>
      </w:r>
    </w:p>
    <w:p>
      <w:pPr>
        <w:ind w:left="1160" w:right="3080" w:hanging="1152"/>
        <w:spacing w:after="0" w:line="50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1,149,480</w:t>
      </w:r>
    </w:p>
    <w:p>
      <w:pPr>
        <w:ind w:left="1160" w:hanging="115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1160" w:right="4580" w:hanging="1152"/>
        <w:spacing w:after="0" w:line="501"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2.34%</w:t>
      </w:r>
    </w:p>
    <w:p>
      <w:pPr>
        <w:ind w:left="1160" w:right="5300" w:hanging="115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800"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CUSIP No</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13057Q206</w:t>
            </w:r>
          </w:p>
        </w:tc>
      </w:tr>
    </w:tbl>
    <w:p>
      <w:pPr>
        <w:spacing w:after="0" w:line="200" w:lineRule="exact"/>
        <w:rPr>
          <w:sz w:val="20"/>
          <w:szCs w:val="20"/>
          <w:color w:val="auto"/>
        </w:rPr>
      </w:pPr>
    </w:p>
    <w:p>
      <w:pPr>
        <w:spacing w:after="0" w:line="218" w:lineRule="exact"/>
        <w:rPr>
          <w:sz w:val="20"/>
          <w:szCs w:val="20"/>
          <w:color w:val="auto"/>
        </w:rPr>
      </w:pPr>
    </w:p>
    <w:p>
      <w:pPr>
        <w:ind w:left="1160" w:hanging="115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60" w:right="406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Michael Masters</w:t>
      </w:r>
    </w:p>
    <w:p>
      <w:pPr>
        <w:spacing w:after="0" w:line="1" w:lineRule="exact"/>
        <w:rPr>
          <w:rFonts w:ascii="Arial" w:cs="Arial" w:eastAsia="Arial" w:hAnsi="Arial"/>
          <w:sz w:val="18"/>
          <w:szCs w:val="18"/>
          <w:color w:val="auto"/>
        </w:rPr>
      </w:pPr>
    </w:p>
    <w:p>
      <w:pPr>
        <w:ind w:left="1160" w:hanging="115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11" w:lineRule="exact"/>
        <w:rPr>
          <w:sz w:val="20"/>
          <w:szCs w:val="20"/>
          <w:color w:val="auto"/>
        </w:rPr>
      </w:pPr>
    </w:p>
    <w:p>
      <w:pPr>
        <w:ind w:left="1160" w:hanging="115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60" w:right="5980" w:hanging="1152"/>
        <w:spacing w:after="0" w:line="528"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386" w:lineRule="exact"/>
        <w:rPr>
          <w:sz w:val="20"/>
          <w:szCs w:val="20"/>
          <w:color w:val="auto"/>
        </w:rPr>
      </w:pPr>
    </w:p>
    <w:p>
      <w:pPr>
        <w:ind w:left="1160" w:right="7780" w:hanging="1152"/>
        <w:spacing w:after="0" w:line="50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160" w:right="7520" w:hanging="1152"/>
        <w:spacing w:after="0" w:line="50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1,149,480</w:t>
      </w:r>
    </w:p>
    <w:p>
      <w:pPr>
        <w:ind w:left="1160" w:right="7380" w:hanging="1152"/>
        <w:spacing w:after="0" w:line="50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160" w:right="7120" w:hanging="1152"/>
        <w:spacing w:after="0" w:line="50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1,149,480</w:t>
      </w:r>
    </w:p>
    <w:p>
      <w:pPr>
        <w:ind w:left="1160" w:right="3080" w:hanging="1152"/>
        <w:spacing w:after="0" w:line="50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1,149,480</w:t>
      </w:r>
    </w:p>
    <w:p>
      <w:pPr>
        <w:ind w:left="1160" w:hanging="115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1160" w:right="4580" w:hanging="1152"/>
        <w:spacing w:after="0" w:line="501"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2.34%</w:t>
      </w:r>
    </w:p>
    <w:p>
      <w:pPr>
        <w:ind w:left="1160" w:right="5300" w:hanging="115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800"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00" w:type="dxa"/>
            <w:vAlign w:val="bottom"/>
          </w:tcPr>
          <w:p>
            <w:pPr>
              <w:ind w:left="320"/>
              <w:spacing w:after="0"/>
              <w:rPr>
                <w:sz w:val="20"/>
                <w:szCs w:val="20"/>
                <w:color w:val="auto"/>
              </w:rPr>
            </w:pPr>
            <w:r>
              <w:rPr>
                <w:rFonts w:ascii="Arial" w:cs="Arial" w:eastAsia="Arial" w:hAnsi="Arial"/>
                <w:sz w:val="18"/>
                <w:szCs w:val="18"/>
                <w:color w:val="auto"/>
              </w:rPr>
              <w:t>(a).</w:t>
            </w:r>
          </w:p>
        </w:tc>
        <w:tc>
          <w:tcPr>
            <w:tcW w:w="8540" w:type="dxa"/>
            <w:vAlign w:val="bottom"/>
          </w:tcPr>
          <w:p>
            <w:pPr>
              <w:spacing w:after="0"/>
              <w:rPr>
                <w:sz w:val="20"/>
                <w:szCs w:val="20"/>
                <w:color w:val="auto"/>
              </w:rPr>
            </w:pPr>
            <w:r>
              <w:rPr>
                <w:rFonts w:ascii="Arial" w:cs="Arial" w:eastAsia="Arial" w:hAnsi="Arial"/>
                <w:sz w:val="18"/>
                <w:szCs w:val="18"/>
                <w:color w:val="auto"/>
              </w:rPr>
              <w:t>Name of Issuer:</w:t>
            </w:r>
          </w:p>
        </w:tc>
        <w:tc>
          <w:tcPr>
            <w:tcW w:w="114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California Resources Corporation</w:t>
            </w:r>
          </w:p>
        </w:tc>
        <w:tc>
          <w:tcPr>
            <w:tcW w:w="1140" w:type="dxa"/>
            <w:vAlign w:val="bottom"/>
          </w:tcPr>
          <w:p>
            <w:pPr>
              <w:spacing w:after="0"/>
              <w:rPr>
                <w:sz w:val="24"/>
                <w:szCs w:val="24"/>
                <w:color w:val="auto"/>
              </w:rPr>
            </w:pPr>
          </w:p>
        </w:tc>
      </w:tr>
      <w:tr>
        <w:trPr>
          <w:trHeight w:val="426"/>
        </w:trPr>
        <w:tc>
          <w:tcPr>
            <w:tcW w:w="8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(b).</w:t>
            </w:r>
          </w:p>
        </w:tc>
        <w:tc>
          <w:tcPr>
            <w:tcW w:w="854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1140" w:type="dxa"/>
            <w:vAlign w:val="bottom"/>
          </w:tcPr>
          <w:p>
            <w:pPr>
              <w:spacing w:after="0"/>
              <w:rPr>
                <w:sz w:val="24"/>
                <w:szCs w:val="24"/>
                <w:color w:val="auto"/>
              </w:rPr>
            </w:pPr>
          </w:p>
        </w:tc>
      </w:tr>
      <w:tr>
        <w:trPr>
          <w:trHeight w:val="418"/>
        </w:trPr>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27200 Tourney Road, Suite 315</w:t>
            </w:r>
          </w:p>
        </w:tc>
        <w:tc>
          <w:tcPr>
            <w:tcW w:w="11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Santa Clarita, California 91355</w:t>
            </w:r>
          </w:p>
        </w:tc>
        <w:tc>
          <w:tcPr>
            <w:tcW w:w="1140" w:type="dxa"/>
            <w:vAlign w:val="bottom"/>
          </w:tcPr>
          <w:p>
            <w:pPr>
              <w:spacing w:after="0"/>
              <w:rPr>
                <w:sz w:val="20"/>
                <w:szCs w:val="20"/>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00" w:type="dxa"/>
            <w:vAlign w:val="bottom"/>
          </w:tcPr>
          <w:p>
            <w:pPr>
              <w:ind w:left="320"/>
              <w:spacing w:after="0"/>
              <w:rPr>
                <w:sz w:val="20"/>
                <w:szCs w:val="20"/>
                <w:color w:val="auto"/>
              </w:rPr>
            </w:pPr>
            <w:r>
              <w:rPr>
                <w:rFonts w:ascii="Arial" w:cs="Arial" w:eastAsia="Arial" w:hAnsi="Arial"/>
                <w:sz w:val="18"/>
                <w:szCs w:val="18"/>
                <w:color w:val="auto"/>
              </w:rPr>
              <w:t>(a).</w:t>
            </w:r>
          </w:p>
        </w:tc>
        <w:tc>
          <w:tcPr>
            <w:tcW w:w="8540" w:type="dxa"/>
            <w:vAlign w:val="bottom"/>
          </w:tcPr>
          <w:p>
            <w:pPr>
              <w:spacing w:after="0"/>
              <w:rPr>
                <w:sz w:val="20"/>
                <w:szCs w:val="20"/>
                <w:color w:val="auto"/>
              </w:rPr>
            </w:pPr>
            <w:r>
              <w:rPr>
                <w:rFonts w:ascii="Arial" w:cs="Arial" w:eastAsia="Arial" w:hAnsi="Arial"/>
                <w:sz w:val="18"/>
                <w:szCs w:val="18"/>
                <w:color w:val="auto"/>
              </w:rPr>
              <w:t>Name of person filing:</w:t>
            </w:r>
          </w:p>
        </w:tc>
        <w:tc>
          <w:tcPr>
            <w:tcW w:w="1140" w:type="dxa"/>
            <w:vAlign w:val="bottom"/>
          </w:tcPr>
          <w:p>
            <w:pPr>
              <w:spacing w:after="0"/>
              <w:rPr>
                <w:sz w:val="24"/>
                <w:szCs w:val="24"/>
                <w:color w:val="auto"/>
              </w:rPr>
            </w:pPr>
          </w:p>
        </w:tc>
      </w:tr>
      <w:tr>
        <w:trPr>
          <w:trHeight w:val="418"/>
        </w:trPr>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Masters Capital Management, LLC</w:t>
            </w:r>
          </w:p>
        </w:tc>
        <w:tc>
          <w:tcPr>
            <w:tcW w:w="11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Masters</w:t>
            </w:r>
          </w:p>
        </w:tc>
        <w:tc>
          <w:tcPr>
            <w:tcW w:w="1140" w:type="dxa"/>
            <w:vAlign w:val="bottom"/>
          </w:tcPr>
          <w:p>
            <w:pPr>
              <w:spacing w:after="0"/>
              <w:rPr>
                <w:sz w:val="20"/>
                <w:szCs w:val="20"/>
                <w:color w:val="auto"/>
              </w:rPr>
            </w:pPr>
          </w:p>
        </w:tc>
      </w:tr>
      <w:tr>
        <w:trPr>
          <w:trHeight w:val="426"/>
        </w:trPr>
        <w:tc>
          <w:tcPr>
            <w:tcW w:w="8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(b).</w:t>
            </w:r>
          </w:p>
        </w:tc>
        <w:tc>
          <w:tcPr>
            <w:tcW w:w="8540" w:type="dxa"/>
            <w:vAlign w:val="bottom"/>
          </w:tcPr>
          <w:p>
            <w:pPr>
              <w:spacing w:after="0"/>
              <w:rPr>
                <w:sz w:val="20"/>
                <w:szCs w:val="20"/>
                <w:color w:val="auto"/>
              </w:rPr>
            </w:pPr>
            <w:r>
              <w:rPr>
                <w:rFonts w:ascii="Arial" w:cs="Arial" w:eastAsia="Arial" w:hAnsi="Arial"/>
                <w:sz w:val="18"/>
                <w:szCs w:val="18"/>
                <w:color w:val="auto"/>
              </w:rPr>
              <w:t>Address or principal business office or, if none, residence:</w:t>
            </w:r>
          </w:p>
        </w:tc>
        <w:tc>
          <w:tcPr>
            <w:tcW w:w="1140" w:type="dxa"/>
            <w:vAlign w:val="bottom"/>
          </w:tcPr>
          <w:p>
            <w:pPr>
              <w:spacing w:after="0"/>
              <w:rPr>
                <w:sz w:val="24"/>
                <w:szCs w:val="24"/>
                <w:color w:val="auto"/>
              </w:rPr>
            </w:pPr>
          </w:p>
        </w:tc>
      </w:tr>
      <w:tr>
        <w:trPr>
          <w:trHeight w:val="418"/>
        </w:trPr>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Masters Capital Management, LLC</w:t>
            </w:r>
          </w:p>
        </w:tc>
        <w:tc>
          <w:tcPr>
            <w:tcW w:w="11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3060 Peachtree Road, Suite 1425</w:t>
            </w:r>
          </w:p>
        </w:tc>
        <w:tc>
          <w:tcPr>
            <w:tcW w:w="11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Atlanta, Georgia 30305</w:t>
            </w:r>
          </w:p>
        </w:tc>
        <w:tc>
          <w:tcPr>
            <w:tcW w:w="11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Michael Masters</w:t>
            </w:r>
          </w:p>
        </w:tc>
        <w:tc>
          <w:tcPr>
            <w:tcW w:w="114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c/o Masters Capital Management, LLC</w:t>
            </w:r>
          </w:p>
        </w:tc>
        <w:tc>
          <w:tcPr>
            <w:tcW w:w="11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3060 Peachtree Road, Suite 1425</w:t>
            </w:r>
          </w:p>
        </w:tc>
        <w:tc>
          <w:tcPr>
            <w:tcW w:w="11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Atlanta, Georgia 30305</w:t>
            </w:r>
          </w:p>
        </w:tc>
        <w:tc>
          <w:tcPr>
            <w:tcW w:w="11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spacing w:after="0"/>
              <w:rPr>
                <w:sz w:val="20"/>
                <w:szCs w:val="20"/>
                <w:color w:val="auto"/>
              </w:rPr>
            </w:pPr>
          </w:p>
        </w:tc>
      </w:tr>
      <w:tr>
        <w:trPr>
          <w:trHeight w:val="426"/>
        </w:trPr>
        <w:tc>
          <w:tcPr>
            <w:tcW w:w="8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(c).</w:t>
            </w:r>
          </w:p>
        </w:tc>
        <w:tc>
          <w:tcPr>
            <w:tcW w:w="8540" w:type="dxa"/>
            <w:vAlign w:val="bottom"/>
          </w:tcPr>
          <w:p>
            <w:pPr>
              <w:spacing w:after="0"/>
              <w:rPr>
                <w:sz w:val="20"/>
                <w:szCs w:val="20"/>
                <w:color w:val="auto"/>
              </w:rPr>
            </w:pPr>
            <w:r>
              <w:rPr>
                <w:rFonts w:ascii="Arial" w:cs="Arial" w:eastAsia="Arial" w:hAnsi="Arial"/>
                <w:sz w:val="18"/>
                <w:szCs w:val="18"/>
                <w:color w:val="auto"/>
              </w:rPr>
              <w:t>Citizenship:</w:t>
            </w:r>
          </w:p>
        </w:tc>
        <w:tc>
          <w:tcPr>
            <w:tcW w:w="1140" w:type="dxa"/>
            <w:vAlign w:val="bottom"/>
          </w:tcPr>
          <w:p>
            <w:pPr>
              <w:spacing w:after="0"/>
              <w:rPr>
                <w:sz w:val="24"/>
                <w:szCs w:val="24"/>
                <w:color w:val="auto"/>
              </w:rPr>
            </w:pPr>
          </w:p>
        </w:tc>
      </w:tr>
      <w:tr>
        <w:trPr>
          <w:trHeight w:val="418"/>
        </w:trPr>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Masters Capital Management, LLC - Georgia Limited Liability Company</w:t>
            </w:r>
          </w:p>
        </w:tc>
        <w:tc>
          <w:tcPr>
            <w:tcW w:w="114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Masters – United States of America</w:t>
            </w:r>
          </w:p>
        </w:tc>
        <w:tc>
          <w:tcPr>
            <w:tcW w:w="1140" w:type="dxa"/>
            <w:vAlign w:val="bottom"/>
          </w:tcPr>
          <w:p>
            <w:pPr>
              <w:spacing w:after="0"/>
              <w:rPr>
                <w:sz w:val="20"/>
                <w:szCs w:val="20"/>
                <w:color w:val="auto"/>
              </w:rPr>
            </w:pPr>
          </w:p>
        </w:tc>
      </w:tr>
      <w:tr>
        <w:trPr>
          <w:trHeight w:val="426"/>
        </w:trPr>
        <w:tc>
          <w:tcPr>
            <w:tcW w:w="8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(d).</w:t>
            </w:r>
          </w:p>
        </w:tc>
        <w:tc>
          <w:tcPr>
            <w:tcW w:w="854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114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1140" w:type="dxa"/>
            <w:vAlign w:val="bottom"/>
          </w:tcPr>
          <w:p>
            <w:pPr>
              <w:spacing w:after="0"/>
              <w:rPr>
                <w:sz w:val="24"/>
                <w:szCs w:val="24"/>
                <w:color w:val="auto"/>
              </w:rPr>
            </w:pPr>
          </w:p>
        </w:tc>
      </w:tr>
      <w:tr>
        <w:trPr>
          <w:trHeight w:val="426"/>
        </w:trPr>
        <w:tc>
          <w:tcPr>
            <w:tcW w:w="84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(e).</w:t>
            </w:r>
          </w:p>
        </w:tc>
        <w:tc>
          <w:tcPr>
            <w:tcW w:w="8540" w:type="dxa"/>
            <w:vAlign w:val="bottom"/>
          </w:tcPr>
          <w:p>
            <w:pPr>
              <w:spacing w:after="0"/>
              <w:rPr>
                <w:sz w:val="20"/>
                <w:szCs w:val="20"/>
                <w:color w:val="auto"/>
              </w:rPr>
            </w:pPr>
            <w:r>
              <w:rPr>
                <w:rFonts w:ascii="Arial" w:cs="Arial" w:eastAsia="Arial" w:hAnsi="Arial"/>
                <w:sz w:val="18"/>
                <w:szCs w:val="18"/>
                <w:color w:val="auto"/>
              </w:rPr>
              <w:t>CUSIP No.:</w:t>
            </w:r>
          </w:p>
        </w:tc>
        <w:tc>
          <w:tcPr>
            <w:tcW w:w="114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13057Q206</w:t>
            </w:r>
          </w:p>
        </w:tc>
        <w:tc>
          <w:tcPr>
            <w:tcW w:w="1140" w:type="dxa"/>
            <w:vAlign w:val="bottom"/>
          </w:tcPr>
          <w:p>
            <w:pPr>
              <w:spacing w:after="0"/>
              <w:rPr>
                <w:sz w:val="24"/>
                <w:szCs w:val="24"/>
                <w:color w:val="auto"/>
              </w:rPr>
            </w:pPr>
          </w:p>
        </w:tc>
      </w:tr>
      <w:tr>
        <w:trPr>
          <w:trHeight w:val="561"/>
        </w:trPr>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 w:name="page5"/>
    <w:bookmarkEnd w:id="4"/>
    <w:p>
      <w:pPr>
        <w:spacing w:after="0"/>
        <w:tabs>
          <w:tab w:leader="none" w:pos="17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 240.13d-1(b) or 240.13d-2(b), or (c), check whether the person filing is a</w:t>
      </w:r>
    </w:p>
    <w:p>
      <w:pPr>
        <w:spacing w:after="0" w:line="225" w:lineRule="exact"/>
        <w:rPr>
          <w:sz w:val="20"/>
          <w:szCs w:val="20"/>
          <w:color w:val="auto"/>
        </w:rPr>
      </w:pPr>
    </w:p>
    <w:p>
      <w:pPr>
        <w:ind w:left="1720" w:hanging="564"/>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300" w:right="480" w:hanging="1144"/>
        <w:spacing w:after="0" w:line="277" w:lineRule="auto"/>
        <w:tabs>
          <w:tab w:leader="none" w:pos="17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2300" w:right="40" w:hanging="1144"/>
        <w:spacing w:after="0" w:line="277" w:lineRule="auto"/>
        <w:tabs>
          <w:tab w:leader="none" w:pos="17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[_]Group, in accordance with § 240.13d-1(b)(1)(ii)(K). If filing as a non-U.S. institution in accordance with § 240.13d-1(b)(1) (ii)(J),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117475</wp:posOffset>
            </wp:positionV>
            <wp:extent cx="6157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3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720" w:hanging="564"/>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720" w:right="6120"/>
        <w:spacing w:after="0" w:line="277" w:lineRule="auto"/>
        <w:rPr>
          <w:rFonts w:ascii="Arial" w:cs="Arial" w:eastAsia="Arial" w:hAnsi="Arial"/>
          <w:sz w:val="18"/>
          <w:szCs w:val="18"/>
          <w:color w:val="auto"/>
        </w:rPr>
      </w:pPr>
      <w:r>
        <w:rPr>
          <w:rFonts w:ascii="Arial" w:cs="Arial" w:eastAsia="Arial" w:hAnsi="Arial"/>
          <w:sz w:val="18"/>
          <w:szCs w:val="18"/>
          <w:color w:val="auto"/>
        </w:rPr>
        <w:t>Masters Capital Management, LLC - 1,149,480 Michael Masters – 1,149,480</w:t>
      </w:r>
    </w:p>
    <w:p>
      <w:pPr>
        <w:spacing w:after="0" w:line="183" w:lineRule="exact"/>
        <w:rPr>
          <w:rFonts w:ascii="Arial" w:cs="Arial" w:eastAsia="Arial" w:hAnsi="Arial"/>
          <w:sz w:val="18"/>
          <w:szCs w:val="18"/>
          <w:color w:val="auto"/>
        </w:rPr>
      </w:pPr>
    </w:p>
    <w:p>
      <w:pPr>
        <w:ind w:left="1720" w:hanging="564"/>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20" w:right="6340"/>
        <w:spacing w:after="0" w:line="277" w:lineRule="auto"/>
        <w:rPr>
          <w:rFonts w:ascii="Arial" w:cs="Arial" w:eastAsia="Arial" w:hAnsi="Arial"/>
          <w:sz w:val="18"/>
          <w:szCs w:val="18"/>
          <w:color w:val="auto"/>
        </w:rPr>
      </w:pPr>
      <w:r>
        <w:rPr>
          <w:rFonts w:ascii="Arial" w:cs="Arial" w:eastAsia="Arial" w:hAnsi="Arial"/>
          <w:sz w:val="18"/>
          <w:szCs w:val="18"/>
          <w:color w:val="auto"/>
        </w:rPr>
        <w:t>Masters Capital Management, LLC – 2.34% Michael Masters –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-713740</wp:posOffset>
            </wp:positionV>
            <wp:extent cx="6157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-19050</wp:posOffset>
            </wp:positionV>
            <wp:extent cx="6157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00" w:right="399" w:bottom="1440" w:gutter="0" w:footer="0" w:header="0"/>
        </w:sectPr>
      </w:pPr>
    </w:p>
    <w:bookmarkStart w:id="5" w:name="page6"/>
    <w:bookmarkEnd w:id="5"/>
    <w:p>
      <w:pPr>
        <w:ind w:left="1720" w:hanging="564"/>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sz w:val="20"/>
          <w:szCs w:val="20"/>
          <w:color w:val="auto"/>
        </w:rPr>
      </w:pPr>
    </w:p>
    <w:p>
      <w:pPr>
        <w:jc w:val="both"/>
        <w:ind w:left="2300" w:right="6300" w:hanging="563"/>
        <w:spacing w:after="0" w:line="264" w:lineRule="auto"/>
        <w:tabs>
          <w:tab w:leader="none" w:pos="2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Masters Capital Management, LLC - 0 Michael Masters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-287020</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1"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642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28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r>
      <w:tr>
        <w:trPr>
          <w:trHeight w:val="182"/>
        </w:trPr>
        <w:tc>
          <w:tcPr>
            <w:tcW w:w="420" w:type="dxa"/>
            <w:vAlign w:val="bottom"/>
          </w:tcPr>
          <w:p>
            <w:pPr>
              <w:spacing w:after="0"/>
              <w:rPr>
                <w:sz w:val="15"/>
                <w:szCs w:val="15"/>
                <w:color w:val="auto"/>
              </w:rPr>
            </w:pPr>
          </w:p>
        </w:tc>
        <w:tc>
          <w:tcPr>
            <w:tcW w:w="6420" w:type="dxa"/>
            <w:vAlign w:val="bottom"/>
          </w:tcPr>
          <w:p>
            <w:pPr>
              <w:ind w:left="140"/>
              <w:spacing w:after="0" w:line="182" w:lineRule="exact"/>
              <w:rPr>
                <w:sz w:val="20"/>
                <w:szCs w:val="20"/>
                <w:color w:val="auto"/>
              </w:rPr>
            </w:pPr>
            <w:r>
              <w:rPr>
                <w:rFonts w:ascii="Arial" w:cs="Arial" w:eastAsia="Arial" w:hAnsi="Arial"/>
                <w:sz w:val="18"/>
                <w:szCs w:val="18"/>
                <w:color w:val="auto"/>
              </w:rPr>
              <w:t>Masters Capital Management, LLC - 1,149,480</w:t>
            </w:r>
          </w:p>
        </w:tc>
        <w:tc>
          <w:tcPr>
            <w:tcW w:w="22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6420" w:type="dxa"/>
            <w:vAlign w:val="bottom"/>
          </w:tcPr>
          <w:p>
            <w:pPr>
              <w:ind w:left="140"/>
              <w:spacing w:after="0"/>
              <w:rPr>
                <w:sz w:val="20"/>
                <w:szCs w:val="20"/>
                <w:color w:val="auto"/>
              </w:rPr>
            </w:pPr>
            <w:r>
              <w:rPr>
                <w:rFonts w:ascii="Arial" w:cs="Arial" w:eastAsia="Arial" w:hAnsi="Arial"/>
                <w:sz w:val="18"/>
                <w:szCs w:val="18"/>
                <w:color w:val="auto"/>
              </w:rPr>
              <w:t>Michael Masters – 1,149,480</w:t>
            </w: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642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28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r>
      <w:tr>
        <w:trPr>
          <w:trHeight w:val="182"/>
        </w:trPr>
        <w:tc>
          <w:tcPr>
            <w:tcW w:w="420" w:type="dxa"/>
            <w:vAlign w:val="bottom"/>
          </w:tcPr>
          <w:p>
            <w:pPr>
              <w:spacing w:after="0"/>
              <w:rPr>
                <w:sz w:val="15"/>
                <w:szCs w:val="15"/>
                <w:color w:val="auto"/>
              </w:rPr>
            </w:pPr>
          </w:p>
        </w:tc>
        <w:tc>
          <w:tcPr>
            <w:tcW w:w="6420" w:type="dxa"/>
            <w:vAlign w:val="bottom"/>
          </w:tcPr>
          <w:p>
            <w:pPr>
              <w:ind w:left="140"/>
              <w:spacing w:after="0" w:line="182" w:lineRule="exact"/>
              <w:rPr>
                <w:sz w:val="20"/>
                <w:szCs w:val="20"/>
                <w:color w:val="auto"/>
              </w:rPr>
            </w:pPr>
            <w:r>
              <w:rPr>
                <w:rFonts w:ascii="Arial" w:cs="Arial" w:eastAsia="Arial" w:hAnsi="Arial"/>
                <w:sz w:val="18"/>
                <w:szCs w:val="18"/>
                <w:color w:val="auto"/>
              </w:rPr>
              <w:t>Masters Capital Management, LLC - 0</w:t>
            </w:r>
          </w:p>
        </w:tc>
        <w:tc>
          <w:tcPr>
            <w:tcW w:w="22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6420" w:type="dxa"/>
            <w:vAlign w:val="bottom"/>
          </w:tcPr>
          <w:p>
            <w:pPr>
              <w:ind w:left="140"/>
              <w:spacing w:after="0"/>
              <w:rPr>
                <w:sz w:val="20"/>
                <w:szCs w:val="20"/>
                <w:color w:val="auto"/>
              </w:rPr>
            </w:pPr>
            <w:r>
              <w:rPr>
                <w:rFonts w:ascii="Arial" w:cs="Arial" w:eastAsia="Arial" w:hAnsi="Arial"/>
                <w:sz w:val="18"/>
                <w:szCs w:val="18"/>
                <w:color w:val="auto"/>
              </w:rPr>
              <w:t>Michael Masters – 0</w:t>
            </w: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642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2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r>
      <w:tr>
        <w:trPr>
          <w:trHeight w:val="182"/>
        </w:trPr>
        <w:tc>
          <w:tcPr>
            <w:tcW w:w="420" w:type="dxa"/>
            <w:vAlign w:val="bottom"/>
          </w:tcPr>
          <w:p>
            <w:pPr>
              <w:spacing w:after="0"/>
              <w:rPr>
                <w:sz w:val="15"/>
                <w:szCs w:val="15"/>
                <w:color w:val="auto"/>
              </w:rPr>
            </w:pPr>
          </w:p>
        </w:tc>
        <w:tc>
          <w:tcPr>
            <w:tcW w:w="6420" w:type="dxa"/>
            <w:vAlign w:val="bottom"/>
          </w:tcPr>
          <w:p>
            <w:pPr>
              <w:ind w:left="140"/>
              <w:spacing w:after="0" w:line="182" w:lineRule="exact"/>
              <w:rPr>
                <w:sz w:val="20"/>
                <w:szCs w:val="20"/>
                <w:color w:val="auto"/>
              </w:rPr>
            </w:pPr>
            <w:r>
              <w:rPr>
                <w:rFonts w:ascii="Arial" w:cs="Arial" w:eastAsia="Arial" w:hAnsi="Arial"/>
                <w:sz w:val="18"/>
                <w:szCs w:val="18"/>
                <w:color w:val="auto"/>
              </w:rPr>
              <w:t>Masters Capital Management, LLC - 1,149,480</w:t>
            </w:r>
          </w:p>
        </w:tc>
        <w:tc>
          <w:tcPr>
            <w:tcW w:w="228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6420" w:type="dxa"/>
            <w:vAlign w:val="bottom"/>
          </w:tcPr>
          <w:p>
            <w:pPr>
              <w:ind w:left="140"/>
              <w:spacing w:after="0"/>
              <w:rPr>
                <w:sz w:val="20"/>
                <w:szCs w:val="20"/>
                <w:color w:val="auto"/>
              </w:rPr>
            </w:pPr>
            <w:r>
              <w:rPr>
                <w:rFonts w:ascii="Arial" w:cs="Arial" w:eastAsia="Arial" w:hAnsi="Arial"/>
                <w:sz w:val="18"/>
                <w:szCs w:val="18"/>
                <w:color w:val="auto"/>
              </w:rPr>
              <w:t>Michael Masters – 1,149,480</w:t>
            </w: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137160</wp:posOffset>
            </wp:positionV>
            <wp:extent cx="61487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11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jc w:val="both"/>
        <w:ind w:left="1160"/>
        <w:spacing w:after="0" w:line="277" w:lineRule="auto"/>
        <w:rPr>
          <w:sz w:val="20"/>
          <w:szCs w:val="20"/>
          <w:color w:val="auto"/>
        </w:rPr>
      </w:pPr>
      <w:r>
        <w:rPr>
          <w:rFonts w:ascii="Arial" w:cs="Arial" w:eastAsia="Arial" w:hAnsi="Arial"/>
          <w:sz w:val="18"/>
          <w:szCs w:val="18"/>
          <w:color w:val="auto"/>
        </w:rPr>
        <w:t>This final amendment reflects that each Reporting Person has ceased to be the beneficial owner of more than five percent of the common stock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-19050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16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 w:name="page7"/>
    <w:bookmarkEnd w:id="6"/>
    <w:p>
      <w:pPr>
        <w:ind w:left="1160" w:hanging="1102"/>
        <w:spacing w:after="0" w:line="277" w:lineRule="auto"/>
        <w:tabs>
          <w:tab w:leader="none" w:pos="11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1160"/>
        <w:spacing w:after="0" w:line="312"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6517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1160" w:hanging="7"/>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6517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1160" w:right="20" w:hanging="7"/>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6517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1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65176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MASTERS CAPITAL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Masters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Masters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Masters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Masters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Amendment dated February 14, 2020 relating to the Common Stock of California Resources Corporation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MASTERS CAPITAL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Masters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Masters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Masters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2020-02-14T05:37:17Z</dcterms:created>
  <dcterms:modified xsi:type="dcterms:W3CDTF">2020-02-14T05:37:17Z</dcterms:modified>
</cp:coreProperties>
</file>