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4203-1_4seq1.xml.htm"/>
      <w:bookmarkStart w:id="1" w:name="kstm251420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James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QUEEN STREET EAST, SUITE 2500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M5C 2W5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the Issuer's Common Stock. The RSUs will vest on May 2, 2026 and, subject to certain exceptions, will be settled in shares of Common Stock on the date that is three months and one day following the Reporting Person's separation from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Ross Jackson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457"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3331</Characters>
  <CharactersWithSpaces>3895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