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California Resources Corporation</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13057Q305</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GoldenTree Asset Management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300 Park Avenue, 21st Floor</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(212) 847-3500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20,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4"/>
          <w:szCs w:val="24"/>
          <w:color w:val="auto"/>
        </w:rPr>
      </w:pPr>
    </w:p>
    <w:p>
      <w:pPr>
        <w:ind w:left="4" w:right="12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517"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20" w:type="dxa"/>
            <w:vAlign w:val="bottom"/>
            <w:gridSpan w:val="5"/>
          </w:tcPr>
          <w:p>
            <w:pPr>
              <w:jc w:val="center"/>
              <w:ind w:right="210"/>
              <w:spacing w:after="0"/>
              <w:rPr>
                <w:sz w:val="20"/>
                <w:szCs w:val="20"/>
                <w:color w:val="auto"/>
              </w:rPr>
            </w:pPr>
            <w:r>
              <w:rPr>
                <w:rFonts w:ascii="Arial" w:cs="Arial" w:eastAsia="Arial" w:hAnsi="Arial"/>
                <w:sz w:val="18"/>
                <w:szCs w:val="18"/>
                <w:color w:val="auto"/>
                <w:w w:val="91"/>
              </w:rPr>
              <w:t>CUSIP No. 13057Q305</w:t>
            </w:r>
          </w:p>
        </w:tc>
        <w:tc>
          <w:tcPr>
            <w:tcW w:w="6100" w:type="dxa"/>
            <w:vAlign w:val="bottom"/>
          </w:tcPr>
          <w:p>
            <w:pPr>
              <w:ind w:left="3560"/>
              <w:spacing w:after="0"/>
              <w:rPr>
                <w:sz w:val="20"/>
                <w:szCs w:val="20"/>
                <w:color w:val="auto"/>
              </w:rPr>
            </w:pPr>
            <w:r>
              <w:rPr>
                <w:rFonts w:ascii="Arial" w:cs="Arial" w:eastAsia="Arial" w:hAnsi="Arial"/>
                <w:sz w:val="18"/>
                <w:szCs w:val="18"/>
                <w:b w:val="1"/>
                <w:bCs w:val="1"/>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1 of 8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GoldenTree Asset Management LP</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60" w:type="dxa"/>
            <w:vAlign w:val="bottom"/>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10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61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Borders>
              <w:right w:val="single" w:sz="8" w:color="auto"/>
            </w:tcBorders>
            <w:vMerge w:val="continue"/>
          </w:tcPr>
          <w:p>
            <w:pPr>
              <w:spacing w:after="0"/>
              <w:rPr>
                <w:sz w:val="9"/>
                <w:szCs w:val="9"/>
                <w:color w:val="auto"/>
              </w:rPr>
            </w:pPr>
          </w:p>
        </w:tc>
        <w:tc>
          <w:tcPr>
            <w:tcW w:w="6100" w:type="dxa"/>
            <w:vAlign w:val="bottom"/>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0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9</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Arial" w:cs="Arial" w:eastAsia="Arial" w:hAnsi="Arial"/>
                <w:sz w:val="18"/>
                <w:szCs w:val="18"/>
                <w:b w:val="1"/>
                <w:bCs w:val="1"/>
                <w:color w:val="auto"/>
              </w:rPr>
              <w:t>REPORTING</w:t>
            </w:r>
          </w:p>
        </w:tc>
        <w:tc>
          <w:tcPr>
            <w:tcW w:w="18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tcBorders>
            <w:gridSpan w:val="3"/>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0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40"/>
              <w:spacing w:after="0" w:line="160" w:lineRule="exact"/>
              <w:rPr>
                <w:sz w:val="20"/>
                <w:szCs w:val="20"/>
                <w:color w:val="auto"/>
              </w:rPr>
            </w:pPr>
            <w:r>
              <w:rPr>
                <w:rFonts w:ascii="Arial" w:cs="Arial" w:eastAsia="Arial" w:hAnsi="Arial"/>
                <w:sz w:val="18"/>
                <w:szCs w:val="18"/>
                <w:b w:val="1"/>
                <w:bCs w:val="1"/>
                <w:color w:val="auto"/>
              </w:rPr>
              <w:t>WITH</w:t>
            </w:r>
          </w:p>
        </w:tc>
        <w:tc>
          <w:tcPr>
            <w:tcW w:w="18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0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61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w w:val="93"/>
              </w:rPr>
              <w:t>Aggregate Amount</w:t>
            </w:r>
          </w:p>
        </w:tc>
        <w:tc>
          <w:tcPr>
            <w:tcW w:w="61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2,543,115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4"/>
        </w:trPr>
        <w:tc>
          <w:tcPr>
            <w:tcW w:w="2020" w:type="dxa"/>
            <w:vAlign w:val="bottom"/>
            <w:gridSpan w:val="5"/>
          </w:tcPr>
          <w:p>
            <w:pPr>
              <w:jc w:val="center"/>
              <w:ind w:right="210"/>
              <w:spacing w:after="0"/>
              <w:rPr>
                <w:sz w:val="20"/>
                <w:szCs w:val="20"/>
                <w:color w:val="auto"/>
              </w:rPr>
            </w:pPr>
            <w:r>
              <w:rPr>
                <w:rFonts w:ascii="Arial" w:cs="Arial" w:eastAsia="Arial" w:hAnsi="Arial"/>
                <w:sz w:val="18"/>
                <w:szCs w:val="18"/>
                <w:color w:val="auto"/>
                <w:w w:val="91"/>
              </w:rPr>
              <w:t>CUSIP No. 13057Q305</w:t>
            </w:r>
          </w:p>
        </w:tc>
        <w:tc>
          <w:tcPr>
            <w:tcW w:w="6100" w:type="dxa"/>
            <w:vAlign w:val="bottom"/>
          </w:tcPr>
          <w:p>
            <w:pPr>
              <w:ind w:left="3560"/>
              <w:spacing w:after="0"/>
              <w:rPr>
                <w:sz w:val="20"/>
                <w:szCs w:val="20"/>
                <w:color w:val="auto"/>
              </w:rPr>
            </w:pPr>
            <w:r>
              <w:rPr>
                <w:rFonts w:ascii="Arial" w:cs="Arial" w:eastAsia="Arial" w:hAnsi="Arial"/>
                <w:sz w:val="18"/>
                <w:szCs w:val="18"/>
                <w:b w:val="1"/>
                <w:bCs w:val="1"/>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2 of 8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GoldenTree Asset Management LLC</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60" w:type="dxa"/>
            <w:vAlign w:val="bottom"/>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10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61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Borders>
              <w:right w:val="single" w:sz="8" w:color="auto"/>
            </w:tcBorders>
            <w:vMerge w:val="continue"/>
          </w:tcPr>
          <w:p>
            <w:pPr>
              <w:spacing w:after="0"/>
              <w:rPr>
                <w:sz w:val="9"/>
                <w:szCs w:val="9"/>
                <w:color w:val="auto"/>
              </w:rPr>
            </w:pPr>
          </w:p>
        </w:tc>
        <w:tc>
          <w:tcPr>
            <w:tcW w:w="6100" w:type="dxa"/>
            <w:vAlign w:val="bottom"/>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0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9</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Arial" w:cs="Arial" w:eastAsia="Arial" w:hAnsi="Arial"/>
                <w:sz w:val="18"/>
                <w:szCs w:val="18"/>
                <w:b w:val="1"/>
                <w:bCs w:val="1"/>
                <w:color w:val="auto"/>
              </w:rPr>
              <w:t>REPORTING</w:t>
            </w:r>
          </w:p>
        </w:tc>
        <w:tc>
          <w:tcPr>
            <w:tcW w:w="18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tcBorders>
            <w:gridSpan w:val="3"/>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0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40"/>
              <w:spacing w:after="0" w:line="160" w:lineRule="exact"/>
              <w:rPr>
                <w:sz w:val="20"/>
                <w:szCs w:val="20"/>
                <w:color w:val="auto"/>
              </w:rPr>
            </w:pPr>
            <w:r>
              <w:rPr>
                <w:rFonts w:ascii="Arial" w:cs="Arial" w:eastAsia="Arial" w:hAnsi="Arial"/>
                <w:sz w:val="18"/>
                <w:szCs w:val="18"/>
                <w:b w:val="1"/>
                <w:bCs w:val="1"/>
                <w:color w:val="auto"/>
              </w:rPr>
              <w:t>WITH</w:t>
            </w:r>
          </w:p>
        </w:tc>
        <w:tc>
          <w:tcPr>
            <w:tcW w:w="18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0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61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w w:val="93"/>
              </w:rPr>
              <w:t>Aggregate Amount</w:t>
            </w:r>
          </w:p>
        </w:tc>
        <w:tc>
          <w:tcPr>
            <w:tcW w:w="61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2,543,115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4"/>
        </w:trPr>
        <w:tc>
          <w:tcPr>
            <w:tcW w:w="2020" w:type="dxa"/>
            <w:vAlign w:val="bottom"/>
            <w:gridSpan w:val="5"/>
          </w:tcPr>
          <w:p>
            <w:pPr>
              <w:jc w:val="center"/>
              <w:ind w:right="210"/>
              <w:spacing w:after="0"/>
              <w:rPr>
                <w:sz w:val="20"/>
                <w:szCs w:val="20"/>
                <w:color w:val="auto"/>
              </w:rPr>
            </w:pPr>
            <w:r>
              <w:rPr>
                <w:rFonts w:ascii="Arial" w:cs="Arial" w:eastAsia="Arial" w:hAnsi="Arial"/>
                <w:sz w:val="18"/>
                <w:szCs w:val="18"/>
                <w:color w:val="auto"/>
                <w:w w:val="91"/>
              </w:rPr>
              <w:t>CUSIP No. 13057Q305</w:t>
            </w:r>
          </w:p>
        </w:tc>
        <w:tc>
          <w:tcPr>
            <w:tcW w:w="6100" w:type="dxa"/>
            <w:vAlign w:val="bottom"/>
          </w:tcPr>
          <w:p>
            <w:pPr>
              <w:ind w:left="3560"/>
              <w:spacing w:after="0"/>
              <w:rPr>
                <w:sz w:val="20"/>
                <w:szCs w:val="20"/>
                <w:color w:val="auto"/>
              </w:rPr>
            </w:pPr>
            <w:r>
              <w:rPr>
                <w:rFonts w:ascii="Arial" w:cs="Arial" w:eastAsia="Arial" w:hAnsi="Arial"/>
                <w:sz w:val="18"/>
                <w:szCs w:val="18"/>
                <w:b w:val="1"/>
                <w:bCs w:val="1"/>
                <w:color w:val="auto"/>
              </w:rPr>
              <w:t>13D</w:t>
            </w:r>
          </w:p>
        </w:tc>
        <w:tc>
          <w:tcPr>
            <w:tcW w:w="2900" w:type="dxa"/>
            <w:vAlign w:val="bottom"/>
            <w:gridSpan w:val="2"/>
          </w:tcPr>
          <w:p>
            <w:pPr>
              <w:ind w:left="1620"/>
              <w:spacing w:after="0"/>
              <w:rPr>
                <w:sz w:val="20"/>
                <w:szCs w:val="20"/>
                <w:color w:val="auto"/>
              </w:rPr>
            </w:pPr>
            <w:r>
              <w:rPr>
                <w:rFonts w:ascii="Arial" w:cs="Arial" w:eastAsia="Arial" w:hAnsi="Arial"/>
                <w:sz w:val="18"/>
                <w:szCs w:val="18"/>
                <w:color w:val="auto"/>
                <w:w w:val="86"/>
              </w:rPr>
              <w:t>Page 3 of 8 pages</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1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Names of Reporting Persons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Steven A. Tananbaum</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rPr>
              <w:t>2</w:t>
            </w:r>
          </w:p>
        </w:tc>
        <w:tc>
          <w:tcPr>
            <w:tcW w:w="100" w:type="dxa"/>
            <w:vAlign w:val="bottom"/>
            <w:tcBorders>
              <w:right w:val="single" w:sz="8" w:color="auto"/>
            </w:tcBorders>
          </w:tcPr>
          <w:p>
            <w:pPr>
              <w:spacing w:after="0"/>
              <w:rPr>
                <w:sz w:val="14"/>
                <w:szCs w:val="14"/>
                <w:color w:val="auto"/>
              </w:rPr>
            </w:pPr>
          </w:p>
        </w:tc>
        <w:tc>
          <w:tcPr>
            <w:tcW w:w="7660" w:type="dxa"/>
            <w:vAlign w:val="bottom"/>
            <w:gridSpan w:val="4"/>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28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50"/>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6100" w:type="dxa"/>
            <w:vAlign w:val="bottom"/>
          </w:tcPr>
          <w:p>
            <w:pPr>
              <w:spacing w:after="0"/>
              <w:rPr>
                <w:sz w:val="24"/>
                <w:szCs w:val="24"/>
                <w:color w:val="auto"/>
              </w:rPr>
            </w:pP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right w:val="single" w:sz="8" w:color="auto"/>
            </w:tcBorders>
          </w:tcPr>
          <w:p>
            <w:pPr>
              <w:spacing w:after="0"/>
              <w:rPr>
                <w:sz w:val="19"/>
                <w:szCs w:val="19"/>
                <w:color w:val="auto"/>
              </w:rPr>
            </w:pPr>
          </w:p>
        </w:tc>
        <w:tc>
          <w:tcPr>
            <w:tcW w:w="1560" w:type="dxa"/>
            <w:vAlign w:val="bottom"/>
            <w:gridSpan w:val="3"/>
          </w:tcPr>
          <w:p>
            <w:pPr>
              <w:ind w:left="16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Source of Funds (See Instructions)</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60"/>
              <w:spacing w:after="0"/>
              <w:rPr>
                <w:sz w:val="20"/>
                <w:szCs w:val="20"/>
                <w:color w:val="auto"/>
              </w:rPr>
            </w:pPr>
            <w:r>
              <w:rPr>
                <w:rFonts w:ascii="Arial" w:cs="Arial" w:eastAsia="Arial" w:hAnsi="Arial"/>
                <w:sz w:val="18"/>
                <w:szCs w:val="18"/>
                <w:color w:val="auto"/>
              </w:rPr>
              <w:t>Citizenship or Place of Organization</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United States</w:t>
            </w: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w:t>
            </w:r>
          </w:p>
        </w:tc>
        <w:tc>
          <w:tcPr>
            <w:tcW w:w="610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6100" w:type="dxa"/>
            <w:vAlign w:val="bottom"/>
            <w:tcBorders>
              <w:bottom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28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600" w:type="dxa"/>
            <w:vAlign w:val="bottom"/>
            <w:tcBorders>
              <w:left w:val="single" w:sz="8" w:color="auto"/>
              <w:right w:val="single" w:sz="8" w:color="auto"/>
            </w:tcBorders>
            <w:gridSpan w:val="4"/>
            <w:vMerge w:val="restart"/>
          </w:tcPr>
          <w:p>
            <w:pPr>
              <w:jc w:val="center"/>
              <w:ind w:left="70"/>
              <w:spacing w:after="0"/>
              <w:rPr>
                <w:sz w:val="20"/>
                <w:szCs w:val="20"/>
                <w:color w:val="auto"/>
              </w:rPr>
            </w:pPr>
            <w:r>
              <w:rPr>
                <w:rFonts w:ascii="Arial" w:cs="Arial" w:eastAsia="Arial" w:hAnsi="Arial"/>
                <w:sz w:val="18"/>
                <w:szCs w:val="18"/>
                <w:b w:val="1"/>
                <w:bCs w:val="1"/>
                <w:color w:val="auto"/>
              </w:rPr>
              <w:t>BENEFICIALLY</w:t>
            </w:r>
          </w:p>
        </w:tc>
        <w:tc>
          <w:tcPr>
            <w:tcW w:w="420" w:type="dxa"/>
            <w:vAlign w:val="bottom"/>
            <w:tcBorders>
              <w:right w:val="single" w:sz="8" w:color="auto"/>
            </w:tcBorders>
            <w:vMerge w:val="continue"/>
          </w:tcPr>
          <w:p>
            <w:pPr>
              <w:spacing w:after="0"/>
              <w:rPr>
                <w:sz w:val="9"/>
                <w:szCs w:val="9"/>
                <w:color w:val="auto"/>
              </w:rPr>
            </w:pPr>
          </w:p>
        </w:tc>
        <w:tc>
          <w:tcPr>
            <w:tcW w:w="6100" w:type="dxa"/>
            <w:vAlign w:val="bottom"/>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auto"/>
              <w:right w:val="single" w:sz="8" w:color="auto"/>
            </w:tcBorders>
            <w:gridSpan w:val="4"/>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OWNED BY</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EACH</w:t>
            </w:r>
          </w:p>
        </w:tc>
        <w:tc>
          <w:tcPr>
            <w:tcW w:w="180" w:type="dxa"/>
            <w:vAlign w:val="bottom"/>
            <w:tcBorders>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6100" w:type="dxa"/>
            <w:vAlign w:val="bottom"/>
            <w:tcBorders>
              <w:bottom w:val="single" w:sz="8" w:color="auto"/>
            </w:tcBorders>
            <w:vMerge w:val="continue"/>
          </w:tcPr>
          <w:p>
            <w:pPr>
              <w:spacing w:after="0"/>
              <w:rPr>
                <w:sz w:val="10"/>
                <w:szCs w:val="10"/>
                <w:color w:val="auto"/>
              </w:rPr>
            </w:pPr>
          </w:p>
        </w:tc>
        <w:tc>
          <w:tcPr>
            <w:tcW w:w="280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60" w:type="dxa"/>
            <w:vAlign w:val="bottom"/>
            <w:tcBorders>
              <w:lef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9</w:t>
            </w:r>
          </w:p>
        </w:tc>
        <w:tc>
          <w:tcPr>
            <w:tcW w:w="61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280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tcBorders>
            <w:gridSpan w:val="3"/>
            <w:vMerge w:val="restart"/>
          </w:tcPr>
          <w:p>
            <w:pPr>
              <w:jc w:val="center"/>
              <w:ind w:left="210"/>
              <w:spacing w:after="0"/>
              <w:rPr>
                <w:sz w:val="20"/>
                <w:szCs w:val="20"/>
                <w:color w:val="auto"/>
              </w:rPr>
            </w:pPr>
            <w:r>
              <w:rPr>
                <w:rFonts w:ascii="Arial" w:cs="Arial" w:eastAsia="Arial" w:hAnsi="Arial"/>
                <w:sz w:val="18"/>
                <w:szCs w:val="18"/>
                <w:b w:val="1"/>
                <w:bCs w:val="1"/>
                <w:color w:val="auto"/>
              </w:rPr>
              <w:t>REPORTING</w:t>
            </w:r>
          </w:p>
        </w:tc>
        <w:tc>
          <w:tcPr>
            <w:tcW w:w="18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6100" w:type="dxa"/>
            <w:vAlign w:val="bottom"/>
            <w:vMerge w:val="continue"/>
          </w:tcPr>
          <w:p>
            <w:pPr>
              <w:spacing w:after="0"/>
              <w:rPr>
                <w:sz w:val="13"/>
                <w:szCs w:val="13"/>
                <w:color w:val="auto"/>
              </w:rPr>
            </w:pPr>
          </w:p>
        </w:tc>
        <w:tc>
          <w:tcPr>
            <w:tcW w:w="28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tcBorders>
            <w:gridSpan w:val="3"/>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6100" w:type="dxa"/>
            <w:vAlign w:val="bottom"/>
          </w:tcPr>
          <w:p>
            <w:pPr>
              <w:spacing w:after="0"/>
              <w:rPr>
                <w:sz w:val="5"/>
                <w:szCs w:val="5"/>
                <w:color w:val="auto"/>
              </w:rPr>
            </w:pPr>
          </w:p>
        </w:tc>
        <w:tc>
          <w:tcPr>
            <w:tcW w:w="28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610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28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140"/>
              <w:spacing w:after="0" w:line="160" w:lineRule="exact"/>
              <w:rPr>
                <w:sz w:val="20"/>
                <w:szCs w:val="20"/>
                <w:color w:val="auto"/>
              </w:rPr>
            </w:pPr>
            <w:r>
              <w:rPr>
                <w:rFonts w:ascii="Arial" w:cs="Arial" w:eastAsia="Arial" w:hAnsi="Arial"/>
                <w:sz w:val="18"/>
                <w:szCs w:val="18"/>
                <w:b w:val="1"/>
                <w:bCs w:val="1"/>
                <w:color w:val="auto"/>
              </w:rPr>
              <w:t>WITH</w:t>
            </w:r>
          </w:p>
        </w:tc>
        <w:tc>
          <w:tcPr>
            <w:tcW w:w="180" w:type="dxa"/>
            <w:vAlign w:val="bottom"/>
            <w:tcBorders>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6100" w:type="dxa"/>
            <w:vAlign w:val="bottom"/>
            <w:tcBorders>
              <w:bottom w:val="single" w:sz="8" w:color="auto"/>
            </w:tcBorders>
            <w:vMerge w:val="continue"/>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w:t>
            </w:r>
          </w:p>
        </w:tc>
        <w:tc>
          <w:tcPr>
            <w:tcW w:w="61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2,543,115</w:t>
            </w: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11</w:t>
            </w:r>
          </w:p>
        </w:tc>
        <w:tc>
          <w:tcPr>
            <w:tcW w:w="1560" w:type="dxa"/>
            <w:vAlign w:val="bottom"/>
            <w:gridSpan w:val="3"/>
          </w:tcPr>
          <w:p>
            <w:pPr>
              <w:ind w:left="120"/>
              <w:spacing w:after="0"/>
              <w:rPr>
                <w:sz w:val="20"/>
                <w:szCs w:val="20"/>
                <w:color w:val="auto"/>
              </w:rPr>
            </w:pPr>
            <w:r>
              <w:rPr>
                <w:rFonts w:ascii="Arial" w:cs="Arial" w:eastAsia="Arial" w:hAnsi="Arial"/>
                <w:sz w:val="18"/>
                <w:szCs w:val="18"/>
                <w:color w:val="auto"/>
                <w:w w:val="93"/>
              </w:rPr>
              <w:t>Aggregate Amount</w:t>
            </w:r>
          </w:p>
        </w:tc>
        <w:tc>
          <w:tcPr>
            <w:tcW w:w="610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2,543,115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right w:val="single" w:sz="8" w:color="auto"/>
            </w:tcBorders>
          </w:tcPr>
          <w:p>
            <w:pPr>
              <w:spacing w:after="0"/>
              <w:rPr>
                <w:sz w:val="19"/>
                <w:szCs w:val="19"/>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28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right w:val="single" w:sz="8" w:color="auto"/>
            </w:tcBorders>
          </w:tcPr>
          <w:p>
            <w:pPr>
              <w:spacing w:after="0"/>
              <w:rPr>
                <w:sz w:val="20"/>
                <w:szCs w:val="20"/>
                <w:color w:val="auto"/>
              </w:rPr>
            </w:pPr>
          </w:p>
        </w:tc>
        <w:tc>
          <w:tcPr>
            <w:tcW w:w="766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c>
          <w:tcPr>
            <w:tcW w:w="28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13057Q305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8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This Amendment No. 11 to Schedule 13D (“Amendment No. 11”) amends and supplements the Schedule 13D originally filed with the SEC on November 6, 2020 (as amended to date, the “Schedule 13D”), relating to the shares of Common Stock, par value $0.01 per share (the “Common Stock”), of California Resources Corporation, a Delaware corporation (the “Issuer”). Capitalized terms used herein without definition shall have the meanings set forth in the Schedule 13D.</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and supplemented by inserting the following information at the end of Item 3:</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From June 17, 2022 to July 1, 2022, the Advisor purchased 401,380 shares of Common Stock for aggregate consideration of approximately $16 million in a series of open-market transactions.</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Reporting Persons obtained the funds used to acquire their interests in the Issuer’s securities through capital contributions from their partners and members.</w:t>
      </w:r>
    </w:p>
    <w:p>
      <w:pPr>
        <w:sectPr>
          <w:pgSz w:w="11900" w:h="16838" w:orient="portrait"/>
          <w:cols w:equalWidth="0" w:num="1">
            <w:col w:w="11020"/>
          </w:cols>
          <w:pgMar w:left="440" w:top="270" w:right="439" w:bottom="1440" w:gutter="0" w:footer="0" w:header="0"/>
        </w:sectPr>
      </w:pPr>
    </w:p>
    <w:bookmarkStart w:id="5" w:name="page6"/>
    <w:bookmarkEnd w:id="5"/>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13057Q305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5 of 8 pages</w:t>
      </w:r>
    </w:p>
    <w:p>
      <w:pPr>
        <w:spacing w:after="0" w:line="158"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The following sets forth, as of the date hereof, the aggregate number of shares of Common Stock and percentage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73,470,932 shares of Common Stock outstanding as of September 30, 2022, as disclosed in the Issuer’s Quarterly Report on Form 10-Q filed with the SEC on November 7, 2022:</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Sole power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Shared</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Sole power</w:t>
            </w: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to dispose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 vote or</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or to direct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dispose or to</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Reporting Person</w:t>
            </w:r>
          </w:p>
        </w:tc>
        <w:tc>
          <w:tcPr>
            <w:tcW w:w="428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to direct</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direct the</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4280" w:type="dxa"/>
            <w:vAlign w:val="bottom"/>
            <w:vMerge w:val="continue"/>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owned</w:t>
            </w:r>
          </w:p>
        </w:tc>
        <w:tc>
          <w:tcPr>
            <w:tcW w:w="8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w w:val="84"/>
              </w:rPr>
              <w:t>of class</w:t>
            </w: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the vote</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vote</w:t>
            </w:r>
          </w:p>
        </w:tc>
        <w:tc>
          <w:tcPr>
            <w:tcW w:w="9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88"/>
              </w:rPr>
              <w:t>disposition</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GoldenTree Asset Management LP</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2,543,115</w:t>
            </w:r>
          </w:p>
        </w:tc>
        <w:tc>
          <w:tcPr>
            <w:tcW w:w="2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ind w:left="600"/>
              <w:spacing w:after="0"/>
              <w:rPr>
                <w:sz w:val="20"/>
                <w:szCs w:val="20"/>
                <w:color w:val="auto"/>
              </w:rPr>
            </w:pPr>
            <w:r>
              <w:rPr>
                <w:rFonts w:ascii="Arial" w:cs="Arial" w:eastAsia="Arial" w:hAnsi="Arial"/>
                <w:sz w:val="15"/>
                <w:szCs w:val="15"/>
                <w:color w:val="auto"/>
                <w:w w:val="71"/>
              </w:rPr>
              <w:t>0</w:t>
            </w:r>
          </w:p>
        </w:tc>
        <w:tc>
          <w:tcPr>
            <w:tcW w:w="2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2,543,115</w:t>
            </w:r>
          </w:p>
        </w:tc>
        <w:tc>
          <w:tcPr>
            <w:tcW w:w="2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2,543,115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GoldenTree Asset Management LLC</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2,543,115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2,543,115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2,543,115</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A. Tananbaum</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2,543,115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2,543,115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2,543,115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Advisor is the beneficial owner of 2,354,178 shares of Common Stock, which includes 188,937 shares of Common Stock underlying Warrants that are exercisable within 60 days. The General Partner is the general partner of the Advisor. Mr. Tananbaum is the managing member of the General Partner.</w:t>
      </w:r>
    </w:p>
    <w:p>
      <w:pPr>
        <w:spacing w:after="0" w:line="184" w:lineRule="exact"/>
        <w:rPr>
          <w:sz w:val="20"/>
          <w:szCs w:val="20"/>
          <w:color w:val="auto"/>
        </w:rPr>
      </w:pPr>
    </w:p>
    <w:p>
      <w:pPr>
        <w:ind w:left="4" w:right="720" w:hanging="4"/>
        <w:spacing w:after="0" w:line="277"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From April 5, 2022 through April 20, 2022, the Reporting Persons disposed of 849,668 shares of Common Stock in a series of open-market transactions.</w:t>
      </w:r>
    </w:p>
    <w:p>
      <w:pPr>
        <w:spacing w:after="0" w:line="170"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From August 5, 2022 through August 12, 2022, the Reporting Persons disposed of 233,082 shares of Common Stock in a series of open-market transactions. For the amount of shares acquired within 60 days of August 12, 2022, see Item 3.</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From August 15, 2022 through August 22, 2022, the Reporting Persons disposed of 821,958 shares of Common Stock in a series of open-market transactions.</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From August 29, 2022 through October 25, 2022, the Reporting Persons disposed of 691,570 shares of Common Stock in a series of open-market transactions.</w:t>
      </w:r>
    </w:p>
    <w:p>
      <w:pPr>
        <w:spacing w:after="0" w:line="170"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From October 26, 2022 through November 11, 2022, the Reporting Persons disposed of 933,201 shares of Common Stock in a series of open-market transactions.</w:t>
      </w:r>
    </w:p>
    <w:p>
      <w:pPr>
        <w:sectPr>
          <w:pgSz w:w="11900" w:h="16838" w:orient="portrait"/>
          <w:cols w:equalWidth="0" w:num="1">
            <w:col w:w="11024"/>
          </w:cols>
          <w:pgMar w:left="436" w:top="270" w:right="439" w:bottom="1440" w:gutter="0" w:footer="0" w:header="0"/>
        </w:sectPr>
      </w:pPr>
    </w:p>
    <w:bookmarkStart w:id="6" w:name="page7"/>
    <w:bookmarkEnd w:id="6"/>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13057Q305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6 of 8 pages</w:t>
      </w:r>
    </w:p>
    <w:p>
      <w:pPr>
        <w:spacing w:after="0" w:line="16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From November 14, 2022 through January 12, 2023, the Reporting Persons disposed of 1,015,315 shares of Common Stock in a series of open-market transactions.</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Details by date, listing the number of shares of Common Stock disposed of and the weighted average price per share are provided below. The Reporting Persons undertake to provide, upon request by the staff of the SEC, the Issuer, or a security holder of the Issuer, full information regarding the number of shares sold at each separate price for each transaction.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6780" w:type="dxa"/>
            <w:vAlign w:val="bottom"/>
            <w:vMerge w:val="restart"/>
          </w:tcPr>
          <w:p>
            <w:pPr>
              <w:spacing w:after="0"/>
              <w:rPr>
                <w:sz w:val="14"/>
                <w:szCs w:val="14"/>
                <w:color w:val="auto"/>
              </w:rPr>
            </w:pPr>
          </w:p>
        </w:tc>
        <w:tc>
          <w:tcPr>
            <w:tcW w:w="21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88"/>
              </w:rPr>
              <w:t>Shares Disposed Of</w:t>
            </w: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Weighted Average Price Per</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6780" w:type="dxa"/>
            <w:vAlign w:val="bottom"/>
            <w:vMerge w:val="continue"/>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April 5, 2022</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9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44.3735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April 6,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29,302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44.0734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12,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117,243</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45.3288</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April 13,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247,156</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44.6756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14,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134,077</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44.6083</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April 20,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121,890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47.2976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5,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35,557</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43.9877</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9,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100,000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44.4710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12,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97,525</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46.0262</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15,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200,000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46.0470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17,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67,568</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47.8063</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18,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300,000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48.7378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19,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174,062</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48.6391</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22,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80,328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48.7341</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29,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75,584</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51.0565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August 31,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125,000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50.0012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68,387</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46.0029</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October 4,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160,000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41.6659</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6,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107,048</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42.7032</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October 7,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52,441</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42.7942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24,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18,967</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43.8750</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October 25,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84,143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43.4294</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46,890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44.8855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October 27,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100,000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45.1688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50,000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45.1815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150,418</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47.0692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150,000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48.0165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November 7,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36,830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48.8140</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8,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57,034</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48.4037</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November 10,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88,620</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46.4802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11,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253,409</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47.8279</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November 14,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23,912</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47.2606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11,737</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46.4151</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December 1,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11,505</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45.7642</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5,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16,194</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45.7776</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December 9, 2022</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76,969</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40.6856</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12, 2022</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23,031</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41.0708</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January 9, 2023</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71,753</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43.0268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10, 2023</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218,362</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42.7263</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January 11, 2023</w:t>
            </w:r>
          </w:p>
        </w:tc>
        <w:tc>
          <w:tcPr>
            <w:tcW w:w="2140" w:type="dxa"/>
            <w:vAlign w:val="bottom"/>
            <w:gridSpan w:val="2"/>
          </w:tcPr>
          <w:p>
            <w:pPr>
              <w:jc w:val="right"/>
              <w:ind w:right="940"/>
              <w:spacing w:after="0"/>
              <w:rPr>
                <w:sz w:val="20"/>
                <w:szCs w:val="20"/>
                <w:color w:val="auto"/>
              </w:rPr>
            </w:pPr>
            <w:r>
              <w:rPr>
                <w:rFonts w:ascii="Arial" w:cs="Arial" w:eastAsia="Arial" w:hAnsi="Arial"/>
                <w:sz w:val="18"/>
                <w:szCs w:val="18"/>
                <w:color w:val="auto"/>
              </w:rPr>
              <w:t>298,574</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43.2173</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12, 2023</w:t>
            </w:r>
          </w:p>
        </w:tc>
        <w:tc>
          <w:tcPr>
            <w:tcW w:w="21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263,278</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44.7929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(d)</w:t>
        <w:tab/>
        <w:t>None.</w:t>
      </w:r>
    </w:p>
    <w:p>
      <w:pPr>
        <w:sectPr>
          <w:pgSz w:w="11900" w:h="16838" w:orient="portrait"/>
          <w:cols w:equalWidth="0" w:num="1">
            <w:col w:w="11020"/>
          </w:cols>
          <w:pgMar w:left="440" w:top="270" w:right="439" w:bottom="1440" w:gutter="0" w:footer="0" w:header="0"/>
        </w:sectPr>
      </w:pPr>
    </w:p>
    <w:bookmarkStart w:id="7" w:name="page8"/>
    <w:bookmarkEnd w:id="7"/>
    <w:p>
      <w:pPr>
        <w:ind w:left="4"/>
        <w:spacing w:after="0"/>
        <w:tabs>
          <w:tab w:leader="none" w:pos="5564" w:val="left"/>
          <w:tab w:leader="none" w:pos="97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13057Q305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7 of 8 pages</w:t>
      </w:r>
    </w:p>
    <w:p>
      <w:pPr>
        <w:spacing w:after="0" w:line="16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January 12, 2023, the Reporting Persons ceased to be the beneficial owners of greater than 5% of the Issuer’s shares of Common Stock.</w:t>
      </w:r>
    </w:p>
    <w:p>
      <w:pPr>
        <w:sectPr>
          <w:pgSz w:w="11900" w:h="16838" w:orient="portrait"/>
          <w:cols w:equalWidth="0" w:num="1">
            <w:col w:w="11024"/>
          </w:cols>
          <w:pgMar w:left="436" w:top="270" w:right="439" w:bottom="1440" w:gutter="0" w:footer="0" w:header="0"/>
        </w:sectPr>
      </w:pPr>
    </w:p>
    <w:bookmarkStart w:id="8" w:name="page9"/>
    <w:bookmarkEnd w:id="8"/>
    <w:p>
      <w:pPr>
        <w:spacing w:after="0"/>
        <w:tabs>
          <w:tab w:leader="none" w:pos="556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13057Q305</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8 of 8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February 21, 2023</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Goldentree Asset Management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GoldenTree Asset Management LLC, its general partner</w:t>
      </w:r>
    </w:p>
    <w:p>
      <w:pPr>
        <w:spacing w:after="0" w:line="234"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A. Tananbaum</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Steven A. Tananbaum</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Goldentree Asset Management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Steven A. Tananbaum</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Steven A. Tananbaum</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Steven A. Tananbaum</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2023-02-21T17:44:32Z</dcterms:created>
  <dcterms:modified xsi:type="dcterms:W3CDTF">2023-02-21T17:44:32Z</dcterms:modified>
</cp:coreProperties>
</file>