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16,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2" w:lineRule="exact"/>
        <w:rPr>
          <w:sz w:val="20"/>
          <w:szCs w:val="20"/>
          <w:color w:val="auto"/>
        </w:rPr>
      </w:pPr>
    </w:p>
    <w:p>
      <w:pPr>
        <w:jc w:val="both"/>
        <w:ind w:right="140" w:firstLine="320"/>
        <w:spacing w:after="0" w:line="261" w:lineRule="auto"/>
        <w:rPr>
          <w:sz w:val="20"/>
          <w:szCs w:val="20"/>
          <w:color w:val="auto"/>
        </w:rPr>
      </w:pPr>
      <w:r>
        <w:rPr>
          <w:rFonts w:ascii="Times New Roman" w:cs="Times New Roman" w:eastAsia="Times New Roman" w:hAnsi="Times New Roman"/>
          <w:sz w:val="18"/>
          <w:szCs w:val="18"/>
          <w:color w:val="auto"/>
        </w:rPr>
        <w:t>To the extent the information included or incorporated into Item 8.01 below with respect to the results of operations or financial condition of California Resources Corporation (the “Company”) relates to or is presented as of or for a completed fiscal period, such information is incorporated into this Item 2.02 by reference.</w:t>
      </w:r>
    </w:p>
    <w:p>
      <w:pPr>
        <w:spacing w:after="0" w:line="3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2" w:lineRule="exact"/>
        <w:rPr>
          <w:sz w:val="20"/>
          <w:szCs w:val="20"/>
          <w:color w:val="auto"/>
        </w:rPr>
      </w:pPr>
    </w:p>
    <w:p>
      <w:pPr>
        <w:ind w:right="80" w:firstLine="320"/>
        <w:spacing w:after="0" w:line="252" w:lineRule="auto"/>
        <w:rPr>
          <w:sz w:val="20"/>
          <w:szCs w:val="20"/>
          <w:color w:val="auto"/>
        </w:rPr>
      </w:pPr>
      <w:r>
        <w:rPr>
          <w:rFonts w:ascii="Times New Roman" w:cs="Times New Roman" w:eastAsia="Times New Roman" w:hAnsi="Times New Roman"/>
          <w:sz w:val="18"/>
          <w:szCs w:val="18"/>
          <w:color w:val="auto"/>
        </w:rPr>
        <w:t>On June 16, 2026, the Company issued a press release announcing the commencement of a proposed private offering of $550 million in aggregate principal amount of senior unsecured notes due 2035 (the “Notes”). The Company intends to use the net proceeds from this offering, together with borrowings under its revolving credit facility and/or cash on hand to fund the redemption of all outstanding $550 million in aggregate principal amount of its 8.250% senior unsecured notes due 2029 (the “2029 Notes”) at a redemption price of 104.125% thereof, plus accrued and unpaid interest to, but excluding, the date of redemption. The redemption of the 2029 Notes is expected to be conditioned on the completion of the offering of the Notes. The offering of the Notes is not contingent upon the completion of such redemption. A copy of the press release is included as Exhibit 99.1 hereto and incorporated herein by reference.</w:t>
      </w:r>
    </w:p>
    <w:p>
      <w:pPr>
        <w:spacing w:after="0" w:line="145" w:lineRule="exact"/>
        <w:rPr>
          <w:sz w:val="20"/>
          <w:szCs w:val="20"/>
          <w:color w:val="auto"/>
        </w:rPr>
      </w:pPr>
    </w:p>
    <w:p>
      <w:pPr>
        <w:ind w:right="780" w:firstLine="320"/>
        <w:spacing w:after="0" w:line="276" w:lineRule="auto"/>
        <w:rPr>
          <w:sz w:val="20"/>
          <w:szCs w:val="20"/>
          <w:color w:val="auto"/>
        </w:rPr>
      </w:pPr>
      <w:r>
        <w:rPr>
          <w:rFonts w:ascii="Times New Roman" w:cs="Times New Roman" w:eastAsia="Times New Roman" w:hAnsi="Times New Roman"/>
          <w:sz w:val="18"/>
          <w:szCs w:val="18"/>
          <w:color w:val="auto"/>
        </w:rPr>
        <w:t>In connection with the offering of the Notes, the Company will provide certain financial and other information with respect to the Company to prospective investors in the offering. Excerpts of such information are included as Exhibit 99.2 hereto and incorporated herein by reference.</w:t>
      </w:r>
    </w:p>
    <w:p>
      <w:pPr>
        <w:spacing w:after="0" w:line="124"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the intended use of proceeds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61"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2025 and its subsequently filed Quarterly Reports on Form 10-Q.</w:t>
      </w:r>
    </w:p>
    <w:p>
      <w:pPr>
        <w:spacing w:after="0" w:line="3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0"/>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20" w:type="dxa"/>
            <w:vAlign w:val="bottom"/>
          </w:tcPr>
          <w:p>
            <w:pPr>
              <w:spacing w:after="0"/>
              <w:rPr>
                <w:sz w:val="24"/>
                <w:szCs w:val="24"/>
                <w:color w:val="auto"/>
              </w:rPr>
            </w:pPr>
          </w:p>
        </w:tc>
        <w:tc>
          <w:tcPr>
            <w:tcW w:w="34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16, 2026, issued by the Company.</w:t>
            </w:r>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Offering memorandum excerpts.</w:t>
            </w:r>
          </w:p>
        </w:tc>
        <w:tc>
          <w:tcPr>
            <w:tcW w:w="1940" w:type="dxa"/>
            <w:vAlign w:val="bottom"/>
            <w:tcBorders>
              <w:top w:val="single" w:sz="8" w:color="0000FF"/>
            </w:tcBorders>
          </w:tcPr>
          <w:p>
            <w:pPr>
              <w:spacing w:after="0"/>
              <w:rPr>
                <w:sz w:val="21"/>
                <w:szCs w:val="21"/>
                <w:color w:val="auto"/>
              </w:rPr>
            </w:pPr>
          </w:p>
        </w:tc>
        <w:tc>
          <w:tcPr>
            <w:tcW w:w="1480" w:type="dxa"/>
            <w:vAlign w:val="bottom"/>
          </w:tcPr>
          <w:p>
            <w:pPr>
              <w:spacing w:after="0"/>
              <w:rPr>
                <w:sz w:val="21"/>
                <w:szCs w:val="21"/>
                <w:color w:val="auto"/>
              </w:rPr>
            </w:pPr>
          </w:p>
        </w:tc>
      </w:tr>
      <w:tr>
        <w:trPr>
          <w:trHeight w:val="28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694055</wp:posOffset>
            </wp:positionV>
            <wp:extent cx="5280660" cy="795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066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NEWS RELEASE</w:t>
        <w:tab/>
        <w:t>For immediate release</w:t>
      </w: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California Resources Corporation Announces Private Offering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$550 Million of Senior Unsecured Notes</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Long Beach, California, June 16, 2026 – California Resources Corporation (NYSE: CRC) (the “Company”) announced today that, subject to market and other conditions, it intends to offer and sell to eligible purchasers $550 million in aggregate principal amount of senior unsecured notes due 2035 (the “Notes”). The Notes will be guaranteed by all of the Company’s existing subsidiaries that guarantee its revolving credit facility, its 8.250% senior notes due 2029 (the “2029 Notes”) and its 7.000% senior notes due 2034, and certain future subsidiaries. The Company intends to use the net proceeds from this offering, together with borrowings under its revolving credit facility and/or cash on hand to fund the redemption of all outstanding $550 million in aggregate principal amount of its 2029 Notes at a redemption price of 104.125% thereof, plus accrued and unpaid interest to, but excluding, the date of redemption. The redemption of the 2029 Notes is expected to be conditioned on the completion of the offering of the Notes. The offering of the Notes is not contingent upon the completion of such redemption.</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 Additionally, this press release shall not constitute a notice of redemption under the indenture governing the 2029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 Disclosure</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including the redemption of the 2029 Notes,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w:t>
      </w:r>
    </w:p>
    <w:p>
      <w:pPr>
        <w:sectPr>
          <w:pgSz w:w="11900" w:h="16838" w:orient="portrait"/>
          <w:cols w:equalWidth="0" w:num="1">
            <w:col w:w="11240"/>
          </w:cols>
          <w:pgMar w:left="320" w:top="119" w:right="339" w:bottom="144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21"/>
          <w:szCs w:val="21"/>
          <w:color w:val="auto"/>
        </w:rPr>
        <w:t>what is expressed, implied or forecast in such statements. Except as required by law, the Company expressly disclaims any obligation to and does not intend to publicly update or revise any forward-looking statements.</w:t>
      </w:r>
    </w:p>
    <w:p>
      <w:pPr>
        <w:spacing w:after="0" w:line="1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2025 and its subsequently filed Quarterly Reports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California Resources Corporation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California Resources Corporation (CRC) is an independent energy and carbon management company advancing the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-8255</wp:posOffset>
            </wp:positionV>
            <wp:extent cx="59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CRC Contacts</w:t>
      </w:r>
      <w:r>
        <w:rPr>
          <w:rFonts w:ascii="Times New Roman" w:cs="Times New Roman" w:eastAsia="Times New Roman" w:hAnsi="Times New Roman"/>
          <w:sz w:val="21"/>
          <w:szCs w:val="21"/>
          <w:b w:val="1"/>
          <w:bCs w:val="1"/>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Hailey Bonus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Media</w:t>
      </w:r>
    </w:p>
    <w:p>
      <w:pPr>
        <w:spacing w:after="0" w:line="238" w:lineRule="auto"/>
        <w:rPr>
          <w:sz w:val="20"/>
          <w:szCs w:val="20"/>
          <w:color w:val="auto"/>
        </w:rPr>
      </w:pPr>
      <w:r>
        <w:rPr>
          <w:rFonts w:ascii="Times New Roman" w:cs="Times New Roman" w:eastAsia="Times New Roman" w:hAnsi="Times New Roman"/>
          <w:sz w:val="21"/>
          <w:szCs w:val="21"/>
          <w:color w:val="auto"/>
        </w:rPr>
        <w:t>714-874-7732</w:t>
      </w:r>
    </w:p>
    <w:p>
      <w:pPr>
        <w:spacing w:after="0"/>
        <w:rPr>
          <w:sz w:val="20"/>
          <w:szCs w:val="20"/>
          <w:color w:val="auto"/>
        </w:rPr>
      </w:pPr>
      <w:r>
        <w:rPr>
          <w:rFonts w:ascii="Times New Roman" w:cs="Times New Roman" w:eastAsia="Times New Roman" w:hAnsi="Times New Roman"/>
          <w:sz w:val="21"/>
          <w:szCs w:val="21"/>
          <w:u w:val="single" w:color="auto"/>
          <w:color w:val="5A41EF"/>
        </w:rPr>
        <w:t>CRC.Communications@crc.com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Juck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Investor Relations</w:t>
      </w:r>
    </w:p>
    <w:p>
      <w:pPr>
        <w:spacing w:after="0" w:line="225" w:lineRule="auto"/>
        <w:rPr>
          <w:sz w:val="20"/>
          <w:szCs w:val="20"/>
          <w:color w:val="auto"/>
        </w:rPr>
      </w:pPr>
      <w:r>
        <w:rPr>
          <w:rFonts w:ascii="Times New Roman" w:cs="Times New Roman" w:eastAsia="Times New Roman" w:hAnsi="Times New Roman"/>
          <w:sz w:val="21"/>
          <w:szCs w:val="21"/>
          <w:color w:val="auto"/>
        </w:rPr>
        <w:t>818-661-3700</w:t>
      </w:r>
    </w:p>
    <w:p>
      <w:pPr>
        <w:spacing w:after="0"/>
        <w:rPr>
          <w:sz w:val="20"/>
          <w:szCs w:val="20"/>
          <w:color w:val="auto"/>
        </w:rPr>
      </w:pPr>
      <w:r>
        <w:rPr>
          <w:rFonts w:ascii="Times New Roman" w:cs="Times New Roman" w:eastAsia="Times New Roman" w:hAnsi="Times New Roman"/>
          <w:sz w:val="21"/>
          <w:szCs w:val="21"/>
          <w:u w:val="single" w:color="auto"/>
          <w:color w:val="5A41EF"/>
        </w:rPr>
        <w:t>CRC_IR@crc.com</w:t>
      </w:r>
    </w:p>
    <w:p>
      <w:pPr>
        <w:sectPr>
          <w:pgSz w:w="11900" w:h="16838" w:orient="portrait"/>
          <w:cols w:equalWidth="0" w:num="1">
            <w:col w:w="11240"/>
          </w:cols>
          <w:pgMar w:left="320" w:top="139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Memorandum Excerpts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purposes of this Exhibit:</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“Berry” means Berry Corporation (bry).</w:t>
      </w:r>
    </w:p>
    <w:p>
      <w:pPr>
        <w:spacing w:after="0" w:line="180" w:lineRule="exact"/>
        <w:rPr>
          <w:sz w:val="20"/>
          <w:szCs w:val="20"/>
          <w:color w:val="auto"/>
        </w:rPr>
      </w:pPr>
    </w:p>
    <w:p>
      <w:pPr>
        <w:ind w:right="260" w:firstLine="320"/>
        <w:spacing w:after="0" w:line="278" w:lineRule="auto"/>
        <w:rPr>
          <w:sz w:val="20"/>
          <w:szCs w:val="20"/>
          <w:color w:val="auto"/>
        </w:rPr>
      </w:pPr>
      <w:r>
        <w:rPr>
          <w:rFonts w:ascii="Times New Roman" w:cs="Times New Roman" w:eastAsia="Times New Roman" w:hAnsi="Times New Roman"/>
          <w:sz w:val="18"/>
          <w:szCs w:val="18"/>
          <w:i w:val="1"/>
          <w:iCs w:val="1"/>
          <w:color w:val="auto"/>
        </w:rPr>
        <w:t>“Berry Merger” means the transactions contemplated by the definitive agreement and plan of merger entered into on September 14, 2025 pursuant to which Berry combined with CRC on December 18, 2025 in an all-stock transaction.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“CRC,” the “Company,” “we,” “us,” “our” or similar terms refer to California Resources Corporation and its subsidiaries on a consolidated basis.</w:t>
      </w:r>
    </w:p>
    <w:p>
      <w:pPr>
        <w:spacing w:after="0" w:line="180" w:lineRule="exact"/>
        <w:rPr>
          <w:sz w:val="20"/>
          <w:szCs w:val="20"/>
          <w:color w:val="auto"/>
        </w:rPr>
      </w:pPr>
    </w:p>
    <w:p>
      <w:pPr>
        <w:ind w:right="240"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“Transactions” means, collectively, (i) the Berry Merger, (ii) the extinguishment of Berry’s outstanding debt, and (iii) the Company’s issuance of $400 million aggregate principal amount of 7.000% senior notes due 2034.</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“Unrestricted Subsidiaries” means certain of CRC’s subsidiaries that do not guarantee CRC’s outstanding senior notes.</w:t>
      </w:r>
    </w:p>
    <w:p>
      <w:pPr>
        <w:spacing w:after="0" w:line="182" w:lineRule="exact"/>
        <w:rPr>
          <w:sz w:val="20"/>
          <w:szCs w:val="20"/>
          <w:color w:val="auto"/>
        </w:rPr>
      </w:pPr>
    </w:p>
    <w:p>
      <w:pPr>
        <w:ind w:right="20" w:firstLine="320"/>
        <w:spacing w:after="0" w:line="239"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data for the twelve months ended March 31, 2026 and the year ended December 31, 2025 included in this Exhibit presents the results of operations giving pro forma effect to the Transactions as if they had occurred on January 1, 2025. The unaudited pro forma historical financial data were derived from the unaudited pro forma condensed combined financial statements of CRC filed as Exhibit 99.3 to CRC’s Annual Report on Form 10-K for the fiscal year ended December 31, 2025 (the “Annual Report on Form 10-K”), which have been prepared from the audited historical consolidated financial statements of CRC and the unaudited historical consolidated financial statements of Berry for the period from January 1, 2025 through December 17, 2025. Pro forma financial data contains certain reclassification adjustments to conform the respective historical Berry financial statement presentation to CRC’s financial statement presentation.</w:t>
      </w:r>
    </w:p>
    <w:p>
      <w:pPr>
        <w:spacing w:after="0" w:line="156" w:lineRule="exact"/>
        <w:rPr>
          <w:sz w:val="20"/>
          <w:szCs w:val="20"/>
          <w:color w:val="auto"/>
        </w:rPr>
      </w:pPr>
    </w:p>
    <w:p>
      <w:pPr>
        <w:ind w:firstLine="320"/>
        <w:spacing w:after="0" w:line="242" w:lineRule="auto"/>
        <w:rPr>
          <w:sz w:val="20"/>
          <w:szCs w:val="20"/>
          <w:color w:val="auto"/>
        </w:rPr>
      </w:pPr>
      <w:r>
        <w:rPr>
          <w:rFonts w:ascii="Times New Roman" w:cs="Times New Roman" w:eastAsia="Times New Roman" w:hAnsi="Times New Roman"/>
          <w:sz w:val="18"/>
          <w:szCs w:val="18"/>
          <w:color w:val="auto"/>
        </w:rPr>
        <w:t>The pro forma financial data included in this Exhibit is presented to reflect the Transactions for illustrative purposes only. If the Transactions had occurred in the past, the operating results might have been materially different from those presented in the pro forma financial data. The pro forma financial data should not be relied upon as an indication of operating results that would have been achieved if the Transactions contemplated therein had taken place on the specified date. For additional information regarding the pro forma data included herein, see our pro forma financial statements, together with the related notes thereto, filed as Exhibit 99.3 to our Annual Report on Form 10-K.</w:t>
      </w:r>
    </w:p>
    <w:p>
      <w:pPr>
        <w:spacing w:after="0" w:line="156" w:lineRule="exact"/>
        <w:rPr>
          <w:sz w:val="20"/>
          <w:szCs w:val="20"/>
          <w:color w:val="auto"/>
        </w:rPr>
      </w:pPr>
    </w:p>
    <w:p>
      <w:pPr>
        <w:jc w:val="both"/>
        <w:ind w:right="320" w:firstLine="320"/>
        <w:spacing w:after="0" w:line="254" w:lineRule="auto"/>
        <w:rPr>
          <w:sz w:val="20"/>
          <w:szCs w:val="20"/>
          <w:color w:val="auto"/>
        </w:rPr>
      </w:pPr>
      <w:r>
        <w:rPr>
          <w:rFonts w:ascii="Times New Roman" w:cs="Times New Roman" w:eastAsia="Times New Roman" w:hAnsi="Times New Roman"/>
          <w:sz w:val="18"/>
          <w:szCs w:val="18"/>
          <w:color w:val="auto"/>
        </w:rPr>
        <w:t>Neither the historical nor pro forma results are necessarily indicative of our future operating results. The summary financial data presented below are qualified in their entirety by reference to, and should be read in conjunction with, our historical and pro forma financial statements and related notes filed with our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020" w:type="dxa"/>
            <w:vAlign w:val="bottom"/>
            <w:gridSpan w:val="2"/>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5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jc w:val="center"/>
              <w:ind w:right="346"/>
              <w:spacing w:after="0" w:line="142"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1700" w:type="dxa"/>
            <w:vAlign w:val="bottom"/>
          </w:tcPr>
          <w:p>
            <w:pPr>
              <w:jc w:val="center"/>
              <w:ind w:right="105"/>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jc w:val="center"/>
              <w:ind w:right="446"/>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80" w:type="dxa"/>
            <w:vAlign w:val="bottom"/>
          </w:tcPr>
          <w:p>
            <w:pPr>
              <w:jc w:val="center"/>
              <w:ind w:right="326"/>
              <w:spacing w:after="0" w:line="160"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1700" w:type="dxa"/>
            <w:vAlign w:val="bottom"/>
          </w:tcPr>
          <w:p>
            <w:pPr>
              <w:jc w:val="center"/>
              <w:ind w:right="105"/>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tcPr>
          <w:p>
            <w:pPr>
              <w:ind w:left="600"/>
              <w:spacing w:after="0" w:line="160"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jc w:val="center"/>
              <w:ind w:right="446"/>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jc w:val="center"/>
              <w:ind w:right="326"/>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7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6"/>
                <w:szCs w:val="16"/>
                <w:color w:val="auto"/>
              </w:rPr>
            </w:pPr>
          </w:p>
        </w:tc>
        <w:tc>
          <w:tcPr>
            <w:tcW w:w="1680" w:type="dxa"/>
            <w:vAlign w:val="bottom"/>
          </w:tcPr>
          <w:p>
            <w:pPr>
              <w:jc w:val="center"/>
              <w:ind w:right="44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ind w:right="34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8"/>
        </w:trPr>
        <w:tc>
          <w:tcPr>
            <w:tcW w:w="45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20" w:type="dxa"/>
            <w:vAlign w:val="bottom"/>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680" w:type="dxa"/>
            <w:vAlign w:val="bottom"/>
          </w:tcPr>
          <w:p>
            <w:pPr>
              <w:jc w:val="center"/>
              <w:ind w:right="44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80" w:type="dxa"/>
            <w:vAlign w:val="bottom"/>
          </w:tcPr>
          <w:p>
            <w:pPr>
              <w:jc w:val="center"/>
              <w:ind w:right="32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520" w:type="dxa"/>
            <w:vAlign w:val="bottom"/>
            <w:vMerge w:val="continue"/>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natural gas and NGL sales</w:t>
            </w:r>
          </w:p>
        </w:tc>
        <w:tc>
          <w:tcPr>
            <w:tcW w:w="17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  905</w:t>
            </w:r>
          </w:p>
        </w:tc>
        <w:tc>
          <w:tcPr>
            <w:tcW w:w="132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rPr>
              <w:t>$  2,910</w:t>
            </w:r>
          </w:p>
        </w:tc>
        <w:tc>
          <w:tcPr>
            <w:tcW w:w="3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4"/>
              </w:rPr>
              <w:t>2,537</w:t>
            </w:r>
          </w:p>
        </w:tc>
        <w:tc>
          <w:tcPr>
            <w:tcW w:w="1680" w:type="dxa"/>
            <w:vAlign w:val="bottom"/>
          </w:tcPr>
          <w:p>
            <w:pPr>
              <w:jc w:val="right"/>
              <w:ind w:right="566"/>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gain from commodity derivatives</w:t>
            </w:r>
          </w:p>
        </w:tc>
        <w:tc>
          <w:tcPr>
            <w:tcW w:w="17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(848)</w:t>
            </w:r>
          </w:p>
        </w:tc>
        <w:tc>
          <w:tcPr>
            <w:tcW w:w="132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rPr>
              <w:t>266</w:t>
            </w:r>
          </w:p>
        </w:tc>
        <w:tc>
          <w:tcPr>
            <w:tcW w:w="320" w:type="dxa"/>
            <w:vAlign w:val="bottom"/>
          </w:tcPr>
          <w:p>
            <w:pPr>
              <w:spacing w:after="0"/>
              <w:rPr>
                <w:sz w:val="23"/>
                <w:szCs w:val="23"/>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7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119</w:t>
            </w:r>
          </w:p>
        </w:tc>
        <w:tc>
          <w:tcPr>
            <w:tcW w:w="132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rPr>
              <w:t>3,669</w:t>
            </w:r>
          </w:p>
        </w:tc>
        <w:tc>
          <w:tcPr>
            <w:tcW w:w="320" w:type="dxa"/>
            <w:vAlign w:val="bottom"/>
          </w:tcPr>
          <w:p>
            <w:pPr>
              <w:spacing w:after="0"/>
              <w:rPr>
                <w:sz w:val="23"/>
                <w:szCs w:val="23"/>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4"/>
              </w:rPr>
              <w:t>3,198</w:t>
            </w:r>
          </w:p>
        </w:tc>
        <w:tc>
          <w:tcPr>
            <w:tcW w:w="1680" w:type="dxa"/>
            <w:vAlign w:val="bottom"/>
          </w:tcPr>
          <w:p>
            <w:pPr>
              <w:jc w:val="right"/>
              <w:ind w:right="406"/>
              <w:spacing w:after="0"/>
              <w:rPr>
                <w:sz w:val="20"/>
                <w:szCs w:val="20"/>
                <w:color w:val="auto"/>
              </w:rPr>
            </w:pPr>
            <w:r>
              <w:rPr>
                <w:rFonts w:ascii="Times New Roman" w:cs="Times New Roman" w:eastAsia="Times New Roman" w:hAnsi="Times New Roman"/>
                <w:sz w:val="16"/>
                <w:szCs w:val="16"/>
                <w:color w:val="auto"/>
              </w:rPr>
              <w:t>4,298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costs</w:t>
            </w:r>
          </w:p>
        </w:tc>
        <w:tc>
          <w:tcPr>
            <w:tcW w:w="17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365</w:t>
            </w:r>
          </w:p>
        </w:tc>
        <w:tc>
          <w:tcPr>
            <w:tcW w:w="132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rPr>
              <w:t>1,252</w:t>
            </w:r>
          </w:p>
        </w:tc>
        <w:tc>
          <w:tcPr>
            <w:tcW w:w="320" w:type="dxa"/>
            <w:vAlign w:val="bottom"/>
          </w:tcPr>
          <w:p>
            <w:pPr>
              <w:spacing w:after="0"/>
              <w:rPr>
                <w:sz w:val="23"/>
                <w:szCs w:val="23"/>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966</w:t>
            </w:r>
          </w:p>
        </w:tc>
        <w:tc>
          <w:tcPr>
            <w:tcW w:w="1680" w:type="dxa"/>
            <w:vAlign w:val="bottom"/>
          </w:tcPr>
          <w:p>
            <w:pPr>
              <w:jc w:val="right"/>
              <w:ind w:right="406"/>
              <w:spacing w:after="0"/>
              <w:rPr>
                <w:sz w:val="20"/>
                <w:szCs w:val="20"/>
                <w:color w:val="auto"/>
              </w:rPr>
            </w:pPr>
            <w:r>
              <w:rPr>
                <w:rFonts w:ascii="Times New Roman" w:cs="Times New Roman" w:eastAsia="Times New Roman" w:hAnsi="Times New Roman"/>
                <w:sz w:val="16"/>
                <w:szCs w:val="16"/>
                <w:color w:val="auto"/>
              </w:rPr>
              <w:t>1,434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1440" w:gutter="0" w:footer="0" w:header="0"/>
        </w:sectPr>
      </w:pPr>
    </w:p>
    <w:bookmarkStart w:id="6" w:name="page7"/>
    <w:bookmarkEnd w:id="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020" w:type="dxa"/>
            <w:vAlign w:val="bottom"/>
            <w:gridSpan w:val="2"/>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5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jc w:val="center"/>
              <w:ind w:right="344"/>
              <w:spacing w:after="0" w:line="142"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1700" w:type="dxa"/>
            <w:vAlign w:val="bottom"/>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jc w:val="center"/>
              <w:ind w:right="444"/>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080" w:type="dxa"/>
            <w:vAlign w:val="bottom"/>
          </w:tcPr>
          <w:p>
            <w:pPr>
              <w:jc w:val="center"/>
              <w:ind w:right="324"/>
              <w:spacing w:after="0" w:line="160"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1700" w:type="dxa"/>
            <w:vAlign w:val="bottom"/>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tcPr>
          <w:p>
            <w:pPr>
              <w:ind w:left="600"/>
              <w:spacing w:after="0" w:line="160"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1680" w:type="dxa"/>
            <w:vAlign w:val="bottom"/>
          </w:tcPr>
          <w:p>
            <w:pPr>
              <w:jc w:val="center"/>
              <w:ind w:right="444"/>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jc w:val="center"/>
              <w:ind w:right="324"/>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7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80" w:type="dxa"/>
            <w:vAlign w:val="bottom"/>
            <w:gridSpan w:val="2"/>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8"/>
        </w:trPr>
        <w:tc>
          <w:tcPr>
            <w:tcW w:w="45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520" w:type="dxa"/>
            <w:vAlign w:val="bottom"/>
          </w:tcPr>
          <w:p>
            <w:pPr>
              <w:spacing w:after="0"/>
              <w:rPr>
                <w:sz w:val="15"/>
                <w:szCs w:val="15"/>
                <w:color w:val="auto"/>
              </w:rPr>
            </w:pPr>
          </w:p>
        </w:tc>
        <w:tc>
          <w:tcPr>
            <w:tcW w:w="1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20" w:type="dxa"/>
            <w:vAlign w:val="bottom"/>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80" w:type="dxa"/>
            <w:vAlign w:val="bottom"/>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520" w:type="dxa"/>
            <w:vAlign w:val="bottom"/>
            <w:vMerge w:val="continue"/>
          </w:tcPr>
          <w:p>
            <w:pPr>
              <w:spacing w:after="0"/>
              <w:rPr>
                <w:sz w:val="15"/>
                <w:szCs w:val="15"/>
                <w:color w:val="auto"/>
              </w:rPr>
            </w:pPr>
          </w:p>
        </w:tc>
        <w:tc>
          <w:tcPr>
            <w:tcW w:w="17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8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333</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321</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419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133</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511</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388</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601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830</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3,070</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2,589</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3,763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0" w:type="dxa"/>
            <w:vAlign w:val="bottom"/>
          </w:tcPr>
          <w:p>
            <w:pPr>
              <w:spacing w:after="0"/>
              <w:rPr>
                <w:sz w:val="1"/>
                <w:szCs w:val="1"/>
                <w:color w:val="auto"/>
              </w:rPr>
            </w:pPr>
          </w:p>
        </w:tc>
      </w:tr>
      <w:tr>
        <w:trPr>
          <w:trHeight w:val="267"/>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debt expense</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(29)</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(106)</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(87)</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(135)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45"/>
        </w:trPr>
        <w:tc>
          <w:tcPr>
            <w:tcW w:w="45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(711)</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363</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376</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300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67"/>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Supplementary Data (unaudited):</w:t>
            </w:r>
          </w:p>
        </w:tc>
        <w:tc>
          <w:tcPr>
            <w:tcW w:w="1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5"/>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EBITDAX</w:t>
            </w:r>
            <w:r>
              <w:rPr>
                <w:rFonts w:ascii="Times New Roman" w:cs="Times New Roman" w:eastAsia="Times New Roman" w:hAnsi="Times New Roman"/>
                <w:sz w:val="20"/>
                <w:szCs w:val="20"/>
                <w:color w:val="auto"/>
                <w:vertAlign w:val="superscript"/>
              </w:rPr>
              <w:t>(1)</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304</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1,241</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1,006</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1,451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0" w:type="dxa"/>
            <w:vAlign w:val="bottom"/>
          </w:tcPr>
          <w:p>
            <w:pPr>
              <w:spacing w:after="0"/>
              <w:rPr>
                <w:sz w:val="1"/>
                <w:szCs w:val="1"/>
                <w:color w:val="auto"/>
              </w:rPr>
            </w:pPr>
          </w:p>
        </w:tc>
      </w:tr>
      <w:tr>
        <w:trPr>
          <w:trHeight w:val="276"/>
        </w:trPr>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Free cash flow</w:t>
            </w:r>
            <w:r>
              <w:rPr>
                <w:rFonts w:ascii="Times New Roman" w:cs="Times New Roman" w:eastAsia="Times New Roman" w:hAnsi="Times New Roman"/>
                <w:sz w:val="20"/>
                <w:szCs w:val="20"/>
                <w:color w:val="auto"/>
                <w:vertAlign w:val="superscript"/>
              </w:rPr>
              <w:t>(2)</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(32)</w:t>
            </w:r>
          </w:p>
        </w:tc>
        <w:tc>
          <w:tcPr>
            <w:tcW w:w="1320" w:type="dxa"/>
            <w:vAlign w:val="bottom"/>
          </w:tcPr>
          <w:p>
            <w:pPr>
              <w:jc w:val="right"/>
              <w:ind w:right="383"/>
              <w:spacing w:after="0"/>
              <w:rPr>
                <w:sz w:val="20"/>
                <w:szCs w:val="20"/>
                <w:color w:val="auto"/>
              </w:rPr>
            </w:pPr>
            <w:r>
              <w:rPr>
                <w:rFonts w:ascii="Times New Roman" w:cs="Times New Roman" w:eastAsia="Times New Roman" w:hAnsi="Times New Roman"/>
                <w:sz w:val="16"/>
                <w:szCs w:val="16"/>
                <w:color w:val="auto"/>
              </w:rPr>
              <w:t>543</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355</w:t>
            </w:r>
          </w:p>
        </w:tc>
        <w:tc>
          <w:tcPr>
            <w:tcW w:w="1680" w:type="dxa"/>
            <w:vAlign w:val="bottom"/>
          </w:tcPr>
          <w:p>
            <w:pPr>
              <w:jc w:val="right"/>
              <w:ind w:right="404"/>
              <w:spacing w:after="0"/>
              <w:rPr>
                <w:sz w:val="20"/>
                <w:szCs w:val="20"/>
                <w:color w:val="auto"/>
              </w:rPr>
            </w:pPr>
            <w:r>
              <w:rPr>
                <w:rFonts w:ascii="Times New Roman" w:cs="Times New Roman" w:eastAsia="Times New Roman" w:hAnsi="Times New Roman"/>
                <w:sz w:val="16"/>
                <w:szCs w:val="16"/>
                <w:color w:val="auto"/>
              </w:rPr>
              <w:t>591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represents a reconciliation of the GAAP financial measure of net income to the non-GAAP financial measure of adjusted EBITDAX.</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0" w:type="dxa"/>
            <w:vAlign w:val="bottom"/>
            <w:gridSpan w:val="2"/>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0" w:type="dxa"/>
            <w:vAlign w:val="bottom"/>
            <w:vMerge w:val="restart"/>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ind w:right="264"/>
              <w:spacing w:after="0" w:line="142"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0" w:type="dxa"/>
            <w:vAlign w:val="bottom"/>
            <w:vMerge w:val="restart"/>
          </w:tcPr>
          <w:p>
            <w:pPr>
              <w:jc w:val="center"/>
              <w:ind w:right="384"/>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vMerge w:val="restart"/>
          </w:tcPr>
          <w:p>
            <w:pPr>
              <w:jc w:val="center"/>
              <w:ind w:right="244"/>
              <w:spacing w:after="0" w:line="160"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0" w:type="dxa"/>
            <w:vAlign w:val="bottom"/>
          </w:tcPr>
          <w:p>
            <w:pPr>
              <w:spacing w:after="0"/>
              <w:rPr>
                <w:sz w:val="1"/>
                <w:szCs w:val="1"/>
                <w:color w:val="auto"/>
              </w:rPr>
            </w:pPr>
          </w:p>
        </w:tc>
      </w:tr>
      <w:tr>
        <w:trPr>
          <w:trHeight w:val="40"/>
        </w:trPr>
        <w:tc>
          <w:tcPr>
            <w:tcW w:w="4720" w:type="dxa"/>
            <w:vAlign w:val="bottom"/>
          </w:tcPr>
          <w:p>
            <w:pPr>
              <w:spacing w:after="0"/>
              <w:rPr>
                <w:sz w:val="3"/>
                <w:szCs w:val="3"/>
                <w:color w:val="auto"/>
              </w:rPr>
            </w:pPr>
          </w:p>
        </w:tc>
        <w:tc>
          <w:tcPr>
            <w:tcW w:w="1200" w:type="dxa"/>
            <w:vAlign w:val="bottom"/>
            <w:vMerge w:val="restart"/>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47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jc w:val="center"/>
              <w:ind w:left="282"/>
              <w:spacing w:after="0" w:line="160"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0" w:type="dxa"/>
            <w:vAlign w:val="bottom"/>
          </w:tcPr>
          <w:p>
            <w:pPr>
              <w:jc w:val="center"/>
              <w:ind w:right="384"/>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jc w:val="center"/>
              <w:ind w:right="244"/>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20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6"/>
                <w:szCs w:val="16"/>
                <w:color w:val="auto"/>
              </w:rPr>
            </w:pPr>
          </w:p>
        </w:tc>
        <w:tc>
          <w:tcPr>
            <w:tcW w:w="1140" w:type="dxa"/>
            <w:vAlign w:val="bottom"/>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c>
          <w:tcPr>
            <w:tcW w:w="1600" w:type="dxa"/>
            <w:vAlign w:val="bottom"/>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20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5"/>
                <w:szCs w:val="15"/>
                <w:color w:val="auto"/>
              </w:rPr>
            </w:pPr>
          </w:p>
        </w:tc>
        <w:tc>
          <w:tcPr>
            <w:tcW w:w="104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8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0" w:type="dxa"/>
            <w:vAlign w:val="bottom"/>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20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5"/>
                <w:szCs w:val="15"/>
                <w:color w:val="auto"/>
              </w:rPr>
            </w:pPr>
          </w:p>
        </w:tc>
        <w:tc>
          <w:tcPr>
            <w:tcW w:w="104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20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  (711)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376</w:t>
            </w:r>
          </w:p>
        </w:tc>
        <w:tc>
          <w:tcPr>
            <w:tcW w:w="1600" w:type="dxa"/>
            <w:vAlign w:val="bottom"/>
          </w:tcPr>
          <w:p>
            <w:pPr>
              <w:jc w:val="center"/>
              <w:ind w:right="70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300</w:t>
            </w:r>
          </w:p>
        </w:tc>
        <w:tc>
          <w:tcPr>
            <w:tcW w:w="960" w:type="dxa"/>
            <w:vAlign w:val="bottom"/>
          </w:tcPr>
          <w:p>
            <w:pPr>
              <w:jc w:val="center"/>
              <w:ind w:right="26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(446)</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135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133</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388</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601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97"/>
              </w:rPr>
              <w:t>(49)</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140</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122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Exploration expense</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loss from unconsolidated subsidiaries</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6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Unusual, infrequent and other items</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869</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140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47"/>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items</w:t>
            </w:r>
          </w:p>
        </w:tc>
        <w:tc>
          <w:tcPr>
            <w:tcW w:w="1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Accretion expense</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27</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129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67"/>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7</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34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67"/>
        </w:trPr>
        <w:tc>
          <w:tcPr>
            <w:tcW w:w="47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Taxes related to acquisition accounting and other</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Pension and post-retirement benefits</w:t>
            </w:r>
          </w:p>
        </w:tc>
        <w:tc>
          <w:tcPr>
            <w:tcW w:w="1200" w:type="dxa"/>
            <w:vAlign w:val="bottom"/>
          </w:tcPr>
          <w:p>
            <w:pPr>
              <w:spacing w:after="0"/>
              <w:rPr>
                <w:sz w:val="23"/>
                <w:szCs w:val="23"/>
                <w:color w:val="auto"/>
              </w:rPr>
            </w:pP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3"/>
                <w:szCs w:val="23"/>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45"/>
        </w:trPr>
        <w:tc>
          <w:tcPr>
            <w:tcW w:w="47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EBITDAX</w:t>
            </w: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304</w:t>
            </w: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  1,241</w:t>
            </w:r>
          </w:p>
        </w:tc>
        <w:tc>
          <w:tcPr>
            <w:tcW w:w="100" w:type="dxa"/>
            <w:vAlign w:val="bottom"/>
          </w:tcPr>
          <w:p>
            <w:pPr>
              <w:spacing w:after="0"/>
              <w:rPr>
                <w:sz w:val="19"/>
                <w:szCs w:val="19"/>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4"/>
                <w:szCs w:val="14"/>
                <w:color w:val="auto"/>
              </w:rPr>
              <w:t>$  1,</w:t>
            </w:r>
            <w:r>
              <w:rPr>
                <w:rFonts w:ascii="Times New Roman" w:cs="Times New Roman" w:eastAsia="Times New Roman" w:hAnsi="Times New Roman"/>
                <w:sz w:val="15"/>
                <w:szCs w:val="15"/>
                <w:color w:val="auto"/>
              </w:rPr>
              <w:t>006</w:t>
            </w:r>
          </w:p>
        </w:tc>
        <w:tc>
          <w:tcPr>
            <w:tcW w:w="1600" w:type="dxa"/>
            <w:vAlign w:val="bottom"/>
          </w:tcPr>
          <w:p>
            <w:pPr>
              <w:jc w:val="right"/>
              <w:ind w:right="284"/>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1,451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1,358</w:t>
            </w:r>
          </w:p>
        </w:tc>
        <w:tc>
          <w:tcPr>
            <w:tcW w:w="0" w:type="dxa"/>
            <w:vAlign w:val="bottom"/>
          </w:tcPr>
          <w:p>
            <w:pPr>
              <w:spacing w:after="0"/>
              <w:rPr>
                <w:sz w:val="1"/>
                <w:szCs w:val="1"/>
                <w:color w:val="auto"/>
              </w:rPr>
            </w:pPr>
          </w:p>
        </w:tc>
      </w:tr>
      <w:tr>
        <w:trPr>
          <w:trHeight w:val="45"/>
        </w:trPr>
        <w:tc>
          <w:tcPr>
            <w:tcW w:w="47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cash provided by operating activities to free cash flow.</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080" w:type="dxa"/>
            <w:vAlign w:val="bottom"/>
            <w:gridSpan w:val="2"/>
          </w:tcPr>
          <w:p>
            <w:pPr>
              <w:jc w:val="right"/>
              <w:ind w:right="647"/>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jc w:val="center"/>
              <w:ind w:right="246"/>
              <w:spacing w:after="0" w:line="142"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vMerge w:val="restart"/>
          </w:tcPr>
          <w:p>
            <w:pPr>
              <w:jc w:val="center"/>
              <w:ind w:right="388"/>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vMerge w:val="restart"/>
          </w:tcPr>
          <w:p>
            <w:pPr>
              <w:jc w:val="center"/>
              <w:ind w:right="246"/>
              <w:spacing w:after="0" w:line="160"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1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47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360" w:type="dxa"/>
            <w:vAlign w:val="bottom"/>
          </w:tcPr>
          <w:p>
            <w:pPr>
              <w:jc w:val="center"/>
              <w:ind w:left="427"/>
              <w:spacing w:after="0" w:line="147"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2"/>
                <w:szCs w:val="12"/>
                <w:color w:val="auto"/>
              </w:rPr>
            </w:pPr>
          </w:p>
        </w:tc>
        <w:tc>
          <w:tcPr>
            <w:tcW w:w="1600" w:type="dxa"/>
            <w:vAlign w:val="bottom"/>
          </w:tcPr>
          <w:p>
            <w:pPr>
              <w:jc w:val="center"/>
              <w:ind w:right="388"/>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tcPr>
          <w:p>
            <w:pPr>
              <w:jc w:val="center"/>
              <w:ind w:right="266"/>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1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7"/>
                <w:szCs w:val="17"/>
                <w:color w:val="auto"/>
              </w:rPr>
            </w:pPr>
          </w:p>
        </w:tc>
        <w:tc>
          <w:tcPr>
            <w:tcW w:w="16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60" w:type="dxa"/>
            <w:vAlign w:val="bottom"/>
          </w:tcPr>
          <w:p>
            <w:pPr>
              <w:jc w:val="right"/>
              <w:ind w:right="7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6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8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7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99</w:t>
            </w:r>
          </w:p>
        </w:tc>
        <w:tc>
          <w:tcPr>
            <w:tcW w:w="1360" w:type="dxa"/>
            <w:vAlign w:val="bottom"/>
          </w:tcPr>
          <w:p>
            <w:pPr>
              <w:jc w:val="right"/>
              <w:ind w:right="34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865</w:t>
            </w: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610</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1,020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870</w:t>
            </w:r>
          </w:p>
        </w:tc>
        <w:tc>
          <w:tcPr>
            <w:tcW w:w="0" w:type="dxa"/>
            <w:vAlign w:val="bottom"/>
          </w:tcPr>
          <w:p>
            <w:pPr>
              <w:spacing w:after="0"/>
              <w:rPr>
                <w:sz w:val="1"/>
                <w:szCs w:val="1"/>
                <w:color w:val="auto"/>
              </w:rPr>
            </w:pPr>
          </w:p>
        </w:tc>
      </w:tr>
      <w:tr>
        <w:trPr>
          <w:trHeight w:val="26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investments</w:t>
            </w:r>
          </w:p>
        </w:tc>
        <w:tc>
          <w:tcPr>
            <w:tcW w:w="172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(131)</w:t>
            </w:r>
          </w:p>
        </w:tc>
        <w:tc>
          <w:tcPr>
            <w:tcW w:w="1360" w:type="dxa"/>
            <w:vAlign w:val="bottom"/>
          </w:tcPr>
          <w:p>
            <w:pPr>
              <w:jc w:val="right"/>
              <w:ind w:right="347"/>
              <w:spacing w:after="0"/>
              <w:rPr>
                <w:sz w:val="20"/>
                <w:szCs w:val="20"/>
                <w:color w:val="auto"/>
              </w:rPr>
            </w:pPr>
            <w:r>
              <w:rPr>
                <w:rFonts w:ascii="Times New Roman" w:cs="Times New Roman" w:eastAsia="Times New Roman" w:hAnsi="Times New Roman"/>
                <w:sz w:val="16"/>
                <w:szCs w:val="16"/>
                <w:color w:val="auto"/>
              </w:rPr>
              <w:t>(322)</w:t>
            </w: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(255)</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(429)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45"/>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34" w:right="339" w:bottom="1440" w:gutter="0" w:footer="0" w:header="0"/>
        </w:sectPr>
      </w:pPr>
    </w:p>
    <w:bookmarkStart w:id="7" w:name="page8"/>
    <w:bookmarkEnd w:id="7"/>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080" w:type="dxa"/>
            <w:vAlign w:val="bottom"/>
            <w:gridSpan w:val="2"/>
          </w:tcPr>
          <w:p>
            <w:pPr>
              <w:jc w:val="right"/>
              <w:ind w:right="647"/>
              <w:spacing w:after="0"/>
              <w:rPr>
                <w:sz w:val="20"/>
                <w:szCs w:val="20"/>
                <w:color w:val="auto"/>
              </w:rPr>
            </w:pPr>
            <w:r>
              <w:rPr>
                <w:rFonts w:ascii="Times New Roman" w:cs="Times New Roman" w:eastAsia="Times New Roman" w:hAnsi="Times New Roman"/>
                <w:sz w:val="14"/>
                <w:szCs w:val="14"/>
                <w:b w:val="1"/>
                <w:bCs w:val="1"/>
                <w:color w:val="auto"/>
              </w:rPr>
              <w:t>Historical CRC</w:t>
            </w:r>
          </w:p>
        </w:tc>
        <w:tc>
          <w:tcPr>
            <w:tcW w:w="840" w:type="dxa"/>
            <w:vAlign w:val="bottom"/>
          </w:tcPr>
          <w:p>
            <w:pPr>
              <w:spacing w:after="0"/>
              <w:rPr>
                <w:sz w:val="16"/>
                <w:szCs w:val="16"/>
                <w:color w:val="auto"/>
              </w:rPr>
            </w:pPr>
          </w:p>
        </w:tc>
        <w:tc>
          <w:tcPr>
            <w:tcW w:w="160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jc w:val="center"/>
              <w:ind w:right="247"/>
              <w:spacing w:after="0" w:line="142"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20"/>
        </w:trPr>
        <w:tc>
          <w:tcPr>
            <w:tcW w:w="47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vMerge w:val="restart"/>
          </w:tcPr>
          <w:p>
            <w:pPr>
              <w:jc w:val="center"/>
              <w:ind w:right="388"/>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vMerge w:val="restart"/>
          </w:tcPr>
          <w:p>
            <w:pPr>
              <w:jc w:val="center"/>
              <w:ind w:right="247"/>
              <w:spacing w:after="0" w:line="160"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40"/>
        </w:trPr>
        <w:tc>
          <w:tcPr>
            <w:tcW w:w="4700" w:type="dxa"/>
            <w:vAlign w:val="bottom"/>
          </w:tcPr>
          <w:p>
            <w:pPr>
              <w:spacing w:after="0"/>
              <w:rPr>
                <w:sz w:val="3"/>
                <w:szCs w:val="3"/>
                <w:color w:val="auto"/>
              </w:rPr>
            </w:pPr>
          </w:p>
        </w:tc>
        <w:tc>
          <w:tcPr>
            <w:tcW w:w="1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360" w:type="dxa"/>
            <w:vAlign w:val="bottom"/>
          </w:tcPr>
          <w:p>
            <w:pPr>
              <w:jc w:val="center"/>
              <w:ind w:left="427"/>
              <w:spacing w:after="0" w:line="160"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1600" w:type="dxa"/>
            <w:vAlign w:val="bottom"/>
          </w:tcPr>
          <w:p>
            <w:pPr>
              <w:jc w:val="center"/>
              <w:ind w:right="388"/>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tcPr>
          <w:p>
            <w:pPr>
              <w:jc w:val="center"/>
              <w:ind w:right="267"/>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16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60" w:type="dxa"/>
            <w:vAlign w:val="bottom"/>
          </w:tcPr>
          <w:p>
            <w:pPr>
              <w:jc w:val="right"/>
              <w:ind w:right="7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60" w:type="dxa"/>
            <w:vAlign w:val="bottom"/>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840" w:type="dxa"/>
            <w:vAlign w:val="bottom"/>
          </w:tcPr>
          <w:p>
            <w:pPr>
              <w:spacing w:after="0"/>
              <w:rPr>
                <w:sz w:val="16"/>
                <w:szCs w:val="16"/>
                <w:color w:val="auto"/>
              </w:rPr>
            </w:pPr>
          </w:p>
        </w:tc>
        <w:tc>
          <w:tcPr>
            <w:tcW w:w="160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72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(32)</w:t>
            </w:r>
          </w:p>
        </w:tc>
        <w:tc>
          <w:tcPr>
            <w:tcW w:w="1360" w:type="dxa"/>
            <w:vAlign w:val="bottom"/>
          </w:tcPr>
          <w:p>
            <w:pPr>
              <w:jc w:val="right"/>
              <w:ind w:right="347"/>
              <w:spacing w:after="0"/>
              <w:rPr>
                <w:sz w:val="20"/>
                <w:szCs w:val="20"/>
                <w:color w:val="auto"/>
              </w:rPr>
            </w:pPr>
            <w:r>
              <w:rPr>
                <w:rFonts w:ascii="Times New Roman" w:cs="Times New Roman" w:eastAsia="Times New Roman" w:hAnsi="Times New Roman"/>
                <w:sz w:val="16"/>
                <w:szCs w:val="16"/>
                <w:color w:val="auto"/>
              </w:rPr>
              <w:t>543</w:t>
            </w:r>
          </w:p>
        </w:tc>
        <w:tc>
          <w:tcPr>
            <w:tcW w:w="8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355</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591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As of and for the three months ended March 31, 2026, our subsidiaries that will not be Guarantors of the Notes at closing accounted for approximately 13% of our property, plant and equipment, net, 9% of our average daily net production, 92% of our total operating revenues (11% of total operating revenues before net loss from commodity derivatives) and 5% of our adjusted EBITDAX.</w:t>
      </w:r>
    </w:p>
    <w:p>
      <w:pPr>
        <w:spacing w:after="0" w:line="12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As of and for the three months ended March 31, 2026, our Unrestricted Subsidiaries accounted for approximately 7% of our property, plant and</w:t>
      </w:r>
    </w:p>
    <w:p>
      <w:pPr>
        <w:spacing w:after="0" w:line="25"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8"/>
          <w:szCs w:val="18"/>
          <w:color w:val="auto"/>
        </w:rPr>
        <w:t>equipment, net, none of our net production volumes, 9% of our total operating revenues (1% of total operating revenues before net loss from commodity derivatives) and (4)% of our adjusted EBITDAX.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As of May 31, 2026, we had $32 million of available cash and cash equivalents (excluding $14 million of restricted cash) and no balance outstanding under our Revolving Credit Facility.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2026-06-16T07:25:46Z</dcterms:created>
  <dcterms:modified xsi:type="dcterms:W3CDTF">2026-06-16T07:25:46Z</dcterms:modified>
</cp:coreProperties>
</file>