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wf-form4_168306182607570.xml.htm"/>
      <w:bookmarkStart w:id="1" w:name="kswfform4_168306182607570"/>
      <w:bookmarkEnd w:id="0"/>
      <w:bookmarkEnd w:id="1"/>
      <w:r>
        <w:rPr/>
        <w:t xml:space="preserve">SEC Form 4 </w:t>
      </w:r>
    </w:p>
    <w:tbl>
      <w:tblPr>
        <w:tblW w:w="5000" w:type="pct"/>
        <w:jc w:val="left"/>
        <w:tblInd w:w="0" w:type="dxa"/>
        <w:tblCellMar>
          <w:top w:w="60" w:type="dxa"/>
          <w:left w:w="60" w:type="dxa"/>
          <w:bottom w:w="60" w:type="dxa"/>
          <w:right w:w="60" w:type="dxa"/>
        </w:tblCellMar>
      </w:tblPr>
      <w:tblGrid>
        <w:gridCol w:w="360"/>
        <w:gridCol w:w="1888"/>
        <w:gridCol w:w="5968"/>
        <w:gridCol w:w="1989"/>
      </w:tblGrid>
      <w:tr>
        <w:trPr/>
        <w:tc>
          <w:tcPr>
            <w:tcW w:w="2248" w:type="dxa"/>
            <w:gridSpan w:val="2"/>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45"/>
                    <w:gridCol w:w="668"/>
                  </w:tblGrid>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869"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60"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shd w:fill="auto" w:val="clear"/>
            <w:vAlign w:val="center"/>
          </w:tcPr>
          <w:p>
            <w:pPr>
              <w:pStyle w:val="Normal"/>
              <w:rPr/>
            </w:pPr>
            <w:r>
              <w:rPr/>
            </w:r>
          </w:p>
        </w:tc>
        <w:tc>
          <w:tcPr>
            <w:tcW w:w="1989" w:type="dxa"/>
            <w:vMerge w:val="continue"/>
            <w:tcBorders/>
            <w:shd w:fill="auto" w:val="clear"/>
          </w:tcPr>
          <w:p>
            <w:pPr>
              <w:pStyle w:val="Normal"/>
              <w:rPr/>
            </w:pPr>
            <w:r>
              <w:rPr/>
            </w:r>
          </w:p>
        </w:tc>
      </w:tr>
    </w:tbl>
    <w:tbl>
      <w:tblPr>
        <w:tblW w:w="5000" w:type="pct"/>
        <w:jc w:val="left"/>
        <w:tblInd w:w="0" w:type="dxa"/>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pPr>
                  <w:hyperlink r:id="rId3">
                    <w:r>
                      <w:rPr>
                        <w:rStyle w:val="InternetLink"/>
                      </w:rPr>
                      <w:t>Roby William B</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1 WORLD TRADE CENTER, SUITE 1500</w:t>
                  </w:r>
                </w:p>
              </w:tc>
            </w:tr>
            <w:tr>
              <w:trPr/>
              <w:tc>
                <w:tcPr>
                  <w:tcW w:w="3451" w:type="dxa"/>
                  <w:tcBorders/>
                  <w:shd w:fill="auto" w:val="clear"/>
                  <w:vAlign w:val="center"/>
                </w:tcPr>
                <w:p>
                  <w:pPr>
                    <w:pStyle w:val="TableContents"/>
                    <w:spacing w:before="0" w:after="283"/>
                    <w:rPr>
                      <w:sz w:val="4"/>
                      <w:szCs w:val="4"/>
                    </w:rPr>
                  </w:pPr>
                  <w:r>
                    <w:rPr>
                      <w:sz w:val="4"/>
                      <w:szCs w:val="4"/>
                    </w:rPr>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LONG BEACH</w:t>
                  </w:r>
                </w:p>
              </w:tc>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CA</w:t>
                  </w:r>
                </w:p>
              </w:tc>
              <w:tc>
                <w:tcPr>
                  <w:tcW w:w="11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90831</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California Resources Corp</w:t>
              </w:r>
            </w:hyperlink>
            <w:r>
              <w:rPr/>
              <w:t xml:space="preserve"> [ </w:t>
            </w:r>
            <w:r>
              <w:rPr>
                <w:rFonts w:ascii="Times;serif" w:hAnsi="Times;serif"/>
                <w:color w:val="0000FF"/>
                <w:sz w:val="24"/>
                <w:highlight w:val="white"/>
              </w:rPr>
              <w:t>CRC</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40"/>
              <w:gridCol w:w="1031"/>
              <w:gridCol w:w="440"/>
              <w:gridCol w:w="1031"/>
            </w:tblGrid>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highlight w:val="white"/>
              </w:rPr>
              <w:t>04/28/2023</w:t>
            </w:r>
            <w:r>
              <w:rPr/>
              <w:t xml:space="preserve"> </w:t>
            </w:r>
          </w:p>
        </w:tc>
        <w:tc>
          <w:tcPr>
            <w:tcW w:w="3062"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6" w:space="0" w:color="808080"/>
              <w:right w:val="single" w:sz="6" w:space="0" w:color="808080"/>
            </w:tcBorders>
            <w:shd w:fill="auto" w:val="clear"/>
          </w:tcPr>
          <w:p>
            <w:pPr>
              <w:pStyle w:val="TableContents"/>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440"/>
              <w:gridCol w:w="2502"/>
            </w:tblGrid>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shd w:fill="auto" w:val="clear"/>
                  <w:vAlign w:val="center"/>
                </w:tcPr>
                <w:p>
                  <w:pPr>
                    <w:pStyle w:val="TableContents"/>
                    <w:spacing w:before="0" w:after="283"/>
                    <w:rPr>
                      <w:sz w:val="4"/>
                      <w:szCs w:val="4"/>
                    </w:rPr>
                  </w:pPr>
                  <w:r>
                    <w:rPr>
                      <w:sz w:val="4"/>
                      <w:szCs w:val="4"/>
                    </w:rPr>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2485"/>
        <w:gridCol w:w="906"/>
        <w:gridCol w:w="775"/>
        <w:gridCol w:w="602"/>
        <w:gridCol w:w="353"/>
        <w:gridCol w:w="861"/>
        <w:gridCol w:w="466"/>
        <w:gridCol w:w="629"/>
        <w:gridCol w:w="1184"/>
        <w:gridCol w:w="1013"/>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85"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56" w:type="dxa"/>
            <w:gridSpan w:val="3"/>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4"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3"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85"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90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5"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602"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861"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Amount</w:t>
            </w:r>
          </w:p>
        </w:tc>
        <w:tc>
          <w:tcPr>
            <w:tcW w:w="466"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 or (D)</w:t>
            </w:r>
          </w:p>
        </w:tc>
        <w:tc>
          <w:tcPr>
            <w:tcW w:w="629"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Price</w:t>
            </w:r>
          </w:p>
        </w:tc>
        <w:tc>
          <w:tcPr>
            <w:tcW w:w="1184"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1013"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1"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2485"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Stock</w:t>
            </w:r>
          </w:p>
        </w:tc>
        <w:tc>
          <w:tcPr>
            <w:tcW w:w="90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04/28/2023</w:t>
            </w:r>
          </w:p>
        </w:tc>
        <w:tc>
          <w:tcPr>
            <w:tcW w:w="775"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2"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A</w:t>
            </w:r>
            <w:r>
              <w:rPr>
                <w:rFonts w:ascii="Times;serif" w:hAnsi="Times;serif"/>
                <w:color w:val="008000"/>
                <w:position w:val="7"/>
                <w:sz w:val="16"/>
                <w:sz w:val="20"/>
                <w:highlight w:val="white"/>
              </w:rPr>
              <w:t>(1)</w:t>
            </w:r>
            <w:r>
              <w:rPr/>
              <w:t xml:space="preserve"> </w:t>
            </w:r>
          </w:p>
        </w:tc>
        <w:tc>
          <w:tcPr>
            <w:tcW w:w="353"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6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5,029</w:t>
            </w:r>
          </w:p>
        </w:tc>
        <w:tc>
          <w:tcPr>
            <w:tcW w:w="46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A</w:t>
            </w:r>
          </w:p>
        </w:tc>
        <w:tc>
          <w:tcPr>
            <w:tcW w:w="629"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0</w:t>
            </w:r>
            <w:r>
              <w:rPr/>
              <w:t xml:space="preserve"> </w:t>
            </w:r>
          </w:p>
        </w:tc>
        <w:tc>
          <w:tcPr>
            <w:tcW w:w="1184"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46,921</w:t>
            </w:r>
          </w:p>
        </w:tc>
        <w:tc>
          <w:tcPr>
            <w:tcW w:w="1013"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31"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r>
    </w:tbl>
    <w:tbl>
      <w:tblPr>
        <w:tblW w:w="11213" w:type="dxa"/>
        <w:jc w:val="left"/>
        <w:tblInd w:w="0" w:type="dxa"/>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8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9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3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46" w:type="dxa"/>
            <w:vMerge w:val="continue"/>
            <w:tcBorders>
              <w:left w:val="single" w:sz="2" w:space="0" w:color="808080"/>
              <w:bottom w:val="single" w:sz="2" w:space="0" w:color="808080"/>
              <w:right w:val="single" w:sz="6" w:space="0" w:color="808080"/>
            </w:tcBorders>
            <w:shd w:fill="auto" w:val="clear"/>
          </w:tcPr>
          <w:p>
            <w:pPr>
              <w:pStyle w:val="Normal"/>
              <w:rPr/>
            </w:pPr>
            <w:r>
              <w:rPr/>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 Represents a grant of restricted stock units ("RSUs"). Each RSU represents a contingent right to receive one share of Common Stock. These RSUs will vest on April 28, 2024 and, subject to certain exceptions, will be settled in shares of Common Stock on the date that is six months and one day following the Reporting Person's separation from service.</w:t>
            </w:r>
          </w:p>
        </w:tc>
      </w:tr>
      <w:tr>
        <w:trPr/>
        <w:tc>
          <w:tcPr>
            <w:tcW w:w="10205" w:type="dxa"/>
            <w:tcBorders/>
            <w:shd w:fill="auto" w:val="clear"/>
            <w:vAlign w:val="center"/>
          </w:tcPr>
          <w:p>
            <w:pPr>
              <w:pStyle w:val="TableContents"/>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6123"/>
        <w:gridCol w:w="2041"/>
        <w:gridCol w:w="2041"/>
      </w:tblGrid>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Ulrik Damborg, Attorney-in-Fact for William B. Roby</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05/02/2023</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helvetica"/>
    <w:charset w:val="00"/>
    <w:family w:val="auto"/>
    <w:pitch w:val="default"/>
  </w:font>
  <w:font w:name="Times">
    <w:altName w:val="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830485" TargetMode="External"/><Relationship Id="rId4" Type="http://schemas.openxmlformats.org/officeDocument/2006/relationships/hyperlink" Target="http://www.sec.gov/cgi-bin/browse-edgar?action=getcompany&amp;CIK=0001609253"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583</Words>
  <CharactersWithSpaces>3657</CharactersWithSpaces>
  <Paragraphs>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