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3, 2020</w:t>
      </w:r>
    </w:p>
    <w:p>
      <w:pPr>
        <w:spacing w:after="0" w:line="36" w:lineRule="exact"/>
        <w:rPr>
          <w:sz w:val="24"/>
          <w:szCs w:val="24"/>
          <w:color w:val="auto"/>
        </w:rPr>
      </w:pPr>
    </w:p>
    <w:p>
      <w:pPr>
        <w:ind w:left="95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16"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740" w:type="dxa"/>
            <w:vAlign w:val="bottom"/>
          </w:tcPr>
          <w:p>
            <w:pPr>
              <w:jc w:val="center"/>
              <w:ind w:right="97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8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3"/>
              </w:rPr>
              <w:t>1311</w:t>
            </w:r>
          </w:p>
        </w:tc>
        <w:tc>
          <w:tcPr>
            <w:tcW w:w="2220" w:type="dxa"/>
            <w:vAlign w:val="bottom"/>
          </w:tcPr>
          <w:p>
            <w:pPr>
              <w:jc w:val="center"/>
              <w:ind w:left="1171"/>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161"/>
        </w:trPr>
        <w:tc>
          <w:tcPr>
            <w:tcW w:w="2740" w:type="dxa"/>
            <w:vAlign w:val="bottom"/>
          </w:tcPr>
          <w:p>
            <w:pPr>
              <w:jc w:val="center"/>
              <w:ind w:right="971"/>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88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7"/>
              </w:rPr>
              <w:t>(Primary Standard Industrial</w:t>
            </w:r>
          </w:p>
        </w:tc>
        <w:tc>
          <w:tcPr>
            <w:tcW w:w="2220" w:type="dxa"/>
            <w:vAlign w:val="bottom"/>
          </w:tcPr>
          <w:p>
            <w:pPr>
              <w:jc w:val="center"/>
              <w:ind w:left="115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80"/>
        </w:trPr>
        <w:tc>
          <w:tcPr>
            <w:tcW w:w="2740" w:type="dxa"/>
            <w:vAlign w:val="bottom"/>
          </w:tcPr>
          <w:p>
            <w:pPr>
              <w:jc w:val="center"/>
              <w:ind w:right="97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88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220" w:type="dxa"/>
            <w:vAlign w:val="bottom"/>
          </w:tcPr>
          <w:p>
            <w:pPr>
              <w:jc w:val="center"/>
              <w:ind w:left="117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3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27200 Tourney Road, Suite 200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Santa Clarita, California 91355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(888) 848-4754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5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Michael L. Preston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Senior Executive Vice President, Chief Administrative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Officer and General Counsel</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California Resources Corporation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27200 Tourney Road, Suite 200</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Santa Clarita, California 91355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(888) 848-4754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5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Sarah K. Morgan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Scott D. Rubinsky</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Vinson &amp; Elkins L.L.P.</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1001 Fannin St., Suite 2500</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1" w:lineRule="exact"/>
        <w:rPr>
          <w:sz w:val="24"/>
          <w:szCs w:val="24"/>
          <w:color w:val="auto"/>
        </w:rPr>
      </w:pPr>
    </w:p>
    <w:p>
      <w:pPr>
        <w:ind w:left="5500" w:hanging="339"/>
        <w:spacing w:after="0"/>
        <w:tabs>
          <w:tab w:leader="none" w:pos="5500"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758-2222</w:t>
      </w:r>
    </w:p>
    <w:p>
      <w:pPr>
        <w:spacing w:after="0" w:line="39" w:lineRule="exact"/>
        <w:rPr>
          <w:rFonts w:ascii="Times New Roman" w:cs="Times New Roman" w:eastAsia="Times New Roman" w:hAnsi="Times New Roman"/>
          <w:sz w:val="14"/>
          <w:szCs w:val="14"/>
          <w:b w:val="1"/>
          <w:bCs w:val="1"/>
          <w:color w:val="auto"/>
        </w:rPr>
      </w:pPr>
    </w:p>
    <w:p>
      <w:pPr>
        <w:ind w:left="46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___________________________</w:t>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3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5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73" w:right="339" w:bottom="0" w:gutter="0" w:footer="0" w:header="0"/>
        </w:sectPr>
      </w:pPr>
    </w:p>
    <w:p>
      <w:pPr>
        <w:spacing w:after="0" w:line="1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1" w:lineRule="exact"/>
        <w:rPr>
          <w:sz w:val="24"/>
          <w:szCs w:val="24"/>
          <w:color w:val="auto"/>
        </w:rPr>
      </w:pPr>
    </w:p>
    <w:p>
      <w:pPr>
        <w:sectPr>
          <w:pgSz w:w="11900" w:h="16838" w:orient="portrait"/>
          <w:cols w:equalWidth="0" w:num="2">
            <w:col w:w="9380" w:space="720"/>
            <w:col w:w="1140"/>
          </w:cols>
          <w:pgMar w:left="320" w:top="873"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5" w:lineRule="exact"/>
        <w:rPr>
          <w:sz w:val="24"/>
          <w:szCs w:val="24"/>
          <w:color w:val="auto"/>
        </w:rPr>
      </w:pPr>
    </w:p>
    <w:p>
      <w:pPr>
        <w:sectPr>
          <w:pgSz w:w="11900" w:h="16838" w:orient="portrait"/>
          <w:cols w:equalWidth="0" w:num="2">
            <w:col w:w="8760" w:space="720"/>
            <w:col w:w="1760"/>
          </w:cols>
          <w:pgMar w:left="320" w:top="873" w:right="339" w:bottom="0" w:gutter="0" w:footer="0" w:header="0"/>
          <w:type w:val="continuous"/>
        </w:sectPr>
      </w:pPr>
    </w:p>
    <w:p>
      <w:pPr>
        <w:ind w:left="9480"/>
        <w:spacing w:after="0"/>
        <w:rPr>
          <w:sz w:val="20"/>
          <w:szCs w:val="20"/>
          <w:color w:val="auto"/>
        </w:rPr>
      </w:pPr>
      <w:r>
        <w:rPr>
          <w:rFonts w:ascii="Times New Roman" w:cs="Times New Roman" w:eastAsia="Times New Roman" w:hAnsi="Times New Roman"/>
          <w:sz w:val="14"/>
          <w:szCs w:val="14"/>
          <w:color w:val="auto"/>
        </w:rPr>
        <w:t>Emerging growth company</w:t>
      </w:r>
    </w:p>
    <w:p>
      <w:pPr>
        <w:sectPr>
          <w:pgSz w:w="11900" w:h="16838" w:orient="portrait"/>
          <w:cols w:equalWidth="0" w:num="1">
            <w:col w:w="11240"/>
          </w:cols>
          <w:pgMar w:left="320" w:top="873" w:right="339" w:bottom="0" w:gutter="0" w:footer="0" w:header="0"/>
          <w:type w:val="continuous"/>
        </w:sectPr>
      </w:pPr>
    </w:p>
    <w:p>
      <w:pPr>
        <w:spacing w:after="0" w:line="96" w:lineRule="exact"/>
        <w:rPr>
          <w:sz w:val="24"/>
          <w:szCs w:val="24"/>
          <w:color w:val="auto"/>
        </w:rPr>
      </w:pPr>
    </w:p>
    <w:p>
      <w:pPr>
        <w:ind w:right="560"/>
        <w:spacing w:after="0" w:line="253"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Borders>
              <w:top w:val="single" w:sz="8" w:color="auto"/>
              <w:right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90"/>
        </w:trPr>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24"/>
        </w:trPr>
        <w:tc>
          <w:tcPr>
            <w:tcW w:w="41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780" w:type="dxa"/>
            <w:vAlign w:val="bottom"/>
            <w:tcBorders>
              <w:bottom w:val="single" w:sz="8" w:color="auto"/>
              <w:right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color w:val="auto"/>
              </w:rPr>
              <w:t>72,414,790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$19.07(2)</w:t>
            </w:r>
          </w:p>
        </w:tc>
        <w:tc>
          <w:tcPr>
            <w:tcW w:w="1780" w:type="dxa"/>
            <w:vAlign w:val="bottom"/>
            <w:tcBorders>
              <w:bottom w:val="single" w:sz="8" w:color="auto"/>
              <w:right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$1,380,950,045.30(2)</w:t>
            </w:r>
          </w:p>
        </w:tc>
        <w:tc>
          <w:tcPr>
            <w:tcW w:w="17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color w:val="auto"/>
              </w:rPr>
              <w:t>$150,661.65(3)</w:t>
            </w:r>
          </w:p>
        </w:tc>
      </w:tr>
      <w:tr>
        <w:trPr>
          <w:trHeight w:val="236"/>
        </w:trPr>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color w:val="auto"/>
              </w:rPr>
              <w:t>$1,380,950,045.30</w:t>
            </w:r>
          </w:p>
        </w:tc>
        <w:tc>
          <w:tcPr>
            <w:tcW w:w="17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color w:val="auto"/>
              </w:rPr>
              <w:t>$150,661.65</w:t>
            </w:r>
          </w:p>
        </w:tc>
      </w:tr>
      <w:tr>
        <w:trPr>
          <w:trHeight w:val="27"/>
        </w:trPr>
        <w:tc>
          <w:tcPr>
            <w:tcW w:w="4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85" w:lineRule="exact"/>
        <w:rPr>
          <w:sz w:val="24"/>
          <w:szCs w:val="2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72,414,790 shares of common stock may be sold from time to time pursuant to this registration statement by the selling security holders.</w:t>
      </w:r>
    </w:p>
    <w:p>
      <w:pPr>
        <w:spacing w:after="0" w:line="55" w:lineRule="exact"/>
        <w:rPr>
          <w:rFonts w:ascii="Times New Roman" w:cs="Times New Roman" w:eastAsia="Times New Roman" w:hAnsi="Times New Roman"/>
          <w:sz w:val="14"/>
          <w:szCs w:val="14"/>
          <w:color w:val="auto"/>
        </w:rPr>
      </w:pPr>
    </w:p>
    <w:p>
      <w:pPr>
        <w:ind w:left="340" w:right="20" w:hanging="332"/>
        <w:spacing w:after="0" w:line="249" w:lineRule="auto"/>
        <w:tabs>
          <w:tab w:leader="none" w:pos="32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amount of the registration fee pursuant to Rule 457(c) under the Securities Act of 1933, as amended. The proposed maximum offering price per share and proposed maximum aggregate offering price are based on the average of the high and low prices of the Registrant’s common stock on November 25, 2020, as reported on the New York Stock Exchange.</w:t>
      </w:r>
    </w:p>
    <w:p>
      <w:pPr>
        <w:ind w:left="340" w:hanging="332"/>
        <w:spacing w:after="0" w:line="249" w:lineRule="auto"/>
        <w:tabs>
          <w:tab w:leader="none" w:pos="32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paid a registration fee of $10,892.00 to register 6,000,000 shares pursuant to the prospectus supplement filed on November 17, 2017 under the registrant’s Registration Statement on Form S-3 (No. 333-208671), which automatically became effective upon filing on December 21, 2015 (as supplemented, the “2015 Registration Statement”). Of the securities registered on the 2015 Registration Statement, including the 6,000,000 shares, none were sold. When the registrant registered 6,000,000 shares under its Registration Statement</w:t>
      </w:r>
    </w:p>
    <w:p>
      <w:pPr>
        <w:sectPr>
          <w:pgSz w:w="11900" w:h="16838" w:orient="portrait"/>
          <w:cols w:equalWidth="0" w:num="1">
            <w:col w:w="11240"/>
          </w:cols>
          <w:pgMar w:left="320" w:top="873" w:right="339" w:bottom="0" w:gutter="0" w:footer="0" w:header="0"/>
          <w:type w:val="continuous"/>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on Form S-3 (No. 333-228426) (as supplemented and amended, the “2018 Registration Statement”), which automatically became effective upon filing on November 16, 2018 and was supplemented by the registrant’s prospectus supplement filed on November 16, 2018, the registrant offset the fee associated with those shares ($4,945.38) against the fees paid under the 2015 Registration Statement. However, only 36,382 shares were ever sold under the 2018 Registration Statement and the registrant has removed from registration the unsold shares</w:t>
      </w:r>
    </w:p>
    <w:p>
      <w:pPr>
        <w:sectPr>
          <w:pgSz w:w="11900" w:h="16838" w:orient="portrait"/>
          <w:cols w:equalWidth="0" w:num="1">
            <w:col w:w="10620"/>
          </w:cols>
          <w:pgMar w:left="660" w:top="118" w:right="619" w:bottom="1440" w:gutter="0" w:footer="0" w:header="0"/>
        </w:sectPr>
      </w:pPr>
    </w:p>
    <w:bookmarkStart w:id="2" w:name="page3"/>
    <w:bookmarkEnd w:id="2"/>
    <w:p>
      <w:pPr>
        <w:jc w:val="both"/>
        <w:ind w:left="340" w:right="60"/>
        <w:spacing w:after="0" w:line="247" w:lineRule="auto"/>
        <w:rPr>
          <w:sz w:val="20"/>
          <w:szCs w:val="20"/>
          <w:color w:val="auto"/>
        </w:rPr>
      </w:pPr>
      <w:r>
        <w:rPr>
          <w:rFonts w:ascii="Times New Roman" w:cs="Times New Roman" w:eastAsia="Times New Roman" w:hAnsi="Times New Roman"/>
          <w:sz w:val="14"/>
          <w:szCs w:val="14"/>
          <w:color w:val="auto"/>
        </w:rPr>
        <w:t>under the 2018 Registration Statement through a post-effective amendment filed on October 28, 2020. In accordance with Rule 457(p) under the Securities Act, the registration fee paid for the unsold securities on the 2018 Registration Statement and 2015 Registration Statement (collectively, the “Prior Registration Statements”) will be used to offset the current registration fee due. Accordingly, $10,862.01 of the $150,661.65 registration fee associated with this registration statement is hereby offset against the prepaid registration fees made in connection with the securities available for issuance under the Prior Registration Statements. Accordingly, the registrant is paying $139,799.64 in net filing fee in connection with this registration statement.</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76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color w:val="auto"/>
        </w:rPr>
        <w:t xml:space="preserve">On July 15, 2020, California Resources Corporation (the “Company”) and certain of its subsidiaries (together with the Company, the “Debtors”) filed voluntary petitions (the cases commenced thereby, the “Chapter 11 Cases”) seeking relief under Chapter 11 of Title 11 of the United States Bankruptcy Code (the “Bankruptcy Code”) in the United States Bankruptcy Court for the Southern District of Texas, Houston Division (the “Bankruptcy Court”), to pursue a Chapter 11 plan of reorganization. The Chapter 11 Cases were jointly administered under the caption </w:t>
      </w:r>
      <w:r>
        <w:rPr>
          <w:rFonts w:ascii="Times New Roman" w:cs="Times New Roman" w:eastAsia="Times New Roman" w:hAnsi="Times New Roman"/>
          <w:sz w:val="18"/>
          <w:szCs w:val="18"/>
          <w:i w:val="1"/>
          <w:iCs w:val="1"/>
          <w:color w:val="auto"/>
        </w:rPr>
        <w:t>In re California Resources Corporation,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Case No. 20-33568 (DRJ)</w:t>
      </w:r>
      <w:r>
        <w:rPr>
          <w:rFonts w:ascii="Times New Roman" w:cs="Times New Roman" w:eastAsia="Times New Roman" w:hAnsi="Times New Roman"/>
          <w:sz w:val="18"/>
          <w:szCs w:val="18"/>
          <w:color w:val="auto"/>
        </w:rPr>
        <w:t>. On October 8, 2020, the Debtors filed the proposed Amended Joint Plan of Reorganization (as amended, modified,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from time to time, the “Plan”).</w:t>
      </w:r>
    </w:p>
    <w:p>
      <w:pPr>
        <w:spacing w:after="0" w:line="157" w:lineRule="exact"/>
        <w:rPr>
          <w:sz w:val="20"/>
          <w:szCs w:val="20"/>
          <w:color w:val="auto"/>
        </w:rPr>
      </w:pPr>
    </w:p>
    <w:p>
      <w:pPr>
        <w:jc w:val="both"/>
        <w:ind w:right="100" w:firstLine="324"/>
        <w:spacing w:after="0" w:line="250" w:lineRule="auto"/>
        <w:rPr>
          <w:sz w:val="20"/>
          <w:szCs w:val="20"/>
          <w:color w:val="auto"/>
        </w:rPr>
      </w:pPr>
      <w:r>
        <w:rPr>
          <w:rFonts w:ascii="Times New Roman" w:cs="Times New Roman" w:eastAsia="Times New Roman" w:hAnsi="Times New Roman"/>
          <w:sz w:val="18"/>
          <w:szCs w:val="18"/>
          <w:color w:val="auto"/>
        </w:rPr>
        <w:t>On October 13, 2020, the Bankruptcy Court entered an order confirming the Plan and approving the Debtors’ disclosure statement (the “Confirmation Order”). Copies of the Confirmation Order and the Plan were included as exhibits to the Current Report on Form 8-K filed by the Company with the U.S. Securities and Exchange Commission (“SEC”) on October 19, 2020.</w:t>
      </w:r>
    </w:p>
    <w:p>
      <w:pPr>
        <w:spacing w:after="0" w:line="13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October 27, 2020 (the “Effective Date”), the Company satisfied the conditions to effectiveness set forth in the Confirmation Order and in the Plan, the Plan became effective in accordance with its terms and the Debtors emerged from the Chapter 11 Cases.</w:t>
      </w:r>
    </w:p>
    <w:p>
      <w:pPr>
        <w:spacing w:after="0" w:line="122"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In connection with the Company’s emergence from bankruptcy and pursuant to the Plan, all existing shares of the Company’s old common stock were cancelled, and the Company issued (i) 65,174,284 shares of the Company’s new common stock, par value $0.01 (“common stock”), to the holders of certain secured claims under the Company’s credit agreement dated as of November 17, 2017 by and among the Company, The Bank of New York Mellon Trust Company, N.A., as administrative agent, and the lenders party thereto, and certain unsecured debt claims, including in connection with the consummation of a rights offering and the payment of the backstop commitment premium in connection with the rights offering, (ii) 820,528 shares of common stock as payment of the exit premium to the lenders under the Debtors’ junior debtor-in-possession credit facility, (iii) 17,324,848 shares of common stock as partial consideration for acquiring the equity interests of the Company’s midstream joint venture, Elk Hills Power, LLC (“Elk Hills Power”), that were not owned by the Company, and (iii) warrants to the holders of certain allowed unsecured debt claims collectively representing the right to acquire in the aggregate up to 4,384,182 shares of common stock upon exercise (the “New Warrants”), reserving such number of shares for issuance upon exercise of the New Warrants.</w:t>
      </w:r>
    </w:p>
    <w:p>
      <w:pPr>
        <w:spacing w:after="0" w:line="161"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The shares of common stock and New Warrants issued pursuant to the Plan were issued in reliance upon the exemption from the registration requirements of the Securities Act of 1933, as amended (the “Securities Act”), provided by section 1145 of the Bankruptcy Code, or, only to the extent such exemption under section 1145 of the Bankruptcy Code is not available, Section 4(a)(2) of the Securities Act. Section 1145(a)(1) of the Bankruptcy Code exempts the offer and sale of securities under the Plan from registration under Section 5 of the Securities Act and state laws if certain requirements are satisfied.</w:t>
      </w:r>
    </w:p>
    <w:p>
      <w:pPr>
        <w:spacing w:after="0" w:line="144"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On the Effective Date, the Company entered into a registration rights agreement (the “Registration Rights Agreement”), pursuant to which the Company agreed to file with the SEC as soon as reasonably practicable following the Effective Date, and in any event within 10 calendar days of the date the Company files its Annual Report on Form 10-K for the year ended December 31, 2020 (or the latest date the Company would be required to file a Form 10-K under the SEC’s rules applicable to non-accelerated filers), a shelf registration statement for the offer and resale of the common stock held by the holders that duly request inclusion in such registration statement within five business days of the date the Company provides notice of the anticipated filing. The holders have customary demand, underwritten offering and piggyback registration rights, subject to the limitations set forth in the Registration Rights Agreement. Under their underwritten offering registration rights, the holders may request to sell all or any portion of their common stock in an underwritten offering that is registered, subject to certain restrictions. The Registration Rights Agreement contains other customary terms and conditions, including, without limitation, provisions with respect to blackout periods and indemnification.</w:t>
      </w:r>
    </w:p>
    <w:p>
      <w:pPr>
        <w:sectPr>
          <w:pgSz w:w="11900" w:h="16838" w:orient="portrait"/>
          <w:cols w:equalWidth="0" w:num="1">
            <w:col w:w="11240"/>
          </w:cols>
          <w:pgMar w:left="320" w:top="141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3, 2020</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CALIFORNIA RESOURCES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72,414,790 </w:t>
      </w:r>
      <w:r>
        <w:rPr>
          <w:rFonts w:ascii="Times New Roman" w:cs="Times New Roman" w:eastAsia="Times New Roman" w:hAnsi="Times New Roman"/>
          <w:sz w:val="17"/>
          <w:szCs w:val="17"/>
          <w:b w:val="1"/>
          <w:bCs w:val="1"/>
          <w:color w:val="auto"/>
        </w:rPr>
        <w:t>SHARES OF COMMON STOCK</w:t>
      </w: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51"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This prospectus relates to the offer and sale by the selling security holders identified in this prospectus of up to 72,414,790 shares of our common stock issued to the selling security holders in connection with our emergence from bankruptcy on October 27, 2020. We are not selling any common stock and we will not receive any proceeds from the sale of the shares of common stock by the selling security holders. We have paid the fees and expenses incident to the registration of the shares of common stock for sale by the selling security holders.</w:t>
      </w:r>
    </w:p>
    <w:p>
      <w:pPr>
        <w:spacing w:after="0" w:line="154"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Our registration of the shares of common stock covered by this prospectus does not mean that the selling security holders will offer or sell any of the common stock. The selling security holders may sell the common stock covered by this prospectus in a number of different ways and at varying prices. For information on the possible methods of sale that may be used by the selling security holders, you should refer to the section entitled “Plan of Distribution” beginning on page 27 of this prospectus.</w:t>
      </w:r>
    </w:p>
    <w:p>
      <w:pPr>
        <w:spacing w:after="0" w:line="140"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New York Stock Exchange (“NYSE”) under the symbol “CRC.” On December 3, 2020, the last reported sale price of our common stock on the NYSE was $25.19 per share.</w:t>
      </w:r>
    </w:p>
    <w:p>
      <w:pPr>
        <w:spacing w:after="0" w:line="1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62" w:lineRule="exact"/>
        <w:rPr>
          <w:sz w:val="20"/>
          <w:szCs w:val="20"/>
          <w:color w:val="auto"/>
        </w:rPr>
      </w:pPr>
    </w:p>
    <w:p>
      <w:pPr>
        <w:ind w:right="360" w:firstLine="324"/>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Please see “Risk Factors” beginning on page 3 of this prospectus for a discussion of certain risks that you should consider in connection with an investment in the common stock.</w:t>
      </w:r>
    </w:p>
    <w:p>
      <w:pPr>
        <w:spacing w:after="0" w:line="136"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accuracy or adequacy of this prospectus. Any representation to the contrary is a criminal offense.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prospectus is dated , 2020.</w:t>
      </w:r>
    </w:p>
    <w:p>
      <w:pPr>
        <w:sectPr>
          <w:pgSz w:w="11900" w:h="16838" w:orient="portrait"/>
          <w:cols w:equalWidth="0" w:num="1">
            <w:col w:w="11240"/>
          </w:cols>
          <w:pgMar w:left="320" w:top="1413" w:right="339"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38"/>
        </w:trPr>
        <w:tc>
          <w:tcPr>
            <w:tcW w:w="856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378"/>
        </w:trPr>
        <w:tc>
          <w:tcPr>
            <w:tcW w:w="85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5"/>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of Our Common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Selling Security Holders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Material U.S. Federal Income Tax Considerations for Non-U.S. Holders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91" w:lineRule="exact"/>
        <w:rPr>
          <w:sz w:val="20"/>
          <w:szCs w:val="20"/>
          <w:color w:val="auto"/>
        </w:rPr>
      </w:pPr>
    </w:p>
    <w:p>
      <w:pPr>
        <w:ind w:right="80" w:firstLine="324"/>
        <w:spacing w:after="0" w:line="239" w:lineRule="auto"/>
        <w:rPr>
          <w:sz w:val="20"/>
          <w:szCs w:val="20"/>
          <w:color w:val="auto"/>
        </w:rPr>
      </w:pPr>
      <w:r>
        <w:rPr>
          <w:rFonts w:ascii="Times New Roman" w:cs="Times New Roman" w:eastAsia="Times New Roman" w:hAnsi="Times New Roman"/>
          <w:sz w:val="18"/>
          <w:szCs w:val="18"/>
          <w:b w:val="1"/>
          <w:bCs w:val="1"/>
          <w:color w:val="auto"/>
        </w:rPr>
        <w:t>This prospectus is part of a registration statement that we have filed with the SEC pursuant to which the selling security holders named herein may, from time to time, offer and sell or otherwise dispose of the shares of our common stock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 “Where You Can Find More Information” in this prospectus.</w:t>
      </w:r>
    </w:p>
    <w:p>
      <w:pPr>
        <w:spacing w:after="0" w:line="160" w:lineRule="exact"/>
        <w:rPr>
          <w:sz w:val="20"/>
          <w:szCs w:val="20"/>
          <w:color w:val="auto"/>
        </w:rPr>
      </w:pPr>
    </w:p>
    <w:p>
      <w:pPr>
        <w:ind w:right="340" w:firstLine="324"/>
        <w:spacing w:after="0" w:line="242" w:lineRule="auto"/>
        <w:rPr>
          <w:sz w:val="20"/>
          <w:szCs w:val="20"/>
          <w:color w:val="auto"/>
        </w:rPr>
      </w:pPr>
      <w:r>
        <w:rPr>
          <w:rFonts w:ascii="Times New Roman" w:cs="Times New Roman" w:eastAsia="Times New Roman" w:hAnsi="Times New Roman"/>
          <w:sz w:val="18"/>
          <w:szCs w:val="18"/>
          <w:b w:val="1"/>
          <w:bCs w:val="1"/>
          <w:color w:val="auto"/>
        </w:rPr>
        <w:t>We have not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shares of common stock other than the shares of our common stock covered hereby, nor does this prospectus constitute an offer to sell or the solicitation of an offer to buy any securities in any jurisdiction to any person to whom it is unlawful to make such offer or solicitation in such jurisdiction.</w:t>
      </w:r>
    </w:p>
    <w:p>
      <w:pPr>
        <w:spacing w:after="0" w:line="138" w:lineRule="exact"/>
        <w:rPr>
          <w:sz w:val="20"/>
          <w:szCs w:val="20"/>
          <w:color w:val="auto"/>
        </w:rPr>
      </w:pPr>
    </w:p>
    <w:p>
      <w:pPr>
        <w:ind w:right="200"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This prospectus contains forward-looking statements that are subject to a number of risks and uncertainties, many of which are beyond our control. See “Risk Factors” and “Cautionary Note Regarding Forward-Looking Statements.”</w:t>
      </w:r>
    </w:p>
    <w:p>
      <w:pPr>
        <w:spacing w:after="0" w:line="117" w:lineRule="exact"/>
        <w:rPr>
          <w:sz w:val="20"/>
          <w:szCs w:val="20"/>
          <w:color w:val="auto"/>
        </w:rPr>
      </w:pPr>
    </w:p>
    <w:p>
      <w:pPr>
        <w:ind w:right="940"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“we,” “our,” and “us” refer to California Resources Corporation, a Delaware corporation, and certain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13" w:right="339" w:bottom="1440" w:gutter="0" w:footer="0" w:header="0"/>
        </w:sectPr>
      </w:pPr>
    </w:p>
    <w:bookmarkStart w:id="6" w:name="page7"/>
    <w:bookmarkEnd w:id="6"/>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064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306451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is not complete, and does not contain all of the information that you should consider before making your investment decision. You should carefully read the entire prospectus, including the documents incorporated by reference herein, which are described under “Incorporation of Certain Information by Reference” and “Where You Can Find More Information.” You should also carefully consider, among other things, the information presented under the sections entitled “Risk Factors” and “Cautionary Note Regarding Forward-Looking Statements” and the consolidated financial statements and the notes thereto before making an investment decision.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We are an independent oil and natural gas exploration and production company operating properties exclusively within California. We are the largest oil and natural gas producer in California on a gross operated basis, with average net production of 113 thousand barrels of oil equivalent per day (MBoe/d) for the nine months ended September 30, 2020. We have the largest privately held mineral acreage position in the state, with interests in 2.1 million net mineral acres, approximately 60% of which is held in fee and 17% is held by production. We also own or control a network of integrated infrastructure that complements our operations including gas processing plants, oil and gas gathering systems, power plants and other related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 xml:space="preserve">Our common stock is quoted on the NYSE under the ticker symbol “CRC.” Our principal executive offices are located at 27200 Tourney Road, Suite 200, Santa Clarita, California 91355, and our telephone number is (888) 848-4754. Our website address is </w:t>
      </w:r>
      <w:r>
        <w:rPr>
          <w:rFonts w:ascii="Times New Roman" w:cs="Times New Roman" w:eastAsia="Times New Roman" w:hAnsi="Times New Roman"/>
          <w:sz w:val="18"/>
          <w:szCs w:val="18"/>
          <w:i w:val="1"/>
          <w:iCs w:val="1"/>
          <w:color w:val="auto"/>
        </w:rPr>
        <w:t>www.crc.com</w:t>
      </w:r>
      <w:r>
        <w:rPr>
          <w:rFonts w:ascii="Times New Roman" w:cs="Times New Roman" w:eastAsia="Times New Roman" w:hAnsi="Times New Roman"/>
          <w:sz w:val="18"/>
          <w:szCs w:val="18"/>
          <w:color w:val="auto"/>
        </w:rPr>
        <w:t>. Neither our website nor any information contained on our website is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00"/>
          </w:cols>
          <w:pgMar w:left="680" w:top="1440" w:right="7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9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Shares of common stock offered by the selling security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-281305</wp:posOffset>
            </wp:positionV>
            <wp:extent cx="7136130" cy="389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389572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 a Delaware corporation.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72,414,790 shares of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83,319,660 shares of common stock as of November 23, 2020.</w:t>
      </w:r>
    </w:p>
    <w:p>
      <w:pPr>
        <w:spacing w:after="0" w:line="293" w:lineRule="exact"/>
        <w:rPr>
          <w:sz w:val="20"/>
          <w:szCs w:val="20"/>
          <w:color w:val="auto"/>
        </w:rPr>
      </w:pPr>
    </w:p>
    <w:p>
      <w:pPr>
        <w:ind w:right="279"/>
        <w:spacing w:after="0" w:line="237"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by the selling security holders in this offering. See “Use of Proceeds.”</w:t>
      </w:r>
    </w:p>
    <w:p>
      <w:pPr>
        <w:spacing w:after="0" w:line="266" w:lineRule="exact"/>
        <w:rPr>
          <w:sz w:val="20"/>
          <w:szCs w:val="20"/>
          <w:color w:val="auto"/>
        </w:rPr>
      </w:pPr>
    </w:p>
    <w:p>
      <w:pPr>
        <w:ind w:right="219"/>
        <w:spacing w:after="0" w:line="211" w:lineRule="auto"/>
        <w:rPr>
          <w:sz w:val="20"/>
          <w:szCs w:val="20"/>
          <w:color w:val="auto"/>
        </w:rPr>
      </w:pPr>
      <w:r>
        <w:rPr>
          <w:rFonts w:ascii="Times New Roman" w:cs="Times New Roman" w:eastAsia="Times New Roman" w:hAnsi="Times New Roman"/>
          <w:sz w:val="18"/>
          <w:szCs w:val="18"/>
          <w:color w:val="auto"/>
        </w:rPr>
        <w:t>Our Board of Directors has not adopted a dividend policy. There can be no assurances that it will adopt a policy that contemplates paying cash dividends or other distributions with respect to our common stock, or authorize share repurchases. In addition, restrictive covenants in certain debt instruments to which we are, or may be, a party, may limit our ability to pay dividends, for us to receive dividends from our operating companies, or engage in share repurchases, any of which may negatively impact the trading price of our common stock. See discussion concerning dividends and restrictions in payment of dividends below under “Dividend Policy.”</w:t>
      </w:r>
    </w:p>
    <w:p>
      <w:pPr>
        <w:spacing w:after="0" w:line="200" w:lineRule="exact"/>
        <w:rPr>
          <w:sz w:val="20"/>
          <w:szCs w:val="20"/>
          <w:color w:val="auto"/>
        </w:rPr>
      </w:pPr>
    </w:p>
    <w:p>
      <w:pPr>
        <w:sectPr>
          <w:pgSz w:w="11900" w:h="16838" w:orient="portrait"/>
          <w:cols w:equalWidth="0" w:num="2">
            <w:col w:w="3360" w:space="280"/>
            <w:col w:w="6139"/>
          </w:cols>
          <w:pgMar w:left="680" w:top="1440" w:right="1440" w:bottom="1440" w:gutter="0" w:footer="0" w:header="0"/>
        </w:sectPr>
      </w:pPr>
    </w:p>
    <w:p>
      <w:pPr>
        <w:spacing w:after="0" w:line="54"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color w:val="auto"/>
        </w:rPr>
        <w:t>Investing in our common stock involves risks. You should read carefully the “Risk</w:t>
      </w:r>
    </w:p>
    <w:p>
      <w:pPr>
        <w:ind w:left="3640" w:right="599"/>
        <w:spacing w:after="0" w:line="226" w:lineRule="auto"/>
        <w:rPr>
          <w:sz w:val="20"/>
          <w:szCs w:val="20"/>
          <w:color w:val="auto"/>
        </w:rPr>
      </w:pPr>
      <w:r>
        <w:rPr>
          <w:rFonts w:ascii="Times New Roman" w:cs="Times New Roman" w:eastAsia="Times New Roman" w:hAnsi="Times New Roman"/>
          <w:sz w:val="18"/>
          <w:szCs w:val="18"/>
          <w:color w:val="auto"/>
        </w:rPr>
        <w:t>Factors” section of this prospectus for a discussion of factors that you should carefully consider before deciding to invest in shares of our common stock.</w:t>
      </w:r>
    </w:p>
    <w:p>
      <w:pPr>
        <w:spacing w:after="0" w:line="265"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18"/>
          <w:szCs w:val="18"/>
          <w:color w:val="auto"/>
        </w:rPr>
        <w:t>NYSE ticker symbol</w:t>
      </w:r>
      <w:r>
        <w:rPr>
          <w:sz w:val="20"/>
          <w:szCs w:val="20"/>
          <w:color w:val="auto"/>
        </w:rPr>
        <w:tab/>
      </w:r>
      <w:r>
        <w:rPr>
          <w:rFonts w:ascii="Times New Roman" w:cs="Times New Roman" w:eastAsia="Times New Roman" w:hAnsi="Times New Roman"/>
          <w:sz w:val="17"/>
          <w:szCs w:val="17"/>
          <w:color w:val="auto"/>
        </w:rPr>
        <w:t>“CRC.”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79"/>
          </w:cols>
          <w:pgMar w:left="680" w:top="1440" w:right="1440"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In addition to the other information included in this prospectus, you should carefully consider each of the risk factors set forth in our most recent Annual Report on Form 10-K and subsequent Quarterly Reports on Form 10-Q on file with the SEC, which are incorporated by reference into this prospectus. Before making an investment decision, you should carefully consider these risks as well as other information we include or incorporate by reference in this prospectus and any prospectus supplement. Any of these risks and uncertainties could have a material adverse effect on our business, financial condition, cash flows and results of operations. If that occurs, the trading price of our common stock could decline materially and you could lose all or part of your investment.</w:t>
      </w:r>
    </w:p>
    <w:p>
      <w:pPr>
        <w:spacing w:after="0" w:line="157" w:lineRule="exact"/>
        <w:rPr>
          <w:sz w:val="20"/>
          <w:szCs w:val="20"/>
          <w:color w:val="auto"/>
        </w:rPr>
      </w:pPr>
    </w:p>
    <w:p>
      <w:pPr>
        <w:jc w:val="both"/>
        <w:ind w:right="20"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The risks included in this prospectus and the documents we have incorporated by reference into this prospectus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7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13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decline for many reasons, some of which are beyond our control. In the event of a drop in the market price of our common stock, you could lose a substantial part or all of your investment in our common stock.</w:t>
      </w:r>
    </w:p>
    <w:p>
      <w:pPr>
        <w:spacing w:after="0" w:line="12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Numerous factors, including those described or referred to in this “Risk Factors” section and in the other documents incorporated herein by reference as well as the following, among others, could affect our stock price:</w:t>
      </w:r>
    </w:p>
    <w:p>
      <w:pPr>
        <w:spacing w:after="0" w:line="122"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identified drilling locations and our reserves estimates;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net income per share, net income and revenues, capital expenditures, production, and unit costs;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18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results of operations and prospects, including financial estimates and projections by securities analysts and investors;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published research or reports by securities analysts about our business or downgraded or negative outlooks provided by securities analysts on our stock;</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expected by securities analysts and investors;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our clients or our competitors, such as acquisitions, divestitures, spin-offs, joint ventures, strategic investments or changes in business strategy;</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claims against us by third parties;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the selling security holders, significant stockholders or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13" w:right="359" w:bottom="1440" w:gutter="0" w:footer="0" w:header="0"/>
        </w:sectPr>
      </w:pPr>
    </w:p>
    <w:bookmarkStart w:id="9" w:name="page10"/>
    <w:bookmarkEnd w:id="9"/>
    <w:p>
      <w:pPr>
        <w:spacing w:after="0" w:line="153"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“Risk Factors” section or those incorporated by reference;</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fluctuations in commodity prices;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8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and unpredictable developments, including man-made, weather-related and other natural disasters, catastrophes or terrorist attacks in the geographic regions in which we operate;</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outbreaks, or other public health events, such as the Coronavirus Disease 2019 (“COVID-19”) pandemic; and</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or the performance, or the perceived or anticipated performance, of our competitors.</w:t>
      </w:r>
    </w:p>
    <w:p>
      <w:pPr>
        <w:spacing w:after="0" w:line="185"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In addition, the stock market in general, including recently, has experienced significant volatility that often has been unrelated to the operating performance of companies whose shares are traded. These market fluctuations could adversely affect the trading price of our common stock, regardless of our actual operating performance. As a result, the trading price of our common stock may decline, and you may not be able to sell your shares at or above the price you paid to purchase them, or at all. Further, we could be the subject of securities class action litigation due to any such stock price volatility, which could divert management’s attention and adversely affect our results of operations.</w:t>
      </w:r>
    </w:p>
    <w:p>
      <w:pPr>
        <w:spacing w:after="0" w:line="140"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reduce our stock price, and any additional capital raised by us through the sale of equity or convertible securities may dilute your ownership in us.</w:t>
      </w:r>
    </w:p>
    <w:p>
      <w:pPr>
        <w:spacing w:after="0" w:line="117" w:lineRule="exact"/>
        <w:rPr>
          <w:sz w:val="20"/>
          <w:szCs w:val="20"/>
          <w:color w:val="auto"/>
        </w:rPr>
      </w:pPr>
    </w:p>
    <w:p>
      <w:pPr>
        <w:ind w:right="160" w:firstLine="324"/>
        <w:spacing w:after="0" w:line="245" w:lineRule="auto"/>
        <w:rPr>
          <w:sz w:val="20"/>
          <w:szCs w:val="20"/>
          <w:color w:val="auto"/>
        </w:rPr>
      </w:pPr>
      <w:r>
        <w:rPr>
          <w:rFonts w:ascii="Times New Roman" w:cs="Times New Roman" w:eastAsia="Times New Roman" w:hAnsi="Times New Roman"/>
          <w:sz w:val="18"/>
          <w:szCs w:val="18"/>
          <w:color w:val="auto"/>
        </w:rPr>
        <w:t>We may sell additional shares of common stock in subsequent public or private offerings. We may also issue additional shares of common stock or convertible securities. As of November 23, 2020, we had 83,319,660 outstanding shares of common stock, including 71,769,343 shares of common stock that are currently outstanding and being offered by the selling security holders pursuant to this registration statement (excluding the Warrant Shares (as defined below)), which may be resold in the public market.</w:t>
      </w:r>
    </w:p>
    <w:p>
      <w:pPr>
        <w:spacing w:after="0" w:line="154"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13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117"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an equity interest and therefore subordinated to our indebtedness.</w:t>
      </w:r>
    </w:p>
    <w:p>
      <w:pPr>
        <w:spacing w:after="0" w:line="175"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In the event of our liquidation, dissolution or winding up, our common stock would rank below all secured debt claims against us. As a result, holders of our common stock will not be entitled to receive any payment or other distribution of assets upon our liquidation, dissolution or winding up until after all of our obligations to our secured debt holders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10" w:name="page11"/>
    <w:bookmarkEnd w:id="10"/>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117"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7"/>
          <w:szCs w:val="17"/>
          <w:color w:val="auto"/>
        </w:rPr>
        <w:t>As of November 23, 2020, certain affiliates of Ares Management LLC. collectively owned approximately 20.8% of our common stock, and certain funds managed by FMR LLC collectively owned approximately 23.0% of our common stock. As of December 2, 2020, the last date we received ownership information from GoldenTree Asset Management LP, certain of its affiliates collectively owned approximately 21.2%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75"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Please see “Item 1A—Risk Factors” contained in our Annual Report on Form 10-K for the fiscal year ended December 31, 2019, and “Item 1A—Risk Factors” contained in our subsequent Quarterly Reports on Form 10-Q for the quarters ended March 31, 2020, June 30, 2020 and September 30, 2020, which are incorporated by reference herein, for risk factors related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3"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information in this prospectus, including the documents incorporated by reference herein, includes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50"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 liquidity, cash flows and results of operations;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prospects;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and projects;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Creation Index metrics, which are based on certain estimates including future production rates, costs and commodity prices;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operational results including production, hedging and capital investment;</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 and maintenance capital requirements;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curves; and</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synergies from acquisitions and joint ventures.</w:t>
      </w:r>
    </w:p>
    <w:p>
      <w:pPr>
        <w:spacing w:after="0" w:line="171"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140"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post-emergence;</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commodity prices and the potential for sustained low oil, natural gas and natural gas liquids prices;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our recent emergence from bankruptcy on our business and relationships;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limitations on our financial flexibility;</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cash flow to fund planned investments, debt repurchases or changes to our capital plan;</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or liquidity, including as a result of lender restrictions, unavailability of capital markets or inability to attract potential investors;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transportation or storage capacity and the need to shut-in wells;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enter into desirable transactions, including acquisitions, asset sales and joint ventures;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net operating loss carryforwards to reduce our income tax obligations;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liquidity of our new common stock and volatility of its market price;</w:t>
      </w:r>
    </w:p>
    <w:p>
      <w:pPr>
        <w:spacing w:after="0" w:line="18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5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those related to drilling, completion, well stimulation, operation, maintenance or abandonment of wells or facilities, managing energy, water, land, greenhouse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13" w:right="359" w:bottom="1440" w:gutter="0" w:footer="0" w:header="0"/>
        </w:sectPr>
      </w:pPr>
    </w:p>
    <w:bookmarkStart w:id="12" w:name="page13"/>
    <w:bookmarkEnd w:id="12"/>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gases or other emissions, protection of health, safety and the environment, or transportation, marketing and sale of our products;</w:t>
      </w:r>
    </w:p>
    <w:p>
      <w:pPr>
        <w:spacing w:after="0" w:line="185"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acquisitions and our ability to achieve expected synergies;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of resources and unexpected geologic conditions;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of reserves and related future cash flows and the inability to replace reserves;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strategy;</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production-sharing contracts effects on production and unit production costs;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stock price on costs associated with incentive compensation;</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hedging transactions;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service or labor price inflation or unavailability;</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timing of, or conditions imposed on, permits and approvals;</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5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lower-than-expected production, reserves or resources from development projects, joint ventures or acquisitions, or higher-than-expected decline rates;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5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accidents, mechanical failures, power outages, transportation or storage constraints, natural disasters, labor difficulties, cyber-attacks or other catastrophic events;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outbreaks, or other public health events, such as COVID-19; and</w:t>
      </w:r>
    </w:p>
    <w:p>
      <w:pPr>
        <w:spacing w:after="0" w:line="184"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5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below and elsewhere in this Registration Statement on Form S-1 and in our other public filings, press releases and discussions with our management.</w:t>
      </w:r>
    </w:p>
    <w:p>
      <w:pPr>
        <w:spacing w:after="0" w:line="122"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140"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50"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For additional information regarding known material factors that could cause our actual results to differ from projected results please read the risk factors described in the section titled "Risk Factors" and in Part I, “Item 1A. Risk Factors” in our Annual Report on Form 10-K for the year ended December 31, 2019 and Part II, “Item 1A. Risk Factors” in our Quarterly Reports on Form 10-Q for the periods ending March 31, 2020, June 30, 2020 and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13" w:name="page14"/>
    <w:bookmarkEnd w:id="1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MARKET PRICE OF OUR COMMON STOCK</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new common stock is quoted on the NYSE under the symbol “CRC” and has been trading since October 28, 2020. No prior established public trading market existed for our new common stock prior to this date.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November 23, 2020, we had approximately 168 holders of record of our common stock, based on information provided by our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320" w:top="1413" w:right="619"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 holders will receive all of the net proceeds from the sale of common stock. We will not receive any of the proceeds from the sale of the common stock by the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1413" w:right="539" w:bottom="1440" w:gutter="0" w:footer="0" w:header="0"/>
        </w:sectPr>
      </w:pPr>
    </w:p>
    <w:bookmarkStart w:id="15" w:name="page16"/>
    <w:bookmarkEnd w:id="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7"/>
          <w:szCs w:val="17"/>
          <w:color w:val="auto"/>
        </w:rPr>
        <w:t>Our Board of Directors (the “Board”), which consists of the seven new directors appointed on October 27, 2020 and our Chief Executive Officer, has not adopted a dividend policy. There can be no assurances that it will adopt a policy that contemplates paying cash dividends or other distributions with respect to our common stock, or authorize share repurchases. Any future determinations relating to our dividend policies and the declaration, amount and payment of any future dividends on our common stock will be at the sole discretion of our Board, and, if we elect to pay such dividends in the future, we may reduce or discontinue entirely the payment of such dividends at any time. The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and such other factors as the Board may deem relevant. Furthermore, restrictive covenants in certain debt instruments to which we are, or may be, a party, may limit our ability to pay dividends, for us to receive dividends from our operating companies, or engage in share repurchases, any of which may negatively impact the trading price of our common stock.</w:t>
      </w:r>
    </w:p>
    <w:p>
      <w:pPr>
        <w:spacing w:after="0" w:line="150"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In addition, under Delaware law, we may declare and pay dividends on our capital stock either out of our surplus, as defined in the relevant Delaware statutes, or if there is no such surplus, out of our net profits for the fiscal year in which the dividend is declared and/or the preceding fiscal year. If, however, our capital, computed in accordance with the relevant Delaware statutes, has been diminished by depreciation in the value of our property, or by losses, or otherwise, to an amount less than the aggregate amount of the capital represented by the issued and outstanding stock of all classes having a preference upon the distribution of assets, we are prohibited from declaring and paying out of such net profits any dividends upon any shares of our capital stock until the deficiency has been repaired.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13" w:right="4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prospectus covers the offering for resale from time to time, in one or more offerings, of 72,414,790 shares of common stock owned by the selling security holders.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common stock was obtained by the selling security holders named below pursuant to the Plan.</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 holders may from time to time offer and sell pursuant to this prospectus any or all of the common stock owned by it, but makes no representation that any of the common stock will be offered for sale.</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security holders and the common stock that the selling security holders may offer and sell from time to time under this prospectus.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171"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 holders;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owned by the selling security holders prior to the sale of the common stock covered by this prospectus;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that may be offered by the selling security holders pursuant to this prospectus;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owned by the selling security holders following the sale of any common stock covered by this prospectus; and</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owned by the selling security holders following the sale of any common stock covered by this prospectus.</w:t>
      </w:r>
    </w:p>
    <w:p>
      <w:pPr>
        <w:spacing w:after="0" w:line="185"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All information with respect to common stock ownership of the selling security holders has been furnished by or on behalf of the selling security holders and is as of the later of November 23, 2020 and the date we received the selling security holder questionnaire or ownership information from the applicable holder. We believe, based on information supplied by the selling security holders, that except as may otherwise be indicated in the footnotes to the table below, the selling security holders have sole voting and dispositive power with respect to the common stock reported as beneficially owned by them. Because the selling security holders identified in the table may sell some or all of the common stock owned by them which is included in this prospectus, and because there are currently no agreements, arrangements or understandings with respect to the sale of any of the common stock, no estimate can be given as to the number of common stock available for resale hereby that will be held by the selling security holders upon termination of this offering. In addition, the selling security holders may have sold, transferred or otherwise disposed of, or may sell, transfer or otherwise dispose of, at any time and from time to time, the common stock it holds in transactions exempt from the registration requirements of the Securities Act after the date on which the selling security holders provided the information set forth on the table below. We have, therefore, assumed for the purposes of the following table, that the selling security holders will sell all of the common stock beneficially owned by them that is covered by this prospectus, but will not sell any other shares of our common stock that they may presently own. The percent of beneficial ownership for the selling security holders is based on 83,319,660 shares of our common stock outstanding as of November 23, 2020, including the number of shares of our common stock reserved for issuance upon the exercise of the New Warrants held by the respective selling security holder.</w:t>
      </w:r>
    </w:p>
    <w:p>
      <w:pPr>
        <w:spacing w:after="0" w:line="1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All information with respect to beneficial ownership by the selling security holders has been furnished by the respective selling security holders. We have not sought to verify such information.</w:t>
      </w:r>
    </w:p>
    <w:p>
      <w:pPr>
        <w:spacing w:after="0" w:line="122"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The amounts and percentages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the same securities and a person may be deemed a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17" w:name="page18"/>
    <w:bookmarkEnd w:id="17"/>
    <w:p>
      <w:pPr>
        <w:spacing w:after="0" w:line="153"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owner of securities as to which he has no economic interest. Except as otherwise indicated in the footnotes below, each of the beneficial owners has, to our knowledge, sole voting and investment power with respect to the indicated shares of common stock and has not pledged any such shares of common stock as security.</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Borders>
              <w:top w:val="single" w:sz="8" w:color="auto"/>
              <w:left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60" w:type="dxa"/>
            <w:vAlign w:val="bottom"/>
            <w:tcBorders>
              <w:top w:val="single" w:sz="8" w:color="auto"/>
              <w:right w:val="single" w:sz="8" w:color="auto"/>
            </w:tcBorders>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right w:val="single" w:sz="8" w:color="auto"/>
            </w:tcBorders>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79"/>
              <w:spacing w:after="0" w:line="135"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79"/>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32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30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Owned Being</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48"/>
        </w:trPr>
        <w:tc>
          <w:tcPr>
            <w:tcW w:w="580" w:type="dxa"/>
            <w:vAlign w:val="bottom"/>
            <w:tcBorders>
              <w:left w:val="single" w:sz="8" w:color="auto"/>
            </w:tcBorders>
          </w:tcPr>
          <w:p>
            <w:pPr>
              <w:spacing w:after="0"/>
              <w:rPr>
                <w:sz w:val="12"/>
                <w:szCs w:val="12"/>
                <w:color w:val="auto"/>
              </w:rPr>
            </w:pPr>
          </w:p>
        </w:tc>
        <w:tc>
          <w:tcPr>
            <w:tcW w:w="3220" w:type="dxa"/>
            <w:vAlign w:val="bottom"/>
            <w:tcBorders>
              <w:right w:val="single" w:sz="8" w:color="auto"/>
            </w:tcBorders>
            <w:gridSpan w:val="2"/>
          </w:tcPr>
          <w:p>
            <w:pPr>
              <w:ind w:left="840"/>
              <w:spacing w:after="0" w:line="149" w:lineRule="exact"/>
              <w:rPr>
                <w:sz w:val="20"/>
                <w:szCs w:val="20"/>
                <w:color w:val="auto"/>
              </w:rPr>
            </w:pPr>
            <w:r>
              <w:rPr>
                <w:rFonts w:ascii="Times New Roman" w:cs="Times New Roman" w:eastAsia="Times New Roman" w:hAnsi="Times New Roman"/>
                <w:sz w:val="14"/>
                <w:szCs w:val="14"/>
                <w:b w:val="1"/>
                <w:bCs w:val="1"/>
                <w:color w:val="auto"/>
              </w:rPr>
              <w:t>Security Holder</w:t>
            </w:r>
          </w:p>
        </w:tc>
        <w:tc>
          <w:tcPr>
            <w:tcW w:w="3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Offering(1)</w:t>
            </w:r>
          </w:p>
        </w:tc>
        <w:tc>
          <w:tcPr>
            <w:tcW w:w="30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320" w:type="dxa"/>
            <w:vAlign w:val="bottom"/>
          </w:tcPr>
          <w:p>
            <w:pPr>
              <w:spacing w:after="0"/>
              <w:rPr>
                <w:sz w:val="12"/>
                <w:szCs w:val="12"/>
                <w:color w:val="auto"/>
              </w:rPr>
            </w:pPr>
          </w:p>
        </w:tc>
        <w:tc>
          <w:tcPr>
            <w:tcW w:w="1540" w:type="dxa"/>
            <w:vAlign w:val="bottom"/>
            <w:tcBorders>
              <w:right w:val="single" w:sz="8" w:color="auto"/>
            </w:tcBorders>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Offering(2)</w:t>
            </w:r>
          </w:p>
        </w:tc>
        <w:tc>
          <w:tcPr>
            <w:tcW w:w="320" w:type="dxa"/>
            <w:vAlign w:val="bottom"/>
          </w:tcPr>
          <w:p>
            <w:pPr>
              <w:spacing w:after="0"/>
              <w:rPr>
                <w:sz w:val="12"/>
                <w:szCs w:val="12"/>
                <w:color w:val="auto"/>
              </w:rPr>
            </w:pPr>
          </w:p>
        </w:tc>
        <w:tc>
          <w:tcPr>
            <w:tcW w:w="1540" w:type="dxa"/>
            <w:vAlign w:val="bottom"/>
            <w:tcBorders>
              <w:right w:val="single" w:sz="8" w:color="auto"/>
            </w:tcBorders>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Offering(3)</w:t>
            </w: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Ares(4)</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17,324,848</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17,324,848</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BlackRock, Inc.(5)</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2,430,833</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792,636</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1,638,197</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Bracebridge(6)</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55,467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41,637</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13,830</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CarVal(7)</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2,230,495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2,230,495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Fidelity(8)</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19,224,005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19,224,005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GoldenTree(9)</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17,788,247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17,360,182</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428,065</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Graham Capital(10)</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141,565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141,565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JB Investors, LLC(11)</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6,728,078</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6,728,078</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Symphony(12)</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1,682,587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1,677,753</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4,834</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Whitebox(13)</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146,357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146,357</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Stoneleigh Partners, LP(14)</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486,596</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486,596</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PIMCO(15)</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274,137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274,137</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Invesco(16)</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1,357,431</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1,344,296</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13,135</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Cyrus(17)</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283,535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212,839</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70,696</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JPMorgan(18)</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3,772,470</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3,772,470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Orbis(19)</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564,032</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330,561</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233,471</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Fernwood(20)</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437,086</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73,030</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364,056</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MacKay Shields(21)</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569,082</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253,305</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315,777</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0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96" w:lineRule="exact"/>
        <w:rPr>
          <w:sz w:val="20"/>
          <w:szCs w:val="20"/>
          <w:color w:val="auto"/>
        </w:rPr>
      </w:pPr>
    </w:p>
    <w:p>
      <w:pPr>
        <w:ind w:left="340" w:right="60" w:hanging="332"/>
        <w:spacing w:after="0" w:line="261" w:lineRule="auto"/>
        <w:tabs>
          <w:tab w:leader="none" w:pos="32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shown in the table above includes common stock issuable upon the exercise of New Warrants (the “Warrant Shares”), which are exercisable within 60 days of November 23, 2020, and that would be held in the beneficial owner’s name or jointly with others, or in the name of a bank, nominee or trustee for the beneficial owner’s account.</w:t>
      </w:r>
    </w:p>
    <w:p>
      <w:pPr>
        <w:spacing w:after="0" w:line="5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and Warrant Shares that, in each case, are owned by the applicable selling security holder but not being registered.</w:t>
      </w:r>
    </w:p>
    <w:p>
      <w:pPr>
        <w:spacing w:after="0" w:line="95" w:lineRule="exact"/>
        <w:rPr>
          <w:rFonts w:ascii="Times New Roman" w:cs="Times New Roman" w:eastAsia="Times New Roman" w:hAnsi="Times New Roman"/>
          <w:sz w:val="14"/>
          <w:szCs w:val="14"/>
          <w:color w:val="auto"/>
        </w:rPr>
      </w:pPr>
    </w:p>
    <w:p>
      <w:pPr>
        <w:ind w:left="340" w:right="280" w:hanging="332"/>
        <w:spacing w:after="0" w:line="261" w:lineRule="auto"/>
        <w:tabs>
          <w:tab w:leader="none" w:pos="32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common stock beneficially owned after offering is based on a denominator equal to the sum of (i) 83,319,660 shares of our common stock outstanding as of November 23, 2020 and (ii) the number of Warrant Shares beneficially owned by the applicable selling security holder after the offering.</w:t>
      </w:r>
    </w:p>
    <w:p>
      <w:pPr>
        <w:spacing w:after="0" w:line="54" w:lineRule="exact"/>
        <w:rPr>
          <w:rFonts w:ascii="Times New Roman" w:cs="Times New Roman" w:eastAsia="Times New Roman" w:hAnsi="Times New Roman"/>
          <w:sz w:val="14"/>
          <w:szCs w:val="14"/>
          <w:color w:val="auto"/>
        </w:rPr>
      </w:pPr>
    </w:p>
    <w:p>
      <w:pPr>
        <w:ind w:left="340" w:right="120" w:hanging="332"/>
        <w:spacing w:after="0" w:line="233" w:lineRule="auto"/>
        <w:tabs>
          <w:tab w:leader="none" w:pos="32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1,894,861 shares of common stock held of record by AEOF ECR AIV A-B, L.P. (“AEOF AIV A-B”), (ii) 804,524 shares of common stock held of record by AEOF ECR AIV C, L.P. (“AEOF AIV C”), (iii) 790,194 shares of common stock held of record by AF V Energy IV AIV 1A, L.P. (“ACOF AIV 1A”), (iv) 2,901,771 shares of common stock held of record by AF V Energy IV AIV 1B, L.P. (“ACOF AIV 1B”), (v) 2,958,809 shares of common stock held of record by AF V Energy IV AIV 2, L.P. (“ACOF AIV 2”), (vi) 5,815,182 shares of common stock held of record by AF Energy Feeder, L.P., (vii) 645,985 shares of common stock held of record by SSF IV Energy I AIV 1A, L.P. (“SSF AIV 1A”), (viii) 575,926 shares of common stock held of record by SSF IV Energy I AIV 1B, L.P. (“SSF AIV 1B”), and (ix) 937,596 shares of common stock held of record by SSF IV Energy I AIV 2, L.P. (“SSF AIV 2”).</w:t>
      </w:r>
    </w:p>
    <w:p>
      <w:pPr>
        <w:spacing w:after="0" w:line="69" w:lineRule="exact"/>
        <w:rPr>
          <w:rFonts w:ascii="Times New Roman" w:cs="Times New Roman" w:eastAsia="Times New Roman" w:hAnsi="Times New Roman"/>
          <w:sz w:val="14"/>
          <w:szCs w:val="14"/>
          <w:color w:val="auto"/>
        </w:rPr>
      </w:pPr>
    </w:p>
    <w:p>
      <w:pPr>
        <w:ind w:left="340" w:right="40"/>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ACOF Investment Management LLC (“ACOF Investment Management”) is the manager of each of (i) ACOF AIV 1A, (ii) ACOF AIV 1B, (iii) ACOF AIV 2 (together with ACOF AIV 1A and ACOF AIV 1B, the “ACOF AIVs”), (iv) AEOF AIV A-B, (v) AEOF AIV C (together with AEOF AIV A-B, the “AEOF AIVs”), and (vi) AF Energy Feeder, L.P., and the sole member of ACOF Investment Management is Ares Management LLC. ASSF Operating Manager IV, L.P. (“ASSF Operating Manager IV”) is the manager of each of (i) SSF AIV 1A, (ii) SSF AIV 1B, and (iii) SSF AIV 2 (together with SSF AIV 1A and SSF AIV 1B, the “SSF AIVs”), and the general partner of ASSF Operating Manager IV is Ares Management LLC. The sole member of Ares Management LLC is Ares Management Holdings L.P. (“Ares Management Holdings”), and the general partner of Ares Management Holdings is Ares Holdco LLC (“Ares Holdco”). The sole member of Ares Holdco is Ares Holdings Inc. (“Ares Holdings”). The sole stockholder of Ares Holdings is Ares Management Corporation (“Ares Management”). Ares Management GP LLC (“Ares Management GP”) is the sole holder of the Class B common stock, $0.01 par value per share, of Ares Management (the “Class B Common Stock”) and Ares Voting LLC (“Ares Voting”) is the sole holder of the Class C common stock, $0.01 par value per share, of Ares Management (the “Class C Common Stock”). Pursuant to Ares Management’s Certificate of Incorporation in effect as of the date of this prospectus, the holders of the Class B Common Stock and the Class C Common Stock, collectively, will generally have the majority of the votes on any matter submitted to the stockholders of Ares Management if certain conditions are met. The sole member of both Ares Management GP and Ares Voting is Ares Partners Holdco LLC (“Ares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440" w:right="319" w:bottom="1440" w:gutter="0" w:footer="0" w:header="0"/>
        </w:sectPr>
      </w:pPr>
    </w:p>
    <w:bookmarkStart w:id="18" w:name="page19"/>
    <w:bookmarkEnd w:id="18"/>
    <w:p>
      <w:pPr>
        <w:spacing w:after="0" w:line="81" w:lineRule="exact"/>
        <w:rPr>
          <w:sz w:val="20"/>
          <w:szCs w:val="20"/>
          <w:color w:val="auto"/>
        </w:rPr>
      </w:pPr>
    </w:p>
    <w:p>
      <w:pPr>
        <w:ind w:left="332" w:right="260"/>
        <w:spacing w:after="0" w:line="261" w:lineRule="auto"/>
        <w:rPr>
          <w:sz w:val="20"/>
          <w:szCs w:val="20"/>
          <w:color w:val="auto"/>
        </w:rPr>
      </w:pPr>
      <w:r>
        <w:rPr>
          <w:rFonts w:ascii="Times New Roman" w:cs="Times New Roman" w:eastAsia="Times New Roman" w:hAnsi="Times New Roman"/>
          <w:sz w:val="14"/>
          <w:szCs w:val="14"/>
          <w:color w:val="auto"/>
        </w:rPr>
        <w:t>As a result of the relationships described in the preceding paragraph, certain of the entities named therein may be deemed to directly or indirectly beneficially own the shares of common stock directly held by the ACOF AIVs, the AEOF AIVs, the SSF AIVs and AF Energy Feeder, L.P. (as applicable) (such entities that directly hold shares of common stock, the “Ares Selling Security Holders”).</w:t>
      </w:r>
    </w:p>
    <w:p>
      <w:pPr>
        <w:spacing w:after="0" w:line="69" w:lineRule="exact"/>
        <w:rPr>
          <w:sz w:val="20"/>
          <w:szCs w:val="20"/>
          <w:color w:val="auto"/>
        </w:rPr>
      </w:pPr>
    </w:p>
    <w:p>
      <w:pPr>
        <w:ind w:left="332" w:right="120"/>
        <w:spacing w:after="0" w:line="282" w:lineRule="auto"/>
        <w:rPr>
          <w:sz w:val="20"/>
          <w:szCs w:val="20"/>
          <w:color w:val="auto"/>
        </w:rPr>
      </w:pPr>
      <w:r>
        <w:rPr>
          <w:rFonts w:ascii="Times New Roman" w:cs="Times New Roman" w:eastAsia="Times New Roman" w:hAnsi="Times New Roman"/>
          <w:sz w:val="14"/>
          <w:szCs w:val="14"/>
          <w:color w:val="auto"/>
        </w:rPr>
        <w:t>Ares Partners is managed by a board of managers, which is composed of Michael J Arougheti, Ryan Berry, R. Kipp deVeer, David B. Kaplan, Michael R. McFerran, Antony P. Ressler and Bennett Rosenthal (collectively, the “Ares Partners Board Members”). Mr. Ressler generally has veto authority over decisions by the Ares Partners Board Members.</w:t>
      </w:r>
    </w:p>
    <w:p>
      <w:pPr>
        <w:spacing w:after="0" w:line="54" w:lineRule="exact"/>
        <w:rPr>
          <w:sz w:val="20"/>
          <w:szCs w:val="20"/>
          <w:color w:val="auto"/>
        </w:rPr>
      </w:pPr>
    </w:p>
    <w:p>
      <w:pPr>
        <w:ind w:left="332" w:right="60"/>
        <w:spacing w:after="0" w:line="261" w:lineRule="auto"/>
        <w:rPr>
          <w:sz w:val="20"/>
          <w:szCs w:val="20"/>
          <w:color w:val="auto"/>
        </w:rPr>
      </w:pPr>
      <w:r>
        <w:rPr>
          <w:rFonts w:ascii="Times New Roman" w:cs="Times New Roman" w:eastAsia="Times New Roman" w:hAnsi="Times New Roman"/>
          <w:sz w:val="14"/>
          <w:szCs w:val="14"/>
          <w:color w:val="auto"/>
        </w:rPr>
        <w:t>Each of the entities named in this footnote (other than the ACOF AIVs, the AEOF AIVs, the SSF AIVs and AF Energy Feeder, L.P., in each case, solely with respect to the shares of common stock held directly by each such entity), the Ares Partners Board Members, and the other directors, officers, partners, stockholders, members and managers of the entities named in this footnote, expressly disclaims beneficial ownership of these shares of common stock.</w:t>
      </w:r>
    </w:p>
    <w:p>
      <w:pPr>
        <w:spacing w:after="0" w:line="6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2000 Avenue of the Stars, 12th Floor, Los Angeles, California 90067.</w:t>
      </w:r>
    </w:p>
    <w:p>
      <w:pPr>
        <w:spacing w:after="0" w:line="109" w:lineRule="exact"/>
        <w:rPr>
          <w:sz w:val="20"/>
          <w:szCs w:val="20"/>
          <w:color w:val="auto"/>
        </w:rPr>
      </w:pPr>
    </w:p>
    <w:p>
      <w:pPr>
        <w:ind w:left="332" w:right="40" w:hanging="332"/>
        <w:spacing w:after="0" w:line="255" w:lineRule="auto"/>
        <w:tabs>
          <w:tab w:leader="none" w:pos="31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holders of the referenced shares to be registered are the following funds and accounts under management by subsidiaries of BlackRock, Inc.: BlackRock 2022 Global Income Opportunity Trust; BlackRock Strategic Income Opportunities Portfolio of BlackRock Funds V; Strategic Income Opportunities Bond Fund; BlackRock Total Return Bond Fund; Brighthouse Funds Trust II – BlackRock Bond Income Portfolio; Master Total Return Portfolio of Master Bond LLC; BlackRock Multi-Sector Opportunities Trust; BlackRock Multi-Sector Opportunities Trust II; Fixed Income Opportunities Nero, LLC; and AST BlackRock Loomis Sayles Portfolio.</w:t>
      </w:r>
    </w:p>
    <w:p>
      <w:pPr>
        <w:spacing w:after="0" w:line="71" w:lineRule="exact"/>
        <w:rPr>
          <w:rFonts w:ascii="Times New Roman" w:cs="Times New Roman" w:eastAsia="Times New Roman" w:hAnsi="Times New Roman"/>
          <w:sz w:val="14"/>
          <w:szCs w:val="14"/>
          <w:color w:val="auto"/>
        </w:rPr>
      </w:pPr>
    </w:p>
    <w:p>
      <w:pPr>
        <w:ind w:left="332" w:right="4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business address of such funds and accounts, such subsidiaries and such portfolio managers and/or investment committee members is 55 East 52nd Street, New York, NY 10055. Shares shown include only the securities being registered for resale and may not incorporate all interests deemed to be beneficially held by the registered holders or BlackRock, Inc.</w:t>
      </w:r>
    </w:p>
    <w:p>
      <w:pPr>
        <w:spacing w:after="0" w:line="76" w:lineRule="exact"/>
        <w:rPr>
          <w:rFonts w:ascii="Times New Roman" w:cs="Times New Roman" w:eastAsia="Times New Roman" w:hAnsi="Times New Roman"/>
          <w:sz w:val="14"/>
          <w:szCs w:val="14"/>
          <w:color w:val="auto"/>
        </w:rPr>
      </w:pPr>
    </w:p>
    <w:p>
      <w:pPr>
        <w:ind w:left="332" w:right="100" w:hanging="332"/>
        <w:spacing w:after="0" w:line="282"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6,272 shares of common stock and 2,083 Warrant Shares held of record by FYI Ltd., (ii) 30,230 shares of common stock and 10,042 Warrant Shares held of record by FFI Fund Ltd. and (iii) 5,135 shares of common stock and 1,705 Warrant Shares held of record by Olifant Fund, Ltd. (each of the foregoing entities, the “Bracebridge Selling Security Holders”).</w:t>
      </w:r>
    </w:p>
    <w:p>
      <w:pPr>
        <w:spacing w:after="0" w:line="53" w:lineRule="exact"/>
        <w:rPr>
          <w:rFonts w:ascii="Times New Roman" w:cs="Times New Roman" w:eastAsia="Times New Roman" w:hAnsi="Times New Roman"/>
          <w:sz w:val="14"/>
          <w:szCs w:val="14"/>
          <w:color w:val="auto"/>
        </w:rPr>
      </w:pPr>
    </w:p>
    <w:p>
      <w:pPr>
        <w:ind w:left="332" w:right="16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Bracebridge Capital, LLC, as the investment manager to the Bracebridge Selling Security Holders, may be deemed to share voting and dispositive power over the shares of common stock beneficially owned by the Bracebridge Selling Security Holders.</w:t>
      </w:r>
    </w:p>
    <w:p>
      <w:pPr>
        <w:spacing w:after="0" w:line="53" w:lineRule="exact"/>
        <w:rPr>
          <w:rFonts w:ascii="Times New Roman" w:cs="Times New Roman" w:eastAsia="Times New Roman" w:hAnsi="Times New Roman"/>
          <w:sz w:val="14"/>
          <w:szCs w:val="14"/>
          <w:color w:val="auto"/>
        </w:rPr>
      </w:pPr>
    </w:p>
    <w:p>
      <w:pPr>
        <w:ind w:left="33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for the funds named in this footnote is 888 Boylston Street, Suite 1500, Boston, Massachusetts 02199.</w:t>
      </w:r>
    </w:p>
    <w:p>
      <w:pPr>
        <w:spacing w:after="0" w:line="109" w:lineRule="exact"/>
        <w:rPr>
          <w:rFonts w:ascii="Times New Roman" w:cs="Times New Roman" w:eastAsia="Times New Roman" w:hAnsi="Times New Roman"/>
          <w:sz w:val="14"/>
          <w:szCs w:val="14"/>
          <w:color w:val="auto"/>
        </w:rPr>
      </w:pPr>
    </w:p>
    <w:p>
      <w:pPr>
        <w:ind w:left="332" w:right="20" w:hanging="332"/>
        <w:spacing w:after="0" w:line="251"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230,343 shares of common stock and 2,257 Warrant Shares held of record by Carval GCF Cayman Securities Ltd., (ii) 348,833 shares of common stock and 3,248 Warrant Shares held of record by CVI AA Cayman Securities LP, (iii) 123,420 shares of common stock and 521 Warrant Shares held of record by CVI AV Cayman Securities LP, (iv) 939,016 shares of common stock and 11,352 Warrant Shares held of record by CVI CVF IV Cayman Securities Ltd., (v) 541,163 shares of common stock and 4,963 Warrant Shares held of record by CVIC Cayman Securities Ltd., and (vi) 18,732 shares of common stock and 6,647 Warrant Shares held of record by CVI CVF III Cayman Securities Ltd. (each of the foregoing entities, the “CarVal Selling Security Holders”).</w:t>
      </w:r>
    </w:p>
    <w:p>
      <w:pPr>
        <w:spacing w:after="0" w:line="76" w:lineRule="exact"/>
        <w:rPr>
          <w:rFonts w:ascii="Times New Roman" w:cs="Times New Roman" w:eastAsia="Times New Roman" w:hAnsi="Times New Roman"/>
          <w:sz w:val="14"/>
          <w:szCs w:val="14"/>
          <w:color w:val="auto"/>
        </w:rPr>
      </w:pPr>
    </w:p>
    <w:p>
      <w:pPr>
        <w:ind w:left="332" w:right="2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CarVal Investors L.P., as the investment manager to the CarVal Selling Security Holders, may be deemed to share voting and dispositive power over the shares of common stock beneficially owned by the CarVal Selling Security Holders.</w:t>
      </w:r>
    </w:p>
    <w:p>
      <w:pPr>
        <w:spacing w:after="0" w:line="53" w:lineRule="exact"/>
        <w:rPr>
          <w:rFonts w:ascii="Times New Roman" w:cs="Times New Roman" w:eastAsia="Times New Roman" w:hAnsi="Times New Roman"/>
          <w:sz w:val="14"/>
          <w:szCs w:val="14"/>
          <w:color w:val="auto"/>
        </w:rPr>
      </w:pPr>
    </w:p>
    <w:p>
      <w:pPr>
        <w:ind w:left="33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for the funds named in this footnote is 9320 Excelsior Boulevard, Hopkins, Minnesota 55343.</w:t>
      </w:r>
    </w:p>
    <w:p>
      <w:pPr>
        <w:spacing w:after="0" w:line="109" w:lineRule="exact"/>
        <w:rPr>
          <w:rFonts w:ascii="Times New Roman" w:cs="Times New Roman" w:eastAsia="Times New Roman" w:hAnsi="Times New Roman"/>
          <w:sz w:val="14"/>
          <w:szCs w:val="14"/>
          <w:color w:val="auto"/>
        </w:rPr>
      </w:pPr>
    </w:p>
    <w:p>
      <w:pPr>
        <w:ind w:left="332" w:hanging="332"/>
        <w:spacing w:after="0" w:line="243"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1,383,162 shares of common stock and 46,818 Warrant Shares held of record by The Master Trust Bank of Japan, Ltd., (ii) 228,099 shares of common stock and 33,704 Warrant Shares held of record by Fidelity Funds SICAV / Fidelity Funds – US High Yield, (iii) 564,041 shares of common stock and 20,004 Warrant Shares held of record by FIDELITY CENTRAL INVESTMENT PORTFOLIOS LLC: Fidelity High Income Central Fund, (iv) 457,533 shares of common stock and 16,489 Warrant Shares held of record by Fidelity American High Yield Fund, (v) 154,942 shares of common stock and 3,800 Warrant Shares held of record by Fidelity Canadian Balanced Fund, (vi) 11,008 shares of common stock and 1,626 Warrant Shares held of record by Japan Trustee Services Bank, Ltd. as Trustee for SMTB Fidelity Strategic Income Mother Fund, (vii) 12,359 shares of common stock and 530 Warrant Shares held of record by FIDELITY SUMMER STREET TRUST: Fidelity Global High Income Fund, (viii) 6,065,715 shares of common stock and 57,076 Warrant Shares held of record by FIDELITY SUMMER STREET TRUST: Fidelity Capital &amp; Income Fund, (ix) 3,644,087 shares of common stock and 34,633 Warrant Shares held of record by FIDELITY ADVISOR SERIES II: Fidelity Advisor Strategic Income Fund, (x) 2,405,844 shares of common stock and 48,025 Warrant Shares held of record by FIDELITY ADVISOR SERIES I: Fidelity Advisor Floating Rate High Income Fund, (xi) 885,131 shares of common stock and 8,300 Warrant Shares held of record by FIDELITY ADVISOR SERIES I: Fidelity Advisor High Income Advantage Fund, (xii) 583,682 shares of common stock and 7,511 Warrant Shares held of record by FIDELITY CENTRAL INVESTMENT PORTFOLIOS LLC: Fidelity Floating Rate Central Fund, (xiii) 158,787 shares of common stock held of record by Fidelity Distressed Opportunities Master Fund I, L.P., (xiv) 473,911 shares of common stock and 3,288 Warrant Shares held of record by FIDELITY INCOME FUND: Fidelity Total Bond Fund - Floating Rate Securities Sub-Portfolio, (xv) 409,038 shares of common stock and 3,099 Warrant Shares held of record by VARIABLE INSURANCE PRODUCTS FUND V: Strategic Income Portfolio, (xvi) 396,902 shares of common stock and 3,619 Warrant Shares held of record by Fidelity US Bank Loan Fund, a Series Trust of Fidelity Worldwide Investment Trust, (xvii) 211,421 shares of common stock and 2,090 Warrant Shares held of record by FIDELITY SALEM STREET TRUST: Fidelity SAI Total Bond Fund - Floating Rate Securities Sub-Portfolio, (xviii) 9,012 shares of common stock and 1,511 Warrant Shares held of record by FIDELITY SALEM STREET TRUST: Fidelity SAI Total Bond Fund - High Income Sub-Portfolio, (xix) 166,485 shares of common stock and 1,658 Warrant Shares held of record by FIAM Floating Rate High Income Commingled Pool, (xx) 134,244 shares of common stock and 1,623 Warrant Shares held of record by Pension Reserves Investment Trust Fund, (xxi) 121,831 shares of common stock and 2,137 Warrant Shares held of record by Fidelity Floating Rate High Income Multi-Asset Base Fund, (xxii) 90,961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32"/>
          </w:cols>
          <w:pgMar w:left="328" w:top="1440" w:right="339" w:bottom="1440" w:gutter="0" w:footer="0" w:header="0"/>
        </w:sectPr>
      </w:pPr>
    </w:p>
    <w:bookmarkStart w:id="19" w:name="page20"/>
    <w:bookmarkEnd w:id="19"/>
    <w:p>
      <w:pPr>
        <w:spacing w:after="0" w:line="81" w:lineRule="exact"/>
        <w:rPr>
          <w:sz w:val="20"/>
          <w:szCs w:val="20"/>
          <w:color w:val="auto"/>
        </w:rPr>
      </w:pPr>
    </w:p>
    <w:p>
      <w:pPr>
        <w:ind w:left="340" w:right="20"/>
        <w:spacing w:after="0" w:line="244" w:lineRule="auto"/>
        <w:rPr>
          <w:sz w:val="20"/>
          <w:szCs w:val="20"/>
          <w:color w:val="auto"/>
        </w:rPr>
      </w:pPr>
      <w:r>
        <w:rPr>
          <w:rFonts w:ascii="Times New Roman" w:cs="Times New Roman" w:eastAsia="Times New Roman" w:hAnsi="Times New Roman"/>
          <w:sz w:val="14"/>
          <w:szCs w:val="14"/>
          <w:color w:val="auto"/>
        </w:rPr>
        <w:t>of common stock and 866 Warrant Shares held of record by FIAM Leveraged Loan LP, (xxiii) 72,499 shares of common stock and 920 Warrant Shares held of record by FIDELITY SUMMER STREET TRUST: Fidelity Series Floating Rate High Income Fund, (xxiv) 65,073 shares of common stock and 508 Warrant Shares held of record by Fidelity Qualifying Investor Funds Plc, (xxv) 37,981 shares of common stock and 885 Warrant Shares held of record by VARIABLE INSURANCE PRODUCTS FUND: Floating Rate High Income Portfolio, (xxvi) 15,779 shares of common stock and 265 Warrant Shares held of record by Japan Trustee Services Bank, Ltd. Re: Fidelity High Yield Bond Open Mother Fund, (xxvii) 12,452 shares of common stock and 124 Warrant Shares held of record by Advanced Series Trust - AST Fidelity Institutional AM Quantitative Portfolio, (xxviii) 14,982 shares of common stock and 779 Warrant Shares held of record by Fidelity Floating Rate High Income Fund, (xxix) 61,939 shares of common stock and 9,174 Warrant Shares held of record by FIDELITY SUMMER STREET TRUST: Fidelity High Income Fund, (xxx) 18,799 shares of common stock and 3,152 Warrant Shares held of record by FIDELITY INCOME FUND: Total Bond High Income Sub-Portfolio, (xxxi) 19,387 shares of common stock and 2,871 Warrant Shares held of record by FIDELITY SUMMER STREET TRUST: Fidelity Series High Income Fund All-Sector,</w:t>
      </w:r>
    </w:p>
    <w:p>
      <w:pPr>
        <w:spacing w:after="0" w:line="3" w:lineRule="exact"/>
        <w:rPr>
          <w:sz w:val="20"/>
          <w:szCs w:val="20"/>
          <w:color w:val="auto"/>
        </w:rPr>
      </w:pPr>
    </w:p>
    <w:p>
      <w:pPr>
        <w:ind w:left="340" w:right="40" w:hanging="8"/>
        <w:spacing w:after="0" w:line="241" w:lineRule="auto"/>
        <w:tabs>
          <w:tab w:leader="none" w:pos="7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11,935 shares of common stock and 1,768 Warrant Shares held of record by VARIABLE INSURANCE PRODUCTS FUND: High Income Portfolio, (xxxiii) 2,010 shares of common stock and 297 Warrant Shares held of record by JNL/Fidelity Institutional Asset Management Total Bond Fund - Floating Rate Securities, (xxxiv) 721 shares of common stock and 107 Warrant Shares held of record by JNL/Fidelity Institutional Asset Management Total Bond Fund - High Income, (xxxv) 1,521 shares of common stock and 225 Warrant Shares held of record by FIDELITY MERRIMACK STREET TRUST: Fidelity Total Bond ETF, (xxxvi) 643 shares of common stock and 95 Warrant Shares held of record by AZL Fidelity Institutional Asset Management Total Bond Fund, (xxxvii) 429 shares of common stock and 63 Warrant Shares held of record by AZL Fidelity Institutional Asset Management Multi-Strategy Fund, and</w:t>
      </w:r>
    </w:p>
    <w:p>
      <w:pPr>
        <w:spacing w:after="0" w:line="1" w:lineRule="exact"/>
        <w:rPr>
          <w:rFonts w:ascii="Times New Roman" w:cs="Times New Roman" w:eastAsia="Times New Roman" w:hAnsi="Times New Roman"/>
          <w:sz w:val="14"/>
          <w:szCs w:val="14"/>
          <w:color w:val="auto"/>
        </w:rPr>
      </w:pPr>
    </w:p>
    <w:p>
      <w:pPr>
        <w:ind w:left="340" w:right="260" w:hanging="8"/>
        <w:spacing w:after="0" w:line="258" w:lineRule="auto"/>
        <w:tabs>
          <w:tab w:leader="none" w:pos="87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shares of common stock and 2 Warrant Shares held of record by FIDELITY SUMMER STREET TRUST: Fidelity Short Duration High Income Fund (each of the foregoing entities, the “Fidelity Selling Security Holders”).</w:t>
      </w:r>
    </w:p>
    <w:p>
      <w:pPr>
        <w:spacing w:after="0" w:line="70" w:lineRule="exact"/>
        <w:rPr>
          <w:sz w:val="20"/>
          <w:szCs w:val="20"/>
          <w:color w:val="auto"/>
        </w:rPr>
      </w:pPr>
    </w:p>
    <w:p>
      <w:pPr>
        <w:ind w:left="340" w:right="100"/>
        <w:spacing w:after="0" w:line="251" w:lineRule="auto"/>
        <w:rPr>
          <w:sz w:val="20"/>
          <w:szCs w:val="20"/>
          <w:color w:val="auto"/>
        </w:rPr>
      </w:pPr>
      <w:r>
        <w:rPr>
          <w:rFonts w:ascii="Times New Roman" w:cs="Times New Roman" w:eastAsia="Times New Roman" w:hAnsi="Times New Roman"/>
          <w:sz w:val="14"/>
          <w:szCs w:val="14"/>
          <w:color w:val="auto"/>
        </w:rPr>
        <w:t>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76"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4"/>
          <w:szCs w:val="14"/>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One Spartan Way, Merrimack, New Hampshire 03054.</w:t>
      </w:r>
    </w:p>
    <w:p>
      <w:pPr>
        <w:spacing w:after="0" w:line="109" w:lineRule="exact"/>
        <w:rPr>
          <w:sz w:val="20"/>
          <w:szCs w:val="20"/>
          <w:color w:val="auto"/>
        </w:rPr>
      </w:pPr>
    </w:p>
    <w:p>
      <w:pPr>
        <w:ind w:left="340" w:right="200" w:hanging="332"/>
        <w:spacing w:after="0" w:line="253" w:lineRule="auto"/>
        <w:tabs>
          <w:tab w:leader="none" w:pos="32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30,821 shares of common stock held of record by GoldenTree Credit Opportunities, LP, (ii) 1,233,148 shares of common stock and 19,993 Warrant Shares held of record by GoldenTree Credit Opportunities Master Fund, Ltd., (iii) 4,145,417 shares of common stock and 144,167 Warrant Shares held of record by GoldenTree Quorum Health Offshore III, Ltd.,</w:t>
      </w:r>
    </w:p>
    <w:p>
      <w:pPr>
        <w:ind w:left="340" w:right="120" w:hanging="8"/>
        <w:spacing w:after="0" w:line="241" w:lineRule="auto"/>
        <w:tabs>
          <w:tab w:leader="none" w:pos="584"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1,815,749 shares of common stock and 93,004 Warrant Shares held of record by GoldenTree Distressed Onshore Master Fund III, LP, (v) 164,880 shares of common stock and 2,574 Warrant Shares held of record by FS Credit Income Fund, (vi) 700,965 shares of common stock and 25,379 Warrant Shares held of record by GT G Distressed Fund 2020 LP, (vii) 225,765 shares of common stock and 3,521 Warrant Shares held of record by Ginkgo Tree LLC, (viii) 407,221 shares of common stock held of record by Gresham Multi-Asset Credit Fund, Ltd.,</w:t>
      </w:r>
    </w:p>
    <w:p>
      <w:pPr>
        <w:spacing w:after="0" w:line="1" w:lineRule="exact"/>
        <w:rPr>
          <w:rFonts w:ascii="Times New Roman" w:cs="Times New Roman" w:eastAsia="Times New Roman" w:hAnsi="Times New Roman"/>
          <w:sz w:val="14"/>
          <w:szCs w:val="14"/>
          <w:color w:val="auto"/>
        </w:rPr>
      </w:pPr>
    </w:p>
    <w:p>
      <w:pPr>
        <w:ind w:left="580" w:hanging="248"/>
        <w:spacing w:after="0"/>
        <w:tabs>
          <w:tab w:leader="none" w:pos="5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139,866 shares of common stock held of record by GT Credit Fund LP, (x) 14,246 shares of common stock and 309 Warrant Shares held of record by GoldenTree Multi Sector-C, LP,</w:t>
      </w:r>
    </w:p>
    <w:p>
      <w:pPr>
        <w:spacing w:after="0" w:line="1" w:lineRule="exact"/>
        <w:rPr>
          <w:rFonts w:ascii="Times New Roman" w:cs="Times New Roman" w:eastAsia="Times New Roman" w:hAnsi="Times New Roman"/>
          <w:sz w:val="14"/>
          <w:szCs w:val="14"/>
          <w:color w:val="auto"/>
        </w:rPr>
      </w:pPr>
    </w:p>
    <w:p>
      <w:pPr>
        <w:ind w:left="340" w:hanging="8"/>
        <w:spacing w:after="0" w:line="241" w:lineRule="auto"/>
        <w:tabs>
          <w:tab w:leader="none" w:pos="584"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2,947,649 shares of common stock and 48,326 Warrant Shares held of record by GoldenTree Master Fund, Ltd., (xii) 63,653 shares of common stock held of record by GoldenTree Partners, LP, (xiii) 14,063 shares of common stock held of record by GoldenTree Select Partners, LP, (xiv) 701,153 shares of common stock and 19,534 Warrant Shares held of record by GoldenTree V1 Master Fund, LP, (xv) 282,374 shares of common stock and 4,465 Warrant Shares held of record by GoldenTree High Yield Value Fund Offshore (Strategic), Limited, (xvi) 126,238 shares of common stock and 2,002 Warrant Shares held of record by Guadalupe Fund, LP, (xvii) 67,475 shares of common stock and 1,065 Warrant Shares held of record by Rock Bluff High Yield Partnership, LP, (xviii) 361,614 shares of common stock and 5,944 Warrant Shares held of record by High Yield and Bank Loan Series Trust, (xix) 243,666 shares of common stock held of record by Syncora Guarantee Inc., (xx) 58,297 shares of common stock and 919 Warrant Shares held of record by Credit Fund Golden Ltd., (xxi) 240,829 shares of common stock and 3,808 Warrant Shares held of record by Kapitalforeningen MP Invest, High Yield obligationer, (xxii) 420,986 shares of common stock and 8,761 Warrant Shares held of record by San Bernardino County Employees’ Retirement Association, (xxiii) 63,443 shares of common stock and 1,001 Warrant Shares held of record by CenturyLink, Inc. Defined Benefit Master Trust, (xxiv) 364,533 shares of common stock and 5,763 Warrant Shares held of record by City of New York Group Trust, (xxv) 127,680 shares of common stock held of record by GT NM, LP, (xxvi) 9,517 shares of common stock held of record by GoldenTree Multi-Sector, LP, (xxvii) 152,819 shares of common stock and 2,414 Warrant Shares held of record by GoldenTree Multi-Sector Offshore Fund ERISA, Ltd., (xxviii) 380,828 shares of common stock and 6,171 Warrant Shares held of record by GoldenTree Multi-Sector Master Fund ICAV - GoldenTree Multi-Sector Master Fund Portfolio A, (xxix) 503,022 shares of common stock and 7,954 Warrant Shares held of record by GoldenTree High Yield Value Master Fund ICAV - GoldenTree High Yield Value Master Fund Portfolio A, (xxx) 94,873 shares of common stock and 1,508 Warrant Shares held of record by MA Multi-Sector Opportunistic Fund, LP,</w:t>
      </w:r>
    </w:p>
    <w:p>
      <w:pPr>
        <w:spacing w:after="0" w:line="4" w:lineRule="exact"/>
        <w:rPr>
          <w:rFonts w:ascii="Times New Roman" w:cs="Times New Roman" w:eastAsia="Times New Roman" w:hAnsi="Times New Roman"/>
          <w:sz w:val="14"/>
          <w:szCs w:val="14"/>
          <w:color w:val="auto"/>
        </w:rPr>
      </w:pPr>
    </w:p>
    <w:p>
      <w:pPr>
        <w:ind w:left="340" w:right="60" w:hanging="8"/>
        <w:spacing w:after="0" w:line="245" w:lineRule="auto"/>
        <w:tabs>
          <w:tab w:leader="none" w:pos="72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91,992 shares of common stock and 1,454 Warrant Shares held of record by Crown Managed Accounts SPC - Crown/Goldentree Segregated Portfolio, (xxxii) 145,385 shares of common stock and 2,316 Warrant Shares held of record by Louisiana State Employees Retirement System, (xxxiii) 168,572 shares of common stock and 2,842 Warrant Shares held of record by GoldenTree Insurance Fund Series Interests of the SALI Multi-Series Fund, LP, (xxxiv) 99,833 shares of common stock and 1,576 Warrant Shares held of record by Indiana University Health, Inc., (xxxv) 552,452 shares of common stock and 8,996 Warrant Shares held of record by GN3 SIP Limited, (xxxvi) 53,819 shares of common stock held of record by Health Net of California, Inc., and (xxxvii) 145,339 shares of common stock and 2,299 Warrant Shares held of record by Healthcare Employees’ Pension Plan – Manitoba (the “GoldenTree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81" w:lineRule="exact"/>
        <w:rPr>
          <w:sz w:val="20"/>
          <w:szCs w:val="20"/>
          <w:color w:val="auto"/>
        </w:rPr>
      </w:pPr>
    </w:p>
    <w:p>
      <w:pPr>
        <w:ind w:left="332" w:right="280"/>
        <w:spacing w:after="0" w:line="282" w:lineRule="auto"/>
        <w:rPr>
          <w:sz w:val="20"/>
          <w:szCs w:val="20"/>
          <w:color w:val="auto"/>
        </w:rPr>
      </w:pPr>
      <w:r>
        <w:rPr>
          <w:rFonts w:ascii="Times New Roman" w:cs="Times New Roman" w:eastAsia="Times New Roman" w:hAnsi="Times New Roman"/>
          <w:sz w:val="14"/>
          <w:szCs w:val="14"/>
          <w:color w:val="auto"/>
        </w:rPr>
        <w:t>Each of the GoldenTree Selling Security Holders is a managed account whose shares are controlled by its registered investment adviser, GoldenTree Asset Management LP, GoldenTree Asset Management LLC, as the general partner to the investment adviser, and Steven A. Tananbaum as the sole managing member of the general partner.</w:t>
      </w:r>
    </w:p>
    <w:p>
      <w:pPr>
        <w:spacing w:after="0" w:line="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300 Park Avenue, 21st Floor, New York, New York 10022.</w:t>
      </w:r>
    </w:p>
    <w:p>
      <w:pPr>
        <w:spacing w:after="0" w:line="109" w:lineRule="exact"/>
        <w:rPr>
          <w:sz w:val="20"/>
          <w:szCs w:val="20"/>
          <w:color w:val="auto"/>
        </w:rPr>
      </w:pPr>
    </w:p>
    <w:p>
      <w:pPr>
        <w:ind w:left="332" w:right="220" w:hanging="332"/>
        <w:spacing w:after="0" w:line="282" w:lineRule="auto"/>
        <w:tabs>
          <w:tab w:leader="none" w:pos="3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76,767 shares of common stock and 54,590 Warrant Shares held of record by Graham Macro Strategic Ltd. and (ii) 5,395 shares of common stock and 4,813 Warrant Shares held of record by Graham Credit Opportunities Ltd. (each of the foregoing entities, the “Graham Selling Security Holders”).</w:t>
      </w:r>
    </w:p>
    <w:p>
      <w:pPr>
        <w:spacing w:after="0" w:line="54" w:lineRule="exact"/>
        <w:rPr>
          <w:sz w:val="20"/>
          <w:szCs w:val="20"/>
          <w:color w:val="auto"/>
        </w:rPr>
      </w:pPr>
    </w:p>
    <w:p>
      <w:pPr>
        <w:ind w:left="332" w:right="240"/>
        <w:spacing w:after="0" w:line="282" w:lineRule="auto"/>
        <w:rPr>
          <w:sz w:val="20"/>
          <w:szCs w:val="20"/>
          <w:color w:val="auto"/>
        </w:rPr>
      </w:pPr>
      <w:r>
        <w:rPr>
          <w:rFonts w:ascii="Times New Roman" w:cs="Times New Roman" w:eastAsia="Times New Roman" w:hAnsi="Times New Roman"/>
          <w:sz w:val="14"/>
          <w:szCs w:val="14"/>
          <w:color w:val="auto"/>
        </w:rPr>
        <w:t>Graham Capital Management, L.P., as the investment manager to the Graham Selling Security Holders, may be deemed to share voting and dispositive power over the shares of common stock beneficially owned by the Graham Selling Security Holders.</w:t>
      </w:r>
    </w:p>
    <w:p>
      <w:pPr>
        <w:spacing w:after="0" w:line="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Graham Capital Management, L.P., 40 Highland Avenue, Norwalk, Connecticut 06853.</w:t>
      </w:r>
    </w:p>
    <w:p>
      <w:pPr>
        <w:spacing w:after="0" w:line="109" w:lineRule="exact"/>
        <w:rPr>
          <w:sz w:val="20"/>
          <w:szCs w:val="20"/>
          <w:color w:val="auto"/>
        </w:rPr>
      </w:pPr>
    </w:p>
    <w:p>
      <w:pPr>
        <w:ind w:left="332" w:right="40" w:hanging="332"/>
        <w:spacing w:after="0" w:line="250" w:lineRule="auto"/>
        <w:tabs>
          <w:tab w:leader="none" w:pos="38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held by JB Investors, LLC (“JB Investors”). Solar Projects LLC (“Solar Projects”), as the controlling member of JB Investors, may be deemed to beneficially own the shares of common stock beneficially owned by JB Investors. Solar Trust No. 2 (“Solar Trust”), as the sole member of Solar Projects, may be deemed to beneficially own the shares of common stock beneficially owned by JB Investors. Daniel Scott Gimbel, as the manager of JB Investors and the trustee of Solar Trust, may be deemed to beneficially own the shares of common stock beneficially owned by JB Investors. Each of Solar Projects, Solar Trust and Mr. Gimbel may be deemed to share voting and dispositive power over the shares of common stock beneficially owned by JB Investors. Each of Solar Projects, Solar Trust and Mr. Gimbel disclaims beneficial ownership of the shares of common stock beneficially owned by JB Investors.</w:t>
      </w:r>
    </w:p>
    <w:p>
      <w:pPr>
        <w:spacing w:after="0" w:line="24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persons named in this footnote is c/o McDonald Carano LLP, 100 West Liberty Street, Tenth Floor, Reno, Nevada 89501.</w:t>
      </w:r>
    </w:p>
    <w:p>
      <w:pPr>
        <w:spacing w:after="0" w:line="109" w:lineRule="exact"/>
        <w:rPr>
          <w:sz w:val="20"/>
          <w:szCs w:val="20"/>
          <w:color w:val="auto"/>
        </w:rPr>
      </w:pPr>
    </w:p>
    <w:p>
      <w:pPr>
        <w:ind w:left="332" w:right="40" w:hanging="332"/>
        <w:spacing w:after="0" w:line="245" w:lineRule="auto"/>
        <w:tabs>
          <w:tab w:leader="none" w:pos="3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99,413 shares of common stock and 188 Warrant Shares held of record by Nuveen Senior Income Fund, (ii) 232,071 shares of common stock and 439 Warrant Shares held of record by Nuveen Floating Rate Income Fund, (iii) 159,116 shares of common stock and 314 Warrant Shares held of record by Nuveen Floating Rate Income Opportunity Fund, (iv) 64,079 shares of common stock and 188 Warrant Shares held of record by Nuveen Short Duration Credit Opportunities Fund, (v) 135,023 shares of common stock and 629 Warrant Shares held of record by Nuveen Credit Strategies Income Fund, (vi) 24,159 shares of common stock and 125 Warrant Shares held of record by Municipal Employees Annuity &amp; Benefit Fund of Chicago, (vii) 69,686 shares of common stock and 156 Warrant Shares held of record by BayCity Alternative Investment Funds SICAV-SIF - BayCity US Senior Loan Fund, (viii) 4,818 shares of common stock and 670 Warrant Shares held of record by Goldman Sachs Trust II - Goldman Sachs Multi-Manager Non-Core Fixed Income Fund, (ix) 167,116 shares of common stock and 439 Warrant Shares held of record by Principal Funds, Inc. - Diversified Real Asset Fund, (x) 99,330 shares of common stock and 281 Warrant Shares held of record by Menard, Inc., (xi) 32,757 shares of common stock and 188 Warrant Shares held of record by Principal Diversified Real Asset CIT, (xii) 133,386 shares of common stock and 249 Warrant Shares held of record by Pensiondanmark Pensionsforsikringsaktieselskab, (xiii) 272,056 shares of common stock and 500 Warrant Shares held of record by Nuveen Symphony Floating Rate Income Fund, (xiv) 184,248 shares of common stock and 248 Warrant Shares held of record by BayCity Senior Loan Fund, L.P., and (xv) 495 shares of common stock and 220 Warrant Shares held of record by Symphony Floating Rate Senior Loan Fund (each of the foregoing entities, the “Symphony Selling Security Holders”).</w:t>
      </w:r>
    </w:p>
    <w:p>
      <w:pPr>
        <w:spacing w:after="0" w:line="82"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4"/>
          <w:szCs w:val="14"/>
          <w:color w:val="auto"/>
        </w:rPr>
        <w:t>Symphony Asset Management LLC, as the investment manager to the Symphony Selling Security Holders, may be deemed to share voting and dispositive power over the shares of common stock beneficially owned by the Symphony Selling Security Holders.</w:t>
      </w:r>
    </w:p>
    <w:p>
      <w:pPr>
        <w:spacing w:after="0" w:line="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Symphony Asset Management, 555 California Street, Suite 3100, San Francisco, California 94104.</w:t>
      </w:r>
    </w:p>
    <w:p>
      <w:pPr>
        <w:spacing w:after="0" w:line="109" w:lineRule="exact"/>
        <w:rPr>
          <w:sz w:val="20"/>
          <w:szCs w:val="20"/>
          <w:color w:val="auto"/>
        </w:rPr>
      </w:pPr>
    </w:p>
    <w:p>
      <w:pPr>
        <w:jc w:val="both"/>
        <w:ind w:left="332" w:right="20" w:hanging="332"/>
        <w:spacing w:after="0" w:line="261" w:lineRule="auto"/>
        <w:tabs>
          <w:tab w:leader="none" w:pos="3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71,893 shares of common stock held of record by Whitebox Relative Value Partners, LP, (ii) 5,232 shares of common stock held of record by Whitebox Credit Partners, LP, (iii) 4,226 shares of common stock held of record by Whitebox GT Fund, LP, (iv) 44,717 shares of common stock held of record by Whitebox Multi-Strategy Partners, LP, and (v) 20,289 shares of common stock held of record by Pandora Select Partners, LP.</w:t>
      </w:r>
    </w:p>
    <w:p>
      <w:pPr>
        <w:spacing w:after="0" w:line="69" w:lineRule="exact"/>
        <w:rPr>
          <w:sz w:val="20"/>
          <w:szCs w:val="20"/>
          <w:color w:val="auto"/>
        </w:rPr>
      </w:pPr>
    </w:p>
    <w:p>
      <w:pPr>
        <w:ind w:left="332" w:right="120"/>
        <w:spacing w:after="0" w:line="255" w:lineRule="auto"/>
        <w:rPr>
          <w:sz w:val="20"/>
          <w:szCs w:val="20"/>
          <w:color w:val="auto"/>
        </w:rPr>
      </w:pPr>
      <w:r>
        <w:rPr>
          <w:rFonts w:ascii="Times New Roman" w:cs="Times New Roman" w:eastAsia="Times New Roman" w:hAnsi="Times New Roman"/>
          <w:sz w:val="14"/>
          <w:szCs w:val="14"/>
          <w:color w:val="auto"/>
        </w:rPr>
        <w:t>Whitebox Relative Value Partners LP, Whitebox Credit Partners LP, Whitebox Multi-Strategy Partners, LP and Pandora Select Partners, LP are each exempted limited partnerships registered in the Cayman Islands. Whitebox GT Fund, LP is a Delaware limited partnership. The entities are collectively referred to as the “Whitebox Funds”. Whitebox Advisers LLC is owned by Robert Vogel, Paul Twitchell, Jacob Mercer and Paul Roos and such individuals disclaim beneficial ownership of the securities referenced herein except to the extent of its or his direct or indirect economic interest in Whitebox Advisors LLC or such Whitebox Funds.</w:t>
      </w:r>
    </w:p>
    <w:p>
      <w:pPr>
        <w:spacing w:after="0" w:line="7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3033 Excelsior Boulevard, Suite 500, Minneapolis, Minnesota 55416.</w:t>
      </w:r>
    </w:p>
    <w:p>
      <w:pPr>
        <w:spacing w:after="0" w:line="109" w:lineRule="exact"/>
        <w:rPr>
          <w:sz w:val="20"/>
          <w:szCs w:val="20"/>
          <w:color w:val="auto"/>
        </w:rPr>
      </w:pPr>
    </w:p>
    <w:p>
      <w:pPr>
        <w:ind w:left="392" w:hanging="392"/>
        <w:spacing w:after="0"/>
        <w:tabs>
          <w:tab w:leader="none" w:pos="3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411,816 shares of common stock and 74,780 Warrant Shares held of record by Stoneleigh Partners, LP.</w:t>
      </w:r>
    </w:p>
    <w:p>
      <w:pPr>
        <w:spacing w:after="0" w:line="109" w:lineRule="exact"/>
        <w:rPr>
          <w:sz w:val="20"/>
          <w:szCs w:val="20"/>
          <w:color w:val="auto"/>
        </w:rPr>
      </w:pPr>
    </w:p>
    <w:p>
      <w:pPr>
        <w:ind w:left="332" w:right="240"/>
        <w:spacing w:after="0" w:line="282" w:lineRule="auto"/>
        <w:rPr>
          <w:sz w:val="20"/>
          <w:szCs w:val="20"/>
          <w:color w:val="auto"/>
        </w:rPr>
      </w:pPr>
      <w:r>
        <w:rPr>
          <w:rFonts w:ascii="Times New Roman" w:cs="Times New Roman" w:eastAsia="Times New Roman" w:hAnsi="Times New Roman"/>
          <w:sz w:val="14"/>
          <w:szCs w:val="14"/>
          <w:color w:val="auto"/>
        </w:rPr>
        <w:t>Granby Capital Management, LLC, as the general partner of Stoneleigh Partners, LP, may be deemed to share voting and dispositive power over the shares of common stock beneficially owned by Stoneleigh Partners, LP.</w:t>
      </w:r>
    </w:p>
    <w:p>
      <w:pPr>
        <w:spacing w:after="0" w:line="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2 Stamford Plaza, Suite 1501, 281 Tresser Boulevard, Stamford, Connecticut 06901.</w:t>
      </w:r>
    </w:p>
    <w:p>
      <w:pPr>
        <w:spacing w:after="0" w:line="109" w:lineRule="exact"/>
        <w:rPr>
          <w:sz w:val="20"/>
          <w:szCs w:val="20"/>
          <w:color w:val="auto"/>
        </w:rPr>
      </w:pPr>
    </w:p>
    <w:p>
      <w:pPr>
        <w:ind w:left="332" w:right="60" w:hanging="332"/>
        <w:spacing w:after="0" w:line="251"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14,960 shares of common stock and 24,765 Warrant Shares held of record by PIMCO Funds: Private Account Portfolio Series PIMCO High Yield and Short-Term Investments Portfolio, (ii) 165,289 shares of common stock and 32,804 Warrant Shares held of record by PIMCO Global Credit Opportunity Master Fund LDC, (iii) 14,499 shares of common stock and 2,877 Warrant Shares held of record by PIMCO Tactical Opportunities Master Fund Ltd, (iv) 5,792 Warrant Shares held of record by PIMCO ETF Trust: PIMCO 0-5 Year High Yield Corporate Bond Index Exchange-Traded Fund and (v) 13,151 Warrant Shares held of record by PIMCO ETFs plc, PIMCO US Short-Term High Yield Corporate Bond Index UCITS ETF (each of the foregoing entities, the “PIMCO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440" w:right="339" w:bottom="1440" w:gutter="0" w:footer="0" w:header="0"/>
        </w:sectPr>
      </w:pPr>
    </w:p>
    <w:bookmarkStart w:id="21" w:name="page22"/>
    <w:bookmarkEnd w:id="21"/>
    <w:p>
      <w:pPr>
        <w:spacing w:after="0" w:line="81"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4"/>
          <w:szCs w:val="14"/>
          <w:color w:val="auto"/>
        </w:rPr>
        <w:t>Pacific Investment Management Company, LLC, as the investment manager of the PIMCO Selling Security Holders, may be deemed to have or to share voting and dispositive power over the shares of common stock beneficially owned by the PIMCO Selling Security Holders.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c/o Pacific Investment Management Company LLC, 650 Newport Center Drive, Newport Beach, California 92660.</w:t>
      </w:r>
    </w:p>
    <w:p>
      <w:pPr>
        <w:spacing w:after="0" w:line="109" w:lineRule="exact"/>
        <w:rPr>
          <w:sz w:val="20"/>
          <w:szCs w:val="20"/>
          <w:color w:val="auto"/>
        </w:rPr>
      </w:pPr>
    </w:p>
    <w:p>
      <w:pPr>
        <w:ind w:left="340" w:right="20" w:hanging="332"/>
        <w:spacing w:after="0" w:line="247" w:lineRule="auto"/>
        <w:tabs>
          <w:tab w:leader="none" w:pos="43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694 shares of common stock and 119 Warrant Shares held of record by Sentry Insurance a Mutual Company, (ii) 3,750 shares of common stock and 643 Warrant Shares held of record by Kapitalforeningen Investin Pro, US Leveraged Loans I, (iii) 15,647 shares of common stock and 132 Warrant Shares held of record by Kaiser Permanente Group Trust, (iv) 664,926 shares of common stock and 5,794 Warrant Shares held of record by Invesco Zodiac Funds – Invesco US Senior Loan Fund, (v) 49,195 shares of common stock and 439 Warrant Shares held of record by Invesco Zodiac Funds – Invesco US Senior Loan ESG Fund, (vi) 1,464 shares of common stock and 251 Warrant Shares held of record by Invesco SSL Fund LLC,</w:t>
      </w:r>
    </w:p>
    <w:p>
      <w:pPr>
        <w:spacing w:after="0" w:line="1" w:lineRule="exact"/>
        <w:rPr>
          <w:rFonts w:ascii="Times New Roman" w:cs="Times New Roman" w:eastAsia="Times New Roman" w:hAnsi="Times New Roman"/>
          <w:sz w:val="14"/>
          <w:szCs w:val="14"/>
          <w:color w:val="auto"/>
        </w:rPr>
      </w:pPr>
    </w:p>
    <w:p>
      <w:pPr>
        <w:ind w:left="340" w:right="160" w:hanging="8"/>
        <w:spacing w:after="0" w:line="241" w:lineRule="auto"/>
        <w:tabs>
          <w:tab w:leader="none" w:pos="624"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70,561 shares of common stock and 654 Warrant Shares held of record by Invesco Senior Loan Fund, (viii) 121,539 shares of common stock and 1,198 Warrant Shares held of record by Invesco Senior Income Trust, (ix) 7,083 shares of common stock and 32 Warrant Shares held of record by Invesco Gemini US Loan Fund, (x) 22,872 shares of common stock and 220 Warrant Shares held of record by Invesco Floating Rate Income Fund, (xi) 196,935 shares of common stock and 1,911 Warrant Shares held of record by Invesco Floating Rate ESG Fund,</w:t>
      </w:r>
    </w:p>
    <w:p>
      <w:pPr>
        <w:spacing w:after="0" w:line="1" w:lineRule="exact"/>
        <w:rPr>
          <w:rFonts w:ascii="Times New Roman" w:cs="Times New Roman" w:eastAsia="Times New Roman" w:hAnsi="Times New Roman"/>
          <w:sz w:val="14"/>
          <w:szCs w:val="14"/>
          <w:color w:val="auto"/>
        </w:rPr>
      </w:pPr>
    </w:p>
    <w:p>
      <w:pPr>
        <w:ind w:left="340" w:right="100" w:hanging="8"/>
        <w:spacing w:after="0" w:line="249" w:lineRule="auto"/>
        <w:tabs>
          <w:tab w:leader="none" w:pos="624"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139,809 shares of common stock and 1,358 Warrant Shares held of record by Invesco Dynamic Credit Opportunities Fund, (xiii) 1,171 shares of common stock and 14 Warrant Shares held of record by Invesco BL Fund, Ltd., (xiv) 36,828 shares of common stock and 370 Warrant Shares held of record by Diversified Credit Portfolio Ltd., and (xv) 11,822 shares of common stock held of record by BOC Pension Investment Fund (each of the foregoing entities, the “Invesco Selling Security Holders”).</w:t>
      </w:r>
    </w:p>
    <w:p>
      <w:pPr>
        <w:spacing w:after="0" w:line="77"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4"/>
          <w:szCs w:val="14"/>
          <w:color w:val="auto"/>
        </w:rPr>
        <w:t>Invesco Ltd., as the investment manager of the Invesco Selling Security Holders, may be deemed to share voting and dispositive power over the shares of common stock beneficially owned by the Invesco Selling Security Holders.</w:t>
      </w:r>
    </w:p>
    <w:p>
      <w:pPr>
        <w:spacing w:after="0" w:line="54"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4"/>
          <w:szCs w:val="14"/>
          <w:color w:val="auto"/>
        </w:rPr>
        <w:t>The business address for the funds named in clauses (i) - (xiii) in this footnote is 1166 Avenue of the Americas, 26th Floor, New York, New York 10036. The business address for the funds named in clauses (xiv) - (xv) in this footnote is 850 Library Avenue, Suite 204, Newark, Delaware 19711.</w:t>
      </w:r>
    </w:p>
    <w:p>
      <w:pPr>
        <w:spacing w:after="0" w:line="54" w:lineRule="exact"/>
        <w:rPr>
          <w:sz w:val="20"/>
          <w:szCs w:val="20"/>
          <w:color w:val="auto"/>
        </w:rPr>
      </w:pPr>
    </w:p>
    <w:p>
      <w:pPr>
        <w:ind w:left="340" w:right="20" w:hanging="332"/>
        <w:spacing w:after="0" w:line="252" w:lineRule="auto"/>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5,108 shares of common stock and 1,696 Warrant Shares held of record by Cyrus 1740 Master Fund, L.P., (ii) 10,855 shares of common stock and 3,605 Warrant Shares held of record by Cyrus Select Opportunities Master Fund, Ltd., (ii) 38,523 shares of common stock and 12,796 Warrant Shares held of record by CRS Master Fund, L.P., (iv) 37,885 shares of common stock and 12,584 Warrant Shares held of record by Crescent 1, L.P., (v) 91,948 shares of common stock and 30,542 Warrant Shares held of record by Cyrus Opportunities Master Fund II, Ltd., and (vi) 28,520 shares of common stock and 9,473 Warrant Shares held of record by Canary SC Master Fund, L.P. (each of the foregoing entities, the “Cyrus Selling Security Holders”).</w:t>
      </w:r>
    </w:p>
    <w:p>
      <w:pPr>
        <w:spacing w:after="0" w:line="242" w:lineRule="exact"/>
        <w:rPr>
          <w:sz w:val="20"/>
          <w:szCs w:val="20"/>
          <w:color w:val="auto"/>
        </w:rPr>
      </w:pPr>
    </w:p>
    <w:p>
      <w:pPr>
        <w:jc w:val="both"/>
        <w:ind w:left="340" w:right="80"/>
        <w:spacing w:after="0" w:line="261" w:lineRule="auto"/>
        <w:rPr>
          <w:sz w:val="20"/>
          <w:szCs w:val="20"/>
          <w:color w:val="auto"/>
        </w:rPr>
      </w:pPr>
      <w:r>
        <w:rPr>
          <w:rFonts w:ascii="Times New Roman" w:cs="Times New Roman" w:eastAsia="Times New Roman" w:hAnsi="Times New Roman"/>
          <w:sz w:val="14"/>
          <w:szCs w:val="14"/>
          <w:color w:val="auto"/>
        </w:rPr>
        <w:t>Cyrus Capital Partners, L.P. (“CCP”), is the Investment Manager of the Cyrus Selling Security Holders and has investment power. The general partner of CCP is Cyrus Capital Partners GP, L.L.C. (“CCPGP”). Stephen C. Freidheim is the Manager and Sole Member of CCPGP and the Chief Investment Officer of CCP. Mr. Freidheim, CCPGP and CCP each disclaim beneficial ownership of such securities except to the extent of their pecuniary interests therein.</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65 East 55th Street, 35th Floor, New York, New York 10022.</w:t>
      </w:r>
    </w:p>
    <w:p>
      <w:pPr>
        <w:spacing w:after="0" w:line="109" w:lineRule="exact"/>
        <w:rPr>
          <w:sz w:val="20"/>
          <w:szCs w:val="20"/>
          <w:color w:val="auto"/>
        </w:rPr>
      </w:pPr>
    </w:p>
    <w:p>
      <w:pPr>
        <w:ind w:left="340" w:hanging="332"/>
        <w:spacing w:after="0" w:line="245" w:lineRule="auto"/>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71,730 shares of common stock held of record by Advanced Series Trust - AST High Yield Portfolio, (ii) 47,987 shares of common stock held of record by Advanced Series Trust - AST J.P. Morgan Global Thematic Portfolio, (iii) 34,341 shares of common stock held of record by Advanced Series Trust - AST J.P. Morgan Strategic Opportunities Portfolio, (iv) 6,341 shares of common stock held of record by AON Collective Investment Trust (f/k/a: AON Hewitt Collective Investment Trust), (v) 29,411 shares of common stock held of record by AON Investments USA Inc. (f/k/a: AON Hewitt Investment Consulting, Inc.), (vi) 141,242 shares of common stock held of record by Commingled Pension Trust Fund (High Yield) of JPMorgan Chase Bank, N.A, (vii) 7,044 shares of common stock held of record by GIM Specialist Investment Funds - GIM Multi Sector Credit Fund, (viii) 62,219 shares of common stock held of record by GIM Trust 2 - Senior Secured Loan Fund, (ix) 4,146 shares of common stock held of record by JPMorgan Chase Retirement Plan Trust, (x) 20,845 shares of common stock held of record by JPMorgan Diversified Fund, (xi) 193,814 shares of common stock held of record by JPMorgan Floating Rate Income Fund, (xii) 56,041 shares of common stock held of record by JPMorgan Global Allocation Fund, (xiii) 54,621 shares of common stock held of record by JPMorgan Global Bond Opportunities Fund, (xiv) 1,613,147 shares of common stock held of record by JPMorgan High Yield Fund, (xv) 734,498 shares of common stock held of record by JPMorgan Income Builder Fund, (xvi) 3,983 shares of common stock held of record by JPMorgan Income Fund, (xvii) 366,992 shares of common stock held of record by JPMorgan Strategic Income Opportunities Fund, (xviii) 57,095 shares of common stock held of record by Louisiana State Employees' Retirement System, and (xix) 266,973 shares of common stock held of record by LVIP JPMorgan High Yield Fund (each of the foregoing entities, the “JPMorgan Selling Security Holders”).</w:t>
      </w:r>
    </w:p>
    <w:p>
      <w:pPr>
        <w:spacing w:after="0" w:line="244" w:lineRule="exact"/>
        <w:rPr>
          <w:sz w:val="20"/>
          <w:szCs w:val="20"/>
          <w:color w:val="auto"/>
        </w:rPr>
      </w:pPr>
    </w:p>
    <w:p>
      <w:pPr>
        <w:ind w:left="340" w:right="400"/>
        <w:spacing w:after="0" w:line="282" w:lineRule="auto"/>
        <w:rPr>
          <w:sz w:val="20"/>
          <w:szCs w:val="20"/>
          <w:color w:val="auto"/>
        </w:rPr>
      </w:pPr>
      <w:r>
        <w:rPr>
          <w:rFonts w:ascii="Times New Roman" w:cs="Times New Roman" w:eastAsia="Times New Roman" w:hAnsi="Times New Roman"/>
          <w:sz w:val="14"/>
          <w:szCs w:val="14"/>
          <w:color w:val="auto"/>
        </w:rPr>
        <w:t>JPMorgan Investment Management Inc. and JPMorgan Chase Bank, N.A., as the investment advisor and/or trustee of the JPMorgan Selling Security Holders, may be deemed to share voting and dispositive power over the shares of common stock beneficially owned by the JPMorgan Selling Security Holders.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1 E Ohio St., Floor 06, Indianapolis, Indiana 46204.</w:t>
      </w:r>
    </w:p>
    <w:p>
      <w:pPr>
        <w:spacing w:after="0" w:line="109" w:lineRule="exact"/>
        <w:rPr>
          <w:sz w:val="20"/>
          <w:szCs w:val="20"/>
          <w:color w:val="auto"/>
        </w:rPr>
      </w:pPr>
    </w:p>
    <w:p>
      <w:pPr>
        <w:ind w:left="340" w:right="220" w:hanging="332"/>
        <w:spacing w:after="0" w:line="251" w:lineRule="auto"/>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465,264 shares of common stock and 79,825 Warrant Shares held of record by Orbis SICAV – Global Balanced Fund, (ii) 1,735 shares of common stock and 297 Warrant Shares held of record by Orbis SICAV – Global Cautious Fund, (iii) 8,078 shares of common stock and 1,293 Warrant Shares held of record by Orbis OEIC – Global Balanced Fund, (iv) 1,794 shares of common stock and 358 Warrant Shares held of record by Orbis OEIC – Global Cautious Fund, (v) 722 shares of common stock and 270 Warrant Shares held of record by Orbis Global Balanced Fund (Australia Registered), and (vi) 3,194 shares of common stock and 1,202 Warrant Shares held of record by Allan Gray Australia Balanced Fund (each of the foregoing entities, the “Orbis Selling Security Holders”).</w:t>
      </w:r>
    </w:p>
    <w:p>
      <w:pPr>
        <w:spacing w:after="0" w:line="76"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4"/>
          <w:szCs w:val="14"/>
          <w:color w:val="auto"/>
        </w:rPr>
        <w:t>Orbis Investment Management Limited, as the investment manager of the Orbis Selling Security Holders, may be deemed to share voting and dispositive power over the shares of common stock beneficially owned by the Orbis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PO Box HM 571, Hamilton, Bermuda HM CX.</w:t>
      </w:r>
    </w:p>
    <w:p>
      <w:pPr>
        <w:spacing w:after="0" w:line="109" w:lineRule="exact"/>
        <w:rPr>
          <w:sz w:val="20"/>
          <w:szCs w:val="20"/>
          <w:color w:val="auto"/>
        </w:rPr>
      </w:pPr>
    </w:p>
    <w:p>
      <w:pPr>
        <w:ind w:left="340" w:hanging="332"/>
        <w:spacing w:after="0" w:line="282" w:lineRule="auto"/>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200,962 shares of common stock held of record by Fernwood Associates LLC, (ii) 43,707 shares of common stock held of record by Fernwood Foundation Fund LLC, and (iii) 192,417 shares of common stock held of record by Fernwood Restructurings Limited.</w:t>
      </w:r>
    </w:p>
    <w:p>
      <w:pPr>
        <w:spacing w:after="0" w:line="54"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4"/>
          <w:szCs w:val="14"/>
          <w:color w:val="auto"/>
        </w:rPr>
        <w:t>Intermarket L.P., as the managing member of Fernwood Associates LLC and Fernwood Foundation Fund LLC, may be deemed to share voting and dispositive power over the shares of common stock beneficially owned by Fernwood Associates LLC and Fernwood Foundation Fund LLC. Intermarket Management L.P., as the investment manager of Fernwood Restructurings Limited, may be deemed to share voting and dispositive power over the shares of common stock beneficially owned by Fernwood Restructurings Limited.</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c/o Intermarket Corporation, 888 Seventh Avenue, 27th Floor, New York, New York 10106.</w:t>
      </w:r>
    </w:p>
    <w:p>
      <w:pPr>
        <w:spacing w:after="0" w:line="109" w:lineRule="exact"/>
        <w:rPr>
          <w:sz w:val="20"/>
          <w:szCs w:val="20"/>
          <w:color w:val="auto"/>
        </w:rPr>
      </w:pPr>
    </w:p>
    <w:p>
      <w:pPr>
        <w:ind w:left="340" w:right="20" w:hanging="332"/>
        <w:spacing w:after="0" w:line="255" w:lineRule="auto"/>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3,262 shares of common stock and 705 Warrant Shares held of record by MacKay Shields High Yield CIT Fund, (ii) 306,264 shares of common stock and 38,941 Warrant Shares held of record by Mainstay MacKay High Yield Corporate Bond Fund, (iii) 76,626 shares of common stock and 9,742 Warrant Shares held of record by Mainstay VP MacKay High Yield Corporate Bond, (iv) 20,846 shares of common stock and 2,650 Warrant Shares held of record by Mainstay MacKay Short Duration High Yield Fund, and (v) 78,624 shares of common stock and 31,422 Warrant Shares held of record by additional accounts managed by MacKay Shields LLC (each of the foregoing entities, the “MacKay Selling Security Holders”).</w:t>
      </w:r>
    </w:p>
    <w:p>
      <w:pPr>
        <w:spacing w:after="0" w:line="72"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4"/>
          <w:szCs w:val="14"/>
          <w:color w:val="auto"/>
        </w:rPr>
        <w:t>These shares of common stock and Warrant Shares represent only those securities that are controlled by the High Yield team of MacKay Shields LLC as investment manager and may not represent all securities of the Company beneficially owned by the MacKay Selling Security Holders.</w:t>
      </w:r>
    </w:p>
    <w:p>
      <w:pPr>
        <w:spacing w:after="0" w:line="54"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4"/>
          <w:szCs w:val="14"/>
          <w:color w:val="auto"/>
        </w:rPr>
        <w:t>MacKay Shields LLC, as the investment manager of the MacKay Selling Security Holders, may be deemed to share voting and dispositive power over the shares of common stock beneficially owned by the MacKay Selling Security Holders.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business address for the funds named in this footnote is 1345 Avenue of the Americas, 43rd Floor, New York, New York 10105.</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Relationships with Selling Security 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disclosed below, none of the selling security holders has had any material relationships with the Company within the past three years.</w:t>
      </w:r>
    </w:p>
    <w:p>
      <w:pPr>
        <w:spacing w:after="0" w:line="19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selling security holders are not directors, officers or employees of ours or an affiliate of such person. Pursuant to the Plan and the Amended and Restated Restructuring Support Agreement, dated as of July 24, 2020, by and among the Company and the other parties thereto (“RSA”), the following members of our Board were designated to serve on the Board by certain of the selling security holders: (i) Douglas E. Brooks, who was designated by the Ares Selling Security Holders (and who is not employed by or affiliated with one or more funds, investment vehicles and/or accounts managed or advised by Ares Management LLC or one or more of their affiliates); (ii) Mark A. McFarland, who was designated by the Fidelity Selling Security Holders (and who is not employed by or affiliated with the Fidelity Selling Security Holders); and (iii) James N. Chapman, who was designated by the GoldenTree Selling Security Holders (and who is not employed by or affiliated with the GoldenTree Selling Security Holders). In addition, the remaining directors, other than Todd A. Stevens who also serves as our President and Chief Executive Officer, were designated by the Required Consenting Creditors (as defined in the RSA).</w:t>
      </w:r>
    </w:p>
    <w:p>
      <w:pPr>
        <w:spacing w:after="0" w:line="148" w:lineRule="exact"/>
        <w:rPr>
          <w:sz w:val="20"/>
          <w:szCs w:val="20"/>
          <w:color w:val="auto"/>
        </w:rPr>
      </w:pPr>
    </w:p>
    <w:p>
      <w:pPr>
        <w:ind w:right="60" w:firstLine="324"/>
        <w:spacing w:after="0" w:line="238" w:lineRule="auto"/>
        <w:rPr>
          <w:sz w:val="20"/>
          <w:szCs w:val="20"/>
          <w:color w:val="auto"/>
        </w:rPr>
      </w:pPr>
      <w:r>
        <w:rPr>
          <w:rFonts w:ascii="Times New Roman" w:cs="Times New Roman" w:eastAsia="Times New Roman" w:hAnsi="Times New Roman"/>
          <w:sz w:val="18"/>
          <w:szCs w:val="18"/>
          <w:color w:val="auto"/>
        </w:rPr>
        <w:t>Additionally, prior to the Company’s emergence from bankruptcy, we held 50% of the Class A common interests and 95.25% of the Class C common interests in Elk Hills Power, a midstream joint venture with ECR Corporate Holdings L.P. (“ECR”), a portfolio company of Ares. In connection with our Chapter 11 bankruptcy proceedings, we entered into a Settlement and Assumption Agreement (the “Settlement Agreement”) with ECR and Ares, which granted us the right (the “Conversion Right”) to acquire all but not less than all of the equity interests of Elk Hills Power owned by ECR in exchange for certain eligible securities in the form of secured notes (the “EHP Notes”) of EHP Midco Holding Company, LLC, a wholly owned subsidiary of the Company, and the Company’s new common stock to be issued upon the Company’s emergence from bankruptcy. On the Effective Date, the Company was deemed to have exercised the Conversion Right and caused the issuance of secured notes in the aggregate principal amount of $300,000,000 and new common stock representing approximately 20.8% of the Company’s common stock at emergence (the “Ares Settlement Stock”). Upon the conversion, Elk Hills Power became a wholly-owned subsidiary of the Company, and Ares ceased to have any direct or indirect interest in Elk Hills Power, other than any interest Ares may have indirectly through its interests in the EHP Notes and the Ares Settlement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89"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table below sets forth information, as of the later of November 23, 2020 and the date we received the selling security holder questionnaire from the applicable holder, regarding the amount and percentage of our outstanding shares of common stock beneficially owned by (i) each person known by us to own beneficially more than 5% of our outstanding common stock (based on Schedule 13G or Schedule 13D filings with the SEC and information supplied by the applicable selling security holders), (ii) each of our named executive officers and directors, and (iii) all of our executive officers and directors as a group. Unless otherwise indicated, each of the persons below has sole voting and investment power with respect to the shares beneficially owned by such person.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2100" w:type="dxa"/>
            <w:vAlign w:val="bottom"/>
            <w:vMerge w:val="restart"/>
          </w:tcPr>
          <w:p>
            <w:pPr>
              <w:spacing w:after="0"/>
              <w:rPr>
                <w:sz w:val="13"/>
                <w:szCs w:val="13"/>
                <w:color w:val="auto"/>
              </w:rPr>
            </w:pPr>
          </w:p>
        </w:tc>
        <w:tc>
          <w:tcPr>
            <w:tcW w:w="264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7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Percent of Class(3)</w:t>
            </w:r>
          </w:p>
        </w:tc>
        <w:tc>
          <w:tcPr>
            <w:tcW w:w="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Borders>
              <w:bottom w:val="single" w:sz="8" w:color="auto"/>
            </w:tcBorders>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7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Ownership(2)</w:t>
            </w:r>
          </w:p>
        </w:tc>
        <w:tc>
          <w:tcPr>
            <w:tcW w:w="920" w:type="dxa"/>
            <w:vAlign w:val="bottom"/>
          </w:tcPr>
          <w:p>
            <w:pPr>
              <w:spacing w:after="0"/>
              <w:rPr>
                <w:sz w:val="12"/>
                <w:szCs w:val="12"/>
                <w:color w:val="auto"/>
              </w:rPr>
            </w:pPr>
          </w:p>
        </w:tc>
        <w:tc>
          <w:tcPr>
            <w:tcW w:w="1740" w:type="dxa"/>
            <w:vAlign w:val="bottom"/>
            <w:tcBorders>
              <w:bottom w:val="single" w:sz="8" w:color="auto"/>
            </w:tcBorders>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Fidelity(4)</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19,224,005</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GoldenTree(5)</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17,788,247</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Ares(6)</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17,324,848</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JB Investors, LLC(7)</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6,728,078</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Todd A. Stevens</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2,500</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Douglas E. Brooks</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Tiffany (TJ) Thom Cepak</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N. Chapman</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 A. McFarland</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Julio M. Quintana</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B. Roby</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Steck</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 Preston</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F. Weiss</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Darren Williams</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Marshall D. Smith(8)</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officers and directors as a group (consisting of 12 persons)</w:t>
            </w:r>
          </w:p>
        </w:tc>
        <w:tc>
          <w:tcPr>
            <w:tcW w:w="26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2,500</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2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Less than 1%.</w:t>
            </w:r>
          </w:p>
        </w:tc>
        <w:tc>
          <w:tcPr>
            <w:tcW w:w="1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below, the address for each beneficial owner is c/o California Resources Corporation, 27200 Tourney Road, Suite 200, Santa Clarita, California 91355.</w:t>
      </w:r>
    </w:p>
    <w:p>
      <w:pPr>
        <w:spacing w:after="0" w:line="109" w:lineRule="exact"/>
        <w:rPr>
          <w:rFonts w:ascii="Times New Roman" w:cs="Times New Roman" w:eastAsia="Times New Roman" w:hAnsi="Times New Roman"/>
          <w:sz w:val="14"/>
          <w:szCs w:val="14"/>
          <w:color w:val="auto"/>
        </w:rPr>
      </w:pPr>
    </w:p>
    <w:p>
      <w:pPr>
        <w:ind w:left="340" w:right="380" w:hanging="332"/>
        <w:spacing w:after="0" w:line="282" w:lineRule="auto"/>
        <w:tabs>
          <w:tab w:leader="none" w:pos="32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issuable upon the exercise of the New Warrants, which are exercisable within 60 days of November 23, 2020. For more information, please refer to the footnotes of the selling security holder table provided under the “Selling Security Holders” section above.</w:t>
      </w:r>
    </w:p>
    <w:p>
      <w:pPr>
        <w:spacing w:after="0" w:line="53" w:lineRule="exact"/>
        <w:rPr>
          <w:rFonts w:ascii="Times New Roman" w:cs="Times New Roman" w:eastAsia="Times New Roman" w:hAnsi="Times New Roman"/>
          <w:sz w:val="14"/>
          <w:szCs w:val="14"/>
          <w:color w:val="auto"/>
        </w:rPr>
      </w:pPr>
    </w:p>
    <w:p>
      <w:pPr>
        <w:ind w:left="340" w:right="60" w:hanging="332"/>
        <w:spacing w:after="0" w:line="282" w:lineRule="auto"/>
        <w:tabs>
          <w:tab w:leader="none" w:pos="32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common stock beneficially owned is based on a denominator equal to the sum of (i) 83,319,660 shares of our common stock outstanding as of November 23, 2020 and (ii) the number of Warrant Shares beneficially owned by the applicable beneficial holder.</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about Fidelity’s beneficial ownership of our shares, please see footnote 8 to the table in “Selling Security Holders”.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about GoldenTree’s beneficial ownership of our shares, please see footnote 9 to the table in “Selling Security Holders.”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about Ares’ beneficial ownership of our shares, please see footnote 4 to the table in “Selling Security Holders.”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about JB Investors, LLC’s beneficial ownership of our shares, please see footnote 11 to the table in “Selling Security Holders.”</w:t>
      </w:r>
    </w:p>
    <w:p>
      <w:pPr>
        <w:spacing w:after="0" w:line="109" w:lineRule="exact"/>
        <w:rPr>
          <w:rFonts w:ascii="Times New Roman" w:cs="Times New Roman" w:eastAsia="Times New Roman" w:hAnsi="Times New Roman"/>
          <w:sz w:val="14"/>
          <w:szCs w:val="14"/>
          <w:color w:val="auto"/>
        </w:rPr>
      </w:pPr>
    </w:p>
    <w:p>
      <w:pPr>
        <w:ind w:left="340" w:right="380" w:hanging="332"/>
        <w:spacing w:after="0" w:line="282" w:lineRule="auto"/>
        <w:tabs>
          <w:tab w:leader="none" w:pos="32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Smith left his role as Senior Executive Vice President and Chief Financial Officer effective as of August 14, 2020. According to his most recent Form 4, Mr. Smith owned 126,134 shares of our common stock as of February 24, 2020. All of those shares were cancelled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ind w:right="260" w:firstLine="324"/>
        <w:spacing w:after="0" w:line="241" w:lineRule="auto"/>
        <w:rPr>
          <w:sz w:val="20"/>
          <w:szCs w:val="20"/>
          <w:color w:val="auto"/>
        </w:rPr>
      </w:pPr>
      <w:r>
        <w:rPr>
          <w:rFonts w:ascii="Times New Roman" w:cs="Times New Roman" w:eastAsia="Times New Roman" w:hAnsi="Times New Roman"/>
          <w:sz w:val="18"/>
          <w:szCs w:val="18"/>
          <w:color w:val="auto"/>
        </w:rPr>
        <w:t>The following description of our capital stock, together with the additional information we include in any applicable prospectus supplements, summarizes the material terms and provisions of our capital stock that we may offer, in the case of our common stock, under this prospectus. It may not contain all the information that is important to you. For the complete terms of our common stock and preferred stock, please refer to our Amended and Restated Certificate of Incorporation (“Certificate of Incorporation”) and our Amended and Restated Bylaws (“Bylaws”), which are incorporated by reference into the registration statement which includes this prospectus. The Delaware General Corporation Law (“DGCL”) may also affect the terms of these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authorized capital stock consists of 220,000,000 shares, which include 200,000,000 shares of the common stock and 20,000,000 shares of preferred stock, par value $0.01 per share (the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Subject to the rights granted to any holders of the preferred stock, holders of the common stock will be entitled to dividends and distributions (payable in cash, stock or otherwise) as may be declared on the common stock by the Board at any time and from time to time out of any funds of the Company legally available for the payment of such dividends or distributions.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7"/>
          <w:szCs w:val="17"/>
          <w:color w:val="auto"/>
        </w:rPr>
        <w:t>Unless otherwise provided by law or in the certificate of designation for any series of preferred stock, each holder of outstanding shares of the common stock is entitled to one vote for each share of the common stock on all matters presented to the stockholders of the Company (including the election of directors). Except as otherwise required by law, the holders of the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on such amendment pursuant to the Certificate of Incorporation or the DGCL. Except as otherwise provided by law, the rules and regulations of any stock exchange applicable to the Company, the Certificate of Incorporation or in the Bylaws, in all matters other than the election of directors and certain non-binding advisory votes described below, the affirmative vote of a majority in voting power of the shares present in person or represented by proxy at the meeting and entitled to vote on the matters will be the act of the stockholders. In non-binding advisory matters with more than two possible vote choices, the affirmative vote of a plurality of the shares present in person or represented by proxy at the meeting and entitled to vote on the matter will be the recommendation of the stockholders. Directors will be elected by a plurality of the validly cast votes represented in person or by proxy with respect to the election. There are no cumulative voting rights for the election of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common stock will share ratably in the Company’s assets on liquidation after payment or provision for all debts and other liabilities and any preferential liquidation rights of any preferred stock then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75"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holders of the common stock do not have preemptive rights to purchase shares of the Company’s stock. The common stock is not convertible, redeemable, assessable or entitled to the benefits of any sinking or repurchase fund. The rights, preferences and privileges of holders of the common stock will be subject to those of the holders of any shares of preferred stock that the Company may issue in the future.</w:t>
      </w:r>
    </w:p>
    <w:p>
      <w:pPr>
        <w:spacing w:after="0" w:line="150"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Under the terms of the Certificate of Incorporation and the Bylaws, the Company is prohibited from issuing any non-voting equity securities to the extent required under Section 1123(a)(6) of the Bankruptcy Code and only for so long as Section 1123 of the Bankruptcy Code is in effect and applicable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w:t>
      </w:r>
    </w:p>
    <w:p>
      <w:pPr>
        <w:spacing w:after="0" w:line="189"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The Certificate of Incorporation provides that no director will be personally liable to the Company or its stockholders for monetary damages for breach of fiduciary duty as a director, except to the extent such elimination or limitation of liability is not permitted under the DGCL. The effect of this provision is to eliminate the Company’s and its stockholders’ rights, through stockholders’ derivative suits on the Company’s behalf, to recover monetary damages against a director for a breach of fiduciary duty as a director.</w:t>
      </w:r>
    </w:p>
    <w:p>
      <w:pPr>
        <w:spacing w:after="0" w:line="140"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the Certificate of Incorporation, the Bylaws and the DGCL</w:t>
      </w:r>
    </w:p>
    <w:p>
      <w:pPr>
        <w:spacing w:after="0" w:line="189" w:lineRule="exact"/>
        <w:rPr>
          <w:sz w:val="20"/>
          <w:szCs w:val="20"/>
          <w:color w:val="auto"/>
        </w:rPr>
      </w:pPr>
    </w:p>
    <w:p>
      <w:pPr>
        <w:jc w:val="both"/>
        <w:ind w:right="100" w:firstLine="324"/>
        <w:spacing w:after="0" w:line="245" w:lineRule="auto"/>
        <w:rPr>
          <w:sz w:val="20"/>
          <w:szCs w:val="20"/>
          <w:color w:val="auto"/>
        </w:rPr>
      </w:pPr>
      <w:r>
        <w:rPr>
          <w:rFonts w:ascii="Times New Roman" w:cs="Times New Roman" w:eastAsia="Times New Roman" w:hAnsi="Times New Roman"/>
          <w:sz w:val="18"/>
          <w:szCs w:val="18"/>
          <w:color w:val="auto"/>
        </w:rPr>
        <w:t>The Certificate of Incorporation, the Bylaws and the DGCL contain provisions that may have some anti-takeover effects and may delay or discourage transactions involving an actual or potential change in control or change in the Company’s management, or transactions that the Company’s stockholders might otherwise deem to be in their best interests or in the Company’s best interests, including transactions that might result in a premium over the market price for the Company’s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160" w:firstLine="324"/>
        <w:spacing w:after="0" w:line="264" w:lineRule="auto"/>
        <w:rPr>
          <w:sz w:val="20"/>
          <w:szCs w:val="20"/>
          <w:color w:val="auto"/>
        </w:rPr>
      </w:pPr>
      <w:r>
        <w:rPr>
          <w:rFonts w:ascii="Times New Roman" w:cs="Times New Roman" w:eastAsia="Times New Roman" w:hAnsi="Times New Roman"/>
          <w:sz w:val="17"/>
          <w:szCs w:val="17"/>
          <w:color w:val="auto"/>
        </w:rPr>
        <w:t>The Board is empowered, without further vote or action by the stockholders (except as may otherwise be provided by the terms of any series of then-outstanding preferred stock), to (i) authorize the issuance of the preferred stock in one or more series, (ii) determine the designations and the powers, preferences, rights, qualifications, limitations and restrictions thereof, (iii) divide at its option such preferred stock into one or more series, (iv) determine variations, if any, between any series so established, and (v) increase or decrease the number of shares of any such series to the extent permitted by law.</w:t>
      </w:r>
    </w:p>
    <w:p>
      <w:pPr>
        <w:spacing w:after="0" w:line="139"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the common stock. At present, the Company has no plans to issue any preferred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Written Consent of Stockholders; Calling of Special Meeting of Stockholders</w:t>
      </w:r>
    </w:p>
    <w:p>
      <w:pPr>
        <w:spacing w:after="0" w:line="175" w:lineRule="exact"/>
        <w:rPr>
          <w:sz w:val="20"/>
          <w:szCs w:val="20"/>
          <w:color w:val="auto"/>
        </w:rPr>
      </w:pPr>
    </w:p>
    <w:p>
      <w:pPr>
        <w:ind w:right="160" w:firstLine="324"/>
        <w:spacing w:after="0" w:line="245" w:lineRule="auto"/>
        <w:rPr>
          <w:sz w:val="20"/>
          <w:szCs w:val="20"/>
          <w:color w:val="auto"/>
        </w:rPr>
      </w:pPr>
      <w:r>
        <w:rPr>
          <w:rFonts w:ascii="Times New Roman" w:cs="Times New Roman" w:eastAsia="Times New Roman" w:hAnsi="Times New Roman"/>
          <w:sz w:val="18"/>
          <w:szCs w:val="18"/>
          <w:color w:val="auto"/>
        </w:rPr>
        <w:t>The Bylaws provide that any action required or permitted to be taken by the Company’s stockholders must be taken at a duly called annual or special meeting of stockholders and not by written consent. Special meetings of stockholders may be called only by the Chairman of the Board or the Board pursuant to a resolution adopted by a majority of the total number of directors then in office. Stockholders may not call or request special meetings of stockholders.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by a majority of the directors then in office and the affirmative vote of the holders of a majority in voting power of the outstanding shares of stock of the Company entitled to vote thereon, voting together as a single class, in addition to any vote of holders of any class or series of stock of the Company required by law or by the Certificate of Incorporation, will be required to amend, alter, restate or repeal any provision of the Certificate of Incorporation. However, certain provisions of the Certificate of Incorporation related to the Board, the ability of stockholders to act by written consent, special meetings of stockholders, the amendment of the Certificate of Incorporation, the forum for certain disputes related to the Company or its stockholders, and the applicability of Section 203 of the DGCL may be amended only by the affirmative vote of the holders of at least 75% in voting power of the outstanding shares of stock of the Company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89"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Under the DGCL, the power to adopt, amend or repeal bylaws is conferred upon the stockholders. A corporation may, however, in its certificate of incorporation also confer upon the board of directors the power to adopt, amend or repeal its bylaws. The Certificate of Incorporation and the Bylaws grant to the Board the power to adopt, amend, restate or repeal the Bylaws. The stockholders may amend, alter or repeal the Bylaws but only by a vote of holders of a majority in voting power of the outstanding shares of the Company entitled to vote thereon.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Bylaws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 notice is required for stockholders to nominate directors or to submit proposals for consideration at meetings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Size; Director Removal</w:t>
      </w:r>
    </w:p>
    <w:p>
      <w:pPr>
        <w:spacing w:after="0" w:line="175" w:lineRule="exact"/>
        <w:rPr>
          <w:sz w:val="20"/>
          <w:szCs w:val="20"/>
          <w:color w:val="auto"/>
        </w:rPr>
      </w:pPr>
    </w:p>
    <w:p>
      <w:pPr>
        <w:ind w:right="840"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the number of directors on the Board will initially be nine and will be fixed from time to time exclusively pursuant to a resolution adopted by the Board.</w:t>
      </w:r>
    </w:p>
    <w:p>
      <w:pPr>
        <w:spacing w:after="0" w:line="122"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Any director may be removed at any time (i) for cause upon the affirmative vote of the holders of at least a majority in voting power of the outstanding shares of stock of the Company entitled to vote generally for the election of directors or (ii) without cause upon the affirmative vote of the holders of at least 75% in voting power of the outstanding shares of stock of the Company entitled to vote generally for the election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 Newly Created Directorships</w:t>
      </w:r>
    </w:p>
    <w:p>
      <w:pPr>
        <w:spacing w:after="0" w:line="175" w:lineRule="exact"/>
        <w:rPr>
          <w:sz w:val="20"/>
          <w:szCs w:val="20"/>
          <w:color w:val="auto"/>
        </w:rPr>
      </w:pPr>
    </w:p>
    <w:p>
      <w:pPr>
        <w:jc w:val="both"/>
        <w:ind w:right="160" w:firstLine="324"/>
        <w:spacing w:after="0" w:line="250" w:lineRule="auto"/>
        <w:rPr>
          <w:sz w:val="20"/>
          <w:szCs w:val="20"/>
          <w:color w:val="auto"/>
        </w:rPr>
      </w:pPr>
      <w:r>
        <w:rPr>
          <w:rFonts w:ascii="Times New Roman" w:cs="Times New Roman" w:eastAsia="Times New Roman" w:hAnsi="Times New Roman"/>
          <w:sz w:val="18"/>
          <w:szCs w:val="18"/>
          <w:color w:val="auto"/>
        </w:rPr>
        <w:t>Under the Certificate of Incorporation and the Bylaws, any vacancies on the Board for any reason and any newly created directorships resulting from any increase in the number of directors may only be filled by the affirmative vote of a majority of the total number of directors then in office, even if they constitute less than a quorum of the Board, or by a sole remaining director, and may not be filled by the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do not have the right to cumulate votes, as discussed further under “Common Stock—Voting.”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in its Certificate of Incorporation to be subject to Section 203 of the DGCL.</w:t>
      </w:r>
    </w:p>
    <w:p>
      <w:pPr>
        <w:spacing w:after="0" w:line="185"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w:t>
      </w:r>
    </w:p>
    <w:p>
      <w:pPr>
        <w:spacing w:after="0" w:line="143" w:lineRule="exact"/>
        <w:rPr>
          <w:sz w:val="20"/>
          <w:szCs w:val="20"/>
          <w:color w:val="auto"/>
        </w:rPr>
      </w:pPr>
    </w:p>
    <w:p>
      <w:pPr>
        <w:ind w:left="660" w:right="360" w:hanging="328"/>
        <w:spacing w:after="0" w:line="266"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that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9"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is approved by the board of directors of the corporation and authorized at an annual or special meeting of the stockholders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53" w:lineRule="exact"/>
        <w:rPr>
          <w:sz w:val="20"/>
          <w:szCs w:val="20"/>
          <w:color w:val="auto"/>
        </w:rPr>
      </w:pPr>
    </w:p>
    <w:p>
      <w:pPr>
        <w:ind w:right="2140" w:firstLine="648"/>
        <w:spacing w:after="0" w:line="446" w:lineRule="auto"/>
        <w:rPr>
          <w:sz w:val="20"/>
          <w:szCs w:val="20"/>
          <w:color w:val="auto"/>
        </w:rPr>
      </w:pPr>
      <w:r>
        <w:rPr>
          <w:rFonts w:ascii="Times New Roman" w:cs="Times New Roman" w:eastAsia="Times New Roman" w:hAnsi="Times New Roman"/>
          <w:sz w:val="18"/>
          <w:szCs w:val="18"/>
          <w:color w:val="auto"/>
        </w:rPr>
        <w:t xml:space="preserve">affirmative vote of at least two-thirds of the outstanding voting stock that is not owned by the interested stockholder. </w:t>
      </w:r>
      <w:r>
        <w:rPr>
          <w:rFonts w:ascii="Times New Roman" w:cs="Times New Roman" w:eastAsia="Times New Roman" w:hAnsi="Times New Roman"/>
          <w:sz w:val="18"/>
          <w:szCs w:val="18"/>
          <w:b w:val="1"/>
          <w:bCs w:val="1"/>
          <w:i w:val="1"/>
          <w:iCs w:val="1"/>
          <w:color w:val="auto"/>
        </w:rPr>
        <w:t>Exclusive Forum</w:t>
      </w:r>
    </w:p>
    <w:p>
      <w:pPr>
        <w:ind w:firstLine="324"/>
        <w:spacing w:after="0"/>
        <w:rPr>
          <w:sz w:val="20"/>
          <w:szCs w:val="20"/>
          <w:color w:val="auto"/>
        </w:rPr>
      </w:pPr>
      <w:r>
        <w:rPr>
          <w:rFonts w:ascii="Times New Roman" w:cs="Times New Roman" w:eastAsia="Times New Roman" w:hAnsi="Times New Roman"/>
          <w:sz w:val="18"/>
          <w:szCs w:val="18"/>
          <w:color w:val="auto"/>
        </w:rPr>
        <w:t>The Certificate of Incorporation provides that, unless the Company consents in writing to the selection of an alternative forum, the Court of Chancery of the State of Delaware (or if the Court of Chancery does not have jurisdiction, the federal district court for the District of Delaware) will, to the fullest extent permitted by law, be the exclusive forum for (i) any derivative action or proceeding brought on the Company’s behalf, (ii) any action asserting a breach of fiduciary duty, (iii) any action asserting a claim against the Company or any current or former director, officer, employee or agent of the Company arising pursuant to the DGCL, the Certificate of Incorporation or the Bylaws, or (iv) any action asserting a claim governed by the internal affairs doctrine. To the fullest extent permitted by law, any person or entity purchasing or otherwise holding any interest in shares of capital stock of the Company will be deemed to have notice of and consented to the foregoing forum selection provisions.</w:t>
      </w:r>
    </w:p>
    <w:p>
      <w:pPr>
        <w:spacing w:after="0" w:line="144"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The forum selection provisions described above do not apply to any action or proceeding asserting a claim under the Securities Act, or the Securities Exchange Act of 1934, as amended (the “Exchange Act”). Unless the Company consents in writing to the selection of an alternative forum, the federal district courts of the United States will be the exclusive forum for the resolution of any complaint asserting a cause of action arising under the Securities Act or the Exchange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American Stock Transfer &amp; Trust Company,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quoted on the NYSE under the symbol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320" w:top="1440" w:right="399" w:bottom="1440" w:gutter="0" w:footer="0" w:header="0"/>
        </w:sectPr>
      </w:pPr>
    </w:p>
    <w:bookmarkStart w:id="28" w:name="page29"/>
    <w:bookmarkEnd w:id="28"/>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considerations related to the purchase, ownership and disposition of our common stock by a non-U.S. holder (as defined below) that holds our common stock as a “capital asset” within the meaning of Section 1221 of the Code (generally, property held for investment). This summary is based on the provisions of the Internal Revenue Code of 1986, as amended (the “Code”), U.S. Treasury regulations promulgated thereunder, administrative rulings and judicial decisions, all as in effect on the date hereof, and all of which are subject to change, possibly with retroactive effect. We have not sought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30"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impact of the Medicare surtax on certain net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140" w:lineRule="exact"/>
        <w:rPr>
          <w:sz w:val="20"/>
          <w:szCs w:val="20"/>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(or any entities all of the interests of which are held by a qualified foreign pension fund);</w:t>
      </w:r>
    </w:p>
    <w:p>
      <w:pPr>
        <w:spacing w:after="0" w:line="13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holders of interests therein;</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8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employee stock options or otherwise as compensation or through a tax-qualified retirement plan;</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appreciated financial position, synthetic security, hedge, conversion transaction or other integrated investment or risk reduction transaction; and</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81"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TAX ADVISORS WITH RESPECT TO THE APPLICATION OF THE U.S. FEDERAL INCOME TAX LAWS TO THEIR PARTICULAR SITUATION, AS WELL AS ANY TAX CONSEQUENCES OF THE PURCHASE, OWNERSHIP AND DISPOSITION OF OUR COMMON STOCK ARISING UNDER THE U.S. FEDERAL ESTATE OR GIFT TAX LAWS OR UNDER THE LAWS OF ANY STATE, LOCAL, NON-U.S. OR OTHER TAXING JURISDICTION OR UNDER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8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is not for U.S. federal income tax purposes a partnership or any of the following:</w:t>
      </w:r>
    </w:p>
    <w:p>
      <w:pPr>
        <w:spacing w:after="0" w:line="122" w:lineRule="exact"/>
        <w:rPr>
          <w:sz w:val="20"/>
          <w:szCs w:val="20"/>
          <w:color w:val="auto"/>
        </w:rPr>
      </w:pPr>
    </w:p>
    <w:p>
      <w:pPr>
        <w:ind w:left="580" w:hanging="248"/>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3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which has made a valid election under applicable U.S. Treasury regulations to be treated as a United States person.</w:t>
      </w:r>
    </w:p>
    <w:p>
      <w:pPr>
        <w:spacing w:after="0" w:line="136"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We do not expect to pay any distributions on our common stock in the foreseeable future. However, in the event we do make distributions of cash or other property on our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Sale or Other Taxable Disposition of Common Stock.” Subject to the withholding requirements under FATCA (as defined below) and with respect to effectively connected dividends, each of which is discussed below,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148"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 non-U.S. holder generally will not be subject to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or withholding tax on any gain realized upon the sale or other taxable disposition of our common stock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53" w:lineRule="exact"/>
        <w:rPr>
          <w:sz w:val="20"/>
          <w:szCs w:val="20"/>
          <w:color w:val="auto"/>
        </w:rPr>
      </w:pPr>
    </w:p>
    <w:p>
      <w:pPr>
        <w:ind w:left="660" w:right="180" w:hanging="328"/>
        <w:spacing w:after="0" w:line="266" w:lineRule="auto"/>
        <w:tabs>
          <w:tab w:leader="none" w:pos="5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5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5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36" w:lineRule="exact"/>
        <w:rPr>
          <w:sz w:val="20"/>
          <w:szCs w:val="20"/>
          <w:color w:val="auto"/>
        </w:rPr>
      </w:pPr>
    </w:p>
    <w:p>
      <w:pPr>
        <w:jc w:val="both"/>
        <w:ind w:right="100" w:firstLine="324"/>
        <w:spacing w:after="0" w:line="250"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50"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44"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18"/>
          <w:szCs w:val="18"/>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common stock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United States real property interest and will be taxable on gain realized on the disposition of our common stock as a result of our status as a USRPHC. If our common stock were not considered to be regularly traded on an established securities market, each non-U.S. holder (regardless of the percentage of stock owned) would be treated as disposing of a United States real property interest and would be subject to U.S. federal income tax on a taxable disposition of our common stock (as described in the preceding paragraph), and a 15% withholding tax would apply to the gross proceeds from such disposition.</w:t>
      </w:r>
    </w:p>
    <w:p>
      <w:pPr>
        <w:spacing w:after="0" w:line="14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with respect to the application of the foregoing rules to their ownership and disposition of our common stock, including regarding potentially applicable income tax treaties that may provide for different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40"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common stock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60"/>
          </w:cols>
          <w:pgMar w:left="320" w:top="1440" w:right="419" w:bottom="1440" w:gutter="0" w:footer="0" w:header="0"/>
        </w:sectPr>
      </w:pPr>
    </w:p>
    <w:bookmarkStart w:id="31" w:name="page32"/>
    <w:bookmarkEnd w:id="31"/>
    <w:p>
      <w:pPr>
        <w:spacing w:after="0" w:line="153" w:lineRule="exact"/>
        <w:rPr>
          <w:sz w:val="20"/>
          <w:szCs w:val="20"/>
          <w:color w:val="auto"/>
        </w:rPr>
      </w:pPr>
    </w:p>
    <w:p>
      <w:pPr>
        <w:jc w:val="both"/>
        <w:ind w:right="480"/>
        <w:spacing w:after="0" w:line="250" w:lineRule="auto"/>
        <w:rPr>
          <w:sz w:val="20"/>
          <w:szCs w:val="20"/>
          <w:color w:val="auto"/>
        </w:rPr>
      </w:pPr>
      <w:r>
        <w:rPr>
          <w:rFonts w:ascii="Times New Roman" w:cs="Times New Roman" w:eastAsia="Times New Roman" w:hAnsi="Times New Roman"/>
          <w:sz w:val="18"/>
          <w:szCs w:val="18"/>
          <w:color w:val="auto"/>
        </w:rPr>
        <w:t>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50"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175"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5" w:lineRule="exact"/>
        <w:rPr>
          <w:sz w:val="20"/>
          <w:szCs w:val="20"/>
          <w:color w:val="auto"/>
        </w:rPr>
      </w:pPr>
    </w:p>
    <w:p>
      <w:pPr>
        <w:ind w:firstLine="8"/>
        <w:spacing w:after="0" w:line="238" w:lineRule="auto"/>
        <w:tabs>
          <w:tab w:leader="none" w:pos="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common stock.</w:t>
      </w:r>
    </w:p>
    <w:p>
      <w:pPr>
        <w:spacing w:after="0" w:line="158"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INVESTORS CONSIDERING THE PURCHASE OF OUR COMMON STOCK SHOULD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an aggregate of 72,414,790 shares of common stock. Our registered common stock will trade on the NYSE under the symbol “CRC.”</w:t>
      </w:r>
    </w:p>
    <w:p>
      <w:pPr>
        <w:spacing w:after="0" w:line="122"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The common stock being registered is currently owned by the selling security holders. The selling security holders, which as used herein includes donees, pledgees, transferees or other successors-in-interest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security holders may use any one or more of the following methods when disposing of shares or interests therein:</w:t>
      </w:r>
    </w:p>
    <w:p>
      <w:pPr>
        <w:spacing w:after="0" w:line="185" w:lineRule="exact"/>
        <w:rPr>
          <w:sz w:val="20"/>
          <w:szCs w:val="20"/>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57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 holder to sell a specified number of such shares at a stipulated price per share;</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the shares by any selling security holder to its partners, members or stockholders;</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185" w:lineRule="exact"/>
        <w:rPr>
          <w:sz w:val="20"/>
          <w:szCs w:val="20"/>
          <w:color w:val="auto"/>
        </w:rPr>
      </w:pPr>
    </w:p>
    <w:p>
      <w:pPr>
        <w:ind w:right="260" w:firstLine="324"/>
        <w:spacing w:after="0" w:line="241" w:lineRule="auto"/>
        <w:rPr>
          <w:sz w:val="20"/>
          <w:szCs w:val="20"/>
          <w:color w:val="auto"/>
        </w:rPr>
      </w:pPr>
      <w:r>
        <w:rPr>
          <w:rFonts w:ascii="Times New Roman" w:cs="Times New Roman" w:eastAsia="Times New Roman" w:hAnsi="Times New Roman"/>
          <w:sz w:val="18"/>
          <w:szCs w:val="18"/>
          <w:color w:val="auto"/>
        </w:rPr>
        <w:t>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w:t>
      </w:r>
    </w:p>
    <w:p>
      <w:pPr>
        <w:spacing w:after="0" w:line="14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33" w:name="page34"/>
    <w:bookmarkEnd w:id="33"/>
    <w:p>
      <w:pPr>
        <w:spacing w:after="0" w:line="15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58"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The aggregate proceeds to the selling security holders from the sale of the common stock offered by them will be the purchase price of the common stock less discounts or commissions, if any. The selling security holders reserve the right to accept and, together with their agents from time to time, to reject, in whole or in part, any proposed purchase of common stock to be made directly or through agents. We will not receive any of the proceeds from this offering.</w:t>
      </w:r>
    </w:p>
    <w:p>
      <w:pPr>
        <w:spacing w:after="0" w:line="14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 holders also may resell all or a portion of the shares in open market transactions in reliance upon Rule 144 under the Securities Act, provided that they meet the criteria and conform to the requirements of that rule.</w:t>
      </w:r>
    </w:p>
    <w:p>
      <w:pPr>
        <w:spacing w:after="0" w:line="122"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The selling security 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security holders who are “underwriters” within the meaning of Section 2(a)(11) of the Securities Act will be subject to the prospectus delivery requirements of the Securities Act.</w:t>
      </w:r>
    </w:p>
    <w:p>
      <w:pPr>
        <w:spacing w:after="0" w:line="154"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3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6"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to the extent applicable,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158"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We have agreed with the selling security holders to keep the registration statement of which this prospectus constitutes a part effective until the earliest of (1) such time as all of the shares covered by this prospectus have been disposed of pursuant to and in accordance with the registration statement or (2) the date on which the shares may be sold without restriction and without the need for current public information pursuant to Rule 144(b) of the Securities Act.</w:t>
      </w:r>
    </w:p>
    <w:p>
      <w:pPr>
        <w:spacing w:after="0" w:line="14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selling security holders will sell any or all of the shares of common stock registered pursuant to the registration statement, of which this prospectus forms a part.</w:t>
      </w:r>
    </w:p>
    <w:p>
      <w:pPr>
        <w:spacing w:after="0" w:line="12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our common stock offered by this prospectus will be passed upon for us by Vinson &amp; Elkins L.L.P., Houston, Texas.</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consolidated financial statements of California Resources Corporation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5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audit report covering the December 31, 2019 consolidated financial statements refers to a change in the method of accounting for leases in 2019 due to the adoption of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40"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Certain information incorporated by reference into this prospectus with respect to certain oil and gas reserves associated with California Resources Corporation’s oil and gas properties is confirmed in a report of Netherland, Sewell &amp; 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the exhibits, schedules and amendments thereto) under the Securities Act, with respect to our common stock offered hereby. This prospectus does not contain all of the information set forth in the registration statement and the exhibits and schedules thereto. For further information with respect to us and the common stock offered hereby, we refer you to the registration statement and the exhibits and schedules filed therewith. Statements contained in this prospectus as to the contents of any contract, agreement or any other document are summaries of the material terms of this contract, agreement or other document and are not necessarily complete. With respect to each of these contracts, agreements or other documents filed as an exhibit to the registration statement, reference is made to the exhibits for a more complete description of the matter involved.</w:t>
      </w:r>
    </w:p>
    <w:p>
      <w:pPr>
        <w:spacing w:after="0" w:line="144"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(File No. 001-36478) pursuant to the Exchange Act. The SEC maintains a website that contains these and other reports, proxy and information statements and other information regarding registrants that file electronically with the SEC. The address of the SEC’s website is www.sec.gov. Our filings are also available to the public on our website at www.crc.com, free of charge. Information on our website does not constitute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89"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we can disclose important information to you without actually including the specific information in this prospectus by referring to those documents. The information incorporated by reference is an important part of this prospectus.</w:t>
      </w:r>
    </w:p>
    <w:p>
      <w:pPr>
        <w:spacing w:after="0" w:line="136" w:lineRule="exact"/>
        <w:rPr>
          <w:sz w:val="20"/>
          <w:szCs w:val="20"/>
          <w:color w:val="auto"/>
        </w:rPr>
      </w:pPr>
    </w:p>
    <w:p>
      <w:pPr>
        <w:jc w:val="both"/>
        <w:ind w:right="100" w:firstLine="324"/>
        <w:spacing w:after="0" w:line="250" w:lineRule="auto"/>
        <w:rPr>
          <w:sz w:val="20"/>
          <w:szCs w:val="20"/>
          <w:color w:val="auto"/>
        </w:rPr>
      </w:pPr>
      <w:r>
        <w:rPr>
          <w:rFonts w:ascii="Times New Roman" w:cs="Times New Roman" w:eastAsia="Times New Roman" w:hAnsi="Times New Roman"/>
          <w:sz w:val="18"/>
          <w:szCs w:val="18"/>
          <w:color w:val="auto"/>
        </w:rPr>
        <w:t>If information in incorporated documents conflicts with information in this prospectus, you should rely on the most recent information. If information in an incorporated document conflicts with information in another incorporated document, you should rely on the most recent incorporated document. We incorporate by reference the documents listed below.</w:t>
      </w:r>
    </w:p>
    <w:p>
      <w:pPr>
        <w:spacing w:after="0" w:line="136" w:lineRule="exact"/>
        <w:rPr>
          <w:sz w:val="20"/>
          <w:szCs w:val="20"/>
          <w:color w:val="auto"/>
        </w:rPr>
      </w:pPr>
    </w:p>
    <w:p>
      <w:pPr>
        <w:ind w:left="660" w:right="880" w:hanging="328"/>
        <w:spacing w:after="0" w:line="250" w:lineRule="auto"/>
        <w:tabs>
          <w:tab w:leader="none" w:pos="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2019 filed on February 26, 2020, including information specifically incorporated by reference into such Annual Report on Form 10-K from the definitive proxy statement for our 2020 Annual Meeting of Stockholders filed on March 24, 2020;</w:t>
      </w:r>
    </w:p>
    <w:p>
      <w:pPr>
        <w:spacing w:after="0" w:line="14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2020 filed on June 25, 2020, June 30, 2020 filed on August 6, 2020 and September 30, 2020 filed on November 5, 2020;</w:t>
      </w:r>
    </w:p>
    <w:p>
      <w:pPr>
        <w:spacing w:after="0" w:line="121" w:lineRule="exact"/>
        <w:rPr>
          <w:rFonts w:ascii="Times New Roman" w:cs="Times New Roman" w:eastAsia="Times New Roman" w:hAnsi="Times New Roman"/>
          <w:sz w:val="18"/>
          <w:szCs w:val="18"/>
          <w:color w:val="auto"/>
        </w:rPr>
      </w:pPr>
    </w:p>
    <w:p>
      <w:pPr>
        <w:ind w:left="660" w:right="20" w:hanging="328"/>
        <w:spacing w:after="0" w:line="245" w:lineRule="auto"/>
        <w:tabs>
          <w:tab w:leader="none" w:pos="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Forms 8-K filed with the SEC on February 21, 2020, March 5, 2020, March 10, 2020, March 16, 2020, March 24, 2020, May 6, 2020, May 11, 2020, May 26, 2020, June 8, 2020, June 15, 2020, July 2, 2020, July 8, 2020, July 13, 2020, July 16, 2020, July 17, 2020, July 24, 2020, August 18, 2020, October 19, 2020, October 27, 2020, November 2, 2020, and December 3, 2020 (with respect to each of the foregoing, excluding any information furnished pursuant to Item 2.02 or Item 7.01); and</w:t>
      </w:r>
    </w:p>
    <w:p>
      <w:pPr>
        <w:spacing w:after="0" w:line="140" w:lineRule="exact"/>
        <w:rPr>
          <w:rFonts w:ascii="Times New Roman" w:cs="Times New Roman" w:eastAsia="Times New Roman" w:hAnsi="Times New Roman"/>
          <w:sz w:val="18"/>
          <w:szCs w:val="18"/>
          <w:color w:val="auto"/>
        </w:rPr>
      </w:pPr>
    </w:p>
    <w:p>
      <w:pPr>
        <w:ind w:left="660" w:hanging="328"/>
        <w:spacing w:after="0" w:line="266" w:lineRule="auto"/>
        <w:tabs>
          <w:tab w:leader="none" w:pos="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on October 27, 2020 including any amendments or reports filed for the purpose of updating the description.</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will provide a copy of these filings (including certain exhibits that are specifically incorporated by reference therein) to each person, including any beneficial owner, to whom a prospectus is delivered. You may request a copy of any or all of these filings at no cost, by writing or calling us at: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General Counsel</w:t>
      </w:r>
    </w:p>
    <w:p>
      <w:pPr>
        <w:jc w:val="center"/>
        <w:ind w:right="-19"/>
        <w:spacing w:after="0" w:line="234" w:lineRule="auto"/>
        <w:rPr>
          <w:sz w:val="20"/>
          <w:szCs w:val="20"/>
          <w:color w:val="auto"/>
        </w:rPr>
      </w:pPr>
      <w:r>
        <w:rPr>
          <w:rFonts w:ascii="Times New Roman" w:cs="Times New Roman" w:eastAsia="Times New Roman" w:hAnsi="Times New Roman"/>
          <w:sz w:val="18"/>
          <w:szCs w:val="18"/>
          <w:color w:val="auto"/>
        </w:rPr>
        <w:t>27200 Tourney Road, Suite 200</w:t>
      </w:r>
    </w:p>
    <w:p>
      <w:pPr>
        <w:jc w:val="center"/>
        <w:ind w:right="-19"/>
        <w:spacing w:after="0" w:line="235" w:lineRule="auto"/>
        <w:rPr>
          <w:sz w:val="20"/>
          <w:szCs w:val="20"/>
          <w:color w:val="auto"/>
        </w:rPr>
      </w:pPr>
      <w:r>
        <w:rPr>
          <w:rFonts w:ascii="Times New Roman" w:cs="Times New Roman" w:eastAsia="Times New Roman" w:hAnsi="Times New Roman"/>
          <w:sz w:val="18"/>
          <w:szCs w:val="18"/>
          <w:color w:val="auto"/>
        </w:rPr>
        <w:t>Santa Clarita, California, 91355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(888) 848-4754</w:t>
      </w:r>
    </w:p>
    <w:p>
      <w:pPr>
        <w:spacing w:after="0" w:line="151"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Copies of certain information filed by us with the SEC, including our Annual Report and Quarterly Reports, are also available on our website at www.crc.com. Information contained on our website or that can be accessed through our website is not incorporated by reference herein.</w:t>
      </w:r>
    </w:p>
    <w:p>
      <w:pPr>
        <w:spacing w:after="0" w:line="13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You should read the information relating to us in this prospectus together with the information in the documents incorporated by reference. Nothing contained herein shall be deemed to incorporate information furnished to, but not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440" w:right="35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CALIFORNIA RESOURCES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CORPORATION</w:t>
      </w:r>
    </w:p>
    <w:p>
      <w:pPr>
        <w:spacing w:after="0" w:line="200" w:lineRule="exact"/>
        <w:rPr>
          <w:sz w:val="20"/>
          <w:szCs w:val="20"/>
          <w:color w:val="auto"/>
        </w:rPr>
      </w:pPr>
    </w:p>
    <w:p>
      <w:pPr>
        <w:spacing w:after="0" w:line="29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72,414,790 SHARES OF COMMON STOCK</w:t>
      </w:r>
    </w:p>
    <w:p>
      <w:pPr>
        <w:spacing w:after="0" w:line="25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2020</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1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tab/>
        <w:t>Other Expenses of Issuance and Distribution</w:t>
      </w:r>
    </w:p>
    <w:p>
      <w:pPr>
        <w:spacing w:after="0" w:line="175" w:lineRule="exact"/>
        <w:rPr>
          <w:sz w:val="20"/>
          <w:szCs w:val="20"/>
          <w:color w:val="auto"/>
        </w:rPr>
      </w:pPr>
    </w:p>
    <w:p>
      <w:pPr>
        <w:jc w:val="both"/>
        <w:ind w:right="540"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 registration fee.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SEC registration fee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150,661.65</w:t>
            </w:r>
          </w:p>
        </w:tc>
        <w:tc>
          <w:tcPr>
            <w:tcW w:w="0" w:type="dxa"/>
            <w:vAlign w:val="bottom"/>
          </w:tcPr>
          <w:p>
            <w:pPr>
              <w:spacing w:after="0"/>
              <w:rPr>
                <w:sz w:val="1"/>
                <w:szCs w:val="1"/>
                <w:color w:val="auto"/>
              </w:rPr>
            </w:pPr>
          </w:p>
        </w:tc>
      </w:tr>
      <w:tr>
        <w:trPr>
          <w:trHeight w:val="216"/>
        </w:trPr>
        <w:tc>
          <w:tcPr>
            <w:tcW w:w="84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Financial printer fees and expenses</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4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Legal fees and expenses</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4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8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84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420" w:type="dxa"/>
            <w:vAlign w:val="bottom"/>
          </w:tcPr>
          <w:p>
            <w:pPr>
              <w:spacing w:after="0"/>
              <w:rPr>
                <w:sz w:val="20"/>
                <w:szCs w:val="20"/>
                <w:color w:val="auto"/>
              </w:rPr>
            </w:pPr>
            <w:r>
              <w:rPr>
                <w:rFonts w:ascii="Times New Roman" w:cs="Times New Roman" w:eastAsia="Times New Roman" w:hAnsi="Times New Roman"/>
                <w:sz w:val="14"/>
                <w:szCs w:val="14"/>
                <w:color w:val="auto"/>
              </w:rPr>
              <w:t>*  To be provided by amendment.</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75"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56" w:lineRule="exact"/>
        <w:rPr>
          <w:sz w:val="20"/>
          <w:szCs w:val="20"/>
          <w:color w:val="auto"/>
        </w:rPr>
      </w:pPr>
    </w:p>
    <w:p>
      <w:pPr>
        <w:ind w:firstLine="324"/>
        <w:spacing w:after="0" w:line="225" w:lineRule="auto"/>
        <w:rPr>
          <w:sz w:val="20"/>
          <w:szCs w:val="20"/>
          <w:color w:val="auto"/>
        </w:rPr>
      </w:pPr>
      <w:r>
        <w:rPr>
          <w:rFonts w:ascii="Times New Roman" w:cs="Times New Roman" w:eastAsia="Times New Roman" w:hAnsi="Times New Roman"/>
          <w:sz w:val="18"/>
          <w:szCs w:val="18"/>
          <w:color w:val="auto"/>
        </w:rPr>
        <w:t>Any indemnification under subsections (a) and (b) of Section 145 of the DGCL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 Expenses (including attorneys’ fees) incurred by an officer or director in defending any civil, criminal, administrative or investigative action, suit or proceeding may be paid by the corporation in advance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may be so paid upon such terms and conditions, if any, as the corporation deems appropriate.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58"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Section 145 of the DGCL also empowers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44" w:lineRule="exact"/>
        <w:rPr>
          <w:sz w:val="20"/>
          <w:szCs w:val="20"/>
          <w:color w:val="auto"/>
        </w:rPr>
      </w:pPr>
    </w:p>
    <w:p>
      <w:pPr>
        <w:ind w:right="820"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Bylaws also contain indemnification rights for the directors and officers. Specifically, the Certificate of Incorporation and Bylaws provide for the indemnity of the officers and directors to the fullest extent authorized by the DGCL.</w:t>
      </w:r>
    </w:p>
    <w:p>
      <w:pPr>
        <w:spacing w:after="0" w:line="122"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In addition, the DGCL permits the Company and its subsidiaries to purchase and maintain insurance on behalf of any person who is a director or officer for acts committed in their capacities as such directors or officers. The Company currently maintains such liability insurance.</w:t>
      </w:r>
    </w:p>
    <w:p>
      <w:pPr>
        <w:spacing w:after="0" w:line="135" w:lineRule="exact"/>
        <w:rPr>
          <w:sz w:val="20"/>
          <w:szCs w:val="20"/>
          <w:color w:val="auto"/>
        </w:rPr>
      </w:pPr>
    </w:p>
    <w:p>
      <w:pPr>
        <w:jc w:val="both"/>
        <w:ind w:right="500" w:firstLine="324"/>
        <w:spacing w:after="0" w:line="250" w:lineRule="auto"/>
        <w:rPr>
          <w:sz w:val="20"/>
          <w:szCs w:val="20"/>
          <w:color w:val="auto"/>
        </w:rPr>
      </w:pPr>
      <w:r>
        <w:rPr>
          <w:rFonts w:ascii="Times New Roman" w:cs="Times New Roman" w:eastAsia="Times New Roman" w:hAnsi="Times New Roman"/>
          <w:sz w:val="18"/>
          <w:szCs w:val="18"/>
          <w:color w:val="auto"/>
        </w:rPr>
        <w:t>The general effect of the foregoing is to provide indemnification to officers and directors for liabilities that may arise by reason of their status as officers or directors, other than liabilities arising from willful or intentional misconduct, acts or omissions not in good faith, unlawful distributions of corporate assets or transactions from which the officer or director derived an improper personal benefit.</w:t>
      </w:r>
    </w:p>
    <w:p>
      <w:pPr>
        <w:spacing w:after="0" w:line="136"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36"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current directors and executive officers containing provisions that are in some respects broader than the specific indemnification provisions contained in the DGCL. The indemnification agreements require us, among other things, to (i) indemnify these individuals to the fullest extent permitted under Delaware law against liabilities that may arise by reason of their service to the Company and (ii) advance expenses, to the extent not prohibited by law, incurred in connection with any proceeding not initiated by the indemnitee as to which they could be indemnified. We also intend to enter into indemnification agreements with our future directors and officers.</w:t>
      </w:r>
    </w:p>
    <w:p>
      <w:pPr>
        <w:spacing w:after="0" w:line="15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maintain liability insurance policies that indemnify our directors and officers against various liabilities, including certain liabilities under arising under the Securities Act and the Exchange Act, that may be incurred by them in their capacity as such.</w:t>
      </w:r>
    </w:p>
    <w:p>
      <w:pPr>
        <w:spacing w:after="0" w:line="11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Common Stock and New Warrants</w:t>
      </w:r>
    </w:p>
    <w:p>
      <w:pPr>
        <w:spacing w:after="0" w:line="189"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In connection with the Company’s emergence from bankruptcy and pursuant to the Plan, all existing shares of the Company’s old common stock were cancelled on the Effective Date, and the Company issued (i) 65,174,284 shares of the Company’s new common stock, to the holders of certain secured claims under the Company’s credit agreement dated as of November 17, 2017, by and among the Company, The Bank of New York Mellon Trust Company, N.A., as administrative agent, and the lenders party thereto, and certain unsecured debt claims, including in connection with the consummation of a rights offering and the payment of the backstop commitment premium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5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connection with the rights offering, (ii) 820,528 shares of common stock as payment of the exit premium to the lenders under the Debtors’ junior debtor-in-possession credit facility, (iii) 17,324,848 shares of common stock as partial consideration for acquiring the equity interests of the Company’s midstream joint venture, Elk Hills Power, that were not owned by the Company, and (iii) warrants to the holders of certain allowed unsecured debt claims collectively representing the right to acquire in the aggregate up to 4,384,182 shares of common stock upon exercise, reserving such number of shares for issuance upon exercise of the New Warrants.</w:t>
      </w:r>
    </w:p>
    <w:p>
      <w:pPr>
        <w:spacing w:after="0" w:line="158"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shares of common stock and New Warrants issued pursuant to the Plan were issued in reliance upon the exemption from the registration requirements of the Securities Act, provided by section 1145 of the Bankruptcy Code, or, only to the extent such exemption under section 1145 of the Bankruptcy Code is not available, Section 4(a)(2) of the Securities Act. Section 1145(a)(1) of the Bankruptcy Code exempts the offer and sale of securities under the Plan from registration under Section 5 of the Securities Act and state laws if certain requirements are satisfied.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EHP Conversion and Note Purchase Agreement</w:t>
      </w:r>
    </w:p>
    <w:p>
      <w:pPr>
        <w:spacing w:after="0" w:line="175" w:lineRule="exact"/>
        <w:rPr>
          <w:sz w:val="20"/>
          <w:szCs w:val="20"/>
          <w:color w:val="auto"/>
        </w:rPr>
      </w:pPr>
    </w:p>
    <w:p>
      <w:pPr>
        <w:ind w:right="240" w:firstLine="324"/>
        <w:spacing w:after="0" w:line="241" w:lineRule="auto"/>
        <w:rPr>
          <w:sz w:val="20"/>
          <w:szCs w:val="20"/>
          <w:color w:val="auto"/>
        </w:rPr>
      </w:pPr>
      <w:r>
        <w:rPr>
          <w:rFonts w:ascii="Times New Roman" w:cs="Times New Roman" w:eastAsia="Times New Roman" w:hAnsi="Times New Roman"/>
          <w:sz w:val="18"/>
          <w:szCs w:val="18"/>
          <w:color w:val="auto"/>
        </w:rPr>
        <w:t>On July 15, 2020, the Company entered into the Settlement Agreement with ECR and Ares related to the Company’s midstream joint venture, Elk Hills Power, which holds the Company’s Elk Hills power plant and a cryogenic gas processing plant. Among other things, the Settlement Agreement granted the Company the Conversion Right, which was the right to acquire all (but not less than all) of the equity interests of Elk Hills Power owned by Ares in exchange for certain eligible securities in the form of secured notes of EHP Midco Holding Company, LLC, a wholly owned subsidiary of the Company (the “Elk Hills Issuer”), and new common stock of the Company upon the confirmation of a Chapter 11 plan of reorganization meeting certain conditions.</w:t>
      </w:r>
    </w:p>
    <w:p>
      <w:pPr>
        <w:spacing w:after="0" w:line="157" w:lineRule="exact"/>
        <w:rPr>
          <w:sz w:val="20"/>
          <w:szCs w:val="20"/>
          <w:color w:val="auto"/>
        </w:rPr>
      </w:pPr>
    </w:p>
    <w:p>
      <w:pPr>
        <w:ind w:right="40" w:firstLine="324"/>
        <w:spacing w:after="0" w:line="239" w:lineRule="auto"/>
        <w:rPr>
          <w:sz w:val="20"/>
          <w:szCs w:val="20"/>
          <w:color w:val="auto"/>
        </w:rPr>
      </w:pPr>
      <w:r>
        <w:rPr>
          <w:rFonts w:ascii="Times New Roman" w:cs="Times New Roman" w:eastAsia="Times New Roman" w:hAnsi="Times New Roman"/>
          <w:sz w:val="18"/>
          <w:szCs w:val="18"/>
          <w:color w:val="auto"/>
        </w:rPr>
        <w:t>Pursuant to the Confirmation Order, the Company was deemed to have exercised the Conversion Right on the Effective Date and caused the issuance of the EHP Notes in the aggregate principal amount of $300,000,000 and common stock comprising approximately 20.8% (subject to dilution) of the Company’s common stock issued at emergence, in each case in accordance with the Settlement Agreement. Upon exercising the Conversion Right, Elk Hills Power became a wholly-owned subsidiary of the Company, and Ares and its affiliates ceased to have any direct or indirect interest in Elk Hills Power, other than any interest Ares may have indirectly through its interests in the EHP Notes and Ares Settlement Stock. In connection with exercising the Conversion Right, Elk Hills Power’s limited liability company agreement was amended and restated to reflect that Elk Hills Power is a wholly-owned subsidiary of the Company and Ares no longer holds any interests in Elk Hills Power other than the indirect interests through the EHP Notes and Ares Settlement Stock.</w:t>
      </w:r>
    </w:p>
    <w:p>
      <w:pPr>
        <w:spacing w:after="0" w:line="147" w:lineRule="exact"/>
        <w:rPr>
          <w:sz w:val="20"/>
          <w:szCs w:val="20"/>
          <w:color w:val="auto"/>
        </w:rPr>
      </w:pPr>
    </w:p>
    <w:p>
      <w:pPr>
        <w:ind w:right="320" w:firstLine="324"/>
        <w:spacing w:after="0" w:line="250" w:lineRule="auto"/>
        <w:rPr>
          <w:sz w:val="20"/>
          <w:szCs w:val="20"/>
          <w:color w:val="auto"/>
        </w:rPr>
      </w:pPr>
      <w:r>
        <w:rPr>
          <w:rFonts w:ascii="Times New Roman" w:cs="Times New Roman" w:eastAsia="Times New Roman" w:hAnsi="Times New Roman"/>
          <w:sz w:val="18"/>
          <w:szCs w:val="18"/>
          <w:color w:val="auto"/>
        </w:rPr>
        <w:t>On the Effective Date, Elk Hills Issuer, holding 100% of the equity interests in Elk Hills Power, as issuer, entered into a Note Purchase Agreement, dated the Effective Date, with the purchasers party thereto and Wilmington Trust, National Association, as collateral agent (the “Note Purchase Agreement”), which provides for the issuance of the EHP Notes.</w:t>
      </w:r>
    </w:p>
    <w:p>
      <w:pPr>
        <w:spacing w:after="0" w:line="136" w:lineRule="exact"/>
        <w:rPr>
          <w:sz w:val="20"/>
          <w:szCs w:val="20"/>
          <w:color w:val="auto"/>
        </w:rPr>
      </w:pPr>
    </w:p>
    <w:p>
      <w:pPr>
        <w:ind w:right="100" w:firstLine="324"/>
        <w:spacing w:after="0" w:line="239" w:lineRule="auto"/>
        <w:rPr>
          <w:sz w:val="20"/>
          <w:szCs w:val="20"/>
          <w:color w:val="auto"/>
        </w:rPr>
      </w:pPr>
      <w:r>
        <w:rPr>
          <w:rFonts w:ascii="Times New Roman" w:cs="Times New Roman" w:eastAsia="Times New Roman" w:hAnsi="Times New Roman"/>
          <w:sz w:val="18"/>
          <w:szCs w:val="18"/>
          <w:color w:val="auto"/>
        </w:rPr>
        <w:t>The EHP Notes are senior notes due 2027 and are secured by a first-priority security interest in all of the assets of Elk Hills Power, any third party offtake contracts for power generated by Elk Hills Power, all of the equity interests of Elk Hills Power held by the Elk Hills Issuer and all of the equity interests of the Elk Hills Issuer held by its direct parent, EHP Topco Holding Company, LLC, a wholly-owned subsidiary of the Company. The EHP Notes are guaranteed by Elk Hills Power. In addition, the Company has guaranteed all of the obligations of the Elk Hills Issuer under the EHP Notes pursuant to the Owner Guaranty, dated as of the Effective Date, by the Company to and for the benefit of Wilmington Trust, National Association, as collateral agent. The EHP Notes bear an interest rate of 6.0% per annum through the fourth anniversary of issuance, increasing to 7.0% per annum after the fourth anniversary of issuance and to 8.0% per annum after the fifth anniversary of issuance. The EHP Notes may be redeemed at any time prior to their maturity date without payment of premium or penalty.</w:t>
      </w:r>
    </w:p>
    <w:p>
      <w:pPr>
        <w:spacing w:after="0" w:line="16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EHP Notes and Ares Settlement Stock were issued in reliance upon the exemption from the registration requirements of the Securities Act set forth under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Recent Sales of Unregistered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Elk Hills Acquisition</w:t>
      </w:r>
    </w:p>
    <w:p>
      <w:pPr>
        <w:spacing w:after="0" w:line="173"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In April 2018, the Company entered into an Asset Sale and Purchase Agreement with Chevron U.S.A. Inc. (“Chevron”), pursuant to which the Company acquired the remaining working, surface and mineral interests in the 47,000-acre Elk Hills field in the San Joaquin Basin of California (the “Elk Hills Acquisition”). As consideration, the Company paid $460 million in cash and issued 2,850,000 shares of common stock to Chevron. The closing of the Elk Hills Acquisition occurred simultaneously with signing and had an effective date of April 1, 2018.</w:t>
      </w:r>
    </w:p>
    <w:p>
      <w:pPr>
        <w:spacing w:after="0" w:line="14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shares were issued in reliance upon the exemption from the registration requirements of the Securities Act set forth under Section 4(a)(2) of the Securities 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Alpine JV</w:t>
      </w:r>
    </w:p>
    <w:p>
      <w:pPr>
        <w:spacing w:after="0" w:line="173" w:lineRule="exact"/>
        <w:rPr>
          <w:sz w:val="20"/>
          <w:szCs w:val="20"/>
          <w:color w:val="auto"/>
        </w:rPr>
      </w:pPr>
    </w:p>
    <w:p>
      <w:pPr>
        <w:ind w:right="60" w:firstLine="324"/>
        <w:spacing w:after="0" w:line="296" w:lineRule="auto"/>
        <w:rPr>
          <w:sz w:val="20"/>
          <w:szCs w:val="20"/>
          <w:color w:val="auto"/>
        </w:rPr>
      </w:pPr>
      <w:r>
        <w:rPr>
          <w:rFonts w:ascii="Times New Roman" w:cs="Times New Roman" w:eastAsia="Times New Roman" w:hAnsi="Times New Roman"/>
          <w:sz w:val="17"/>
          <w:szCs w:val="17"/>
          <w:color w:val="auto"/>
        </w:rPr>
        <w:t>In July 2019, the Company entered into a development joint venture with Alpine Energy Capital, LLC (“Alpine”) to develop portions of the Company’s Elk Hills field (“Alpine JV”). Alpine is a joint venture between subsidiaries of Colony Capital, Inc. (“Colony”) and Equity Group Investments.</w:t>
      </w:r>
    </w:p>
    <w:p>
      <w:pPr>
        <w:spacing w:after="0" w:line="98" w:lineRule="exact"/>
        <w:rPr>
          <w:sz w:val="20"/>
          <w:szCs w:val="20"/>
          <w:color w:val="auto"/>
        </w:rPr>
      </w:pPr>
    </w:p>
    <w:p>
      <w:pPr>
        <w:ind w:right="160"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the Alpine JV, the Company issued Colony a warrant to purchase up to 1.25 million shares of the Company’s common stock at an exercise price of $40 per share. Colony was entitled to exercise the warrant in tranches as funding milestones are achieved. The warrant was issued in reliance upon the exemption from the registration requirements of the Securities Act set forth under Section 4(a)(2) of the Securities Act.</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 was cancelled on the Effective Date in connection with the Company’s emergence from bankruptcy.</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tab/>
        <w:t>Exhibits and Financial Statement Schedules.</w:t>
      </w:r>
    </w:p>
    <w:p>
      <w:pPr>
        <w:spacing w:after="0" w:line="173" w:lineRule="exact"/>
        <w:rPr>
          <w:sz w:val="20"/>
          <w:szCs w:val="20"/>
          <w:color w:val="auto"/>
        </w:rPr>
      </w:pPr>
    </w:p>
    <w:p>
      <w:pPr>
        <w:ind w:left="720" w:hanging="388"/>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hereto, which is incorporated by reference as if fully set forth herein.</w:t>
      </w:r>
    </w:p>
    <w:p>
      <w:pPr>
        <w:spacing w:after="0" w:line="169" w:lineRule="exact"/>
        <w:rPr>
          <w:sz w:val="20"/>
          <w:szCs w:val="20"/>
          <w:color w:val="auto"/>
        </w:rPr>
      </w:pPr>
    </w:p>
    <w:p>
      <w:pPr>
        <w:ind w:left="720" w:hanging="388"/>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75" w:lineRule="exact"/>
        <w:rPr>
          <w:sz w:val="20"/>
          <w:szCs w:val="20"/>
          <w:color w:val="auto"/>
        </w:rPr>
      </w:pPr>
    </w:p>
    <w:p>
      <w:pPr>
        <w:ind w:left="700" w:hanging="36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71" w:lineRule="exact"/>
        <w:rPr>
          <w:rFonts w:ascii="Times New Roman" w:cs="Times New Roman" w:eastAsia="Times New Roman" w:hAnsi="Times New Roman"/>
          <w:sz w:val="18"/>
          <w:szCs w:val="18"/>
          <w:color w:val="auto"/>
        </w:rPr>
      </w:pPr>
    </w:p>
    <w:p>
      <w:pPr>
        <w:ind w:left="980" w:firstLine="324"/>
        <w:spacing w:after="0"/>
        <w:tabs>
          <w:tab w:leader="none" w:pos="17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53" w:lineRule="exact"/>
        <w:rPr>
          <w:sz w:val="20"/>
          <w:szCs w:val="20"/>
          <w:color w:val="auto"/>
        </w:rPr>
      </w:pPr>
    </w:p>
    <w:p>
      <w:pPr>
        <w:ind w:left="980" w:right="60" w:firstLine="324"/>
        <w:spacing w:after="0" w:line="266" w:lineRule="auto"/>
        <w:tabs>
          <w:tab w:leader="none" w:pos="175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5" w:lineRule="exact"/>
        <w:rPr>
          <w:rFonts w:ascii="Times New Roman" w:cs="Times New Roman" w:eastAsia="Times New Roman" w:hAnsi="Times New Roman"/>
          <w:sz w:val="18"/>
          <w:szCs w:val="18"/>
          <w:color w:val="auto"/>
        </w:rPr>
      </w:pPr>
    </w:p>
    <w:p>
      <w:pPr>
        <w:ind w:left="660" w:firstLine="320"/>
        <w:spacing w:after="0" w:line="250" w:lineRule="auto"/>
        <w:tabs>
          <w:tab w:leader="none" w:pos="12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8"/>
          <w:szCs w:val="18"/>
          <w:color w:val="auto"/>
        </w:rPr>
      </w:pPr>
    </w:p>
    <w:p>
      <w:pPr>
        <w:ind w:left="660" w:right="320" w:firstLine="320"/>
        <w:spacing w:after="0" w:line="266" w:lineRule="auto"/>
        <w:tabs>
          <w:tab w:leader="none" w:pos="12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1" w:lineRule="exact"/>
        <w:rPr>
          <w:rFonts w:ascii="Times New Roman" w:cs="Times New Roman" w:eastAsia="Times New Roman" w:hAnsi="Times New Roman"/>
          <w:sz w:val="18"/>
          <w:szCs w:val="18"/>
          <w:color w:val="auto"/>
        </w:rPr>
      </w:pPr>
    </w:p>
    <w:p>
      <w:pPr>
        <w:ind w:left="660" w:right="40" w:firstLine="320"/>
        <w:spacing w:after="0" w:line="239" w:lineRule="auto"/>
        <w:tabs>
          <w:tab w:leader="none" w:pos="12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0" w:lineRule="exact"/>
        <w:rPr>
          <w:rFonts w:ascii="Times New Roman" w:cs="Times New Roman" w:eastAsia="Times New Roman" w:hAnsi="Times New Roman"/>
          <w:sz w:val="18"/>
          <w:szCs w:val="18"/>
          <w:color w:val="auto"/>
        </w:rPr>
      </w:pPr>
    </w:p>
    <w:p>
      <w:pPr>
        <w:ind w:right="20" w:firstLine="332"/>
        <w:spacing w:after="0"/>
        <w:tabs>
          <w:tab w:leader="none" w:pos="7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Santa Clarita, State of California, on December 3, 2020.</w:t>
      </w:r>
    </w:p>
    <w:p>
      <w:pPr>
        <w:spacing w:after="0" w:line="3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5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Todd A. Stevens</w:t>
            </w: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A. Stevens</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firstLine="324"/>
        <w:spacing w:after="0" w:line="22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Todd A. Stevens, Francisco J. Leon, Michael L. Preston, Jody L. Johnson and Ulrik Damborg, and each of them, any of whom may act without the joinder of the other, as his or her true and lawful attorneys-in-fact and agents, with full power of substitution and resubstitution, for him or her and in his or her name, place and stead, in any and all capacities, to sign any or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51" w:lineRule="exact"/>
        <w:rPr>
          <w:sz w:val="20"/>
          <w:szCs w:val="20"/>
          <w:color w:val="auto"/>
        </w:rPr>
      </w:pPr>
    </w:p>
    <w:p>
      <w:pPr>
        <w:ind w:right="180"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 on December 3,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6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5"/>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Todd A. Stevens</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Todd A. Stevens</w:t>
            </w:r>
          </w:p>
        </w:tc>
        <w:tc>
          <w:tcPr>
            <w:tcW w:w="26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Francisco J. Leon</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Francisco J. Leon</w:t>
            </w:r>
          </w:p>
        </w:tc>
        <w:tc>
          <w:tcPr>
            <w:tcW w:w="26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Roy Pineci</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Roy Pineci</w:t>
            </w:r>
          </w:p>
        </w:tc>
        <w:tc>
          <w:tcPr>
            <w:tcW w:w="26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McFarland</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A. McFarland</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E. Brooks</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E. Brooks</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Tiffany (TJ) Thom Cepak</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Tiffany (TJ) Thom Cepak</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N. Chapman</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N. Chapman</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6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5"/>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Julio M. Quintana</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Julio M. Quintana</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B. Roby</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B. Roby</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41"/>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Steck</w:t>
            </w:r>
          </w:p>
        </w:tc>
        <w:tc>
          <w:tcPr>
            <w:tcW w:w="26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Steck</w:t>
            </w:r>
          </w:p>
        </w:tc>
        <w:tc>
          <w:tcPr>
            <w:tcW w:w="260" w:type="dxa"/>
            <w:vAlign w:val="bottom"/>
          </w:tcPr>
          <w:p>
            <w:pPr>
              <w:spacing w:after="0"/>
              <w:rPr>
                <w:sz w:val="19"/>
                <w:szCs w:val="19"/>
                <w:color w:val="auto"/>
              </w:rPr>
            </w:pPr>
          </w:p>
        </w:tc>
        <w:tc>
          <w:tcPr>
            <w:tcW w:w="5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220"/>
          </w:cols>
          <w:pgMar w:left="320" w:top="1440"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0" w:type="dxa"/>
            <w:vAlign w:val="bottom"/>
            <w:gridSpan w:val="29"/>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08"/>
        </w:trPr>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900" w:type="dxa"/>
            <w:vAlign w:val="bottom"/>
            <w:gridSpan w:val="28"/>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00" w:type="dxa"/>
            <w:vAlign w:val="bottom"/>
            <w:gridSpan w:val="2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7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100" w:type="dxa"/>
            <w:vAlign w:val="bottom"/>
            <w:tcBorders>
              <w:top w:val="single" w:sz="8" w:color="auto"/>
            </w:tcBorders>
            <w:gridSpan w:val="31"/>
          </w:tcPr>
          <w:p>
            <w:pPr>
              <w:spacing w:after="0" w:line="182"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Amended Debtors’ Joint Plan of Reorganization of California Resources Corporation and certain of its subsidiaries, dated</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October 8, 2020 (incorporated by reference to Exhibit 2.1 of the Company’s Current Report on Form 8-K filed on October</w:t>
              </w:r>
            </w:hyperlink>
          </w:p>
        </w:tc>
        <w:tc>
          <w:tcPr>
            <w:tcW w:w="340" w:type="dxa"/>
            <w:vAlign w:val="bottom"/>
            <w:gridSpan w:val="15"/>
          </w:tcPr>
          <w:p>
            <w:pPr>
              <w:jc w:val="right"/>
              <w:ind w:right="20"/>
              <w:spacing w:after="0" w:line="15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
              <w:r>
                <w:rPr>
                  <w:rFonts w:ascii="Times New Roman" w:cs="Times New Roman" w:eastAsia="Times New Roman" w:hAnsi="Times New Roman"/>
                  <w:sz w:val="18"/>
                  <w:szCs w:val="18"/>
                  <w:color w:val="0000FF"/>
                  <w:w w:val="94"/>
                </w:rPr>
                <w:t>2020).</w:t>
              </w:r>
            </w:hyperlink>
          </w:p>
        </w:tc>
        <w:tc>
          <w:tcPr>
            <w:tcW w:w="84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Amended and Restated Certificate of Incorporation of California Resources Corporation, dated October 27, 2020</w:t>
              </w:r>
            </w:hyperlink>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tcBorders>
              <w:top w:val="single" w:sz="8" w:color="0000FF"/>
            </w:tcBorders>
            <w:gridSpan w:val="9"/>
          </w:tcPr>
          <w:p>
            <w:pPr>
              <w:spacing w:after="0" w:line="191" w:lineRule="exact"/>
              <w:rPr>
                <w:rFonts w:ascii="Times New Roman" w:cs="Times New Roman" w:eastAsia="Times New Roman" w:hAnsi="Times New Roman"/>
                <w:sz w:val="18"/>
                <w:szCs w:val="18"/>
                <w:u w:val="single" w:color="auto"/>
                <w:color w:val="0000FF"/>
                <w:w w:val="99"/>
              </w:rPr>
            </w:pPr>
            <w:hyperlink r:id="rId14">
              <w:r>
                <w:rPr>
                  <w:rFonts w:ascii="Times New Roman" w:cs="Times New Roman" w:eastAsia="Times New Roman" w:hAnsi="Times New Roman"/>
                  <w:sz w:val="18"/>
                  <w:szCs w:val="18"/>
                  <w:u w:val="single" w:color="auto"/>
                  <w:color w:val="0000FF"/>
                  <w:w w:val="99"/>
                </w:rPr>
                <w:t>(incorporated by reference to Exhibit 3.1 of the Company’s Registration Statement on Form 8-A filed on October</w:t>
              </w:r>
            </w:hyperlink>
          </w:p>
        </w:tc>
        <w:tc>
          <w:tcPr>
            <w:tcW w:w="820" w:type="dxa"/>
            <w:vAlign w:val="bottom"/>
            <w:gridSpan w:val="17"/>
          </w:tcPr>
          <w:p>
            <w:pPr>
              <w:jc w:val="right"/>
              <w:ind w:right="20"/>
              <w:spacing w:after="0" w:line="191" w:lineRule="exact"/>
              <w:rPr>
                <w:rFonts w:ascii="Times New Roman" w:cs="Times New Roman" w:eastAsia="Times New Roman" w:hAnsi="Times New Roman"/>
                <w:sz w:val="18"/>
                <w:szCs w:val="18"/>
                <w:u w:val="single" w:color="auto"/>
                <w:color w:val="0000FF"/>
              </w:rPr>
            </w:pPr>
            <w:hyperlink r:id="rId14">
              <w:r>
                <w:rPr>
                  <w:rFonts w:ascii="Times New Roman" w:cs="Times New Roman" w:eastAsia="Times New Roman" w:hAnsi="Times New Roman"/>
                  <w:sz w:val="18"/>
                  <w:szCs w:val="18"/>
                  <w:u w:val="single" w:color="auto"/>
                  <w:color w:val="0000FF"/>
                </w:rPr>
                <w:t>27, 2020).</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00" w:type="dxa"/>
            <w:vAlign w:val="bottom"/>
            <w:gridSpan w:val="31"/>
          </w:tcPr>
          <w:p>
            <w:pPr>
              <w:spacing w:after="0" w:line="194"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Amended and Restated Bylaws of California Resources Corporation, dated October 27, 2020 (incorporated by reference to</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Exhibit 3.2 of the Company’s Registration Statement on Form 8-A filed on October 27, 2020).</w:t>
              </w:r>
            </w:hyperlink>
          </w:p>
        </w:tc>
        <w:tc>
          <w:tcPr>
            <w:tcW w:w="21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00" w:type="dxa"/>
            <w:vAlign w:val="bottom"/>
            <w:gridSpan w:val="31"/>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Legal Opinion of Vinson &amp; Elkins L.L.P.</w:t>
              </w:r>
            </w:hyperlink>
          </w:p>
        </w:tc>
        <w:tc>
          <w:tcPr>
            <w:tcW w:w="0" w:type="dxa"/>
            <w:vAlign w:val="bottom"/>
          </w:tcPr>
          <w:p>
            <w:pPr>
              <w:spacing w:after="0"/>
              <w:rPr>
                <w:sz w:val="1"/>
                <w:szCs w:val="1"/>
                <w:color w:val="auto"/>
              </w:rPr>
            </w:pPr>
          </w:p>
        </w:tc>
      </w:tr>
      <w:tr>
        <w:trPr>
          <w:trHeight w:val="194"/>
        </w:trPr>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00" w:type="dxa"/>
            <w:vAlign w:val="bottom"/>
            <w:gridSpan w:val="31"/>
          </w:tcPr>
          <w:p>
            <w:pPr>
              <w:spacing w:after="0" w:line="194"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Restructuring Support Agreement, dated as of July 15, 2020, by and among California Resources Corporation and its</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31"/>
          </w:tcPr>
          <w:p>
            <w:pPr>
              <w:spacing w:after="0" w:line="15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affiliates named therein and certain lenders and noteholders party thereto (incorporated by reference to Exhibit 10.1 to the</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Company’s Current Report on Form 8-K filed on July 16,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Amended and Restated Restructuring Support Agreement, dated as of July 24, 2020, by and among California Resources</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Corporation and its affiliates named therein and certain lenders and noteholders party thereto (incorporated by reference</w:t>
              </w:r>
            </w:hyperlink>
          </w:p>
        </w:tc>
        <w:tc>
          <w:tcPr>
            <w:tcW w:w="400" w:type="dxa"/>
            <w:vAlign w:val="bottom"/>
            <w:gridSpan w:val="17"/>
          </w:tcPr>
          <w:p>
            <w:pPr>
              <w:spacing w:after="0" w:line="15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Exhibit 10.3 to the Company’s Current Report on Form 8-K filed on July 24, 2020).</w:t>
              </w:r>
            </w:hyperlink>
          </w:p>
        </w:tc>
        <w:tc>
          <w:tcPr>
            <w:tcW w:w="28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Commitment Letter, dated as of July 15, 2020, by and between California Resources Corporation and JPMorgan Chase Bank,</w:t>
              </w:r>
            </w:hyperlink>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top w:val="single" w:sz="8" w:color="0000FF"/>
            </w:tcBorders>
            <w:gridSpan w:val="28"/>
          </w:tcPr>
          <w:p>
            <w:pPr>
              <w:spacing w:after="0" w:line="191" w:lineRule="exact"/>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N.A. (incorporated by reference to Exhibit 10.2 to the Company’s Current Report on Form 8-K filed on July 16, 2020).</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00" w:type="dxa"/>
            <w:vAlign w:val="bottom"/>
            <w:gridSpan w:val="31"/>
          </w:tcPr>
          <w:p>
            <w:pPr>
              <w:spacing w:after="0" w:line="194"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Settlement and Assumption Agreement, dated as of July 15, 2020, by and among California Resources Corporation,</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31"/>
          </w:tcPr>
          <w:p>
            <w:pPr>
              <w:spacing w:after="0" w:line="15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California Resources Elk Hills, LLC, Elk Hills Power, LLC, ECR Corporate Holdings GP LLC, ECR I, L.P., SSF IV Energy I</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AIV 1, L.P., SSF IV Energy I AIV 2, L.P., AEOF ECR Holdings, L.P., and ECR Corporate Holdings, L.P. (incorporated by</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reference to Exhibit 10.3 to the Company’s Current Report on Form 8-K filed on July 16, 2020).</w:t>
              </w:r>
            </w:hyperlink>
          </w:p>
        </w:tc>
        <w:tc>
          <w:tcPr>
            <w:tcW w:w="19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Backstop Commitment Agreement, dated as of July 15, 2020, by and among California Resources Corporation and the</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31"/>
          </w:tcPr>
          <w:p>
            <w:pPr>
              <w:spacing w:after="0" w:line="15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backstop parties party thereto (incorporated by reference to Exhibit 10.1 to the Company’s Current Report on Form 8-K filed</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0">
              <w:r>
                <w:rPr>
                  <w:rFonts w:ascii="Times New Roman" w:cs="Times New Roman" w:eastAsia="Times New Roman" w:hAnsi="Times New Roman"/>
                  <w:sz w:val="18"/>
                  <w:szCs w:val="18"/>
                  <w:color w:val="0000FF"/>
                  <w:w w:val="98"/>
                </w:rPr>
                <w:t>on July 17, 2020).</w:t>
              </w:r>
            </w:hyperlink>
          </w:p>
        </w:tc>
        <w:tc>
          <w:tcPr>
            <w:tcW w:w="7700" w:type="dxa"/>
            <w:vAlign w:val="bottom"/>
            <w:tcBorders>
              <w:top w:val="single" w:sz="8" w:color="0000FF"/>
            </w:tcBorders>
            <w:gridSpan w:val="25"/>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Amended and Restated Backstop Commitment Agreement, dated as of July 24, 2020, by and among California Resources</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Corporation and the backstop parties party thereto (incorporated by reference to Exhibit 10.4 to the Company’s Current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Report on Form 8-K filed on July 24, 2020).</w:t>
              </w:r>
            </w:hyperlink>
          </w:p>
        </w:tc>
        <w:tc>
          <w:tcPr>
            <w:tcW w:w="5380" w:type="dxa"/>
            <w:vAlign w:val="bottom"/>
            <w:tcBorders>
              <w:top w:val="single" w:sz="8" w:color="0000FF"/>
            </w:tcBorders>
            <w:gridSpan w:val="10"/>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Senior Secured Superpriority Debtor-in-Possession Credit Agreement, dated as of July 23, 2020, by and among California</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Resources Corporation, JPMorgan Chase Bank, N.A., as administrative agent, and the lenders party thereto (incorporated</w:t>
              </w:r>
            </w:hyperlink>
          </w:p>
        </w:tc>
        <w:tc>
          <w:tcPr>
            <w:tcW w:w="260" w:type="dxa"/>
            <w:vAlign w:val="bottom"/>
            <w:gridSpan w:val="11"/>
          </w:tcPr>
          <w:p>
            <w:pPr>
              <w:spacing w:after="0" w:line="15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reference to Exhibit 10.1 to the Company’s Current Report on Form 8-K filed on July 24, 2020).</w:t>
              </w:r>
            </w:hyperlink>
          </w:p>
        </w:tc>
        <w:tc>
          <w:tcPr>
            <w:tcW w:w="2020" w:type="dxa"/>
            <w:vAlign w:val="bottom"/>
            <w:tcBorders>
              <w:top w:val="single" w:sz="8" w:color="0000FF"/>
            </w:tcBorders>
            <w:gridSpan w:val="19"/>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Junior Secured Superpriority Debtor-in-Possession Credit Agreement, dated as of July 23, 2020, by and among California</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Resources Corporation, Alter Domus Products Corp., as administrative agent, and the lenders party thereto (incorporated</w:t>
              </w:r>
            </w:hyperlink>
          </w:p>
        </w:tc>
        <w:tc>
          <w:tcPr>
            <w:tcW w:w="300" w:type="dxa"/>
            <w:vAlign w:val="bottom"/>
            <w:gridSpan w:val="13"/>
          </w:tcPr>
          <w:p>
            <w:pPr>
              <w:spacing w:after="0" w:line="15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reference to Exhibit 10.2 to the Company’s Current Report on Form 8-K filed on July 24, 2020).</w:t>
              </w:r>
            </w:hyperlink>
          </w:p>
        </w:tc>
        <w:tc>
          <w:tcPr>
            <w:tcW w:w="19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31"/>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Separation Agreement and General Release, dated as of August 18, 2020, by and between California Resources Corporation</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and Marshall D. Smith (incorporated by reference to Exhibit 10.1 to the Company’s Current Report on Form 8-K filed on</w:t>
              </w:r>
            </w:hyperlink>
          </w:p>
        </w:tc>
        <w:tc>
          <w:tcPr>
            <w:tcW w:w="1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4">
              <w:r>
                <w:rPr>
                  <w:rFonts w:ascii="Times New Roman" w:cs="Times New Roman" w:eastAsia="Times New Roman" w:hAnsi="Times New Roman"/>
                  <w:sz w:val="18"/>
                  <w:szCs w:val="18"/>
                  <w:color w:val="0000FF"/>
                  <w:w w:val="98"/>
                </w:rPr>
                <w:t>August 18, 2020).</w:t>
              </w:r>
            </w:hyperlink>
          </w:p>
        </w:tc>
        <w:tc>
          <w:tcPr>
            <w:tcW w:w="7440" w:type="dxa"/>
            <w:vAlign w:val="bottom"/>
            <w:tcBorders>
              <w:top w:val="single" w:sz="8" w:color="0000FF"/>
            </w:tcBorders>
            <w:gridSpan w:val="13"/>
          </w:tcPr>
          <w:p>
            <w:pPr>
              <w:spacing w:after="0"/>
              <w:rPr>
                <w:sz w:val="13"/>
                <w:szCs w:val="13"/>
                <w:color w:val="auto"/>
              </w:rPr>
            </w:pPr>
          </w:p>
        </w:tc>
        <w:tc>
          <w:tcPr>
            <w:tcW w:w="3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240"/>
          </w:cols>
          <w:pgMar w:left="320" w:top="1413"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40" w:type="dxa"/>
            <w:vAlign w:val="bottom"/>
            <w:gridSpan w:val="21"/>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40" w:type="dxa"/>
            <w:vAlign w:val="bottom"/>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10.10</w:t>
            </w:r>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00" w:type="dxa"/>
            <w:vAlign w:val="bottom"/>
            <w:tcBorders>
              <w:top w:val="single" w:sz="8" w:color="auto"/>
              <w:bottom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Credit Agreement, dated as of October 27, 2020, by and among California Resources Corporation, the several lenders from</w:t>
              </w:r>
            </w:hyperlink>
          </w:p>
        </w:tc>
        <w:tc>
          <w:tcPr>
            <w:tcW w:w="200" w:type="dxa"/>
            <w:vAlign w:val="bottom"/>
            <w:tcBorders>
              <w:top w:val="single" w:sz="8" w:color="auto"/>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27"/>
          </w:tcPr>
          <w:p>
            <w:pPr>
              <w:spacing w:after="0" w:line="15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time to time parties thereto and Citibank, N.A., as administrative agent, collateral agent and an issuing bank (incorporated by</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reference to Exhibit 10.1 of the Company’s Current Report on Form 8-K filed on November 2, 2020).</w:t>
              </w:r>
            </w:hyperlink>
          </w:p>
        </w:tc>
        <w:tc>
          <w:tcPr>
            <w:tcW w:w="1700" w:type="dxa"/>
            <w:vAlign w:val="bottom"/>
            <w:tcBorders>
              <w:top w:val="single" w:sz="8" w:color="0000FF"/>
            </w:tcBorders>
            <w:gridSpan w:val="18"/>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Credit Agreement, dated as of October 27, 2020, by and among California Resources Corporation, the several lenders from</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time to time parties thereto and Alter Domus Products Corp., as administrative agent and collateral agent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40" w:type="dxa"/>
            <w:vAlign w:val="bottom"/>
            <w:tcBorders>
              <w:top w:val="single" w:sz="8" w:color="0000FF"/>
            </w:tcBorders>
            <w:gridSpan w:val="17"/>
          </w:tcPr>
          <w:p>
            <w:pPr>
              <w:spacing w:after="0" w:line="191" w:lineRule="exact"/>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reference to Exhibit 10.2 of the Company’s Current Report on Form 8-K filed on November 2, 2020).</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10.13</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00" w:type="dxa"/>
            <w:vAlign w:val="bottom"/>
            <w:gridSpan w:val="27"/>
          </w:tcPr>
          <w:p>
            <w:pPr>
              <w:spacing w:after="0" w:line="194"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Note Purchase Agreement, dated as of October 27, 2020, by and among EHP Midco Holding Company, LLC, each of the</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purchasers party thereto and Wilmington Trust, N.A., as collateral agent for the secured parties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1"/>
          </w:tcPr>
          <w:p>
            <w:pPr>
              <w:spacing w:after="0" w:line="15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Exhibit 10.5 of the Company’s Current Report on Form 8-K filed on November 2, 2020).</w:t>
              </w:r>
            </w:hyperlink>
          </w:p>
        </w:tc>
        <w:tc>
          <w:tcPr>
            <w:tcW w:w="2580" w:type="dxa"/>
            <w:vAlign w:val="bottom"/>
            <w:tcBorders>
              <w:top w:val="single" w:sz="8" w:color="0000FF"/>
            </w:tcBorders>
            <w:gridSpan w:val="18"/>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Owner Guaranty, dated as of October 27, 2020, by California Resources Corporation to and for the benefit of Wilmington</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8"/>
              </w:rPr>
            </w:pPr>
            <w:hyperlink r:id="rId28">
              <w:r>
                <w:rPr>
                  <w:rFonts w:ascii="Times New Roman" w:cs="Times New Roman" w:eastAsia="Times New Roman" w:hAnsi="Times New Roman"/>
                  <w:sz w:val="18"/>
                  <w:szCs w:val="18"/>
                  <w:color w:val="0000FF"/>
                  <w:w w:val="98"/>
                </w:rPr>
                <w:t>Trust, N.A., as collateral agent for the secured parties (incorporated by reference to Exhibit 10.6 of the Company’s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Report on Form 8-K filed on November 2, 2020).</w:t>
              </w:r>
            </w:hyperlink>
          </w:p>
        </w:tc>
        <w:tc>
          <w:tcPr>
            <w:tcW w:w="530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Sponsor Support Agreement, dated as of October 27, 2020, by and among Elk Hills Power, LLC, California Resources</w:t>
              </w:r>
            </w:hyperlink>
          </w:p>
        </w:tc>
        <w:tc>
          <w:tcPr>
            <w:tcW w:w="5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27"/>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Corporation, and EHP Midco Holding Company, LLC (incorporated by reference to Exhibit 10.7 of the Company’s Current</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Report on Form 8-K filed on November 2, 2020).</w:t>
              </w:r>
            </w:hyperlink>
          </w:p>
        </w:tc>
        <w:tc>
          <w:tcPr>
            <w:tcW w:w="53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of Registration Rights Agreement, dated as of October 27, 2020, by and among California Resources Corporation and</w:t>
              </w:r>
            </w:hyperlink>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the holders party (incorporated by reference to Exhibit 10.1 of the Company’s Registration Statement on Form 8-A filed on</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30">
              <w:r>
                <w:rPr>
                  <w:rFonts w:ascii="Times New Roman" w:cs="Times New Roman" w:eastAsia="Times New Roman" w:hAnsi="Times New Roman"/>
                  <w:sz w:val="18"/>
                  <w:szCs w:val="18"/>
                  <w:color w:val="0000FF"/>
                  <w:w w:val="98"/>
                </w:rPr>
                <w:t>October 27, 2020).</w:t>
              </w:r>
            </w:hyperlink>
          </w:p>
        </w:tc>
        <w:tc>
          <w:tcPr>
            <w:tcW w:w="7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Warrant Agreement, dated as of October 27, 2020, between California Resources Corporation and American Stock Transfer</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&amp; Trust Company, LLC, as warrant agent (incorporated by reference to Exhibit 10.4 of the Company’s Current Report on</w:t>
              </w:r>
            </w:hyperlink>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Form 8-K filed on November 2,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Form of Indemnification Agreement, dated as of October 27, 2020, by and among California Resources Corporation and its</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directors and executive officers (incorporated by reference to Exhibit 10.1 of the Company’s Current Report on Form 8-K</w:t>
              </w:r>
            </w:hyperlink>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2">
              <w:r>
                <w:rPr>
                  <w:rFonts w:ascii="Times New Roman" w:cs="Times New Roman" w:eastAsia="Times New Roman" w:hAnsi="Times New Roman"/>
                  <w:sz w:val="18"/>
                  <w:szCs w:val="18"/>
                  <w:color w:val="0000FF"/>
                  <w:w w:val="98"/>
                </w:rPr>
                <w:t>filed on October 27, 2020).</w:t>
              </w:r>
            </w:hyperlink>
          </w:p>
        </w:tc>
        <w:tc>
          <w:tcPr>
            <w:tcW w:w="6860" w:type="dxa"/>
            <w:vAlign w:val="bottom"/>
            <w:tcBorders>
              <w:top w:val="single" w:sz="8" w:color="0000FF"/>
            </w:tcBorders>
            <w:gridSpan w:val="13"/>
          </w:tcPr>
          <w:p>
            <w:pPr>
              <w:spacing w:after="0"/>
              <w:rPr>
                <w:sz w:val="13"/>
                <w:szCs w:val="13"/>
                <w:color w:val="auto"/>
              </w:rPr>
            </w:pPr>
          </w:p>
        </w:tc>
        <w:tc>
          <w:tcPr>
            <w:tcW w:w="2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gridSpan w:val="27"/>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List of Subsidiaries (incorporated by reference to Exhibit 21 of the Company’s Annual Report on Form 10-K filed on</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February 26, 2020).</w:t>
              </w:r>
            </w:hyperlink>
          </w:p>
        </w:tc>
        <w:tc>
          <w:tcPr>
            <w:tcW w:w="22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00" w:type="dxa"/>
            <w:vAlign w:val="bottom"/>
            <w:gridSpan w:val="27"/>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Consent of Independent Registered Public Accounting Firm, KPMG LLP.</w:t>
              </w:r>
            </w:hyperlink>
          </w:p>
        </w:tc>
        <w:tc>
          <w:tcPr>
            <w:tcW w:w="0" w:type="dxa"/>
            <w:vAlign w:val="bottom"/>
          </w:tcPr>
          <w:p>
            <w:pPr>
              <w:spacing w:after="0"/>
              <w:rPr>
                <w:sz w:val="1"/>
                <w:szCs w:val="1"/>
                <w:color w:val="auto"/>
              </w:rPr>
            </w:pPr>
          </w:p>
        </w:tc>
      </w:tr>
      <w:tr>
        <w:trPr>
          <w:trHeight w:val="23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gridSpan w:val="27"/>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Consent of Ryder Scott Company, LP.</w:t>
              </w:r>
            </w:hyperlink>
          </w:p>
        </w:tc>
        <w:tc>
          <w:tcPr>
            <w:tcW w:w="0" w:type="dxa"/>
            <w:vAlign w:val="bottom"/>
          </w:tcPr>
          <w:p>
            <w:pPr>
              <w:spacing w:after="0"/>
              <w:rPr>
                <w:sz w:val="1"/>
                <w:szCs w:val="1"/>
                <w:color w:val="auto"/>
              </w:rPr>
            </w:pPr>
          </w:p>
        </w:tc>
      </w:tr>
      <w:tr>
        <w:trPr>
          <w:trHeight w:val="23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gridSpan w:val="27"/>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Consent of Netherland, Sewell &amp; Associates, Inc.</w:t>
              </w:r>
            </w:hyperlink>
          </w:p>
        </w:tc>
        <w:tc>
          <w:tcPr>
            <w:tcW w:w="0" w:type="dxa"/>
            <w:vAlign w:val="bottom"/>
          </w:tcPr>
          <w:p>
            <w:pPr>
              <w:spacing w:after="0"/>
              <w:rPr>
                <w:sz w:val="1"/>
                <w:szCs w:val="1"/>
                <w:color w:val="auto"/>
              </w:rPr>
            </w:pPr>
          </w:p>
        </w:tc>
      </w:tr>
      <w:tr>
        <w:trPr>
          <w:trHeight w:val="230"/>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gridSpan w:val="27"/>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Consent of Vinson &amp; Elkins L.L.P. (included as part of Exhibit 5.1).</w:t>
              </w:r>
            </w:hyperlink>
          </w:p>
        </w:tc>
        <w:tc>
          <w:tcPr>
            <w:tcW w:w="0" w:type="dxa"/>
            <w:vAlign w:val="bottom"/>
          </w:tcPr>
          <w:p>
            <w:pPr>
              <w:spacing w:after="0"/>
              <w:rPr>
                <w:sz w:val="1"/>
                <w:szCs w:val="1"/>
                <w:color w:val="auto"/>
              </w:rPr>
            </w:pPr>
          </w:p>
        </w:tc>
      </w:tr>
      <w:tr>
        <w:trPr>
          <w:trHeight w:val="22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00" w:type="dxa"/>
            <w:vAlign w:val="bottom"/>
            <w:gridSpan w:val="27"/>
          </w:tcPr>
          <w:p>
            <w:pPr>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Power of Attorney (included on the signature page).</w:t>
              </w:r>
            </w:hyperlink>
          </w:p>
        </w:tc>
        <w:tc>
          <w:tcPr>
            <w:tcW w:w="0" w:type="dxa"/>
            <w:vAlign w:val="bottom"/>
          </w:tcPr>
          <w:p>
            <w:pPr>
              <w:spacing w:after="0"/>
              <w:rPr>
                <w:sz w:val="1"/>
                <w:szCs w:val="1"/>
                <w:color w:val="auto"/>
              </w:rPr>
            </w:pPr>
          </w:p>
        </w:tc>
      </w:tr>
      <w:tr>
        <w:trPr>
          <w:trHeight w:val="194"/>
        </w:trPr>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60" w:type="dxa"/>
            <w:vAlign w:val="bottom"/>
            <w:tcBorders>
              <w:bottom w:val="single" w:sz="8" w:color="0000FF"/>
            </w:tcBorders>
            <w:gridSpan w:val="11"/>
          </w:tcPr>
          <w:p>
            <w:pPr>
              <w:spacing w:after="0" w:line="194"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Order of the Bankruptcy Court, dated October 13, 2020, confirming the Amended Debtors’ Joint Plan of Reorganization</w:t>
              </w:r>
            </w:hyperlink>
          </w:p>
        </w:tc>
        <w:tc>
          <w:tcPr>
            <w:tcW w:w="44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27"/>
          </w:tcPr>
          <w:p>
            <w:pPr>
              <w:spacing w:after="0" w:line="15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under Chapter 11 of the Bankruptcy Code (incorporated by reference to Exhibit 99.1 of the Company’s Current Report on</w:t>
              </w:r>
            </w:hyperlink>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Form 8-K filed on October 19, 2020).</w:t>
              </w:r>
            </w:hyperlink>
          </w:p>
        </w:tc>
        <w:tc>
          <w:tcPr>
            <w:tcW w:w="6080" w:type="dxa"/>
            <w:vAlign w:val="bottom"/>
            <w:tcBorders>
              <w:top w:val="single" w:sz="8" w:color="0000FF"/>
            </w:tcBorders>
            <w:gridSpan w:val="11"/>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487680</wp:posOffset>
            </wp:positionV>
            <wp:extent cx="1808480"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extLst>
                    </a:blip>
                    <a:srcRect/>
                    <a:stretch>
                      <a:fillRect/>
                    </a:stretch>
                  </pic:blipFill>
                  <pic:spPr bwMode="auto">
                    <a:xfrm>
                      <a:off x="0" y="0"/>
                      <a:ext cx="18084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 2020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27200 Tourney Road, Suite 200</w:t>
      </w:r>
    </w:p>
    <w:p>
      <w:pPr>
        <w:ind w:left="660"/>
        <w:spacing w:after="0"/>
        <w:rPr>
          <w:sz w:val="20"/>
          <w:szCs w:val="20"/>
          <w:color w:val="auto"/>
        </w:rPr>
      </w:pPr>
      <w:r>
        <w:rPr>
          <w:rFonts w:ascii="Times New Roman" w:cs="Times New Roman" w:eastAsia="Times New Roman" w:hAnsi="Times New Roman"/>
          <w:sz w:val="22"/>
          <w:szCs w:val="22"/>
          <w:color w:val="auto"/>
        </w:rPr>
        <w:t>Santa Clarita, California 91355</w:t>
      </w:r>
    </w:p>
    <w:p>
      <w:pPr>
        <w:spacing w:after="0" w:line="20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Registration Statement on Form S-1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We have acted as counsel for California Resources Corporation,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respect to certain legal matters in connection with the preparation and filing of a Registration Statement on Form S-1 by the Company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the resale of up to 72,414,790 shares of common stock, par value $0.01 per share, of the Company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consisting of up to (i) 71,769,343 shares of Common Stock currently outstanding (the “</w:t>
      </w:r>
      <w:r>
        <w:rPr>
          <w:rFonts w:ascii="Times New Roman" w:cs="Times New Roman" w:eastAsia="Times New Roman" w:hAnsi="Times New Roman"/>
          <w:sz w:val="22"/>
          <w:szCs w:val="22"/>
          <w:b w:val="1"/>
          <w:bCs w:val="1"/>
          <w:i w:val="1"/>
          <w:iCs w:val="1"/>
          <w:color w:val="auto"/>
        </w:rPr>
        <w:t>Selling Stockholder Shares</w:t>
      </w:r>
      <w:r>
        <w:rPr>
          <w:rFonts w:ascii="Times New Roman" w:cs="Times New Roman" w:eastAsia="Times New Roman" w:hAnsi="Times New Roman"/>
          <w:sz w:val="22"/>
          <w:szCs w:val="22"/>
          <w:color w:val="auto"/>
        </w:rPr>
        <w:t>”) and (ii) 645,447 shares of Common Stock (the “</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and, together with the Selling Stockholder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issuable upon the exercise of certain outstanding warrants (the “</w:t>
      </w:r>
      <w:r>
        <w:rPr>
          <w:rFonts w:ascii="Times New Roman" w:cs="Times New Roman" w:eastAsia="Times New Roman" w:hAnsi="Times New Roman"/>
          <w:sz w:val="22"/>
          <w:szCs w:val="22"/>
          <w:b w:val="1"/>
          <w:bCs w:val="1"/>
          <w:i w:val="1"/>
          <w:iCs w:val="1"/>
          <w:color w:val="auto"/>
        </w:rPr>
        <w:t>Warrants</w:t>
      </w:r>
      <w:r>
        <w:rPr>
          <w:rFonts w:ascii="Times New Roman" w:cs="Times New Roman" w:eastAsia="Times New Roman" w:hAnsi="Times New Roman"/>
          <w:sz w:val="22"/>
          <w:szCs w:val="22"/>
          <w:color w:val="auto"/>
        </w:rPr>
        <w:t>”) issued by the Company pursuant to that certain Warrant Agreement dated as of October 27, 2020 (the “</w:t>
      </w:r>
      <w:r>
        <w:rPr>
          <w:rFonts w:ascii="Times New Roman" w:cs="Times New Roman" w:eastAsia="Times New Roman" w:hAnsi="Times New Roman"/>
          <w:sz w:val="22"/>
          <w:szCs w:val="22"/>
          <w:b w:val="1"/>
          <w:bCs w:val="1"/>
          <w:i w:val="1"/>
          <w:iCs w:val="1"/>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between the Company and American Stock Transfer &amp; Trust Company, LLC, in each case by the selling security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holders identified in the Registration Statement (as defined below). The Shares are being offered and sold pursuant to a prospectus forming a part of a Registration Statement on Form S-1 under the Securities Act, originally filed with the Securities and Exchange Commission on the date hereof by the Company (such registration statement as amended and supplemented,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and the prospectus contained therein,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connection with the opinion expressed herein, we have examined originals or copies, certified or otherwise identified to our satisfaction, of (i) the Amended and Restated Certificate of Incorporation and Amended and Restated Bylaws of the Company, each as amended to the date hereof, (ii) the Registration Statement, (iii) resolutions of the board of directors of the Company that have occurred prior to the date hereof with respect to the Registration Statement, (iv) the Warrants and the Warrant Agreement, and (v) such other certificates, statutes and other instruments and documents as we considered appropriate for purposes of the opinion hereafter expressed.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In connection with rendering the opinion set forth below, we have assumed that (i) all information contained in all documents reviewed by us is true and correct, (ii) all signatures on all documents examined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20" w:right="2400"/>
        <w:spacing w:after="0" w:line="267" w:lineRule="auto"/>
        <w:rPr>
          <w:sz w:val="20"/>
          <w:szCs w:val="20"/>
          <w:color w:val="auto"/>
        </w:rPr>
      </w:pPr>
      <w:r>
        <w:rPr>
          <w:rFonts w:ascii="Arial" w:cs="Arial" w:eastAsia="Arial" w:hAnsi="Arial"/>
          <w:sz w:val="14"/>
          <w:szCs w:val="14"/>
          <w:b w:val="1"/>
          <w:bCs w:val="1"/>
          <w:color w:val="auto"/>
        </w:rPr>
        <w:t xml:space="preserve">Vinson &amp; Elkins LLP Attorneys at Law </w:t>
      </w:r>
      <w:r>
        <w:rPr>
          <w:rFonts w:ascii="Arial" w:cs="Arial" w:eastAsia="Arial" w:hAnsi="Arial"/>
          <w:sz w:val="14"/>
          <w:szCs w:val="14"/>
          <w:color w:val="auto"/>
        </w:rPr>
        <w:t>Austin Dallas Dubai Houston London New York Richmond Riyadh San Francisco Tokyo Washington</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1001 Fannin Street, Suite 2500 Houston, TX 77002-6760</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Tel </w:t>
      </w:r>
      <w:r>
        <w:rPr>
          <w:rFonts w:ascii="Arial" w:cs="Arial" w:eastAsia="Arial" w:hAnsi="Arial"/>
          <w:sz w:val="14"/>
          <w:szCs w:val="14"/>
          <w:color w:val="auto"/>
        </w:rPr>
        <w:t>+1.713.758.2222</w:t>
      </w:r>
      <w:r>
        <w:rPr>
          <w:rFonts w:ascii="Arial" w:cs="Arial" w:eastAsia="Arial" w:hAnsi="Arial"/>
          <w:sz w:val="14"/>
          <w:szCs w:val="14"/>
          <w:b w:val="1"/>
          <w:bCs w:val="1"/>
          <w:color w:val="auto"/>
        </w:rPr>
        <w:t xml:space="preserve"> Fax </w:t>
      </w:r>
      <w:r>
        <w:rPr>
          <w:rFonts w:ascii="Arial" w:cs="Arial" w:eastAsia="Arial" w:hAnsi="Arial"/>
          <w:sz w:val="14"/>
          <w:szCs w:val="14"/>
          <w:color w:val="auto"/>
        </w:rPr>
        <w:t>+1.713.758.2346 velaw.com</w:t>
      </w:r>
    </w:p>
    <w:p>
      <w:pPr>
        <w:sectPr>
          <w:pgSz w:w="11900" w:h="16838" w:orient="portrait"/>
          <w:cols w:equalWidth="0" w:num="2">
            <w:col w:w="5740" w:space="720"/>
            <w:col w:w="4780"/>
          </w:cols>
          <w:pgMar w:left="320" w:top="114" w:right="339" w:bottom="1440" w:gutter="0" w:footer="0" w:header="0"/>
          <w:type w:val="continuous"/>
        </w:sectPr>
      </w:pPr>
    </w:p>
    <w:bookmarkStart w:id="47" w:name="page48"/>
    <w:bookmarkEnd w:id="47"/>
    <w:p>
      <w:pPr>
        <w:ind w:left="95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49720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97205" cy="231140"/>
                    </a:xfrm>
                    <a:prstGeom prst="rect">
                      <a:avLst/>
                    </a:prstGeom>
                    <a:noFill/>
                  </pic:spPr>
                </pic:pic>
              </a:graphicData>
            </a:graphic>
          </wp:anchor>
        </w:drawing>
        <w:t>December 3, 2020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by us are genuine, (iii) all documents submitted to us as originals are authentic and all documents submitted to us as copies conform to the originals of those documents, (iv) the Registration Statement, and any amendments thereto (including any post-effective amendments), will have become effective, and (v) all Shares will be issued and/or sold in compliance with applicable federal and state securities laws and in the manner specified in the Registration Statement and the Prospectus relating thereto. We have also assumed that at the time of issuance of the Warrant Shares, (a) the Company will validly exist and be duly qualified and in good standing under the laws of its jurisdiction of formation, (b) the Company will have the necessary organizational power and authority to issue the Warrant Shares, and (c) the Company will have made available for issuance such Warrant Shares.</w:t>
      </w:r>
    </w:p>
    <w:p>
      <w:pPr>
        <w:spacing w:after="0" w:line="19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assumptions and limitations stated herein, we are of the opinion that (i) the Selling Stockholder Shares are validly issued, fully paid and nonassessable and (ii) the Warrant Shares, when issued by the Company upon exercise of the Warrants and full payment of the applicable exercise prices pursuant to the terms and conditions of the Warrants and the Warrant Agreement, will be validly issued, fully paid and nonassessable.</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foregoing opinion is limited to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Vinson &amp; Elkins L.L.P.</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Vinson &amp; Elkins L.L.P.</w:t>
      </w:r>
    </w:p>
    <w:p>
      <w:pPr>
        <w:sectPr>
          <w:pgSz w:w="11900" w:h="16838" w:orient="portrait"/>
          <w:cols w:equalWidth="0" w:num="1">
            <w:col w:w="11240"/>
          </w:cols>
          <w:pgMar w:left="320" w:top="18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consent to the use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(collectively, the consolidated financial statements), and the effectiveness of internal control over financial reporting as of December 31, 2019, incorporated herein by reference and to the reference to our firm under the heading “Experts” in the prospectus.</w:t>
      </w:r>
    </w:p>
    <w:p>
      <w:pPr>
        <w:spacing w:after="0" w:line="202"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 xml:space="preserve">Our report refers to a change in the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2, 2020</w:t>
      </w:r>
    </w:p>
    <w:p>
      <w:pPr>
        <w:sectPr>
          <w:pgSz w:w="11900" w:h="16838" w:orient="portrait"/>
          <w:cols w:equalWidth="0" w:num="1">
            <w:col w:w="11240"/>
          </w:cols>
          <w:pgMar w:left="320" w:top="141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We hereby consent to the incorporation by reference into this Registration Statement on Form S-1 of references to our name and to our letter dated January 10, 2020 relating to our audit of California Resources Corporation’s 2019 oil and gas proved reserves.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RYDER SCOTT COMPANY, L.P.</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November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740" w:type="dxa"/>
        <w:tblCellMar>
          <w:top w:w="0" w:type="dxa"/>
          <w:left w:w="0" w:type="dxa"/>
          <w:bottom w:w="0" w:type="dxa"/>
          <w:right w:w="0" w:type="dxa"/>
        </w:tblCellMar>
      </w:tblPr>
      <w:tr>
        <w:trPr>
          <w:trHeight w:val="180"/>
        </w:trPr>
        <w:tc>
          <w:tcPr>
            <w:tcW w:w="3240" w:type="dxa"/>
            <w:vAlign w:val="bottom"/>
          </w:tcPr>
          <w:p>
            <w:pPr>
              <w:jc w:val="center"/>
              <w:ind w:right="893"/>
              <w:spacing w:after="0"/>
              <w:rPr>
                <w:sz w:val="20"/>
                <w:szCs w:val="20"/>
                <w:color w:val="auto"/>
              </w:rPr>
            </w:pPr>
            <w:r>
              <w:rPr>
                <w:rFonts w:ascii="Arial" w:cs="Arial" w:eastAsia="Arial" w:hAnsi="Arial"/>
                <w:sz w:val="13"/>
                <w:szCs w:val="13"/>
                <w:color w:val="auto"/>
              </w:rPr>
              <w:t>SUITE 2800, 350 7TH AVENUE, S.W.</w:t>
            </w:r>
          </w:p>
        </w:tc>
        <w:tc>
          <w:tcPr>
            <w:tcW w:w="3940" w:type="dxa"/>
            <w:vAlign w:val="bottom"/>
          </w:tcPr>
          <w:p>
            <w:pPr>
              <w:jc w:val="center"/>
              <w:ind w:right="73"/>
              <w:spacing w:after="0"/>
              <w:rPr>
                <w:sz w:val="20"/>
                <w:szCs w:val="20"/>
                <w:color w:val="auto"/>
              </w:rPr>
            </w:pPr>
            <w:r>
              <w:rPr>
                <w:rFonts w:ascii="Arial" w:cs="Arial" w:eastAsia="Arial" w:hAnsi="Arial"/>
                <w:sz w:val="13"/>
                <w:szCs w:val="13"/>
                <w:color w:val="auto"/>
              </w:rPr>
              <w:t>CALGARY, ALBERTA T2P 3N9</w:t>
            </w:r>
          </w:p>
        </w:tc>
        <w:tc>
          <w:tcPr>
            <w:tcW w:w="2320" w:type="dxa"/>
            <w:vAlign w:val="bottom"/>
          </w:tcPr>
          <w:p>
            <w:pPr>
              <w:ind w:left="1100"/>
              <w:spacing w:after="0"/>
              <w:rPr>
                <w:sz w:val="20"/>
                <w:szCs w:val="20"/>
                <w:color w:val="auto"/>
              </w:rPr>
            </w:pPr>
            <w:r>
              <w:rPr>
                <w:rFonts w:ascii="Arial" w:cs="Arial" w:eastAsia="Arial" w:hAnsi="Arial"/>
                <w:sz w:val="13"/>
                <w:szCs w:val="13"/>
                <w:color w:val="auto"/>
              </w:rPr>
              <w:t>TEL (403) 262-2799</w:t>
            </w:r>
          </w:p>
        </w:tc>
      </w:tr>
      <w:tr>
        <w:trPr>
          <w:trHeight w:val="203"/>
        </w:trPr>
        <w:tc>
          <w:tcPr>
            <w:tcW w:w="3240" w:type="dxa"/>
            <w:vAlign w:val="bottom"/>
          </w:tcPr>
          <w:p>
            <w:pPr>
              <w:jc w:val="center"/>
              <w:ind w:right="893"/>
              <w:spacing w:after="0"/>
              <w:rPr>
                <w:sz w:val="20"/>
                <w:szCs w:val="20"/>
                <w:color w:val="auto"/>
              </w:rPr>
            </w:pPr>
            <w:r>
              <w:rPr>
                <w:rFonts w:ascii="Arial" w:cs="Arial" w:eastAsia="Arial" w:hAnsi="Arial"/>
                <w:sz w:val="13"/>
                <w:szCs w:val="13"/>
                <w:color w:val="auto"/>
              </w:rPr>
              <w:t>633 17TH STREET, SUITE 1700</w:t>
            </w:r>
          </w:p>
        </w:tc>
        <w:tc>
          <w:tcPr>
            <w:tcW w:w="3940" w:type="dxa"/>
            <w:vAlign w:val="bottom"/>
          </w:tcPr>
          <w:p>
            <w:pPr>
              <w:jc w:val="center"/>
              <w:ind w:right="73"/>
              <w:spacing w:after="0"/>
              <w:rPr>
                <w:sz w:val="20"/>
                <w:szCs w:val="20"/>
                <w:color w:val="auto"/>
              </w:rPr>
            </w:pPr>
            <w:r>
              <w:rPr>
                <w:rFonts w:ascii="Arial" w:cs="Arial" w:eastAsia="Arial" w:hAnsi="Arial"/>
                <w:sz w:val="13"/>
                <w:szCs w:val="13"/>
                <w:color w:val="auto"/>
              </w:rPr>
              <w:t>DENVER, COLORADO 80202</w:t>
            </w:r>
          </w:p>
        </w:tc>
        <w:tc>
          <w:tcPr>
            <w:tcW w:w="2320" w:type="dxa"/>
            <w:vAlign w:val="bottom"/>
          </w:tcPr>
          <w:p>
            <w:pPr>
              <w:ind w:left="1100"/>
              <w:spacing w:after="0"/>
              <w:rPr>
                <w:sz w:val="20"/>
                <w:szCs w:val="20"/>
                <w:color w:val="auto"/>
              </w:rPr>
            </w:pPr>
            <w:r>
              <w:rPr>
                <w:rFonts w:ascii="Arial" w:cs="Arial" w:eastAsia="Arial" w:hAnsi="Arial"/>
                <w:sz w:val="13"/>
                <w:szCs w:val="13"/>
                <w:color w:val="auto"/>
              </w:rPr>
              <w:t>TEL (303) 339-8110</w:t>
            </w:r>
          </w:p>
        </w:tc>
      </w:tr>
    </w:tbl>
    <w:p>
      <w:pPr>
        <w:sectPr>
          <w:pgSz w:w="11900" w:h="16838" w:orient="portrait"/>
          <w:cols w:equalWidth="0" w:num="1">
            <w:col w:w="11240"/>
          </w:cols>
          <w:pgMar w:left="320" w:top="1409" w:right="339" w:bottom="1440" w:gutter="0" w:footer="0" w:header="0"/>
        </w:sectPr>
      </w:pPr>
    </w:p>
    <w:bookmarkStart w:id="50" w:name="page51"/>
    <w:bookmarkEnd w:id="50"/>
    <w:p>
      <w:pPr>
        <w:ind w:left="10000"/>
        <w:spacing w:after="0"/>
        <w:rPr>
          <w:sz w:val="20"/>
          <w:szCs w:val="20"/>
          <w:color w:val="auto"/>
        </w:rPr>
      </w:pPr>
      <w:r>
        <w:rPr>
          <w:rFonts w:ascii="Times New Roman" w:cs="Times New Roman" w:eastAsia="Times New Roman" w:hAnsi="Times New Roman"/>
          <w:sz w:val="19"/>
          <w:szCs w:val="19"/>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40855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extLst>
                    </a:blip>
                    <a:srcRect/>
                    <a:stretch>
                      <a:fillRect/>
                    </a:stretch>
                  </pic:blipFill>
                  <pic:spPr bwMode="auto">
                    <a:xfrm>
                      <a:off x="0" y="0"/>
                      <a:ext cx="2408555" cy="42862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243" w:lineRule="exact"/>
        <w:rPr>
          <w:sz w:val="20"/>
          <w:szCs w:val="20"/>
          <w:color w:val="auto"/>
        </w:rPr>
      </w:pPr>
    </w:p>
    <w:p>
      <w:pPr>
        <w:jc w:val="both"/>
        <w:ind w:right="340"/>
        <w:spacing w:after="0" w:line="259" w:lineRule="auto"/>
        <w:rPr>
          <w:sz w:val="20"/>
          <w:szCs w:val="20"/>
          <w:color w:val="auto"/>
        </w:rPr>
      </w:pPr>
      <w:r>
        <w:rPr>
          <w:rFonts w:ascii="Arial" w:cs="Arial" w:eastAsia="Arial" w:hAnsi="Arial"/>
          <w:sz w:val="20"/>
          <w:szCs w:val="20"/>
          <w:color w:val="auto"/>
        </w:rPr>
        <w:t>We hereby consent to the incorporation by reference into this Registration Statement on Form S-1 of references to our name and to our letter dated February 12, 2020 relating to our audit of California Resources Corporation’s 2019 oil and gas proved reserves.</w:t>
      </w:r>
    </w:p>
    <w:p>
      <w:pPr>
        <w:spacing w:after="0" w:line="18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24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 Danny D. Simmons</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w:t>
      </w:r>
    </w:p>
    <w:p>
      <w:pPr>
        <w:ind w:left="4380"/>
        <w:spacing w:after="0"/>
        <w:rPr>
          <w:sz w:val="20"/>
          <w:szCs w:val="20"/>
          <w:color w:val="auto"/>
        </w:rPr>
      </w:pPr>
      <w:r>
        <w:rPr>
          <w:rFonts w:ascii="Arial" w:cs="Arial" w:eastAsia="Arial" w:hAnsi="Arial"/>
          <w:sz w:val="20"/>
          <w:szCs w:val="20"/>
          <w:color w:val="auto"/>
        </w:rPr>
        <w:t>Danny D. Simmons</w:t>
      </w:r>
    </w:p>
    <w:p>
      <w:pPr>
        <w:ind w:left="4380"/>
        <w:spacing w:after="0"/>
        <w:rPr>
          <w:sz w:val="20"/>
          <w:szCs w:val="20"/>
          <w:color w:val="auto"/>
        </w:rPr>
      </w:pPr>
      <w:r>
        <w:rPr>
          <w:rFonts w:ascii="Arial" w:cs="Arial" w:eastAsia="Arial" w:hAnsi="Arial"/>
          <w:sz w:val="20"/>
          <w:szCs w:val="20"/>
          <w:color w:val="auto"/>
        </w:rPr>
        <w:t>President and Chief Operating Officer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November 30, 2020</w:t>
      </w:r>
    </w:p>
    <w:sectPr>
      <w:pgSz w:w="11900" w:h="16838" w:orient="portrait"/>
      <w:cols w:equalWidth="0" w:num="1">
        <w:col w:w="11240"/>
      </w:cols>
      <w:pgMar w:left="320" w:top="140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713"/>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5"/>
    </w:lvl>
  </w:abstractNum>
  <w:abstractNum w:abstractNumId="10">
    <w:nsid w:val="54E49EB4"/>
    <w:multiLevelType w:val="hybridMultilevel"/>
    <w:lvl w:ilvl="0">
      <w:lvlJc w:val="left"/>
      <w:lvlText w:val="(%1)"/>
      <w:numFmt w:val="lowerRoman"/>
      <w:start w:val="32"/>
    </w:lvl>
  </w:abstractNum>
  <w:abstractNum w:abstractNumId="11">
    <w:nsid w:val="71F32454"/>
    <w:multiLevelType w:val="hybridMultilevel"/>
    <w:lvl w:ilvl="0">
      <w:lvlJc w:val="left"/>
      <w:lvlText w:val="(%1)"/>
      <w:numFmt w:val="lowerRoman"/>
      <w:start w:val="38"/>
    </w:lvl>
  </w:abstractNum>
  <w:abstractNum w:abstractNumId="12">
    <w:nsid w:val="2CA88611"/>
    <w:multiLevelType w:val="hybridMultilevel"/>
    <w:lvl w:ilvl="0">
      <w:lvlJc w:val="left"/>
      <w:lvlText w:val="(%1)"/>
      <w:numFmt w:val="decimal"/>
      <w:start w:val="9"/>
    </w:lvl>
    <w:lvl w:ilvl="1">
      <w:lvlJc w:val="left"/>
      <w:lvlText w:val="(%2)"/>
      <w:numFmt w:val="lowerRoman"/>
      <w:start w:val="4"/>
    </w:lvl>
  </w:abstractNum>
  <w:abstractNum w:abstractNumId="13">
    <w:nsid w:val="836C40E"/>
    <w:multiLevelType w:val="hybridMultilevel"/>
    <w:lvl w:ilvl="0">
      <w:lvlJc w:val="left"/>
      <w:lvlText w:val="%1"/>
      <w:numFmt w:val="decimal"/>
      <w:start w:val="1"/>
    </w:lvl>
    <w:lvl w:ilvl="1">
      <w:lvlJc w:val="left"/>
      <w:lvlText w:val="(%2)"/>
      <w:numFmt w:val="lowerRoman"/>
      <w:start w:val="9"/>
    </w:lvl>
  </w:abstractNum>
  <w:abstractNum w:abstractNumId="14">
    <w:nsid w:val="2901D82"/>
    <w:multiLevelType w:val="hybridMultilevel"/>
    <w:lvl w:ilvl="0">
      <w:lvlJc w:val="left"/>
      <w:lvlText w:val="%1"/>
      <w:numFmt w:val="decimal"/>
      <w:start w:val="1"/>
    </w:lvl>
    <w:lvl w:ilvl="1">
      <w:lvlJc w:val="left"/>
      <w:lvlText w:val="(%2)"/>
      <w:numFmt w:val="lowerRoman"/>
      <w:start w:val="11"/>
    </w:lvl>
  </w:abstractNum>
  <w:abstractNum w:abstractNumId="15">
    <w:nsid w:val="3A95F874"/>
    <w:multiLevelType w:val="hybridMultilevel"/>
    <w:lvl w:ilvl="0">
      <w:lvlJc w:val="left"/>
      <w:lvlText w:val="%1"/>
      <w:numFmt w:val="decimal"/>
      <w:start w:val="1"/>
    </w:lvl>
    <w:lvl w:ilvl="1">
      <w:lvlJc w:val="left"/>
      <w:lvlText w:val="(%2)"/>
      <w:numFmt w:val="lowerRoman"/>
      <w:start w:val="31"/>
    </w:lvl>
  </w:abstractNum>
  <w:abstractNum w:abstractNumId="16">
    <w:nsid w:val="8138641"/>
    <w:multiLevelType w:val="hybridMultilevel"/>
    <w:lvl w:ilvl="0">
      <w:lvlJc w:val="left"/>
      <w:lvlText w:val="(%1)"/>
      <w:numFmt w:val="decimal"/>
      <w:start w:val="10"/>
    </w:lvl>
  </w:abstractNum>
  <w:abstractNum w:abstractNumId="17">
    <w:nsid w:val="1E7FF521"/>
    <w:multiLevelType w:val="hybridMultilevel"/>
    <w:lvl w:ilvl="0">
      <w:lvlJc w:val="left"/>
      <w:lvlText w:val="(%1)"/>
      <w:numFmt w:val="decimal"/>
      <w:start w:val="11"/>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4"/>
    </w:lvl>
  </w:abstractNum>
  <w:abstractNum w:abstractNumId="21">
    <w:nsid w:val="22221A70"/>
    <w:multiLevelType w:val="hybridMultilevel"/>
    <w:lvl w:ilvl="0">
      <w:lvlJc w:val="left"/>
      <w:lvlText w:val="(%1)"/>
      <w:numFmt w:val="decimal"/>
      <w:start w:val="15"/>
    </w:lvl>
  </w:abstractNum>
  <w:abstractNum w:abstractNumId="22">
    <w:nsid w:val="4516DDE9"/>
    <w:multiLevelType w:val="hybridMultilevel"/>
    <w:lvl w:ilvl="0">
      <w:lvlJc w:val="left"/>
      <w:lvlText w:val="(%1)"/>
      <w:numFmt w:val="decimal"/>
      <w:start w:val="16"/>
    </w:lvl>
    <w:lvl w:ilvl="1">
      <w:lvlJc w:val="left"/>
      <w:lvlText w:val="(%2)"/>
      <w:numFmt w:val="lowerRoman"/>
      <w:start w:val="7"/>
    </w:lvl>
  </w:abstractNum>
  <w:abstractNum w:abstractNumId="23">
    <w:nsid w:val="3006C83E"/>
    <w:multiLevelType w:val="hybridMultilevel"/>
    <w:lvl w:ilvl="0">
      <w:lvlJc w:val="left"/>
      <w:lvlText w:val="%1"/>
      <w:numFmt w:val="decimal"/>
      <w:start w:val="1"/>
    </w:lvl>
    <w:lvl w:ilvl="1">
      <w:lvlJc w:val="left"/>
      <w:lvlText w:val="(%2)"/>
      <w:numFmt w:val="lowerRoman"/>
      <w:start w:val="12"/>
    </w:lvl>
  </w:abstractNum>
  <w:abstractNum w:abstractNumId="24">
    <w:nsid w:val="614FD4A1"/>
    <w:multiLevelType w:val="hybridMultilevel"/>
    <w:lvl w:ilvl="0">
      <w:lvlJc w:val="left"/>
      <w:lvlText w:val="(%1)"/>
      <w:numFmt w:val="decimal"/>
      <w:start w:val="17"/>
    </w:lvl>
  </w:abstractNum>
  <w:abstractNum w:abstractNumId="25">
    <w:nsid w:val="419AC241"/>
    <w:multiLevelType w:val="hybridMultilevel"/>
    <w:lvl w:ilvl="0">
      <w:lvlJc w:val="left"/>
      <w:lvlText w:val="(%1)"/>
      <w:numFmt w:val="decimal"/>
      <w:start w:val="18"/>
    </w:lvl>
  </w:abstractNum>
  <w:abstractNum w:abstractNumId="26">
    <w:nsid w:val="5577F8E1"/>
    <w:multiLevelType w:val="hybridMultilevel"/>
    <w:lvl w:ilvl="0">
      <w:lvlJc w:val="left"/>
      <w:lvlText w:val="(%1)"/>
      <w:numFmt w:val="decimal"/>
      <w:start w:val="19"/>
    </w:lvl>
  </w:abstractNum>
  <w:abstractNum w:abstractNumId="27">
    <w:nsid w:val="440BADFC"/>
    <w:multiLevelType w:val="hybridMultilevel"/>
    <w:lvl w:ilvl="0">
      <w:lvlJc w:val="left"/>
      <w:lvlText w:val="(%1)"/>
      <w:numFmt w:val="decimal"/>
      <w:start w:val="20"/>
    </w:lvl>
  </w:abstractNum>
  <w:abstractNum w:abstractNumId="28">
    <w:nsid w:val="5072367"/>
    <w:multiLevelType w:val="hybridMultilevel"/>
    <w:lvl w:ilvl="0">
      <w:lvlJc w:val="left"/>
      <w:lvlText w:val="(%1)"/>
      <w:numFmt w:val="decimal"/>
      <w:start w:val="2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lowerRoman"/>
      <w:start w:val="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2"/>
    </w:lvl>
  </w:abstractNum>
  <w:abstractNum w:abstractNumId="39">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41">
    <w:nsid w:val="6A2342E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2">
    <w:nsid w:val="2A487CB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4" Type="http://schemas.openxmlformats.org/officeDocument/2006/relationships/image" Target="media/image6.jpeg"/><Relationship Id="rId35" Type="http://schemas.openxmlformats.org/officeDocument/2006/relationships/image" Target="media/image7.jpeg"/><Relationship Id="rId36" Type="http://schemas.openxmlformats.org/officeDocument/2006/relationships/image" Target="media/image8.jpeg"/><Relationship Id="rId13" Type="http://schemas.openxmlformats.org/officeDocument/2006/relationships/hyperlink" Target="http://www.sec.gov/Archives/edgar/data/1609253/000160925320000133/a20201013exhibit991.htm" TargetMode="External"/><Relationship Id="rId14" Type="http://schemas.openxmlformats.org/officeDocument/2006/relationships/hyperlink" Target="http://www.sec.gov/Archives/edgar/data/1609253/000160925320000137/a8aex31.htm" TargetMode="External"/><Relationship Id="rId15" Type="http://schemas.openxmlformats.org/officeDocument/2006/relationships/hyperlink" Target="http://www.sec.gov/Archives/edgar/data/1609253/000160925320000137/a8aex32.htm" TargetMode="External"/><Relationship Id="rId16" Type="http://schemas.openxmlformats.org/officeDocument/2006/relationships/hyperlink" Target="http://www.sec.gov/Archives/edgar/data/1609253/000160925320000114/a20200715exhibit101.htm" TargetMode="External"/><Relationship Id="rId17" Type="http://schemas.openxmlformats.org/officeDocument/2006/relationships/hyperlink" Target="http://www.sec.gov/Archives/edgar/data/1609253/000160925320000118/a20200723exhibit103.htm" TargetMode="External"/><Relationship Id="rId18" Type="http://schemas.openxmlformats.org/officeDocument/2006/relationships/hyperlink" Target="http://www.sec.gov/Archives/edgar/data/1609253/000160925320000114/a20200715exhibit102.htm" TargetMode="External"/><Relationship Id="rId19" Type="http://schemas.openxmlformats.org/officeDocument/2006/relationships/hyperlink" Target="http://www.sec.gov/Archives/edgar/data/1609253/000160925320000114/a20200715exhibit103.htm" TargetMode="External"/><Relationship Id="rId20" Type="http://schemas.openxmlformats.org/officeDocument/2006/relationships/hyperlink" Target="http://www.sec.gov/Archives/edgar/data/1609253/000160925320000116/a20200715aexhibit101.htm" TargetMode="External"/><Relationship Id="rId21" Type="http://schemas.openxmlformats.org/officeDocument/2006/relationships/hyperlink" Target="http://www.sec.gov/Archives/edgar/data/1609253/000160925320000118/a20200723exhibit104.htm" TargetMode="External"/><Relationship Id="rId22" Type="http://schemas.openxmlformats.org/officeDocument/2006/relationships/hyperlink" Target="http://www.sec.gov/Archives/edgar/data/1609253/000160925320000118/a20200723exhibit101.htm" TargetMode="External"/><Relationship Id="rId23" Type="http://schemas.openxmlformats.org/officeDocument/2006/relationships/hyperlink" Target="http://www.sec.gov/Archives/edgar/data/1609253/000160925320000118/a20200723exhibit102.htm" TargetMode="External"/><Relationship Id="rId24" Type="http://schemas.openxmlformats.org/officeDocument/2006/relationships/hyperlink" Target="http://www.sec.gov/Archives/edgar/data/1609253/000160925320000125/a20200814exhibit101.htm" TargetMode="External"/><Relationship Id="rId25" Type="http://schemas.openxmlformats.org/officeDocument/2006/relationships/hyperlink" Target="http://www.sec.gov/Archives/edgar/data/1609253/000160925320000193/a202010278kex101.htm" TargetMode="External"/><Relationship Id="rId26" Type="http://schemas.openxmlformats.org/officeDocument/2006/relationships/hyperlink" Target="http://www.sec.gov/Archives/edgar/data/1609253/000160925320000193/a202010278kex102.htm" TargetMode="External"/><Relationship Id="rId27" Type="http://schemas.openxmlformats.org/officeDocument/2006/relationships/hyperlink" Target="http://www.sec.gov/Archives/edgar/data/1609253/000160925320000193/a202010278kex105.htm" TargetMode="External"/><Relationship Id="rId28" Type="http://schemas.openxmlformats.org/officeDocument/2006/relationships/hyperlink" Target="http://www.sec.gov/Archives/edgar/data/1609253/000160925320000193/a202010278kex106.htm" TargetMode="External"/><Relationship Id="rId29" Type="http://schemas.openxmlformats.org/officeDocument/2006/relationships/hyperlink" Target="http://www.sec.gov/Archives/edgar/data/1609253/000160925320000193/a202010278kex107.htm" TargetMode="External"/><Relationship Id="rId30" Type="http://schemas.openxmlformats.org/officeDocument/2006/relationships/hyperlink" Target="http://www.sec.gov/Archives/edgar/data/1609253/000160925320000137/a8aex101.htm" TargetMode="External"/><Relationship Id="rId31" Type="http://schemas.openxmlformats.org/officeDocument/2006/relationships/hyperlink" Target="http://www.sec.gov/Archives/edgar/data/1609253/000160925320000193/a202010178kex104.htm" TargetMode="External"/><Relationship Id="rId32" Type="http://schemas.openxmlformats.org/officeDocument/2006/relationships/hyperlink" Target="http://www.sec.gov/Archives/edgar/data/1609253/000160925320000141/a202010228kex101.htm" TargetMode="External"/><Relationship Id="rId33" Type="http://schemas.openxmlformats.org/officeDocument/2006/relationships/hyperlink" Target="http://www.sec.gov/Archives/edgar/data/1609253/000160925320000066/a2019yeexhibit21list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2020-12-04T05:11:26Z</dcterms:created>
  <dcterms:modified xsi:type="dcterms:W3CDTF">2020-12-04T05:11:26Z</dcterms:modified>
</cp:coreProperties>
</file>