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0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12/27/2021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903"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rPr>
              <w:t>Line)</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7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80"/>
              <w:spacing w:after="0"/>
              <w:rPr>
                <w:sz w:val="20"/>
                <w:szCs w:val="20"/>
                <w:color w:val="auto"/>
              </w:rPr>
            </w:pPr>
            <w:r>
              <w:rPr>
                <w:rFonts w:ascii="Arial" w:cs="Arial" w:eastAsia="Arial" w:hAnsi="Arial"/>
                <w:sz w:val="12"/>
                <w:szCs w:val="12"/>
                <w:b w:val="1"/>
                <w:bCs w:val="1"/>
                <w:color w:val="auto"/>
              </w:rPr>
              <w:t>Transaction</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jc w:val="right"/>
              <w:ind w:right="69"/>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1"/>
                <w:szCs w:val="11"/>
                <w:color w:val="auto"/>
              </w:rPr>
            </w:pPr>
          </w:p>
        </w:tc>
        <w:tc>
          <w:tcPr>
            <w:tcW w:w="380" w:type="dxa"/>
            <w:vAlign w:val="bottom"/>
          </w:tcPr>
          <w:p>
            <w:pPr>
              <w:jc w:val="right"/>
              <w:ind w:right="129"/>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jc w:val="right"/>
              <w:ind w:right="369"/>
              <w:spacing w:after="0" w:line="133" w:lineRule="exact"/>
              <w:rPr>
                <w:sz w:val="20"/>
                <w:szCs w:val="20"/>
                <w:color w:val="auto"/>
              </w:rPr>
            </w:pPr>
            <w:r>
              <w:rPr>
                <w:rFonts w:ascii="Arial" w:cs="Arial" w:eastAsia="Arial" w:hAnsi="Arial"/>
                <w:sz w:val="12"/>
                <w:szCs w:val="12"/>
                <w:b w:val="1"/>
                <w:bCs w:val="1"/>
                <w:color w:val="auto"/>
              </w:rPr>
              <w:t>Price</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jc w:val="right"/>
              <w:ind w:right="69"/>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12/27/2021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34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6"/>
                <w:vertAlign w:val="subscript"/>
              </w:rPr>
              <w:t>50,000</w:t>
            </w:r>
            <w:r>
              <w:rPr>
                <w:rFonts w:ascii="Arial" w:cs="Arial" w:eastAsia="Arial" w:hAnsi="Arial"/>
                <w:sz w:val="11"/>
                <w:szCs w:val="11"/>
                <w:color w:val="008000"/>
                <w:w w:val="86"/>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43.1227</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10,983,145</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12/28/2021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34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6"/>
                <w:vertAlign w:val="subscript"/>
              </w:rPr>
              <w:t>50,000</w:t>
            </w:r>
            <w:r>
              <w:rPr>
                <w:rFonts w:ascii="Arial" w:cs="Arial" w:eastAsia="Arial" w:hAnsi="Arial"/>
                <w:sz w:val="11"/>
                <w:szCs w:val="11"/>
                <w:color w:val="008000"/>
                <w:w w:val="86"/>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43.0377</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10,933,145</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15"/>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14"/>
                <w:szCs w:val="14"/>
                <w:color w:val="auto"/>
              </w:rPr>
            </w:pPr>
          </w:p>
        </w:tc>
        <w:tc>
          <w:tcPr>
            <w:tcW w:w="58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jc w:val="right"/>
              <w:ind w:right="309"/>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C/O ARES MANAGEMENT</w:t>
            </w: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903"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903" w:orient="portrait"/>
          <w:cols w:equalWidth="0" w:num="1">
            <w:col w:w="11080"/>
          </w:cols>
          <w:pgMar w:left="460" w:top="225"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609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8609965"/>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ARES MANAGEMENT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ARES MANAGEMENT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ARES MANAGEMENT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ARES MANAGEMENT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ARES MANAGEMENT</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0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collectively beneficially own, or may be deemed to beneficially own, in the aggregate 10,933,145 shares of Common Stock by reason of the direct or indirect beneficial ownership of such shares as follows: (i) ACOF AIV 1A directly holds 646,091 shares of Common Stock, (ii) ACOF AIV 1B directly holds 2,364,352 shares of Common Stock, (iii) ACOF AIV 2 directly</w:t>
      </w:r>
    </w:p>
    <w:p>
      <w:pPr>
        <w:sectPr>
          <w:pgSz w:w="11900" w:h="16838" w:orient="portrait"/>
          <w:cols w:equalWidth="0" w:num="1">
            <w:col w:w="10860"/>
          </w:cols>
          <w:pgMar w:left="480" w:top="459" w:right="559" w:bottom="0" w:gutter="0" w:footer="0" w:header="0"/>
        </w:sectPr>
      </w:pPr>
    </w:p>
    <w:bookmarkStart w:id="2" w:name="page3"/>
    <w:bookmarkEnd w:id="2"/>
    <w:p>
      <w:pPr>
        <w:spacing w:after="0" w:line="266" w:lineRule="auto"/>
        <w:rPr>
          <w:sz w:val="20"/>
          <w:szCs w:val="20"/>
          <w:color w:val="auto"/>
        </w:rPr>
      </w:pPr>
      <w:r>
        <w:rPr>
          <w:rFonts w:ascii="Arial" w:cs="Arial" w:eastAsia="Arial" w:hAnsi="Arial"/>
          <w:sz w:val="13"/>
          <w:szCs w:val="13"/>
          <w:color w:val="008000"/>
        </w:rPr>
        <w:t>holds 2,408,566 shares of Common Stock, (iv) AEOF AIV A-B directly holds 1,894,861 shares of Common Stock, (v) AEOF AIV C directly holds 804,524 shares of Common Stock and (vi) AF Energy Feeder, L.P. directly holds 2,814,751 shares of Common Stock.</w:t>
      </w:r>
    </w:p>
    <w:p>
      <w:pPr>
        <w:spacing w:after="0" w:line="15" w:lineRule="exact"/>
        <w:rPr>
          <w:sz w:val="20"/>
          <w:szCs w:val="20"/>
          <w:color w:val="auto"/>
        </w:rPr>
      </w:pPr>
    </w:p>
    <w:p>
      <w:pPr>
        <w:ind w:right="8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780"/>
          </w:cols>
          <w:pgMar w:left="500" w:top="131" w:right="61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4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12/29/2021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12/29/2021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12/29/2021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12/29/2021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12/29/2021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12/29/2021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12/29/2021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60" w:space="80"/>
            <w:col w:w="2040"/>
          </w:cols>
          <w:pgMar w:left="500" w:top="131"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31"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19" Type="http://schemas.openxmlformats.org/officeDocument/2006/relationships/hyperlink" Target="http://www.sec.gov/cgi-bin/browse-edgar?action=getcompany&amp;CIK=0001831200" TargetMode="External"/><Relationship Id="rId20" Type="http://schemas.openxmlformats.org/officeDocument/2006/relationships/hyperlink" Target="http://www.sec.gov/cgi-bin/browse-edgar?action=getcompany&amp;CIK=0001831202" TargetMode="External"/><Relationship Id="rId21"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2021-12-29T15:12:25Z</dcterms:created>
  <dcterms:modified xsi:type="dcterms:W3CDTF">2021-12-29T15:12:25Z</dcterms:modified>
</cp:coreProperties>
</file>