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Hayat Omar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EVP - Operations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14,477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55.111</w:t>
            </w:r>
            <w:r>
              <w:rPr>
                <w:rFonts w:ascii="Times New Roman" w:cs="Times New Roman" w:eastAsia="Times New Roman" w:hAnsi="Times New Roman"/>
                <w:sz w:val="22"/>
                <w:szCs w:val="22"/>
                <w:color w:val="008000"/>
                <w:w w:val="98"/>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32,479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1,539</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55.8666</w:t>
            </w:r>
            <w:r>
              <w:rPr>
                <w:rFonts w:ascii="Times New Roman" w:cs="Times New Roman" w:eastAsia="Times New Roman" w:hAnsi="Times New Roman"/>
                <w:sz w:val="22"/>
                <w:szCs w:val="22"/>
                <w:color w:val="008000"/>
                <w:w w:val="92"/>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30,940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occurred automatically pursuant to a Rule 10b5-1 trading plan adopted by the reporting person on September 12,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$54.64 to $55.63,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$55.64 to $56.44, inclusive. The reporting person undertakes to provide to CRC, any security holder of CRC, or the staff of the Securities and Exchange Commission, upon request, full information regarding the number of shares sold at each separate price within the ranges set forth in footnote (3)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12/13/2024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Omar Hayat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101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2024-12-13T16:34:30Z</dcterms:created>
  <dcterms:modified xsi:type="dcterms:W3CDTF">2024-12-13T16:34:30Z</dcterms:modified>
</cp:coreProperties>
</file>