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207645</wp:posOffset>
            </wp:positionH>
            <wp:positionV relativeFrom="page">
              <wp:posOffset>579755</wp:posOffset>
            </wp:positionV>
            <wp:extent cx="71342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605155</wp:posOffset>
            </wp:positionV>
            <wp:extent cx="71342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4225" cy="8255"/>
                    </a:xfrm>
                    <a:prstGeom prst="rect">
                      <a:avLst/>
                    </a:prstGeom>
                    <a:noFill/>
                  </pic:spPr>
                </pic:pic>
              </a:graphicData>
            </a:graphic>
          </wp:anchor>
        </w:drawing>
        <w:t>UNITED STATES</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6"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6"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7"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45" w:lineRule="exact"/>
        <w:rPr>
          <w:sz w:val="24"/>
          <w:szCs w:val="24"/>
          <w:color w:val="auto"/>
        </w:rPr>
      </w:pPr>
    </w:p>
    <w:p>
      <w:pPr>
        <w:ind w:left="480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166"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27"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14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b w:val="1"/>
          <w:bCs w:val="1"/>
          <w:color w:val="auto"/>
        </w:rPr>
        <w:t>Date of report (Date of earliest event reported): April 30, 2026</w:t>
      </w:r>
    </w:p>
    <w:p>
      <w:pPr>
        <w:spacing w:after="0" w:line="180"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9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8"/>
          <w:szCs w:val="28"/>
          <w:b w:val="1"/>
          <w:bCs w:val="1"/>
          <w:color w:val="auto"/>
        </w:rPr>
        <w:t>California Resources Corporation</w:t>
      </w:r>
    </w:p>
    <w:p>
      <w:pPr>
        <w:spacing w:after="0" w:line="5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ectPr>
          <w:pgSz w:w="11900" w:h="16838" w:orient="portrait"/>
          <w:cols w:equalWidth="0" w:num="1">
            <w:col w:w="11160"/>
          </w:cols>
          <w:pgMar w:left="320" w:top="1399" w:right="419" w:bottom="1440" w:gutter="0" w:footer="0" w:header="0"/>
        </w:sectPr>
      </w:pPr>
    </w:p>
    <w:p>
      <w:pPr>
        <w:spacing w:after="0" w:line="113" w:lineRule="exact"/>
        <w:rPr>
          <w:sz w:val="24"/>
          <w:szCs w:val="24"/>
          <w:color w:val="auto"/>
        </w:rPr>
      </w:pPr>
    </w:p>
    <w:p>
      <w:pPr>
        <w:ind w:left="1500"/>
        <w:spacing w:after="0"/>
        <w:rPr>
          <w:sz w:val="20"/>
          <w:szCs w:val="20"/>
          <w:color w:val="auto"/>
        </w:rPr>
      </w:pPr>
      <w:r>
        <w:rPr>
          <w:rFonts w:ascii="Times New Roman" w:cs="Times New Roman" w:eastAsia="Times New Roman" w:hAnsi="Times New Roman"/>
          <w:sz w:val="18"/>
          <w:szCs w:val="18"/>
          <w:b w:val="1"/>
          <w:bCs w:val="1"/>
          <w:color w:val="auto"/>
        </w:rPr>
        <w:t>Delaware</w:t>
      </w:r>
    </w:p>
    <w:p>
      <w:pPr>
        <w:spacing w:after="0" w:line="27" w:lineRule="exact"/>
        <w:rPr>
          <w:sz w:val="24"/>
          <w:szCs w:val="24"/>
          <w:color w:val="auto"/>
        </w:rPr>
      </w:pPr>
    </w:p>
    <w:p>
      <w:pPr>
        <w:ind w:left="780"/>
        <w:spacing w:after="0"/>
        <w:rPr>
          <w:sz w:val="20"/>
          <w:szCs w:val="20"/>
          <w:color w:val="auto"/>
        </w:rPr>
      </w:pPr>
      <w:r>
        <w:rPr>
          <w:rFonts w:ascii="Times New Roman" w:cs="Times New Roman" w:eastAsia="Times New Roman" w:hAnsi="Times New Roman"/>
          <w:sz w:val="17"/>
          <w:szCs w:val="17"/>
          <w:color w:val="auto"/>
        </w:rPr>
        <w:t>(State or Other Jurisdiction of</w:t>
      </w:r>
    </w:p>
    <w:p>
      <w:pPr>
        <w:spacing w:after="0" w:line="5" w:lineRule="exact"/>
        <w:rPr>
          <w:sz w:val="24"/>
          <w:szCs w:val="24"/>
          <w:color w:val="auto"/>
        </w:rPr>
      </w:pPr>
    </w:p>
    <w:p>
      <w:pPr>
        <w:ind w:left="1340"/>
        <w:spacing w:after="0"/>
        <w:rPr>
          <w:sz w:val="20"/>
          <w:szCs w:val="20"/>
          <w:color w:val="auto"/>
        </w:rPr>
      </w:pPr>
      <w:r>
        <w:rPr>
          <w:rFonts w:ascii="Times New Roman" w:cs="Times New Roman" w:eastAsia="Times New Roman" w:hAnsi="Times New Roman"/>
          <w:sz w:val="18"/>
          <w:szCs w:val="18"/>
          <w:color w:val="auto"/>
        </w:rPr>
        <w:t>Incorporation)</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b w:val="1"/>
          <w:bCs w:val="1"/>
          <w:color w:val="auto"/>
        </w:rPr>
        <w:t>001-36478</w:t>
      </w:r>
    </w:p>
    <w:p>
      <w:pPr>
        <w:spacing w:after="0" w:line="21" w:lineRule="exact"/>
        <w:rPr>
          <w:sz w:val="24"/>
          <w:szCs w:val="24"/>
          <w:color w:val="auto"/>
        </w:rPr>
      </w:pPr>
    </w:p>
    <w:p>
      <w:pPr>
        <w:jc w:val="center"/>
        <w:ind w:right="1900"/>
        <w:spacing w:after="0"/>
        <w:rPr>
          <w:sz w:val="20"/>
          <w:szCs w:val="20"/>
          <w:color w:val="auto"/>
        </w:rPr>
      </w:pPr>
      <w:r>
        <w:rPr>
          <w:rFonts w:ascii="Times New Roman" w:cs="Times New Roman" w:eastAsia="Times New Roman" w:hAnsi="Times New Roman"/>
          <w:sz w:val="18"/>
          <w:szCs w:val="18"/>
          <w:color w:val="auto"/>
        </w:rPr>
        <w:t>(Commission</w:t>
      </w:r>
    </w:p>
    <w:p>
      <w:pPr>
        <w:jc w:val="center"/>
        <w:ind w:right="1900"/>
        <w:spacing w:after="0"/>
        <w:rPr>
          <w:sz w:val="20"/>
          <w:szCs w:val="20"/>
          <w:color w:val="auto"/>
        </w:rPr>
      </w:pPr>
      <w:r>
        <w:rPr>
          <w:rFonts w:ascii="Times New Roman" w:cs="Times New Roman" w:eastAsia="Times New Roman" w:hAnsi="Times New Roman"/>
          <w:sz w:val="18"/>
          <w:szCs w:val="18"/>
          <w:color w:val="auto"/>
        </w:rPr>
        <w:t>File Number)</w:t>
      </w:r>
    </w:p>
    <w:p>
      <w:pPr>
        <w:spacing w:after="0" w:line="20" w:lineRule="exact"/>
        <w:rPr>
          <w:sz w:val="24"/>
          <w:szCs w:val="24"/>
          <w:color w:val="auto"/>
        </w:rPr>
      </w:pPr>
      <w:r>
        <w:rPr>
          <w:sz w:val="24"/>
          <w:szCs w:val="24"/>
          <w:color w:val="auto"/>
        </w:rPr>
        <w:br w:type="column"/>
      </w:r>
    </w:p>
    <w:p>
      <w:pPr>
        <w:spacing w:after="0" w:line="93" w:lineRule="exact"/>
        <w:rPr>
          <w:sz w:val="24"/>
          <w:szCs w:val="24"/>
          <w:color w:val="auto"/>
        </w:rPr>
      </w:pPr>
    </w:p>
    <w:p>
      <w:pPr>
        <w:ind w:left="220"/>
        <w:spacing w:after="0"/>
        <w:rPr>
          <w:sz w:val="20"/>
          <w:szCs w:val="20"/>
          <w:color w:val="auto"/>
        </w:rPr>
      </w:pPr>
      <w:r>
        <w:rPr>
          <w:rFonts w:ascii="Times New Roman" w:cs="Times New Roman" w:eastAsia="Times New Roman" w:hAnsi="Times New Roman"/>
          <w:sz w:val="18"/>
          <w:szCs w:val="18"/>
          <w:b w:val="1"/>
          <w:bCs w:val="1"/>
          <w:color w:val="auto"/>
        </w:rPr>
        <w:t>46-5670947</w:t>
      </w:r>
    </w:p>
    <w:p>
      <w:pPr>
        <w:spacing w:after="0" w:line="21" w:lineRule="exact"/>
        <w:rPr>
          <w:sz w:val="24"/>
          <w:szCs w:val="24"/>
          <w:color w:val="auto"/>
        </w:rPr>
      </w:pPr>
    </w:p>
    <w:p>
      <w:pPr>
        <w:ind w:left="100"/>
        <w:spacing w:after="0"/>
        <w:rPr>
          <w:sz w:val="20"/>
          <w:szCs w:val="20"/>
          <w:color w:val="auto"/>
        </w:rPr>
      </w:pPr>
      <w:r>
        <w:rPr>
          <w:rFonts w:ascii="Times New Roman" w:cs="Times New Roman" w:eastAsia="Times New Roman" w:hAnsi="Times New Roman"/>
          <w:sz w:val="18"/>
          <w:szCs w:val="18"/>
          <w:color w:val="auto"/>
        </w:rPr>
        <w:t>(IRS Employer</w:t>
      </w:r>
    </w:p>
    <w:p>
      <w:pPr>
        <w:spacing w:after="0"/>
        <w:rPr>
          <w:sz w:val="20"/>
          <w:szCs w:val="20"/>
          <w:color w:val="auto"/>
        </w:rPr>
      </w:pPr>
      <w:r>
        <w:rPr>
          <w:rFonts w:ascii="Times New Roman" w:cs="Times New Roman" w:eastAsia="Times New Roman" w:hAnsi="Times New Roman"/>
          <w:sz w:val="17"/>
          <w:szCs w:val="17"/>
          <w:color w:val="auto"/>
        </w:rPr>
        <w:t>Identification No.)</w:t>
      </w:r>
    </w:p>
    <w:p>
      <w:pPr>
        <w:spacing w:after="0" w:line="102" w:lineRule="exact"/>
        <w:rPr>
          <w:sz w:val="24"/>
          <w:szCs w:val="24"/>
          <w:color w:val="auto"/>
        </w:rPr>
      </w:pPr>
    </w:p>
    <w:p>
      <w:pPr>
        <w:sectPr>
          <w:pgSz w:w="11900" w:h="16838" w:orient="portrait"/>
          <w:cols w:equalWidth="0" w:num="3">
            <w:col w:w="4380" w:space="720"/>
            <w:col w:w="2880" w:space="720"/>
            <w:col w:w="2460"/>
          </w:cols>
          <w:pgMar w:left="320" w:top="1399" w:right="419" w:bottom="1440" w:gutter="0" w:footer="0" w:header="0"/>
          <w:type w:val="continuous"/>
        </w:sect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1 World Trade Center</w:t>
      </w:r>
    </w:p>
    <w:p>
      <w:pPr>
        <w:spacing w:after="0" w:line="27"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Suite 1500</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Long Beach</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8"/>
          <w:szCs w:val="18"/>
          <w:b w:val="1"/>
          <w:bCs w:val="1"/>
          <w:color w:val="auto"/>
        </w:rPr>
        <w:t>California</w:t>
      </w:r>
    </w:p>
    <w:p>
      <w:pPr>
        <w:spacing w:after="0" w:line="20" w:lineRule="exact"/>
        <w:rPr>
          <w:sz w:val="24"/>
          <w:szCs w:val="24"/>
          <w:color w:val="auto"/>
        </w:rPr>
      </w:pPr>
    </w:p>
    <w:p>
      <w:pPr>
        <w:jc w:val="center"/>
        <w:ind w:right="1680"/>
        <w:spacing w:after="0"/>
        <w:rPr>
          <w:sz w:val="20"/>
          <w:szCs w:val="20"/>
          <w:color w:val="auto"/>
        </w:rPr>
      </w:pPr>
      <w:r>
        <w:rPr>
          <w:rFonts w:ascii="Times New Roman" w:cs="Times New Roman" w:eastAsia="Times New Roman" w:hAnsi="Times New Roman"/>
          <w:sz w:val="17"/>
          <w:szCs w:val="17"/>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60"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8"/>
          <w:szCs w:val="18"/>
          <w:b w:val="1"/>
          <w:bCs w:val="1"/>
          <w:color w:val="auto"/>
        </w:rPr>
        <w:t>90831</w:t>
      </w:r>
    </w:p>
    <w:p>
      <w:pPr>
        <w:spacing w:after="0" w:line="27" w:lineRule="exact"/>
        <w:rPr>
          <w:sz w:val="24"/>
          <w:szCs w:val="24"/>
          <w:color w:val="auto"/>
        </w:rPr>
      </w:pPr>
    </w:p>
    <w:p>
      <w:pPr>
        <w:jc w:val="center"/>
        <w:ind w:right="2360"/>
        <w:spacing w:after="0"/>
        <w:rPr>
          <w:sz w:val="20"/>
          <w:szCs w:val="20"/>
          <w:color w:val="auto"/>
        </w:rPr>
      </w:pPr>
      <w:r>
        <w:rPr>
          <w:rFonts w:ascii="Times New Roman" w:cs="Times New Roman" w:eastAsia="Times New Roman" w:hAnsi="Times New Roman"/>
          <w:sz w:val="17"/>
          <w:szCs w:val="17"/>
          <w:color w:val="auto"/>
        </w:rPr>
        <w:t>(Zip Code)</w:t>
      </w:r>
    </w:p>
    <w:p>
      <w:pPr>
        <w:spacing w:after="0" w:line="170" w:lineRule="exact"/>
        <w:rPr>
          <w:sz w:val="24"/>
          <w:szCs w:val="24"/>
          <w:color w:val="auto"/>
        </w:rPr>
      </w:pPr>
    </w:p>
    <w:p>
      <w:pPr>
        <w:sectPr>
          <w:pgSz w:w="11900" w:h="16838" w:orient="portrait"/>
          <w:cols w:equalWidth="0" w:num="2">
            <w:col w:w="7300" w:space="720"/>
            <w:col w:w="3140"/>
          </w:cols>
          <w:pgMar w:left="320" w:top="1399" w:right="419" w:bottom="1440" w:gutter="0" w:footer="0" w:header="0"/>
          <w:type w:val="continuous"/>
        </w:sect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(888) 848-4754</w:t>
      </w:r>
    </w:p>
    <w:p>
      <w:pPr>
        <w:spacing w:after="0" w:line="168" w:lineRule="exact"/>
        <w:rPr>
          <w:sz w:val="24"/>
          <w:szCs w:val="24"/>
          <w:color w:val="auto"/>
        </w:rPr>
      </w:pPr>
    </w:p>
    <w:p>
      <w:pPr>
        <w:ind w:left="470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166" w:lineRule="exact"/>
        <w:rPr>
          <w:sz w:val="24"/>
          <w:szCs w:val="24"/>
          <w:color w:val="auto"/>
        </w:rPr>
      </w:pPr>
    </w:p>
    <w:p>
      <w:pPr>
        <w:spacing w:after="0" w:line="27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70" w:lineRule="exact"/>
        <w:rPr>
          <w:sz w:val="24"/>
          <w:szCs w:val="24"/>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22"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35" w:lineRule="exact"/>
        <w:rPr>
          <w:rFonts w:ascii="MS PGothic" w:cs="MS PGothic" w:eastAsia="MS PGothic" w:hAnsi="MS PGothic"/>
          <w:sz w:val="20"/>
          <w:szCs w:val="20"/>
          <w:color w:val="auto"/>
        </w:rPr>
      </w:pPr>
    </w:p>
    <w:p>
      <w:pPr>
        <w:ind w:left="360" w:hanging="353"/>
        <w:spacing w:after="0"/>
        <w:tabs>
          <w:tab w:leader="none" w:pos="360" w:val="left"/>
        </w:tabs>
        <w:numPr>
          <w:ilvl w:val="0"/>
          <w:numId w:val="1"/>
        </w:numPr>
        <w:rPr>
          <w:rFonts w:ascii="MS PGothic" w:cs="MS PGothic" w:eastAsia="MS PGothic" w:hAnsi="MS PGothic"/>
          <w:sz w:val="20"/>
          <w:szCs w:val="20"/>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ectPr>
          <w:pgSz w:w="11900" w:h="16838" w:orient="portrait"/>
          <w:cols w:equalWidth="0" w:num="1">
            <w:col w:w="11160"/>
          </w:cols>
          <w:pgMar w:left="320" w:top="1399" w:right="419" w:bottom="1440" w:gutter="0" w:footer="0" w:header="0"/>
          <w:type w:val="continuous"/>
        </w:sectPr>
      </w:pPr>
    </w:p>
    <w:p>
      <w:pPr>
        <w:spacing w:after="0" w:line="124"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Title of each class</w:t>
      </w:r>
    </w:p>
    <w:p>
      <w:pPr>
        <w:spacing w:after="0" w:line="39" w:lineRule="exact"/>
        <w:rPr>
          <w:sz w:val="24"/>
          <w:szCs w:val="24"/>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Common Stock</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7"/>
          <w:szCs w:val="17"/>
          <w:b w:val="1"/>
          <w:bCs w:val="1"/>
          <w:color w:val="auto"/>
        </w:rPr>
        <w:t>Trading Symbol(s)</w:t>
      </w:r>
    </w:p>
    <w:p>
      <w:pPr>
        <w:spacing w:after="0" w:line="39" w:lineRule="exact"/>
        <w:rPr>
          <w:sz w:val="24"/>
          <w:szCs w:val="24"/>
          <w:color w:val="auto"/>
        </w:rPr>
      </w:pPr>
    </w:p>
    <w:p>
      <w:pPr>
        <w:jc w:val="center"/>
        <w:ind w:right="860"/>
        <w:spacing w:after="0"/>
        <w:rPr>
          <w:sz w:val="20"/>
          <w:szCs w:val="20"/>
          <w:color w:val="auto"/>
        </w:rPr>
      </w:pPr>
      <w:r>
        <w:rPr>
          <w:rFonts w:ascii="Times New Roman" w:cs="Times New Roman" w:eastAsia="Times New Roman" w:hAnsi="Times New Roman"/>
          <w:sz w:val="18"/>
          <w:szCs w:val="18"/>
          <w:color w:val="auto"/>
        </w:rPr>
        <w:t>CRC</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7"/>
          <w:szCs w:val="17"/>
          <w:b w:val="1"/>
          <w:bCs w:val="1"/>
          <w:color w:val="auto"/>
        </w:rPr>
        <w:t>Name of each exchange on which registered</w:t>
      </w:r>
    </w:p>
    <w:p>
      <w:pPr>
        <w:spacing w:after="0" w:line="39" w:lineRule="exact"/>
        <w:rPr>
          <w:sz w:val="24"/>
          <w:szCs w:val="24"/>
          <w:color w:val="auto"/>
        </w:rPr>
      </w:pPr>
    </w:p>
    <w:p>
      <w:pPr>
        <w:jc w:val="center"/>
        <w:ind w:right="660"/>
        <w:spacing w:after="0"/>
        <w:rPr>
          <w:sz w:val="20"/>
          <w:szCs w:val="20"/>
          <w:color w:val="auto"/>
        </w:rPr>
      </w:pPr>
      <w:r>
        <w:rPr>
          <w:rFonts w:ascii="Times New Roman" w:cs="Times New Roman" w:eastAsia="Times New Roman" w:hAnsi="Times New Roman"/>
          <w:sz w:val="18"/>
          <w:szCs w:val="18"/>
          <w:color w:val="auto"/>
        </w:rPr>
        <w:t>New York Stock Exchange</w:t>
      </w:r>
    </w:p>
    <w:p>
      <w:pPr>
        <w:spacing w:after="0" w:line="160" w:lineRule="exact"/>
        <w:rPr>
          <w:sz w:val="24"/>
          <w:szCs w:val="24"/>
          <w:color w:val="auto"/>
        </w:rPr>
      </w:pPr>
    </w:p>
    <w:p>
      <w:pPr>
        <w:sectPr>
          <w:pgSz w:w="11900" w:h="16838" w:orient="portrait"/>
          <w:cols w:equalWidth="0" w:num="3">
            <w:col w:w="3480" w:space="720"/>
            <w:col w:w="2280" w:space="720"/>
            <w:col w:w="3960"/>
          </w:cols>
          <w:pgMar w:left="320" w:top="1399" w:right="419" w:bottom="1440" w:gutter="0" w:footer="0" w:header="0"/>
          <w:type w:val="continuous"/>
        </w:sectPr>
      </w:pPr>
    </w:p>
    <w:p>
      <w:pPr>
        <w:ind w:right="220"/>
        <w:spacing w:after="0" w:line="27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spacing w:after="0" w:line="63" w:lineRule="exact"/>
        <w:rPr>
          <w:sz w:val="24"/>
          <w:szCs w:val="24"/>
          <w:color w:val="auto"/>
        </w:rPr>
      </w:pPr>
    </w:p>
    <w:p>
      <w:pPr>
        <w:spacing w:after="0" w:line="219"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9"/>
          <w:szCs w:val="19"/>
          <w:color w:val="auto"/>
        </w:rPr>
        <w:t>☐</w:t>
      </w:r>
    </w:p>
    <w:p>
      <w:pPr>
        <w:spacing w:after="0" w:line="229" w:lineRule="exact"/>
        <w:rPr>
          <w:sz w:val="24"/>
          <w:szCs w:val="24"/>
          <w:color w:val="auto"/>
        </w:rPr>
      </w:pPr>
    </w:p>
    <w:p>
      <w:pPr>
        <w:ind w:right="40"/>
        <w:spacing w:after="0" w:line="24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9"/>
          <w:szCs w:val="19"/>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-7620</wp:posOffset>
            </wp:positionH>
            <wp:positionV relativeFrom="paragraph">
              <wp:posOffset>759460</wp:posOffset>
            </wp:positionV>
            <wp:extent cx="715962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962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205105</wp:posOffset>
            </wp:positionV>
            <wp:extent cx="713422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230505</wp:posOffset>
            </wp:positionV>
            <wp:extent cx="713422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ectPr>
          <w:pgSz w:w="11900" w:h="16838" w:orient="portrait"/>
          <w:cols w:equalWidth="0" w:num="1">
            <w:col w:w="11160"/>
          </w:cols>
          <w:pgMar w:left="320" w:top="1399" w:right="419" w:bottom="1440" w:gutter="0" w:footer="0" w:header="0"/>
          <w:type w:val="continuous"/>
        </w:sectPr>
      </w:pPr>
    </w:p>
    <w:bookmarkStart w:id="1" w:name="page2"/>
    <w:bookmarkEnd w:id="1"/>
    <w:p>
      <w:pPr>
        <w:spacing w:after="0" w:line="30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21" w:lineRule="exact"/>
        <w:rPr>
          <w:sz w:val="20"/>
          <w:szCs w:val="20"/>
          <w:color w:val="auto"/>
        </w:rPr>
      </w:pPr>
    </w:p>
    <w:p>
      <w:pPr>
        <w:jc w:val="both"/>
        <w:ind w:right="160"/>
        <w:spacing w:after="0" w:line="261" w:lineRule="auto"/>
        <w:rPr>
          <w:sz w:val="20"/>
          <w:szCs w:val="20"/>
          <w:color w:val="auto"/>
        </w:rPr>
      </w:pPr>
      <w:r>
        <w:rPr>
          <w:rFonts w:ascii="Times New Roman" w:cs="Times New Roman" w:eastAsia="Times New Roman" w:hAnsi="Times New Roman"/>
          <w:sz w:val="18"/>
          <w:szCs w:val="18"/>
          <w:color w:val="auto"/>
        </w:rPr>
        <w:t>On May 5, 2026, California Resources Corporation (the “Company”) issued a press release announcing its financial condition and results of operations for the three months ended March 31, 2026. A copy of the press release is furnished as Exhibit 99.1 to this report on Form 8-K, and is incorporated herein by reference.</w:t>
      </w:r>
    </w:p>
    <w:p>
      <w:pPr>
        <w:spacing w:after="0" w:line="178"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The information contained in this Item 2.02 and the exhibit hereto shall not be deemed to be “filed” for purposes of Section 18 of the Securities Exchange Act of 1934, as amended (the “Exchange Act”), and shall not be incorporated by reference into any filings made by the Company under the Securities Act of 1933, as amended, or the Exchange Act, except as may be expressly set forth by specific reference in such filing.</w:t>
      </w:r>
    </w:p>
    <w:p>
      <w:pPr>
        <w:spacing w:after="0" w:line="38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08" w:lineRule="exact"/>
        <w:rPr>
          <w:sz w:val="20"/>
          <w:szCs w:val="20"/>
          <w:color w:val="auto"/>
        </w:rPr>
      </w:pPr>
    </w:p>
    <w:p>
      <w:pPr>
        <w:ind w:left="660" w:hanging="636"/>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held its 2026 Annual Meeting of Stockholders (the “Annual Meeting”) on April 30, 2026.</w:t>
      </w:r>
    </w:p>
    <w:p>
      <w:pPr>
        <w:spacing w:after="0" w:line="286" w:lineRule="exact"/>
        <w:rPr>
          <w:rFonts w:ascii="Times New Roman" w:cs="Times New Roman" w:eastAsia="Times New Roman" w:hAnsi="Times New Roman"/>
          <w:sz w:val="18"/>
          <w:szCs w:val="18"/>
          <w:color w:val="auto"/>
        </w:rPr>
      </w:pPr>
    </w:p>
    <w:p>
      <w:pPr>
        <w:ind w:left="660" w:right="1260" w:hanging="636"/>
        <w:spacing w:after="0" w:line="228"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actions were taken at the Annual Meeting, for which proxies were solicited pursuant to Regulation 14A under the Exchange Act, and the final number of votes cast for, against or withheld, abstentions and broker non-votes for each matter are set forth below:</w:t>
      </w:r>
    </w:p>
    <w:p>
      <w:pPr>
        <w:spacing w:after="0" w:line="263"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w:t>
      </w:r>
      <w:r>
        <w:rPr>
          <w:rFonts w:ascii="Times New Roman" w:cs="Times New Roman" w:eastAsia="Times New Roman" w:hAnsi="Times New Roman"/>
          <w:sz w:val="17"/>
          <w:szCs w:val="17"/>
          <w:color w:val="auto"/>
        </w:rPr>
        <w:t>The nine director nominees named in the Company’s proxy statement were elected with the following votes:</w:t>
      </w:r>
    </w:p>
    <w:p>
      <w:pPr>
        <w:spacing w:after="0" w:line="271" w:lineRule="exact"/>
        <w:rPr>
          <w:sz w:val="20"/>
          <w:szCs w:val="20"/>
          <w:color w:val="auto"/>
        </w:rPr>
      </w:pPr>
    </w:p>
    <w:tbl>
      <w:tblPr>
        <w:tblLayout w:type="fixed"/>
        <w:tblInd w:w="1280" w:type="dxa"/>
        <w:tblCellMar>
          <w:top w:w="0" w:type="dxa"/>
          <w:left w:w="0" w:type="dxa"/>
          <w:bottom w:w="0" w:type="dxa"/>
          <w:right w:w="0" w:type="dxa"/>
        </w:tblCellMar>
      </w:tblPr>
      <w:tr>
        <w:trPr>
          <w:trHeight w:val="207"/>
        </w:trPr>
        <w:tc>
          <w:tcPr>
            <w:tcW w:w="26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980" w:type="dxa"/>
            <w:vAlign w:val="bottom"/>
            <w:gridSpan w:val="3"/>
            <w:vMerge w:val="restart"/>
          </w:tcPr>
          <w:p>
            <w:pPr>
              <w:ind w:left="700"/>
              <w:spacing w:after="0"/>
              <w:rPr>
                <w:sz w:val="20"/>
                <w:szCs w:val="20"/>
                <w:color w:val="auto"/>
              </w:rPr>
            </w:pPr>
            <w:r>
              <w:rPr>
                <w:rFonts w:ascii="Times New Roman" w:cs="Times New Roman" w:eastAsia="Times New Roman" w:hAnsi="Times New Roman"/>
                <w:sz w:val="18"/>
                <w:szCs w:val="18"/>
                <w:b w:val="1"/>
                <w:bCs w:val="1"/>
                <w:color w:val="auto"/>
              </w:rPr>
              <w:t>For</w:t>
            </w:r>
          </w:p>
        </w:tc>
        <w:tc>
          <w:tcPr>
            <w:tcW w:w="1460" w:type="dxa"/>
            <w:vAlign w:val="bottom"/>
            <w:gridSpan w:val="2"/>
            <w:vMerge w:val="restart"/>
          </w:tcPr>
          <w:p>
            <w:pPr>
              <w:jc w:val="right"/>
              <w:ind w:right="760"/>
              <w:spacing w:after="0"/>
              <w:rPr>
                <w:sz w:val="20"/>
                <w:szCs w:val="20"/>
                <w:color w:val="auto"/>
              </w:rPr>
            </w:pPr>
            <w:r>
              <w:rPr>
                <w:rFonts w:ascii="Times New Roman" w:cs="Times New Roman" w:eastAsia="Times New Roman" w:hAnsi="Times New Roman"/>
                <w:sz w:val="18"/>
                <w:szCs w:val="18"/>
                <w:b w:val="1"/>
                <w:bCs w:val="1"/>
                <w:color w:val="auto"/>
                <w:w w:val="94"/>
              </w:rPr>
              <w:t>Withheld</w:t>
            </w:r>
          </w:p>
        </w:tc>
        <w:tc>
          <w:tcPr>
            <w:tcW w:w="120" w:type="dxa"/>
            <w:vAlign w:val="bottom"/>
          </w:tcPr>
          <w:p>
            <w:pPr>
              <w:spacing w:after="0"/>
              <w:rPr>
                <w:sz w:val="17"/>
                <w:szCs w:val="17"/>
                <w:color w:val="auto"/>
              </w:rPr>
            </w:pPr>
          </w:p>
        </w:tc>
        <w:tc>
          <w:tcPr>
            <w:tcW w:w="5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Broker</w:t>
            </w:r>
          </w:p>
        </w:tc>
        <w:tc>
          <w:tcPr>
            <w:tcW w:w="400" w:type="dxa"/>
            <w:vAlign w:val="bottom"/>
            <w:gridSpan w:val="2"/>
          </w:tcPr>
          <w:p>
            <w:pPr>
              <w:spacing w:after="0"/>
              <w:rPr>
                <w:sz w:val="17"/>
                <w:szCs w:val="17"/>
                <w:color w:val="auto"/>
              </w:rPr>
            </w:pPr>
          </w:p>
        </w:tc>
        <w:tc>
          <w:tcPr>
            <w:tcW w:w="0" w:type="dxa"/>
            <w:vAlign w:val="bottom"/>
          </w:tcPr>
          <w:p>
            <w:pPr>
              <w:spacing w:after="0"/>
              <w:rPr>
                <w:sz w:val="1"/>
                <w:szCs w:val="1"/>
                <w:color w:val="auto"/>
              </w:rPr>
            </w:pPr>
          </w:p>
        </w:tc>
      </w:tr>
      <w:tr>
        <w:trPr>
          <w:trHeight w:val="167"/>
        </w:trPr>
        <w:tc>
          <w:tcPr>
            <w:tcW w:w="2620" w:type="dxa"/>
            <w:vAlign w:val="bottom"/>
            <w:gridSpan w:val="2"/>
            <w:vMerge w:val="continue"/>
          </w:tcPr>
          <w:p>
            <w:pPr>
              <w:spacing w:after="0"/>
              <w:rPr>
                <w:sz w:val="14"/>
                <w:szCs w:val="14"/>
                <w:color w:val="auto"/>
              </w:rPr>
            </w:pPr>
          </w:p>
        </w:tc>
        <w:tc>
          <w:tcPr>
            <w:tcW w:w="1980" w:type="dxa"/>
            <w:vAlign w:val="bottom"/>
            <w:gridSpan w:val="3"/>
            <w:vMerge w:val="continue"/>
          </w:tcPr>
          <w:p>
            <w:pPr>
              <w:spacing w:after="0"/>
              <w:rPr>
                <w:sz w:val="14"/>
                <w:szCs w:val="14"/>
                <w:color w:val="auto"/>
              </w:rPr>
            </w:pPr>
          </w:p>
        </w:tc>
        <w:tc>
          <w:tcPr>
            <w:tcW w:w="1460" w:type="dxa"/>
            <w:vAlign w:val="bottom"/>
            <w:gridSpan w:val="2"/>
            <w:vMerge w:val="continue"/>
          </w:tcPr>
          <w:p>
            <w:pPr>
              <w:spacing w:after="0"/>
              <w:rPr>
                <w:sz w:val="14"/>
                <w:szCs w:val="14"/>
                <w:color w:val="auto"/>
              </w:rPr>
            </w:pPr>
          </w:p>
        </w:tc>
        <w:tc>
          <w:tcPr>
            <w:tcW w:w="1060" w:type="dxa"/>
            <w:vAlign w:val="bottom"/>
            <w:gridSpan w:val="4"/>
          </w:tcPr>
          <w:p>
            <w:pPr>
              <w:jc w:val="center"/>
              <w:ind w:right="280"/>
              <w:spacing w:after="0" w:line="167" w:lineRule="exact"/>
              <w:rPr>
                <w:sz w:val="20"/>
                <w:szCs w:val="20"/>
                <w:color w:val="auto"/>
              </w:rPr>
            </w:pPr>
            <w:r>
              <w:rPr>
                <w:rFonts w:ascii="Times New Roman" w:cs="Times New Roman" w:eastAsia="Times New Roman" w:hAnsi="Times New Roman"/>
                <w:sz w:val="18"/>
                <w:szCs w:val="18"/>
                <w:b w:val="1"/>
                <w:bCs w:val="1"/>
                <w:color w:val="auto"/>
                <w:w w:val="96"/>
              </w:rPr>
              <w:t>Non-Votes</w:t>
            </w:r>
          </w:p>
        </w:tc>
        <w:tc>
          <w:tcPr>
            <w:tcW w:w="0" w:type="dxa"/>
            <w:vAlign w:val="bottom"/>
          </w:tcPr>
          <w:p>
            <w:pPr>
              <w:spacing w:after="0"/>
              <w:rPr>
                <w:sz w:val="1"/>
                <w:szCs w:val="1"/>
                <w:color w:val="auto"/>
              </w:rPr>
            </w:pPr>
          </w:p>
        </w:tc>
      </w:tr>
      <w:tr>
        <w:trPr>
          <w:trHeight w:val="20"/>
        </w:trPr>
        <w:tc>
          <w:tcPr>
            <w:tcW w:w="660" w:type="dxa"/>
            <w:vAlign w:val="bottom"/>
            <w:shd w:val="clear" w:color="auto" w:fill="000000"/>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Andrew Bremner</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80,957,744</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478,389</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2,978,368</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Tiffany (TJ) Thom Cepak</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81,114,915</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321,218</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2,978,368</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N. Chapman</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80,761,492</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674,641</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2,978,368</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R. Jackson</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81,279,400</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156,733</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2,978,368</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Christian S. Kendall</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78,671,214</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2,764,919</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2,978,368</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Francisco J. Leon</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81,280,018</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156,115</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2,978,368</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Mark A. (Mac) McFarland</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81,280,348</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155,785</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2,978,368</w:t>
            </w:r>
          </w:p>
        </w:tc>
        <w:tc>
          <w:tcPr>
            <w:tcW w:w="0" w:type="dxa"/>
            <w:vAlign w:val="bottom"/>
          </w:tcPr>
          <w:p>
            <w:pPr>
              <w:spacing w:after="0"/>
              <w:rPr>
                <w:sz w:val="1"/>
                <w:szCs w:val="1"/>
                <w:color w:val="auto"/>
              </w:rPr>
            </w:pPr>
          </w:p>
        </w:tc>
      </w:tr>
      <w:tr>
        <w:trPr>
          <w:trHeight w:val="227"/>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B. Roby</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80,358,733</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1,077,400</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2,978,368</w:t>
            </w:r>
          </w:p>
        </w:tc>
        <w:tc>
          <w:tcPr>
            <w:tcW w:w="0" w:type="dxa"/>
            <w:vAlign w:val="bottom"/>
          </w:tcPr>
          <w:p>
            <w:pPr>
              <w:spacing w:after="0"/>
              <w:rPr>
                <w:sz w:val="1"/>
                <w:szCs w:val="1"/>
                <w:color w:val="auto"/>
              </w:rPr>
            </w:pPr>
          </w:p>
        </w:tc>
      </w:tr>
      <w:tr>
        <w:trPr>
          <w:trHeight w:val="232"/>
        </w:trPr>
        <w:tc>
          <w:tcPr>
            <w:tcW w:w="2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Alejandra (Ale) Veltmann</w:t>
            </w:r>
          </w:p>
        </w:tc>
        <w:tc>
          <w:tcPr>
            <w:tcW w:w="1980" w:type="dxa"/>
            <w:vAlign w:val="bottom"/>
            <w:gridSpan w:val="3"/>
          </w:tcPr>
          <w:p>
            <w:pPr>
              <w:ind w:left="720"/>
              <w:spacing w:after="0"/>
              <w:rPr>
                <w:sz w:val="20"/>
                <w:szCs w:val="20"/>
                <w:color w:val="auto"/>
              </w:rPr>
            </w:pPr>
            <w:r>
              <w:rPr>
                <w:rFonts w:ascii="Times New Roman" w:cs="Times New Roman" w:eastAsia="Times New Roman" w:hAnsi="Times New Roman"/>
                <w:sz w:val="18"/>
                <w:szCs w:val="18"/>
                <w:color w:val="auto"/>
              </w:rPr>
              <w:t>80,392,617</w:t>
            </w:r>
          </w:p>
        </w:tc>
        <w:tc>
          <w:tcPr>
            <w:tcW w:w="146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color w:val="auto"/>
              </w:rPr>
              <w:t>1,043,516</w:t>
            </w: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2,978,368</w:t>
            </w:r>
          </w:p>
        </w:tc>
        <w:tc>
          <w:tcPr>
            <w:tcW w:w="0" w:type="dxa"/>
            <w:vAlign w:val="bottom"/>
          </w:tcPr>
          <w:p>
            <w:pPr>
              <w:spacing w:after="0"/>
              <w:rPr>
                <w:sz w:val="1"/>
                <w:szCs w:val="1"/>
                <w:color w:val="auto"/>
              </w:rPr>
            </w:pPr>
          </w:p>
        </w:tc>
      </w:tr>
    </w:tbl>
    <w:p>
      <w:pPr>
        <w:spacing w:after="0" w:line="261" w:lineRule="exact"/>
        <w:rPr>
          <w:sz w:val="20"/>
          <w:szCs w:val="20"/>
          <w:color w:val="auto"/>
        </w:rPr>
      </w:pPr>
    </w:p>
    <w:p>
      <w:pPr>
        <w:ind w:left="1280" w:right="1280" w:hanging="629"/>
        <w:spacing w:after="0" w:line="246"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ratification of the selection of KPMG LLP as the Company’s independent registered public accounting firm for the fiscal year ending December 31, 2026 was approved. The proposal received 84,090,991 votes for; 196,747 votes against; and 126,763 abstentions.</w:t>
      </w:r>
    </w:p>
    <w:p>
      <w:pPr>
        <w:spacing w:after="0" w:line="283" w:lineRule="exact"/>
        <w:rPr>
          <w:rFonts w:ascii="Times New Roman" w:cs="Times New Roman" w:eastAsia="Times New Roman" w:hAnsi="Times New Roman"/>
          <w:sz w:val="18"/>
          <w:szCs w:val="18"/>
          <w:color w:val="auto"/>
        </w:rPr>
      </w:pPr>
    </w:p>
    <w:p>
      <w:pPr>
        <w:ind w:left="1280" w:right="1480" w:hanging="629"/>
        <w:spacing w:after="0" w:line="261" w:lineRule="auto"/>
        <w:tabs>
          <w:tab w:leader="none" w:pos="12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advisory vote to approve named executive officer compensation was approved. The proposal received 68,885,474 votes for; 12,331,300 votes against; 219,359 abstentions; and 2,978,368 broker non-votes.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1160"/>
          </w:cols>
          <w:pgMar w:left="320" w:top="1440" w:right="419" w:bottom="1440" w:gutter="0" w:footer="0" w:header="0"/>
        </w:sectPr>
      </w:pPr>
    </w:p>
    <w:bookmarkStart w:id="2" w:name="page3"/>
    <w:bookmarkEnd w:id="2"/>
    <w:p>
      <w:pPr>
        <w:spacing w:after="0" w:line="386"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0" w:lineRule="exact"/>
        <w:rPr>
          <w:sz w:val="20"/>
          <w:szCs w:val="20"/>
          <w:color w:val="auto"/>
        </w:rPr>
      </w:pP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440" w:type="dxa"/>
            <w:vAlign w:val="bottom"/>
          </w:tcPr>
          <w:p>
            <w:pPr>
              <w:spacing w:after="0"/>
              <w:rPr>
                <w:sz w:val="20"/>
                <w:szCs w:val="20"/>
                <w:color w:val="auto"/>
              </w:rPr>
            </w:pPr>
            <w:r>
              <w:rPr>
                <w:rFonts w:ascii="Times New Roman" w:cs="Times New Roman" w:eastAsia="Times New Roman" w:hAnsi="Times New Roman"/>
                <w:sz w:val="18"/>
                <w:szCs w:val="18"/>
                <w:color w:val="auto"/>
              </w:rPr>
              <w:t>(d)  Exhibits</w:t>
            </w:r>
          </w:p>
        </w:tc>
        <w:tc>
          <w:tcPr>
            <w:tcW w:w="2340" w:type="dxa"/>
            <w:vAlign w:val="bottom"/>
          </w:tcPr>
          <w:p>
            <w:pPr>
              <w:spacing w:after="0"/>
              <w:rPr>
                <w:sz w:val="20"/>
                <w:szCs w:val="20"/>
                <w:color w:val="auto"/>
              </w:rPr>
            </w:pPr>
          </w:p>
        </w:tc>
        <w:tc>
          <w:tcPr>
            <w:tcW w:w="3400" w:type="dxa"/>
            <w:vAlign w:val="bottom"/>
          </w:tcPr>
          <w:p>
            <w:pPr>
              <w:spacing w:after="0"/>
              <w:rPr>
                <w:sz w:val="20"/>
                <w:szCs w:val="20"/>
                <w:color w:val="auto"/>
              </w:rPr>
            </w:pPr>
          </w:p>
        </w:tc>
      </w:tr>
      <w:tr>
        <w:trPr>
          <w:trHeight w:val="493"/>
        </w:trPr>
        <w:tc>
          <w:tcPr>
            <w:tcW w:w="2440" w:type="dxa"/>
            <w:vAlign w:val="bottom"/>
          </w:tcPr>
          <w:p>
            <w:pPr>
              <w:ind w:left="78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2340" w:type="dxa"/>
            <w:vAlign w:val="bottom"/>
          </w:tcPr>
          <w:p>
            <w:pPr>
              <w:spacing w:after="0"/>
              <w:rPr>
                <w:sz w:val="24"/>
                <w:szCs w:val="24"/>
                <w:color w:val="auto"/>
              </w:rPr>
            </w:pPr>
          </w:p>
        </w:tc>
        <w:tc>
          <w:tcPr>
            <w:tcW w:w="3400" w:type="dxa"/>
            <w:vAlign w:val="bottom"/>
          </w:tcPr>
          <w:p>
            <w:pPr>
              <w:ind w:left="174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226"/>
        </w:trPr>
        <w:tc>
          <w:tcPr>
            <w:tcW w:w="2440" w:type="dxa"/>
            <w:vAlign w:val="bottom"/>
          </w:tcPr>
          <w:p>
            <w:pPr>
              <w:jc w:val="right"/>
              <w:ind w:right="971"/>
              <w:spacing w:after="0"/>
              <w:rPr>
                <w:sz w:val="20"/>
                <w:szCs w:val="20"/>
                <w:color w:val="auto"/>
              </w:rPr>
            </w:pPr>
            <w:r>
              <w:rPr>
                <w:rFonts w:ascii="Times New Roman" w:cs="Times New Roman" w:eastAsia="Times New Roman" w:hAnsi="Times New Roman"/>
                <w:sz w:val="18"/>
                <w:szCs w:val="18"/>
                <w:color w:val="auto"/>
              </w:rPr>
              <w:t>99.1</w:t>
            </w:r>
          </w:p>
        </w:tc>
        <w:tc>
          <w:tcPr>
            <w:tcW w:w="2340" w:type="dxa"/>
            <w:vAlign w:val="bottom"/>
            <w:tcBorders>
              <w:bottom w:val="single" w:sz="8" w:color="0000FF"/>
            </w:tcBorders>
          </w:tcPr>
          <w:p>
            <w:pPr>
              <w:spacing w:after="0"/>
              <w:rPr>
                <w:sz w:val="20"/>
                <w:szCs w:val="20"/>
                <w:color w:val="auto"/>
              </w:rPr>
            </w:pPr>
            <w:r>
              <w:rPr>
                <w:rFonts w:ascii="Times New Roman" w:cs="Times New Roman" w:eastAsia="Times New Roman" w:hAnsi="Times New Roman"/>
                <w:sz w:val="18"/>
                <w:szCs w:val="18"/>
                <w:color w:val="0000FF"/>
                <w:w w:val="98"/>
              </w:rPr>
              <w:t>Press release dated May 5, 2026.</w:t>
            </w:r>
          </w:p>
        </w:tc>
        <w:tc>
          <w:tcPr>
            <w:tcW w:w="3400" w:type="dxa"/>
            <w:vAlign w:val="bottom"/>
          </w:tcPr>
          <w:p>
            <w:pPr>
              <w:spacing w:after="0"/>
              <w:rPr>
                <w:sz w:val="19"/>
                <w:szCs w:val="19"/>
                <w:color w:val="auto"/>
              </w:rPr>
            </w:pPr>
          </w:p>
        </w:tc>
      </w:tr>
      <w:tr>
        <w:trPr>
          <w:trHeight w:val="287"/>
        </w:trPr>
        <w:tc>
          <w:tcPr>
            <w:tcW w:w="2440" w:type="dxa"/>
            <w:vAlign w:val="bottom"/>
          </w:tcPr>
          <w:p>
            <w:pPr>
              <w:jc w:val="right"/>
              <w:ind w:right="991"/>
              <w:spacing w:after="0"/>
              <w:rPr>
                <w:sz w:val="20"/>
                <w:szCs w:val="20"/>
                <w:color w:val="auto"/>
              </w:rPr>
            </w:pPr>
            <w:r>
              <w:rPr>
                <w:rFonts w:ascii="Times New Roman" w:cs="Times New Roman" w:eastAsia="Times New Roman" w:hAnsi="Times New Roman"/>
                <w:sz w:val="18"/>
                <w:szCs w:val="18"/>
                <w:color w:val="auto"/>
              </w:rPr>
              <w:t>104</w:t>
            </w:r>
          </w:p>
        </w:tc>
        <w:tc>
          <w:tcPr>
            <w:tcW w:w="5740" w:type="dxa"/>
            <w:vAlign w:val="bottom"/>
            <w:gridSpan w:val="2"/>
          </w:tcPr>
          <w:p>
            <w:pPr>
              <w:spacing w:after="0"/>
              <w:rPr>
                <w:sz w:val="20"/>
                <w:szCs w:val="20"/>
                <w:color w:val="auto"/>
              </w:rPr>
            </w:pPr>
            <w:r>
              <w:rPr>
                <w:rFonts w:ascii="Times New Roman" w:cs="Times New Roman" w:eastAsia="Times New Roman" w:hAnsi="Times New Roman"/>
                <w:sz w:val="18"/>
                <w:szCs w:val="18"/>
                <w:color w:val="auto"/>
                <w:w w:val="98"/>
              </w:rPr>
              <w:t>Cover Page Interactive Data File (embedded within the Inline XBRL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70485</wp:posOffset>
            </wp:positionV>
            <wp:extent cx="715962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9625" cy="42545"/>
                    </a:xfrm>
                    <a:prstGeom prst="rect">
                      <a:avLst/>
                    </a:prstGeom>
                    <a:noFill/>
                  </pic:spPr>
                </pic:pic>
              </a:graphicData>
            </a:graphic>
          </wp:anchor>
        </w:drawing>
      </w:r>
    </w:p>
    <w:p>
      <w:pPr>
        <w:sectPr>
          <w:pgSz w:w="11900" w:h="16838" w:orient="portrait"/>
          <w:cols w:equalWidth="0" w:num="1">
            <w:col w:w="10139"/>
          </w:cols>
          <w:pgMar w:left="320" w:top="1440" w:right="1440"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1" w:lineRule="exact"/>
        <w:rPr>
          <w:sz w:val="20"/>
          <w:szCs w:val="20"/>
          <w:color w:val="auto"/>
        </w:rPr>
      </w:pPr>
    </w:p>
    <w:p>
      <w:pPr>
        <w:ind w:right="460" w:firstLine="640"/>
        <w:spacing w:after="0" w:line="27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15" w:lineRule="exact"/>
        <w:rPr>
          <w:sz w:val="20"/>
          <w:szCs w:val="20"/>
          <w:color w:val="auto"/>
        </w:rPr>
      </w:pPr>
    </w:p>
    <w:p>
      <w:pPr>
        <w:ind w:left="4820"/>
        <w:spacing w:after="0"/>
        <w:rPr>
          <w:sz w:val="20"/>
          <w:szCs w:val="20"/>
          <w:color w:val="auto"/>
        </w:rPr>
      </w:pPr>
      <w:r>
        <w:rPr>
          <w:rFonts w:ascii="Times New Roman" w:cs="Times New Roman" w:eastAsia="Times New Roman" w:hAnsi="Times New Roman"/>
          <w:sz w:val="18"/>
          <w:szCs w:val="18"/>
          <w:b w:val="1"/>
          <w:bCs w:val="1"/>
          <w:color w:val="auto"/>
        </w:rPr>
        <w:t>California Resources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/s/ Michael L. Preston</w:t>
      </w:r>
    </w:p>
    <w:p>
      <w:pPr>
        <w:spacing w:after="0" w:line="25" w:lineRule="exact"/>
        <w:rPr>
          <w:sz w:val="20"/>
          <w:szCs w:val="20"/>
          <w:color w:val="auto"/>
        </w:rPr>
      </w:pPr>
    </w:p>
    <w:tbl>
      <w:tblPr>
        <w:tblLayout w:type="fixed"/>
        <w:tblInd w:w="4800" w:type="dxa"/>
        <w:tblCellMar>
          <w:top w:w="0" w:type="dxa"/>
          <w:left w:w="0" w:type="dxa"/>
          <w:bottom w:w="0" w:type="dxa"/>
          <w:right w:w="0" w:type="dxa"/>
        </w:tblCellMar>
      </w:tblPr>
      <w:tr>
        <w:trPr>
          <w:trHeight w:val="215"/>
        </w:trPr>
        <w:tc>
          <w:tcPr>
            <w:tcW w:w="74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Name:</w:t>
            </w:r>
          </w:p>
        </w:tc>
        <w:tc>
          <w:tcPr>
            <w:tcW w:w="570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Michael L. Preston</w:t>
            </w:r>
          </w:p>
        </w:tc>
      </w:tr>
      <w:tr>
        <w:trPr>
          <w:trHeight w:val="246"/>
        </w:trPr>
        <w:tc>
          <w:tcPr>
            <w:tcW w:w="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570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Executive Vice President, Chief Strategy Officer and General Counsel</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5, 2026</w:t>
      </w:r>
    </w:p>
    <w:p>
      <w:pPr>
        <w:sectPr>
          <w:pgSz w:w="11900" w:h="16838" w:orient="portrait"/>
          <w:cols w:equalWidth="0" w:num="1">
            <w:col w:w="11240"/>
          </w:cols>
          <w:pgMar w:left="320" w:top="1399" w:right="339" w:bottom="1440" w:gutter="0" w:footer="0" w:header="0"/>
        </w:sectPr>
      </w:pPr>
    </w:p>
    <w:bookmarkStart w:id="4" w:name="page5"/>
    <w:bookmarkEnd w:id="4"/>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4354195</wp:posOffset>
            </wp:positionH>
            <wp:positionV relativeFrom="page">
              <wp:posOffset>723900</wp:posOffset>
            </wp:positionV>
            <wp:extent cx="1785620" cy="3213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1785620" cy="321310"/>
                    </a:xfrm>
                    <a:prstGeom prst="rect">
                      <a:avLst/>
                    </a:prstGeom>
                    <a:noFill/>
                  </pic:spPr>
                </pic:pic>
              </a:graphicData>
            </a:graphic>
          </wp:anchor>
        </w:drawing>
      </w:r>
    </w:p>
    <w:p>
      <w:pPr>
        <w:spacing w:after="0" w:line="337"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California Resources Corporation Reports First Quarter 2026 Financial and Operating Results</w:t>
      </w: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1"/>
          <w:szCs w:val="21"/>
          <w:i w:val="1"/>
          <w:iCs w:val="1"/>
          <w:color w:val="auto"/>
        </w:rPr>
        <w:t>Increasing Second Half 2026 Activity to Accelerate Development of Long Duration Oil Inventory</w:t>
      </w:r>
    </w:p>
    <w:p>
      <w:pPr>
        <w:spacing w:after="0" w:line="252" w:lineRule="exact"/>
        <w:rPr>
          <w:sz w:val="20"/>
          <w:szCs w:val="20"/>
          <w:color w:val="auto"/>
        </w:rPr>
      </w:pPr>
    </w:p>
    <w:p>
      <w:pPr>
        <w:jc w:val="center"/>
        <w:ind w:left="340" w:right="240"/>
        <w:spacing w:after="0" w:line="288" w:lineRule="auto"/>
        <w:rPr>
          <w:sz w:val="20"/>
          <w:szCs w:val="20"/>
          <w:color w:val="auto"/>
        </w:rPr>
      </w:pPr>
      <w:r>
        <w:rPr>
          <w:rFonts w:ascii="Arial" w:cs="Arial" w:eastAsia="Arial" w:hAnsi="Arial"/>
          <w:sz w:val="21"/>
          <w:szCs w:val="21"/>
          <w:i w:val="1"/>
          <w:iCs w:val="1"/>
          <w:color w:val="auto"/>
        </w:rPr>
        <w:t>Raising 2026E Adjusted EBITDAX Guidance by 42% Driven by Strong Oil Prices, Increased Target Synergies and Expected Operating Efficiencies</w:t>
      </w:r>
    </w:p>
    <w:p>
      <w:pPr>
        <w:spacing w:after="0" w:line="163" w:lineRule="exact"/>
        <w:rPr>
          <w:sz w:val="20"/>
          <w:szCs w:val="20"/>
          <w:color w:val="auto"/>
        </w:rPr>
      </w:pPr>
    </w:p>
    <w:p>
      <w:pPr>
        <w:jc w:val="both"/>
        <w:spacing w:after="0" w:line="245" w:lineRule="auto"/>
        <w:rPr>
          <w:sz w:val="20"/>
          <w:szCs w:val="20"/>
          <w:color w:val="auto"/>
        </w:rPr>
      </w:pPr>
      <w:r>
        <w:rPr>
          <w:rFonts w:ascii="Arial" w:cs="Arial" w:eastAsia="Arial" w:hAnsi="Arial"/>
          <w:sz w:val="21"/>
          <w:szCs w:val="21"/>
          <w:b w:val="1"/>
          <w:bCs w:val="1"/>
          <w:color w:val="auto"/>
        </w:rPr>
        <w:t xml:space="preserve">LONG BEACH, Calif., May 5, 2026 </w:t>
      </w:r>
      <w:r>
        <w:rPr>
          <w:rFonts w:ascii="Arial" w:cs="Arial" w:eastAsia="Arial" w:hAnsi="Arial"/>
          <w:sz w:val="21"/>
          <w:szCs w:val="21"/>
          <w:color w:val="auto"/>
        </w:rPr>
        <w:t>- California Resources Corporation (NYSE: CRC) (CRC) today reported its</w:t>
      </w:r>
      <w:r>
        <w:rPr>
          <w:rFonts w:ascii="Arial" w:cs="Arial" w:eastAsia="Arial" w:hAnsi="Arial"/>
          <w:sz w:val="21"/>
          <w:szCs w:val="21"/>
          <w:b w:val="1"/>
          <w:bCs w:val="1"/>
          <w:color w:val="auto"/>
        </w:rPr>
        <w:t xml:space="preserve"> </w:t>
      </w:r>
      <w:r>
        <w:rPr>
          <w:rFonts w:ascii="Arial" w:cs="Arial" w:eastAsia="Arial" w:hAnsi="Arial"/>
          <w:sz w:val="21"/>
          <w:szCs w:val="21"/>
          <w:color w:val="auto"/>
        </w:rPr>
        <w:t>financial and operating results for the first quarter of 2026. In addition, CRC announced plans to increase second half 2026 drilling activity, materially enhancing full-year expectations and building momentum into 2027. The Company plans to host a conference call and webcast at 1 p.m. ET (10 a.m. PT) on Wednesday, May 6, 2026. Conference call details can be found within this release.</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Highlights</w:t>
      </w:r>
    </w:p>
    <w:p>
      <w:pPr>
        <w:spacing w:after="0" w:line="254" w:lineRule="exact"/>
        <w:rPr>
          <w:sz w:val="20"/>
          <w:szCs w:val="20"/>
          <w:color w:val="auto"/>
        </w:rPr>
      </w:pPr>
    </w:p>
    <w:p>
      <w:pPr>
        <w:jc w:val="both"/>
        <w:ind w:left="640" w:hanging="314"/>
        <w:spacing w:after="0" w:line="262"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21"/>
          <w:szCs w:val="21"/>
          <w:color w:val="auto"/>
        </w:rPr>
        <w:t>Delivered average net production of 154 thousand barrels of oil equivalent per day (MBoe/d) (81% oil); oil volumes were reduced by approximately 1.5 thousand barrels of oil per day (MBo/d) due to the impact of higher oil prices on production sharing contracts</w:t>
      </w:r>
    </w:p>
    <w:p>
      <w:pPr>
        <w:spacing w:after="0" w:line="2" w:lineRule="exact"/>
        <w:rPr>
          <w:rFonts w:ascii="Arial" w:cs="Arial" w:eastAsia="Arial" w:hAnsi="Arial"/>
          <w:sz w:val="21"/>
          <w:szCs w:val="21"/>
          <w:color w:val="auto"/>
        </w:rPr>
      </w:pPr>
    </w:p>
    <w:p>
      <w:pPr>
        <w:ind w:left="640" w:hanging="314"/>
        <w:spacing w:after="0" w:line="220"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21"/>
          <w:szCs w:val="21"/>
          <w:color w:val="auto"/>
        </w:rPr>
        <w:t>Reported a net loss of $711 million, primarily driven by the non-cash loss in the fair value of its outstanding commodity derivatives</w:t>
      </w:r>
      <w:r>
        <w:rPr>
          <w:rFonts w:ascii="Arial" w:cs="Arial" w:eastAsia="Arial" w:hAnsi="Arial"/>
          <w:sz w:val="27"/>
          <w:szCs w:val="27"/>
          <w:color w:val="auto"/>
          <w:vertAlign w:val="superscript"/>
        </w:rPr>
        <w:t>1</w:t>
      </w:r>
      <w:r>
        <w:rPr>
          <w:rFonts w:ascii="Arial" w:cs="Arial" w:eastAsia="Arial" w:hAnsi="Arial"/>
          <w:sz w:val="21"/>
          <w:szCs w:val="21"/>
          <w:color w:val="auto"/>
        </w:rPr>
        <w:t>, adjusted net income</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$79 million and $304 million of adjusted EBITDAX</w:t>
      </w:r>
      <w:r>
        <w:rPr>
          <w:rFonts w:ascii="Arial" w:cs="Arial" w:eastAsia="Arial" w:hAnsi="Arial"/>
          <w:sz w:val="27"/>
          <w:szCs w:val="27"/>
          <w:color w:val="auto"/>
          <w:vertAlign w:val="superscript"/>
        </w:rPr>
        <w:t>1</w:t>
      </w:r>
    </w:p>
    <w:p>
      <w:pPr>
        <w:ind w:left="640" w:hanging="314"/>
        <w:spacing w:after="0" w:line="243"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21"/>
          <w:szCs w:val="21"/>
          <w:color w:val="auto"/>
        </w:rPr>
        <w:t>Generated net cash provided by operating activities of $99 million or $247 million of net cash provided by operating activities before net changes in operating assets and liabilities</w:t>
      </w:r>
      <w:r>
        <w:rPr>
          <w:rFonts w:ascii="Arial" w:cs="Arial" w:eastAsia="Arial" w:hAnsi="Arial"/>
          <w:sz w:val="27"/>
          <w:szCs w:val="27"/>
          <w:color w:val="auto"/>
          <w:vertAlign w:val="superscript"/>
        </w:rPr>
        <w:t>1</w:t>
      </w:r>
    </w:p>
    <w:p>
      <w:pPr>
        <w:ind w:left="640" w:hanging="314"/>
        <w:spacing w:after="0" w:line="211"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21"/>
          <w:szCs w:val="21"/>
          <w:color w:val="auto"/>
        </w:rPr>
        <w:t>Delivered $32 million of negative free cash flow</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or $116 million of free cash flow before net changes in operating assets and liabilities</w:t>
      </w:r>
      <w:r>
        <w:rPr>
          <w:rFonts w:ascii="Arial" w:cs="Arial" w:eastAsia="Arial" w:hAnsi="Arial"/>
          <w:sz w:val="27"/>
          <w:szCs w:val="27"/>
          <w:color w:val="auto"/>
          <w:vertAlign w:val="superscript"/>
        </w:rPr>
        <w:t>1</w:t>
      </w:r>
    </w:p>
    <w:p>
      <w:pPr>
        <w:ind w:left="640" w:hanging="314"/>
        <w:spacing w:after="0" w:line="216" w:lineRule="auto"/>
        <w:tabs>
          <w:tab w:leader="none" w:pos="640" w:val="left"/>
        </w:tabs>
        <w:numPr>
          <w:ilvl w:val="0"/>
          <w:numId w:val="4"/>
        </w:numPr>
        <w:rPr>
          <w:rFonts w:ascii="Arial" w:cs="Arial" w:eastAsia="Arial" w:hAnsi="Arial"/>
          <w:sz w:val="21"/>
          <w:szCs w:val="21"/>
          <w:color w:val="auto"/>
        </w:rPr>
      </w:pPr>
      <w:r>
        <w:rPr>
          <w:rFonts w:ascii="Arial" w:cs="Arial" w:eastAsia="Arial" w:hAnsi="Arial"/>
          <w:sz w:val="21"/>
          <w:szCs w:val="21"/>
          <w:color w:val="auto"/>
        </w:rPr>
        <w:t>Returned $46 million to shareholders, including $36 million in dividends and $10 million in share repurchases</w:t>
      </w:r>
      <w:r>
        <w:rPr>
          <w:rFonts w:ascii="Arial" w:cs="Arial" w:eastAsia="Arial" w:hAnsi="Arial"/>
          <w:sz w:val="27"/>
          <w:szCs w:val="27"/>
          <w:color w:val="auto"/>
          <w:vertAlign w:val="superscript"/>
        </w:rPr>
        <w:t>2</w:t>
      </w:r>
    </w:p>
    <w:p>
      <w:pPr>
        <w:ind w:left="640" w:hanging="314"/>
        <w:spacing w:after="0" w:line="243"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21"/>
          <w:szCs w:val="21"/>
          <w:color w:val="auto"/>
        </w:rPr>
        <w:t>Ended the first quarter of 2026 with $1,251 million in borrowing capacity and including $25 million in available cash and cash equivalents</w:t>
      </w:r>
      <w:r>
        <w:rPr>
          <w:rFonts w:ascii="Arial" w:cs="Arial" w:eastAsia="Arial" w:hAnsi="Arial"/>
          <w:sz w:val="27"/>
          <w:szCs w:val="27"/>
          <w:color w:val="auto"/>
          <w:vertAlign w:val="superscript"/>
        </w:rPr>
        <w:t>3</w:t>
      </w:r>
      <w:r>
        <w:rPr>
          <w:rFonts w:ascii="Arial" w:cs="Arial" w:eastAsia="Arial" w:hAnsi="Arial"/>
          <w:sz w:val="21"/>
          <w:szCs w:val="21"/>
          <w:color w:val="auto"/>
        </w:rPr>
        <w:t xml:space="preserve"> representing $1,276 million of liquidity</w:t>
      </w:r>
      <w:r>
        <w:rPr>
          <w:rFonts w:ascii="Arial" w:cs="Arial" w:eastAsia="Arial" w:hAnsi="Arial"/>
          <w:sz w:val="27"/>
          <w:szCs w:val="27"/>
          <w:color w:val="auto"/>
          <w:vertAlign w:val="superscript"/>
        </w:rPr>
        <w:t>1, 3</w:t>
      </w:r>
    </w:p>
    <w:p>
      <w:pPr>
        <w:jc w:val="both"/>
        <w:ind w:left="640" w:hanging="314"/>
        <w:spacing w:after="0" w:line="267"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21"/>
          <w:szCs w:val="21"/>
          <w:color w:val="auto"/>
        </w:rPr>
        <w:t>Optimized capital structure and extended maturities through recent $350 million follow-on offering of 7.000% senior notes due 2034 (2034 Senior Notes) and subsequent redemption of $350 million 8.250% senior notes due 2029 (2029 Senior Notes)</w:t>
      </w:r>
    </w:p>
    <w:p>
      <w:pPr>
        <w:spacing w:after="0" w:line="1" w:lineRule="exact"/>
        <w:rPr>
          <w:rFonts w:ascii="Arial" w:cs="Arial" w:eastAsia="Arial" w:hAnsi="Arial"/>
          <w:sz w:val="21"/>
          <w:szCs w:val="21"/>
          <w:color w:val="auto"/>
        </w:rPr>
      </w:pPr>
    </w:p>
    <w:p>
      <w:pPr>
        <w:jc w:val="both"/>
        <w:ind w:left="640" w:hanging="314"/>
        <w:spacing w:after="0" w:line="260" w:lineRule="auto"/>
        <w:tabs>
          <w:tab w:leader="none" w:pos="635" w:val="left"/>
        </w:tabs>
        <w:numPr>
          <w:ilvl w:val="0"/>
          <w:numId w:val="4"/>
        </w:numPr>
        <w:rPr>
          <w:rFonts w:ascii="Arial" w:cs="Arial" w:eastAsia="Arial" w:hAnsi="Arial"/>
          <w:sz w:val="21"/>
          <w:szCs w:val="21"/>
          <w:color w:val="auto"/>
        </w:rPr>
      </w:pPr>
      <w:r>
        <w:rPr>
          <w:rFonts w:ascii="Arial" w:cs="Arial" w:eastAsia="Arial" w:hAnsi="Arial"/>
          <w:sz w:val="21"/>
          <w:szCs w:val="21"/>
          <w:color w:val="auto"/>
        </w:rPr>
        <w:t>Preparing for first carbon dioxide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injection at California's inaugural carbon capture and storage (CCS) project at CRC's Elk Hills cryogenic gas plant; see </w:t>
      </w:r>
      <w:r>
        <w:rPr>
          <w:rFonts w:ascii="Arial" w:cs="Arial" w:eastAsia="Arial" w:hAnsi="Arial"/>
          <w:sz w:val="21"/>
          <w:szCs w:val="21"/>
          <w:i w:val="1"/>
          <w:iCs w:val="1"/>
          <w:color w:val="auto"/>
        </w:rPr>
        <w:t>Carbon TerraVault's First Quarter 2026 Update</w:t>
      </w:r>
      <w:r>
        <w:rPr>
          <w:rFonts w:ascii="Arial" w:cs="Arial" w:eastAsia="Arial" w:hAnsi="Arial"/>
          <w:sz w:val="21"/>
          <w:szCs w:val="21"/>
          <w:color w:val="auto"/>
        </w:rPr>
        <w:t xml:space="preserve"> for additional information</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2026 Guidance Highlights</w:t>
      </w:r>
    </w:p>
    <w:p>
      <w:pPr>
        <w:spacing w:after="0" w:line="267" w:lineRule="exact"/>
        <w:rPr>
          <w:sz w:val="20"/>
          <w:szCs w:val="20"/>
          <w:color w:val="auto"/>
        </w:rPr>
      </w:pPr>
    </w:p>
    <w:p>
      <w:pPr>
        <w:ind w:left="640" w:hanging="314"/>
        <w:spacing w:after="0"/>
        <w:tabs>
          <w:tab w:leader="none" w:pos="640" w:val="left"/>
        </w:tabs>
        <w:numPr>
          <w:ilvl w:val="0"/>
          <w:numId w:val="5"/>
        </w:numPr>
        <w:rPr>
          <w:rFonts w:ascii="Arial" w:cs="Arial" w:eastAsia="Arial" w:hAnsi="Arial"/>
          <w:sz w:val="21"/>
          <w:szCs w:val="21"/>
          <w:color w:val="auto"/>
        </w:rPr>
      </w:pPr>
      <w:r>
        <w:rPr>
          <w:rFonts w:ascii="Arial" w:cs="Arial" w:eastAsia="Arial" w:hAnsi="Arial"/>
          <w:sz w:val="21"/>
          <w:szCs w:val="21"/>
          <w:color w:val="auto"/>
        </w:rPr>
        <w:t>Increased mid-point of expected Berry merger annual synergy target range by 12% to $90 - $100 million</w:t>
      </w:r>
    </w:p>
    <w:p>
      <w:pPr>
        <w:spacing w:after="0" w:line="39" w:lineRule="exact"/>
        <w:rPr>
          <w:rFonts w:ascii="Arial" w:cs="Arial" w:eastAsia="Arial" w:hAnsi="Arial"/>
          <w:sz w:val="21"/>
          <w:szCs w:val="21"/>
          <w:color w:val="auto"/>
        </w:rPr>
      </w:pPr>
    </w:p>
    <w:p>
      <w:pPr>
        <w:ind w:left="640" w:hanging="314"/>
        <w:spacing w:after="0" w:line="247" w:lineRule="auto"/>
        <w:tabs>
          <w:tab w:leader="none" w:pos="635" w:val="left"/>
        </w:tabs>
        <w:numPr>
          <w:ilvl w:val="0"/>
          <w:numId w:val="5"/>
        </w:numPr>
        <w:rPr>
          <w:rFonts w:ascii="Arial" w:cs="Arial" w:eastAsia="Arial" w:hAnsi="Arial"/>
          <w:sz w:val="21"/>
          <w:szCs w:val="21"/>
          <w:color w:val="auto"/>
        </w:rPr>
      </w:pPr>
      <w:r>
        <w:rPr>
          <w:rFonts w:ascii="Arial" w:cs="Arial" w:eastAsia="Arial" w:hAnsi="Arial"/>
          <w:sz w:val="21"/>
          <w:szCs w:val="21"/>
          <w:color w:val="auto"/>
        </w:rPr>
        <w:t>Increased expected drilling, completions and workover capital</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investments by approximately $100 million to accelerate high-return drilling projects in California and Utah</w:t>
      </w:r>
    </w:p>
    <w:p>
      <w:pPr>
        <w:spacing w:after="0" w:line="200" w:lineRule="exact"/>
        <w:rPr>
          <w:sz w:val="20"/>
          <w:szCs w:val="20"/>
          <w:color w:val="auto"/>
        </w:rPr>
      </w:pPr>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w:t>
      </w:r>
    </w:p>
    <w:p>
      <w:pPr>
        <w:sectPr>
          <w:pgSz w:w="11900" w:h="16838" w:orient="portrait"/>
          <w:cols w:equalWidth="0" w:num="1">
            <w:col w:w="11240"/>
          </w:cols>
          <w:pgMar w:left="320" w:top="1440" w:right="339" w:bottom="1440" w:gutter="0" w:footer="0" w:header="0"/>
        </w:sectPr>
      </w:pPr>
    </w:p>
    <w:bookmarkStart w:id="5" w:name="page6"/>
    <w:bookmarkEnd w:id="5"/>
    <w:p>
      <w:pPr>
        <w:ind w:left="640" w:hanging="314"/>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Reduced facilities capital by $10 million, reflecting ongoing field consolidation</w:t>
      </w:r>
    </w:p>
    <w:p>
      <w:pPr>
        <w:spacing w:after="0" w:line="39" w:lineRule="exact"/>
        <w:rPr>
          <w:rFonts w:ascii="Arial" w:cs="Arial" w:eastAsia="Arial" w:hAnsi="Arial"/>
          <w:sz w:val="21"/>
          <w:szCs w:val="21"/>
          <w:color w:val="auto"/>
        </w:rPr>
      </w:pPr>
    </w:p>
    <w:p>
      <w:pPr>
        <w:ind w:left="640" w:hanging="314"/>
        <w:spacing w:after="0"/>
        <w:tabs>
          <w:tab w:leader="none" w:pos="640" w:val="left"/>
        </w:tabs>
        <w:numPr>
          <w:ilvl w:val="0"/>
          <w:numId w:val="6"/>
        </w:numPr>
        <w:rPr>
          <w:rFonts w:ascii="Arial" w:cs="Arial" w:eastAsia="Arial" w:hAnsi="Arial"/>
          <w:sz w:val="21"/>
          <w:szCs w:val="21"/>
          <w:color w:val="auto"/>
        </w:rPr>
      </w:pPr>
      <w:r>
        <w:rPr>
          <w:rFonts w:ascii="Arial" w:cs="Arial" w:eastAsia="Arial" w:hAnsi="Arial"/>
          <w:sz w:val="21"/>
          <w:szCs w:val="21"/>
          <w:color w:val="auto"/>
        </w:rPr>
        <w:t>Increased capital budget range to $520 - $560 million with a full-year average of five rigs</w:t>
      </w:r>
    </w:p>
    <w:p>
      <w:pPr>
        <w:spacing w:after="0" w:line="38" w:lineRule="exact"/>
        <w:rPr>
          <w:rFonts w:ascii="Arial" w:cs="Arial" w:eastAsia="Arial" w:hAnsi="Arial"/>
          <w:sz w:val="21"/>
          <w:szCs w:val="21"/>
          <w:color w:val="auto"/>
        </w:rPr>
      </w:pPr>
    </w:p>
    <w:p>
      <w:pPr>
        <w:ind w:left="640" w:hanging="314"/>
        <w:spacing w:after="0" w:line="271"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21"/>
          <w:szCs w:val="21"/>
          <w:color w:val="auto"/>
        </w:rPr>
        <w:t>Targeting 2026E gross production exit rate of approximately 175 MBoe/d, representing ~1% entry-to-exit production growth</w:t>
      </w:r>
    </w:p>
    <w:p>
      <w:pPr>
        <w:spacing w:after="0" w:line="1" w:lineRule="exact"/>
        <w:rPr>
          <w:rFonts w:ascii="Arial" w:cs="Arial" w:eastAsia="Arial" w:hAnsi="Arial"/>
          <w:sz w:val="21"/>
          <w:szCs w:val="21"/>
          <w:color w:val="auto"/>
        </w:rPr>
      </w:pPr>
    </w:p>
    <w:p>
      <w:pPr>
        <w:ind w:left="640" w:hanging="314"/>
        <w:spacing w:after="0" w:line="311" w:lineRule="auto"/>
        <w:tabs>
          <w:tab w:leader="none" w:pos="635" w:val="left"/>
        </w:tabs>
        <w:numPr>
          <w:ilvl w:val="0"/>
          <w:numId w:val="6"/>
        </w:numPr>
        <w:rPr>
          <w:rFonts w:ascii="Arial" w:cs="Arial" w:eastAsia="Arial" w:hAnsi="Arial"/>
          <w:sz w:val="21"/>
          <w:szCs w:val="21"/>
          <w:color w:val="auto"/>
        </w:rPr>
      </w:pPr>
      <w:r>
        <w:rPr>
          <w:rFonts w:ascii="Arial" w:cs="Arial" w:eastAsia="Arial" w:hAnsi="Arial"/>
          <w:sz w:val="21"/>
          <w:szCs w:val="21"/>
          <w:color w:val="auto"/>
        </w:rPr>
        <w:t>Higher oil prices, increased drilling activity and improved operating efficiencies drive a 42% increase in 2026E adjusted EBITDAX</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to a guidance midpoint of $1,450 million</w:t>
      </w:r>
    </w:p>
    <w:p>
      <w:pPr>
        <w:spacing w:after="0" w:line="83"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"We continued to demonstrate the strength of our integrated portfolio strategy, delivering solid results while advancing high-return oil developments and capturing incremental merger-related synergies," said Francisco Leon, CRC's President and Chief Executive Officer. "With higher oil prices and an attractive drilling return portfolio, we see a clear opportunity to accelerate development across our multi-decade resource inventory. As a result, we are adding incremental drilling activity this year to drive higher production, EBITDAX and cash flow. Our low-decline, capital-efficient conventional asset base underpins this strategy and we are moving decisively to unlock its value. CRC is a different kind of energy company, and our consistent results reinforce our ability to create durable, long-term value for our shareholders while meeting California's energy needs."</w:t>
      </w:r>
    </w:p>
    <w:p>
      <w:pPr>
        <w:spacing w:after="0" w:line="19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First Quarter 2026 Results</w:t>
      </w:r>
    </w:p>
    <w:p>
      <w:pPr>
        <w:spacing w:after="0" w:line="254" w:lineRule="exact"/>
        <w:rPr>
          <w:sz w:val="20"/>
          <w:szCs w:val="20"/>
          <w:color w:val="auto"/>
        </w:rPr>
      </w:pPr>
    </w:p>
    <w:p>
      <w:pPr>
        <w:ind w:left="640" w:hanging="314"/>
        <w:spacing w:after="0" w:line="268"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21"/>
          <w:szCs w:val="21"/>
          <w:color w:val="auto"/>
        </w:rPr>
        <w:t>Operating expenses were in line with expectations reflecting solid execution and the ongoing capture of Berry merger-related synergies</w:t>
      </w:r>
    </w:p>
    <w:p>
      <w:pPr>
        <w:ind w:left="640" w:hanging="314"/>
        <w:spacing w:after="0" w:line="251"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21"/>
          <w:szCs w:val="21"/>
          <w:color w:val="auto"/>
        </w:rPr>
        <w:t>General and administrative expenses were slightly higher than expectations primarily driven by the timing of legal fees and cash-settled stock-based compensation related to a higher share price</w:t>
      </w:r>
    </w:p>
    <w:p>
      <w:pPr>
        <w:spacing w:after="0" w:line="1" w:lineRule="exact"/>
        <w:rPr>
          <w:rFonts w:ascii="Arial" w:cs="Arial" w:eastAsia="Arial" w:hAnsi="Arial"/>
          <w:sz w:val="21"/>
          <w:szCs w:val="21"/>
          <w:color w:val="auto"/>
        </w:rPr>
      </w:pPr>
    </w:p>
    <w:p>
      <w:pPr>
        <w:jc w:val="both"/>
        <w:ind w:left="640" w:hanging="314"/>
        <w:spacing w:after="0" w:line="236" w:lineRule="auto"/>
        <w:tabs>
          <w:tab w:leader="none" w:pos="635" w:val="left"/>
        </w:tabs>
        <w:numPr>
          <w:ilvl w:val="0"/>
          <w:numId w:val="7"/>
        </w:numPr>
        <w:rPr>
          <w:rFonts w:ascii="Arial" w:cs="Arial" w:eastAsia="Arial" w:hAnsi="Arial"/>
          <w:sz w:val="21"/>
          <w:szCs w:val="21"/>
          <w:color w:val="auto"/>
        </w:rPr>
      </w:pPr>
      <w:r>
        <w:rPr>
          <w:rFonts w:ascii="Arial" w:cs="Arial" w:eastAsia="Arial" w:hAnsi="Arial"/>
          <w:sz w:val="21"/>
          <w:szCs w:val="21"/>
          <w:color w:val="auto"/>
        </w:rPr>
        <w:t>Invested total capital of $131 million including drilling, completions and workover capital</w:t>
      </w:r>
      <w:r>
        <w:rPr>
          <w:rFonts w:ascii="Arial" w:cs="Arial" w:eastAsia="Arial" w:hAnsi="Arial"/>
          <w:sz w:val="27"/>
          <w:szCs w:val="27"/>
          <w:color w:val="auto"/>
          <w:vertAlign w:val="superscript"/>
        </w:rPr>
        <w:t>1</w:t>
      </w:r>
      <w:r>
        <w:rPr>
          <w:rFonts w:ascii="Arial" w:cs="Arial" w:eastAsia="Arial" w:hAnsi="Arial"/>
          <w:sz w:val="21"/>
          <w:szCs w:val="21"/>
          <w:color w:val="auto"/>
        </w:rPr>
        <w:t xml:space="preserve"> of $70 million; total capital was at the high-end of expectations driven by strategic acceleration of investments to support planned second half 2026 drilling activity</w:t>
      </w: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w:t>
      </w:r>
    </w:p>
    <w:p>
      <w:pPr>
        <w:sectPr>
          <w:pgSz w:w="11900" w:h="16838" w:orient="portrait"/>
          <w:cols w:equalWidth="0" w:num="1">
            <w:col w:w="11240"/>
          </w:cols>
          <w:pgMar w:left="320" w:top="886"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2"/>
        </w:trPr>
        <w:tc>
          <w:tcPr>
            <w:tcW w:w="8300" w:type="dxa"/>
            <w:vAlign w:val="bottom"/>
            <w:tcBorders>
              <w:top w:val="single" w:sz="8" w:color="auto"/>
            </w:tcBorders>
            <w:shd w:val="clear" w:color="auto" w:fill="DBDBDB"/>
          </w:tcPr>
          <w:p>
            <w:pPr>
              <w:ind w:left="20"/>
              <w:spacing w:after="0"/>
              <w:rPr>
                <w:sz w:val="20"/>
                <w:szCs w:val="20"/>
                <w:color w:val="auto"/>
              </w:rPr>
            </w:pPr>
            <w:r>
              <w:rPr>
                <w:rFonts w:ascii="Arial" w:cs="Arial" w:eastAsia="Arial" w:hAnsi="Arial"/>
                <w:sz w:val="14"/>
                <w:szCs w:val="14"/>
                <w:b w:val="1"/>
                <w:bCs w:val="1"/>
                <w:color w:val="auto"/>
              </w:rPr>
              <w:t>Select Production, Price and Financial Results and Non-GAAP Measures</w:t>
            </w:r>
          </w:p>
        </w:tc>
        <w:tc>
          <w:tcPr>
            <w:tcW w:w="560" w:type="dxa"/>
            <w:vAlign w:val="bottom"/>
            <w:tcBorders>
              <w:top w:val="single" w:sz="8" w:color="auto"/>
            </w:tcBorders>
            <w:shd w:val="clear" w:color="auto" w:fill="DBDBDB"/>
          </w:tcPr>
          <w:p>
            <w:pPr>
              <w:spacing w:after="0"/>
              <w:rPr>
                <w:sz w:val="18"/>
                <w:szCs w:val="18"/>
                <w:color w:val="auto"/>
              </w:rPr>
            </w:pPr>
          </w:p>
        </w:tc>
        <w:tc>
          <w:tcPr>
            <w:tcW w:w="1000" w:type="dxa"/>
            <w:vAlign w:val="bottom"/>
            <w:tcBorders>
              <w:top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9"/>
              </w:rPr>
              <w:t>1st Quarter</w:t>
            </w:r>
          </w:p>
        </w:tc>
      </w:tr>
      <w:tr>
        <w:trPr>
          <w:trHeight w:val="201"/>
        </w:trPr>
        <w:tc>
          <w:tcPr>
            <w:tcW w:w="83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in millions except production and prices)</w:t>
            </w:r>
          </w:p>
        </w:tc>
        <w:tc>
          <w:tcPr>
            <w:tcW w:w="5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6"/>
              </w:rPr>
              <w:t>2026</w:t>
            </w:r>
          </w:p>
        </w:tc>
      </w:tr>
      <w:tr>
        <w:trPr>
          <w:trHeight w:val="198"/>
        </w:trPr>
        <w:tc>
          <w:tcPr>
            <w:tcW w:w="8300" w:type="dxa"/>
            <w:vAlign w:val="bottom"/>
          </w:tcPr>
          <w:p>
            <w:pPr>
              <w:ind w:left="20"/>
              <w:spacing w:after="0" w:line="198" w:lineRule="exact"/>
              <w:rPr>
                <w:sz w:val="20"/>
                <w:szCs w:val="20"/>
                <w:color w:val="auto"/>
              </w:rPr>
            </w:pPr>
            <w:r>
              <w:rPr>
                <w:rFonts w:ascii="Arial" w:cs="Arial" w:eastAsia="Arial" w:hAnsi="Arial"/>
                <w:sz w:val="14"/>
                <w:szCs w:val="14"/>
                <w:color w:val="auto"/>
              </w:rPr>
              <w:t>Net oil production per day (MBbl/d)</w:t>
            </w:r>
            <w:r>
              <w:rPr>
                <w:rFonts w:ascii="Arial" w:cs="Arial" w:eastAsia="Arial" w:hAnsi="Arial"/>
                <w:sz w:val="18"/>
                <w:szCs w:val="18"/>
                <w:color w:val="auto"/>
                <w:vertAlign w:val="superscript"/>
              </w:rPr>
              <w:t>5</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124</w:t>
            </w:r>
          </w:p>
        </w:tc>
      </w:tr>
      <w:tr>
        <w:trPr>
          <w:trHeight w:val="195"/>
        </w:trPr>
        <w:tc>
          <w:tcPr>
            <w:tcW w:w="8300" w:type="dxa"/>
            <w:vAlign w:val="bottom"/>
          </w:tcPr>
          <w:p>
            <w:pPr>
              <w:ind w:left="240"/>
              <w:spacing w:after="0"/>
              <w:rPr>
                <w:sz w:val="20"/>
                <w:szCs w:val="20"/>
                <w:color w:val="auto"/>
              </w:rPr>
            </w:pPr>
            <w:r>
              <w:rPr>
                <w:rFonts w:ascii="Arial" w:cs="Arial" w:eastAsia="Arial" w:hAnsi="Arial"/>
                <w:sz w:val="14"/>
                <w:szCs w:val="14"/>
                <w:color w:val="auto"/>
              </w:rPr>
              <w:t>Realized oil price without derivative settlements ($ per Bbl)</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74.53</w:t>
            </w:r>
          </w:p>
        </w:tc>
      </w:tr>
      <w:tr>
        <w:trPr>
          <w:trHeight w:val="203"/>
        </w:trPr>
        <w:tc>
          <w:tcPr>
            <w:tcW w:w="8300" w:type="dxa"/>
            <w:vAlign w:val="bottom"/>
          </w:tcPr>
          <w:p>
            <w:pPr>
              <w:ind w:left="240"/>
              <w:spacing w:after="0" w:line="203" w:lineRule="exact"/>
              <w:rPr>
                <w:sz w:val="20"/>
                <w:szCs w:val="20"/>
                <w:color w:val="auto"/>
              </w:rPr>
            </w:pPr>
            <w:r>
              <w:rPr>
                <w:rFonts w:ascii="Arial" w:cs="Arial" w:eastAsia="Arial" w:hAnsi="Arial"/>
                <w:sz w:val="14"/>
                <w:szCs w:val="14"/>
                <w:color w:val="auto"/>
              </w:rPr>
              <w:t>Realized oil price with derivative settlements</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per Bbl)</w:t>
            </w:r>
            <w:r>
              <w:rPr>
                <w:rFonts w:ascii="Arial" w:cs="Arial" w:eastAsia="Arial" w:hAnsi="Arial"/>
                <w:sz w:val="18"/>
                <w:szCs w:val="18"/>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69.37</w:t>
            </w:r>
          </w:p>
        </w:tc>
      </w:tr>
      <w:tr>
        <w:trPr>
          <w:trHeight w:val="202"/>
        </w:trPr>
        <w:tc>
          <w:tcPr>
            <w:tcW w:w="8300" w:type="dxa"/>
            <w:vAlign w:val="bottom"/>
          </w:tcPr>
          <w:p>
            <w:pPr>
              <w:ind w:left="20"/>
              <w:spacing w:after="0" w:line="202" w:lineRule="exact"/>
              <w:rPr>
                <w:sz w:val="20"/>
                <w:szCs w:val="20"/>
                <w:color w:val="auto"/>
              </w:rPr>
            </w:pPr>
            <w:r>
              <w:rPr>
                <w:rFonts w:ascii="Arial" w:cs="Arial" w:eastAsia="Arial" w:hAnsi="Arial"/>
                <w:sz w:val="14"/>
                <w:szCs w:val="14"/>
                <w:color w:val="auto"/>
              </w:rPr>
              <w:t>Net NGL production per day (MBbl/d)</w:t>
            </w:r>
            <w:r>
              <w:rPr>
                <w:rFonts w:ascii="Arial" w:cs="Arial" w:eastAsia="Arial" w:hAnsi="Arial"/>
                <w:sz w:val="18"/>
                <w:szCs w:val="18"/>
                <w:color w:val="auto"/>
                <w:vertAlign w:val="superscript"/>
              </w:rPr>
              <w:t>5</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r>
        <w:trPr>
          <w:trHeight w:val="195"/>
        </w:trPr>
        <w:tc>
          <w:tcPr>
            <w:tcW w:w="8300" w:type="dxa"/>
            <w:vAlign w:val="bottom"/>
          </w:tcPr>
          <w:p>
            <w:pPr>
              <w:ind w:left="240"/>
              <w:spacing w:after="0"/>
              <w:rPr>
                <w:sz w:val="20"/>
                <w:szCs w:val="20"/>
                <w:color w:val="auto"/>
              </w:rPr>
            </w:pPr>
            <w:r>
              <w:rPr>
                <w:rFonts w:ascii="Arial" w:cs="Arial" w:eastAsia="Arial" w:hAnsi="Arial"/>
                <w:sz w:val="14"/>
                <w:szCs w:val="14"/>
                <w:color w:val="auto"/>
              </w:rPr>
              <w:t>Realized NGL price ($ per Bbl)</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44.98</w:t>
            </w:r>
          </w:p>
        </w:tc>
      </w:tr>
      <w:tr>
        <w:trPr>
          <w:trHeight w:val="205"/>
        </w:trPr>
        <w:tc>
          <w:tcPr>
            <w:tcW w:w="8300" w:type="dxa"/>
            <w:vAlign w:val="bottom"/>
          </w:tcPr>
          <w:p>
            <w:pPr>
              <w:ind w:left="20"/>
              <w:spacing w:after="0" w:line="205" w:lineRule="exact"/>
              <w:rPr>
                <w:sz w:val="20"/>
                <w:szCs w:val="20"/>
                <w:color w:val="auto"/>
              </w:rPr>
            </w:pPr>
            <w:r>
              <w:rPr>
                <w:rFonts w:ascii="Arial" w:cs="Arial" w:eastAsia="Arial" w:hAnsi="Arial"/>
                <w:sz w:val="14"/>
                <w:szCs w:val="14"/>
                <w:color w:val="auto"/>
              </w:rPr>
              <w:t>Net natural gas production per day (Mmcf/d)</w:t>
            </w:r>
            <w:r>
              <w:rPr>
                <w:rFonts w:ascii="Arial" w:cs="Arial" w:eastAsia="Arial" w:hAnsi="Arial"/>
                <w:sz w:val="18"/>
                <w:szCs w:val="18"/>
                <w:color w:val="auto"/>
                <w:vertAlign w:val="superscript"/>
              </w:rPr>
              <w:t>5</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117</w:t>
            </w:r>
          </w:p>
        </w:tc>
      </w:tr>
      <w:tr>
        <w:trPr>
          <w:trHeight w:val="195"/>
        </w:trPr>
        <w:tc>
          <w:tcPr>
            <w:tcW w:w="8300" w:type="dxa"/>
            <w:vAlign w:val="bottom"/>
          </w:tcPr>
          <w:p>
            <w:pPr>
              <w:ind w:left="240"/>
              <w:spacing w:after="0"/>
              <w:rPr>
                <w:sz w:val="20"/>
                <w:szCs w:val="20"/>
                <w:color w:val="auto"/>
              </w:rPr>
            </w:pPr>
            <w:r>
              <w:rPr>
                <w:rFonts w:ascii="Arial" w:cs="Arial" w:eastAsia="Arial" w:hAnsi="Arial"/>
                <w:sz w:val="14"/>
                <w:szCs w:val="14"/>
                <w:color w:val="auto"/>
              </w:rPr>
              <w:t>Realized natural gas price ($ per Mcf)</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3.56</w:t>
            </w:r>
          </w:p>
        </w:tc>
      </w:tr>
      <w:tr>
        <w:trPr>
          <w:trHeight w:val="248"/>
        </w:trPr>
        <w:tc>
          <w:tcPr>
            <w:tcW w:w="8300" w:type="dxa"/>
            <w:vAlign w:val="bottom"/>
          </w:tcPr>
          <w:p>
            <w:pPr>
              <w:ind w:left="20"/>
              <w:spacing w:after="0"/>
              <w:rPr>
                <w:sz w:val="20"/>
                <w:szCs w:val="20"/>
                <w:color w:val="auto"/>
              </w:rPr>
            </w:pPr>
            <w:r>
              <w:rPr>
                <w:rFonts w:ascii="Arial" w:cs="Arial" w:eastAsia="Arial" w:hAnsi="Arial"/>
                <w:sz w:val="14"/>
                <w:szCs w:val="14"/>
                <w:color w:val="auto"/>
              </w:rPr>
              <w:t>Net total production per day (MBoe/d)</w:t>
            </w:r>
            <w:r>
              <w:rPr>
                <w:rFonts w:ascii="Arial" w:cs="Arial" w:eastAsia="Arial" w:hAnsi="Arial"/>
                <w:sz w:val="18"/>
                <w:szCs w:val="18"/>
                <w:color w:val="auto"/>
                <w:vertAlign w:val="superscript"/>
              </w:rPr>
              <w:t>5</w:t>
            </w:r>
          </w:p>
        </w:tc>
        <w:tc>
          <w:tcPr>
            <w:tcW w:w="5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154</w:t>
            </w:r>
          </w:p>
        </w:tc>
      </w:tr>
      <w:tr>
        <w:trPr>
          <w:trHeight w:val="248"/>
        </w:trPr>
        <w:tc>
          <w:tcPr>
            <w:tcW w:w="8300" w:type="dxa"/>
            <w:vAlign w:val="bottom"/>
          </w:tcPr>
          <w:p>
            <w:pPr>
              <w:ind w:left="20"/>
              <w:spacing w:after="0"/>
              <w:rPr>
                <w:sz w:val="20"/>
                <w:szCs w:val="20"/>
                <w:color w:val="auto"/>
              </w:rPr>
            </w:pPr>
            <w:r>
              <w:rPr>
                <w:rFonts w:ascii="Arial" w:cs="Arial" w:eastAsia="Arial" w:hAnsi="Arial"/>
                <w:sz w:val="14"/>
                <w:szCs w:val="14"/>
                <w:color w:val="auto"/>
              </w:rPr>
              <w:t>Margin from purchased commodities</w:t>
            </w:r>
            <w:r>
              <w:rPr>
                <w:rFonts w:ascii="Arial" w:cs="Arial" w:eastAsia="Arial" w:hAnsi="Arial"/>
                <w:sz w:val="18"/>
                <w:szCs w:val="18"/>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r>
        <w:trPr>
          <w:trHeight w:val="202"/>
        </w:trPr>
        <w:tc>
          <w:tcPr>
            <w:tcW w:w="8300" w:type="dxa"/>
            <w:vAlign w:val="bottom"/>
          </w:tcPr>
          <w:p>
            <w:pPr>
              <w:ind w:left="20"/>
              <w:spacing w:after="0" w:line="202" w:lineRule="exact"/>
              <w:rPr>
                <w:sz w:val="20"/>
                <w:szCs w:val="20"/>
                <w:color w:val="auto"/>
              </w:rPr>
            </w:pPr>
            <w:r>
              <w:rPr>
                <w:rFonts w:ascii="Arial" w:cs="Arial" w:eastAsia="Arial" w:hAnsi="Arial"/>
                <w:sz w:val="14"/>
                <w:szCs w:val="14"/>
                <w:color w:val="auto"/>
              </w:rPr>
              <w:t>Electricity revenue net of electricity generation expenses</w:t>
            </w:r>
            <w:r>
              <w:rPr>
                <w:rFonts w:ascii="Arial" w:cs="Arial" w:eastAsia="Arial" w:hAnsi="Arial"/>
                <w:sz w:val="18"/>
                <w:szCs w:val="18"/>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r>
        <w:trPr>
          <w:trHeight w:val="195"/>
        </w:trPr>
        <w:tc>
          <w:tcPr>
            <w:tcW w:w="8300" w:type="dxa"/>
            <w:vAlign w:val="bottom"/>
          </w:tcPr>
          <w:p>
            <w:pPr>
              <w:ind w:left="20"/>
              <w:spacing w:after="0"/>
              <w:rPr>
                <w:sz w:val="20"/>
                <w:szCs w:val="20"/>
                <w:color w:val="auto"/>
              </w:rPr>
            </w:pPr>
            <w:r>
              <w:rPr>
                <w:rFonts w:ascii="Arial" w:cs="Arial" w:eastAsia="Arial" w:hAnsi="Arial"/>
                <w:sz w:val="14"/>
                <w:szCs w:val="14"/>
                <w:color w:val="auto"/>
              </w:rPr>
              <w:t>Net (loss) gain from commodity sales derivatives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(848)</w:t>
            </w:r>
          </w:p>
        </w:tc>
      </w:tr>
      <w:tr>
        <w:trPr>
          <w:trHeight w:val="248"/>
        </w:trPr>
        <w:tc>
          <w:tcPr>
            <w:tcW w:w="8300" w:type="dxa"/>
            <w:vAlign w:val="bottom"/>
          </w:tcPr>
          <w:p>
            <w:pPr>
              <w:ind w:left="20"/>
              <w:spacing w:after="0"/>
              <w:rPr>
                <w:sz w:val="20"/>
                <w:szCs w:val="20"/>
                <w:color w:val="auto"/>
              </w:rPr>
            </w:pPr>
            <w:r>
              <w:rPr>
                <w:rFonts w:ascii="Arial" w:cs="Arial" w:eastAsia="Arial" w:hAnsi="Arial"/>
                <w:sz w:val="14"/>
                <w:szCs w:val="14"/>
                <w:color w:val="auto"/>
              </w:rPr>
              <w:t>Other operating expenses net of other revenue</w:t>
            </w:r>
            <w:r>
              <w:rPr>
                <w:rFonts w:ascii="Arial" w:cs="Arial" w:eastAsia="Arial" w:hAnsi="Arial"/>
                <w:sz w:val="18"/>
                <w:szCs w:val="18"/>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44</w:t>
            </w:r>
          </w:p>
        </w:tc>
      </w:tr>
      <w:tr>
        <w:trPr>
          <w:trHeight w:val="73"/>
        </w:trPr>
        <w:tc>
          <w:tcPr>
            <w:tcW w:w="8300" w:type="dxa"/>
            <w:vAlign w:val="bottom"/>
            <w:tcBorders>
              <w:bottom w:val="single" w:sz="8" w:color="auto"/>
            </w:tcBorders>
          </w:tcPr>
          <w:p>
            <w:pPr>
              <w:spacing w:after="0"/>
              <w:rPr>
                <w:sz w:val="6"/>
                <w:szCs w:val="6"/>
                <w:color w:val="auto"/>
              </w:rPr>
            </w:pPr>
          </w:p>
        </w:tc>
        <w:tc>
          <w:tcPr>
            <w:tcW w:w="560" w:type="dxa"/>
            <w:vAlign w:val="bottom"/>
            <w:tcBorders>
              <w:bottom w:val="single" w:sz="8" w:color="auto"/>
            </w:tcBorders>
          </w:tcPr>
          <w:p>
            <w:pPr>
              <w:spacing w:after="0"/>
              <w:rPr>
                <w:sz w:val="6"/>
                <w:szCs w:val="6"/>
                <w:color w:val="auto"/>
              </w:rPr>
            </w:pPr>
          </w:p>
        </w:tc>
        <w:tc>
          <w:tcPr>
            <w:tcW w:w="1000" w:type="dxa"/>
            <w:vAlign w:val="bottom"/>
            <w:tcBorders>
              <w:bottom w:val="single" w:sz="8" w:color="auto"/>
            </w:tcBorders>
          </w:tcPr>
          <w:p>
            <w:pPr>
              <w:spacing w:after="0"/>
              <w:rPr>
                <w:sz w:val="6"/>
                <w:szCs w:val="6"/>
                <w:color w:val="auto"/>
              </w:rPr>
            </w:pPr>
          </w:p>
        </w:tc>
      </w:tr>
      <w:tr>
        <w:trPr>
          <w:trHeight w:val="192"/>
        </w:trPr>
        <w:tc>
          <w:tcPr>
            <w:tcW w:w="8300" w:type="dxa"/>
            <w:vAlign w:val="bottom"/>
            <w:shd w:val="clear" w:color="auto" w:fill="DBDBDB"/>
          </w:tcPr>
          <w:p>
            <w:pPr>
              <w:ind w:left="20"/>
              <w:spacing w:after="0"/>
              <w:rPr>
                <w:sz w:val="20"/>
                <w:szCs w:val="20"/>
                <w:color w:val="auto"/>
              </w:rPr>
            </w:pPr>
            <w:r>
              <w:rPr>
                <w:rFonts w:ascii="Arial" w:cs="Arial" w:eastAsia="Arial" w:hAnsi="Arial"/>
                <w:sz w:val="14"/>
                <w:szCs w:val="14"/>
                <w:b w:val="1"/>
                <w:bCs w:val="1"/>
                <w:color w:val="auto"/>
              </w:rPr>
              <w:t>Select Financial Statement Data and Non-GAAP Measures:</w:t>
            </w:r>
          </w:p>
        </w:tc>
        <w:tc>
          <w:tcPr>
            <w:tcW w:w="560" w:type="dxa"/>
            <w:vAlign w:val="bottom"/>
            <w:shd w:val="clear" w:color="auto" w:fill="DBDBDB"/>
          </w:tcPr>
          <w:p>
            <w:pPr>
              <w:spacing w:after="0"/>
              <w:rPr>
                <w:sz w:val="16"/>
                <w:szCs w:val="16"/>
                <w:color w:val="auto"/>
              </w:rPr>
            </w:pPr>
          </w:p>
        </w:tc>
        <w:tc>
          <w:tcPr>
            <w:tcW w:w="1000" w:type="dxa"/>
            <w:vAlign w:val="bottom"/>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9"/>
              </w:rPr>
              <w:t>1st Quarter</w:t>
            </w:r>
          </w:p>
        </w:tc>
      </w:tr>
      <w:tr>
        <w:trPr>
          <w:trHeight w:val="201"/>
        </w:trPr>
        <w:tc>
          <w:tcPr>
            <w:tcW w:w="8300" w:type="dxa"/>
            <w:vAlign w:val="bottom"/>
            <w:tcBorders>
              <w:bottom w:val="single" w:sz="8" w:color="auto"/>
            </w:tcBorders>
            <w:shd w:val="clear" w:color="auto" w:fill="DBDBDB"/>
          </w:tcPr>
          <w:p>
            <w:pPr>
              <w:ind w:left="20"/>
              <w:spacing w:after="0"/>
              <w:rPr>
                <w:sz w:val="20"/>
                <w:szCs w:val="20"/>
                <w:color w:val="auto"/>
              </w:rPr>
            </w:pPr>
            <w:r>
              <w:rPr>
                <w:rFonts w:ascii="Arial" w:cs="Arial" w:eastAsia="Arial" w:hAnsi="Arial"/>
                <w:sz w:val="14"/>
                <w:szCs w:val="14"/>
                <w:color w:val="auto"/>
              </w:rPr>
              <w:t>($ and shares in millions, except per share amounts)</w:t>
            </w:r>
          </w:p>
        </w:tc>
        <w:tc>
          <w:tcPr>
            <w:tcW w:w="560" w:type="dxa"/>
            <w:vAlign w:val="bottom"/>
            <w:tcBorders>
              <w:bottom w:val="single" w:sz="8" w:color="auto"/>
            </w:tcBorders>
            <w:shd w:val="clear" w:color="auto" w:fill="DBDBDB"/>
          </w:tcPr>
          <w:p>
            <w:pPr>
              <w:spacing w:after="0"/>
              <w:rPr>
                <w:sz w:val="17"/>
                <w:szCs w:val="17"/>
                <w:color w:val="auto"/>
              </w:rPr>
            </w:pPr>
          </w:p>
        </w:tc>
        <w:tc>
          <w:tcPr>
            <w:tcW w:w="1000" w:type="dxa"/>
            <w:vAlign w:val="bottom"/>
            <w:tcBorders>
              <w:bottom w:val="single" w:sz="8" w:color="auto"/>
            </w:tcBorders>
            <w:shd w:val="clear" w:color="auto" w:fill="DBDBDB"/>
          </w:tcPr>
          <w:p>
            <w:pPr>
              <w:jc w:val="center"/>
              <w:ind w:right="69"/>
              <w:spacing w:after="0"/>
              <w:rPr>
                <w:sz w:val="20"/>
                <w:szCs w:val="20"/>
                <w:color w:val="auto"/>
              </w:rPr>
            </w:pPr>
            <w:r>
              <w:rPr>
                <w:rFonts w:ascii="Arial" w:cs="Arial" w:eastAsia="Arial" w:hAnsi="Arial"/>
                <w:sz w:val="14"/>
                <w:szCs w:val="14"/>
                <w:b w:val="1"/>
                <w:bCs w:val="1"/>
                <w:color w:val="auto"/>
                <w:w w:val="96"/>
              </w:rPr>
              <w:t>2026</w:t>
            </w:r>
          </w:p>
        </w:tc>
      </w:tr>
      <w:tr>
        <w:trPr>
          <w:trHeight w:val="241"/>
        </w:trPr>
        <w:tc>
          <w:tcPr>
            <w:tcW w:w="8300" w:type="dxa"/>
            <w:vAlign w:val="bottom"/>
          </w:tcPr>
          <w:p>
            <w:pPr>
              <w:ind w:left="20"/>
              <w:spacing w:after="0"/>
              <w:rPr>
                <w:sz w:val="20"/>
                <w:szCs w:val="20"/>
                <w:color w:val="auto"/>
              </w:rPr>
            </w:pPr>
            <w:r>
              <w:rPr>
                <w:rFonts w:ascii="Arial" w:cs="Arial" w:eastAsia="Arial" w:hAnsi="Arial"/>
                <w:sz w:val="14"/>
                <w:szCs w:val="14"/>
                <w:color w:val="auto"/>
              </w:rPr>
              <w:t>Total operating revenues before net (loss) gain from commodity derivatives</w:t>
            </w:r>
            <w:r>
              <w:rPr>
                <w:rFonts w:ascii="Arial" w:cs="Arial" w:eastAsia="Arial" w:hAnsi="Arial"/>
                <w:sz w:val="18"/>
                <w:szCs w:val="18"/>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967</w:t>
            </w:r>
          </w:p>
        </w:tc>
      </w:tr>
      <w:tr>
        <w:trPr>
          <w:trHeight w:val="258"/>
        </w:trPr>
        <w:tc>
          <w:tcPr>
            <w:tcW w:w="8300" w:type="dxa"/>
            <w:vAlign w:val="bottom"/>
          </w:tcPr>
          <w:p>
            <w:pPr>
              <w:ind w:left="20"/>
              <w:spacing w:after="0"/>
              <w:rPr>
                <w:sz w:val="20"/>
                <w:szCs w:val="20"/>
                <w:color w:val="auto"/>
              </w:rPr>
            </w:pPr>
            <w:r>
              <w:rPr>
                <w:rFonts w:ascii="Arial" w:cs="Arial" w:eastAsia="Arial" w:hAnsi="Arial"/>
                <w:sz w:val="14"/>
                <w:szCs w:val="14"/>
                <w:color w:val="auto"/>
              </w:rPr>
              <w:t>Operating costs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365</w:t>
            </w:r>
          </w:p>
        </w:tc>
      </w:tr>
      <w:tr>
        <w:trPr>
          <w:trHeight w:val="200"/>
        </w:trPr>
        <w:tc>
          <w:tcPr>
            <w:tcW w:w="830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106</w:t>
            </w:r>
          </w:p>
        </w:tc>
      </w:tr>
      <w:tr>
        <w:trPr>
          <w:trHeight w:val="205"/>
        </w:trPr>
        <w:tc>
          <w:tcPr>
            <w:tcW w:w="8300" w:type="dxa"/>
            <w:vAlign w:val="bottom"/>
          </w:tcPr>
          <w:p>
            <w:pPr>
              <w:ind w:left="140"/>
              <w:spacing w:after="0" w:line="205" w:lineRule="exact"/>
              <w:rPr>
                <w:sz w:val="20"/>
                <w:szCs w:val="20"/>
                <w:color w:val="auto"/>
              </w:rPr>
            </w:pPr>
            <w:r>
              <w:rPr>
                <w:rFonts w:ascii="Arial" w:cs="Arial" w:eastAsia="Arial" w:hAnsi="Arial"/>
                <w:sz w:val="14"/>
                <w:szCs w:val="14"/>
                <w:i w:val="1"/>
                <w:iCs w:val="1"/>
                <w:color w:val="auto"/>
              </w:rPr>
              <w:t>Adjusted general and administrative expenses</w:t>
            </w:r>
            <w:r>
              <w:rPr>
                <w:rFonts w:ascii="Arial" w:cs="Arial" w:eastAsia="Arial" w:hAnsi="Arial"/>
                <w:sz w:val="18"/>
                <w:szCs w:val="18"/>
                <w:i w:val="1"/>
                <w:iCs w:val="1"/>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99</w:t>
            </w:r>
          </w:p>
        </w:tc>
      </w:tr>
      <w:tr>
        <w:trPr>
          <w:trHeight w:val="195"/>
        </w:trPr>
        <w:tc>
          <w:tcPr>
            <w:tcW w:w="8300" w:type="dxa"/>
            <w:vAlign w:val="bottom"/>
          </w:tcPr>
          <w:p>
            <w:pPr>
              <w:ind w:left="20"/>
              <w:spacing w:after="0"/>
              <w:rPr>
                <w:sz w:val="20"/>
                <w:szCs w:val="20"/>
                <w:color w:val="auto"/>
              </w:rPr>
            </w:pPr>
            <w:r>
              <w:rPr>
                <w:rFonts w:ascii="Arial" w:cs="Arial" w:eastAsia="Arial" w:hAnsi="Arial"/>
                <w:sz w:val="14"/>
                <w:szCs w:val="14"/>
                <w:color w:val="auto"/>
              </w:rPr>
              <w:t>Taxes other than on income</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67</w:t>
            </w:r>
          </w:p>
        </w:tc>
      </w:tr>
      <w:tr>
        <w:trPr>
          <w:trHeight w:val="200"/>
        </w:trPr>
        <w:tc>
          <w:tcPr>
            <w:tcW w:w="8300" w:type="dxa"/>
            <w:vAlign w:val="bottom"/>
          </w:tcPr>
          <w:p>
            <w:pPr>
              <w:ind w:left="20"/>
              <w:spacing w:after="0"/>
              <w:rPr>
                <w:sz w:val="20"/>
                <w:szCs w:val="20"/>
                <w:color w:val="auto"/>
              </w:rPr>
            </w:pPr>
            <w:r>
              <w:rPr>
                <w:rFonts w:ascii="Arial" w:cs="Arial" w:eastAsia="Arial" w:hAnsi="Arial"/>
                <w:sz w:val="14"/>
                <w:szCs w:val="14"/>
                <w:color w:val="auto"/>
              </w:rPr>
              <w:t>Transportation costs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26</w:t>
            </w:r>
          </w:p>
        </w:tc>
      </w:tr>
      <w:tr>
        <w:trPr>
          <w:trHeight w:val="200"/>
        </w:trPr>
        <w:tc>
          <w:tcPr>
            <w:tcW w:w="8300" w:type="dxa"/>
            <w:vAlign w:val="bottom"/>
          </w:tcPr>
          <w:p>
            <w:pPr>
              <w:ind w:left="20"/>
              <w:spacing w:after="0"/>
              <w:rPr>
                <w:sz w:val="20"/>
                <w:szCs w:val="20"/>
                <w:color w:val="auto"/>
              </w:rPr>
            </w:pPr>
            <w:r>
              <w:rPr>
                <w:rFonts w:ascii="Arial" w:cs="Arial" w:eastAsia="Arial" w:hAnsi="Arial"/>
                <w:sz w:val="14"/>
                <w:szCs w:val="14"/>
                <w:b w:val="1"/>
                <w:bCs w:val="1"/>
                <w:color w:val="auto"/>
              </w:rPr>
              <w:t>Operating (loss) income</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(711)</w:t>
            </w:r>
          </w:p>
        </w:tc>
      </w:tr>
      <w:tr>
        <w:trPr>
          <w:trHeight w:val="200"/>
        </w:trPr>
        <w:tc>
          <w:tcPr>
            <w:tcW w:w="8300" w:type="dxa"/>
            <w:vAlign w:val="bottom"/>
          </w:tcPr>
          <w:p>
            <w:pPr>
              <w:ind w:left="20"/>
              <w:spacing w:after="0"/>
              <w:rPr>
                <w:sz w:val="20"/>
                <w:szCs w:val="20"/>
                <w:color w:val="auto"/>
              </w:rPr>
            </w:pPr>
            <w:r>
              <w:rPr>
                <w:rFonts w:ascii="Arial" w:cs="Arial" w:eastAsia="Arial" w:hAnsi="Arial"/>
                <w:sz w:val="14"/>
                <w:szCs w:val="14"/>
                <w:color w:val="auto"/>
              </w:rPr>
              <w:t>Interest and debt expense, net</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00"/>
        </w:trPr>
        <w:tc>
          <w:tcPr>
            <w:tcW w:w="8300" w:type="dxa"/>
            <w:vAlign w:val="bottom"/>
          </w:tcPr>
          <w:p>
            <w:pPr>
              <w:ind w:left="20"/>
              <w:spacing w:after="0"/>
              <w:rPr>
                <w:sz w:val="20"/>
                <w:szCs w:val="20"/>
                <w:color w:val="auto"/>
              </w:rPr>
            </w:pPr>
            <w:r>
              <w:rPr>
                <w:rFonts w:ascii="Arial" w:cs="Arial" w:eastAsia="Arial" w:hAnsi="Arial"/>
                <w:sz w:val="14"/>
                <w:szCs w:val="14"/>
                <w:color w:val="auto"/>
              </w:rPr>
              <w:t>Income tax (benefit) provision</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(49)</w:t>
            </w:r>
          </w:p>
        </w:tc>
      </w:tr>
      <w:tr>
        <w:trPr>
          <w:trHeight w:val="200"/>
        </w:trPr>
        <w:tc>
          <w:tcPr>
            <w:tcW w:w="8300" w:type="dxa"/>
            <w:vAlign w:val="bottom"/>
          </w:tcPr>
          <w:p>
            <w:pPr>
              <w:ind w:left="140"/>
              <w:spacing w:after="0"/>
              <w:rPr>
                <w:sz w:val="20"/>
                <w:szCs w:val="20"/>
                <w:color w:val="auto"/>
              </w:rPr>
            </w:pPr>
            <w:r>
              <w:rPr>
                <w:rFonts w:ascii="Arial" w:cs="Arial" w:eastAsia="Arial" w:hAnsi="Arial"/>
                <w:sz w:val="14"/>
                <w:szCs w:val="14"/>
                <w:i w:val="1"/>
                <w:iCs w:val="1"/>
                <w:color w:val="auto"/>
              </w:rPr>
              <w:t>Deferred income tax (benefit) provision</w:t>
            </w:r>
          </w:p>
        </w:tc>
        <w:tc>
          <w:tcPr>
            <w:tcW w:w="56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i w:val="1"/>
                <w:iCs w:val="1"/>
                <w:color w:val="auto"/>
              </w:rPr>
              <w:t>(50)</w:t>
            </w:r>
          </w:p>
        </w:tc>
      </w:tr>
      <w:tr>
        <w:trPr>
          <w:trHeight w:val="200"/>
        </w:trPr>
        <w:tc>
          <w:tcPr>
            <w:tcW w:w="8300" w:type="dxa"/>
            <w:vAlign w:val="bottom"/>
          </w:tcPr>
          <w:p>
            <w:pPr>
              <w:ind w:left="20"/>
              <w:spacing w:after="0"/>
              <w:rPr>
                <w:sz w:val="20"/>
                <w:szCs w:val="20"/>
                <w:color w:val="auto"/>
              </w:rPr>
            </w:pPr>
            <w:r>
              <w:rPr>
                <w:rFonts w:ascii="Arial" w:cs="Arial" w:eastAsia="Arial" w:hAnsi="Arial"/>
                <w:sz w:val="14"/>
                <w:szCs w:val="14"/>
                <w:b w:val="1"/>
                <w:bCs w:val="1"/>
                <w:color w:val="auto"/>
              </w:rPr>
              <w:t>Net (loss) income</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(711)</w:t>
            </w:r>
          </w:p>
        </w:tc>
      </w:tr>
      <w:tr>
        <w:trPr>
          <w:trHeight w:val="200"/>
        </w:trPr>
        <w:tc>
          <w:tcPr>
            <w:tcW w:w="8300" w:type="dxa"/>
            <w:vAlign w:val="bottom"/>
          </w:tcPr>
          <w:p>
            <w:pPr>
              <w:ind w:left="20"/>
              <w:spacing w:after="0"/>
              <w:rPr>
                <w:sz w:val="20"/>
                <w:szCs w:val="20"/>
                <w:color w:val="auto"/>
              </w:rPr>
            </w:pPr>
            <w:r>
              <w:rPr>
                <w:rFonts w:ascii="Arial" w:cs="Arial" w:eastAsia="Arial" w:hAnsi="Arial"/>
                <w:sz w:val="14"/>
                <w:szCs w:val="14"/>
                <w:color w:val="auto"/>
              </w:rPr>
              <w:t>Weighted-average common shares outstanding - diluted</w:t>
            </w:r>
          </w:p>
        </w:tc>
        <w:tc>
          <w:tcPr>
            <w:tcW w:w="56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88.7</w:t>
            </w:r>
          </w:p>
        </w:tc>
      </w:tr>
      <w:tr>
        <w:trPr>
          <w:trHeight w:val="200"/>
        </w:trPr>
        <w:tc>
          <w:tcPr>
            <w:tcW w:w="8300" w:type="dxa"/>
            <w:vAlign w:val="bottom"/>
          </w:tcPr>
          <w:p>
            <w:pPr>
              <w:ind w:left="20"/>
              <w:spacing w:after="0"/>
              <w:rPr>
                <w:sz w:val="20"/>
                <w:szCs w:val="20"/>
                <w:color w:val="auto"/>
              </w:rPr>
            </w:pPr>
            <w:r>
              <w:rPr>
                <w:rFonts w:ascii="Arial" w:cs="Arial" w:eastAsia="Arial" w:hAnsi="Arial"/>
                <w:sz w:val="14"/>
                <w:szCs w:val="14"/>
                <w:color w:val="auto"/>
              </w:rPr>
              <w:t>Net (loss) income per share - diluted</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(8.02)</w:t>
            </w:r>
          </w:p>
        </w:tc>
      </w:tr>
      <w:tr>
        <w:trPr>
          <w:trHeight w:val="310"/>
        </w:trPr>
        <w:tc>
          <w:tcPr>
            <w:tcW w:w="8300" w:type="dxa"/>
            <w:vAlign w:val="bottom"/>
          </w:tcPr>
          <w:p>
            <w:pPr>
              <w:ind w:left="20"/>
              <w:spacing w:after="0"/>
              <w:rPr>
                <w:sz w:val="20"/>
                <w:szCs w:val="20"/>
                <w:color w:val="auto"/>
              </w:rPr>
            </w:pPr>
            <w:r>
              <w:rPr>
                <w:rFonts w:ascii="Arial" w:cs="Arial" w:eastAsia="Arial" w:hAnsi="Arial"/>
                <w:sz w:val="14"/>
                <w:szCs w:val="14"/>
                <w:color w:val="auto"/>
              </w:rPr>
              <w:t>Adjusted net income</w:t>
            </w:r>
            <w:r>
              <w:rPr>
                <w:rFonts w:ascii="Arial" w:cs="Arial" w:eastAsia="Arial" w:hAnsi="Arial"/>
                <w:sz w:val="18"/>
                <w:szCs w:val="18"/>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79</w:t>
            </w:r>
          </w:p>
        </w:tc>
      </w:tr>
      <w:tr>
        <w:trPr>
          <w:trHeight w:val="202"/>
        </w:trPr>
        <w:tc>
          <w:tcPr>
            <w:tcW w:w="8300" w:type="dxa"/>
            <w:vAlign w:val="bottom"/>
          </w:tcPr>
          <w:p>
            <w:pPr>
              <w:ind w:left="20"/>
              <w:spacing w:after="0" w:line="202" w:lineRule="exact"/>
              <w:rPr>
                <w:sz w:val="20"/>
                <w:szCs w:val="20"/>
                <w:color w:val="auto"/>
              </w:rPr>
            </w:pPr>
            <w:r>
              <w:rPr>
                <w:rFonts w:ascii="Arial" w:cs="Arial" w:eastAsia="Arial" w:hAnsi="Arial"/>
                <w:sz w:val="14"/>
                <w:szCs w:val="14"/>
                <w:color w:val="auto"/>
              </w:rPr>
              <w:t>Adjusted net income per share</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diluted</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0.88</w:t>
            </w:r>
          </w:p>
        </w:tc>
      </w:tr>
      <w:tr>
        <w:trPr>
          <w:trHeight w:val="195"/>
        </w:trPr>
        <w:tc>
          <w:tcPr>
            <w:tcW w:w="8300" w:type="dxa"/>
            <w:vAlign w:val="bottom"/>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99</w:t>
            </w:r>
          </w:p>
        </w:tc>
      </w:tr>
      <w:tr>
        <w:trPr>
          <w:trHeight w:val="203"/>
        </w:trPr>
        <w:tc>
          <w:tcPr>
            <w:tcW w:w="8300" w:type="dxa"/>
            <w:vAlign w:val="bottom"/>
          </w:tcPr>
          <w:p>
            <w:pPr>
              <w:ind w:left="20"/>
              <w:spacing w:after="0" w:line="203" w:lineRule="exact"/>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304</w:t>
            </w:r>
          </w:p>
        </w:tc>
      </w:tr>
      <w:tr>
        <w:trPr>
          <w:trHeight w:val="202"/>
        </w:trPr>
        <w:tc>
          <w:tcPr>
            <w:tcW w:w="8300" w:type="dxa"/>
            <w:vAlign w:val="bottom"/>
          </w:tcPr>
          <w:p>
            <w:pPr>
              <w:ind w:left="20"/>
              <w:spacing w:after="0" w:line="202" w:lineRule="exact"/>
              <w:rPr>
                <w:sz w:val="20"/>
                <w:szCs w:val="20"/>
                <w:color w:val="auto"/>
              </w:rPr>
            </w:pPr>
            <w:r>
              <w:rPr>
                <w:rFonts w:ascii="Arial" w:cs="Arial" w:eastAsia="Arial" w:hAnsi="Arial"/>
                <w:sz w:val="14"/>
                <w:szCs w:val="14"/>
                <w:color w:val="auto"/>
              </w:rPr>
              <w:t>Free cash flow</w:t>
            </w:r>
            <w:r>
              <w:rPr>
                <w:rFonts w:ascii="Arial" w:cs="Arial" w:eastAsia="Arial" w:hAnsi="Arial"/>
                <w:sz w:val="18"/>
                <w:szCs w:val="18"/>
                <w:color w:val="auto"/>
                <w:vertAlign w:val="superscript"/>
              </w:rPr>
              <w:t>1</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(32)</w:t>
            </w:r>
          </w:p>
        </w:tc>
      </w:tr>
      <w:tr>
        <w:trPr>
          <w:trHeight w:val="195"/>
        </w:trPr>
        <w:tc>
          <w:tcPr>
            <w:tcW w:w="8300" w:type="dxa"/>
            <w:vAlign w:val="bottom"/>
          </w:tcPr>
          <w:p>
            <w:pPr>
              <w:ind w:left="20"/>
              <w:spacing w:after="0"/>
              <w:rPr>
                <w:sz w:val="20"/>
                <w:szCs w:val="20"/>
                <w:color w:val="auto"/>
              </w:rPr>
            </w:pPr>
            <w:r>
              <w:rPr>
                <w:rFonts w:ascii="Arial" w:cs="Arial" w:eastAsia="Arial" w:hAnsi="Arial"/>
                <w:sz w:val="14"/>
                <w:szCs w:val="14"/>
                <w:color w:val="auto"/>
              </w:rPr>
              <w:t>Capital investments</w:t>
            </w:r>
          </w:p>
        </w:tc>
        <w:tc>
          <w:tcPr>
            <w:tcW w:w="56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rPr>
              <w:t>131</w:t>
            </w:r>
          </w:p>
        </w:tc>
      </w:tr>
    </w:tbl>
    <w:p>
      <w:pPr>
        <w:spacing w:after="0" w:line="20" w:lineRule="exact"/>
        <w:rPr>
          <w:sz w:val="20"/>
          <w:szCs w:val="20"/>
          <w:color w:val="auto"/>
        </w:rPr>
      </w:pPr>
      <w:r>
        <w:rPr>
          <w:sz w:val="20"/>
          <w:szCs w:val="20"/>
          <w:color w:val="auto"/>
        </w:rPr>
        <w:br w:type="column"/>
      </w:r>
    </w:p>
    <w:p>
      <w:pPr>
        <w:spacing w:after="0" w:line="17" w:lineRule="exact"/>
        <w:rPr>
          <w:sz w:val="20"/>
          <w:szCs w:val="20"/>
          <w:color w:val="auto"/>
        </w:rPr>
      </w:pPr>
    </w:p>
    <w:p>
      <w:pPr>
        <w:jc w:val="center"/>
        <w:ind w:right="13"/>
        <w:spacing w:after="0"/>
        <w:rPr>
          <w:sz w:val="20"/>
          <w:szCs w:val="20"/>
          <w:color w:val="auto"/>
        </w:rPr>
      </w:pPr>
      <w:r>
        <w:rPr>
          <w:rFonts w:ascii="Arial" w:cs="Arial" w:eastAsia="Arial" w:hAnsi="Arial"/>
          <w:sz w:val="14"/>
          <w:szCs w:val="14"/>
          <w:color w:val="auto"/>
        </w:rPr>
        <w:t>4th Quarter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-112395</wp:posOffset>
            </wp:positionV>
            <wp:extent cx="812165" cy="18535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12165" cy="1853565"/>
                    </a:xfrm>
                    <a:prstGeom prst="rect">
                      <a:avLst/>
                    </a:prstGeom>
                    <a:noFill/>
                  </pic:spPr>
                </pic:pic>
              </a:graphicData>
            </a:graphic>
          </wp:anchor>
        </w:drawing>
      </w:r>
    </w:p>
    <w:p>
      <w:pPr>
        <w:spacing w:after="0" w:line="19" w:lineRule="exact"/>
        <w:rPr>
          <w:sz w:val="20"/>
          <w:szCs w:val="20"/>
          <w:color w:val="auto"/>
        </w:rPr>
      </w:pPr>
    </w:p>
    <w:p>
      <w:pPr>
        <w:jc w:val="center"/>
        <w:ind w:right="13"/>
        <w:spacing w:after="0"/>
        <w:rPr>
          <w:sz w:val="20"/>
          <w:szCs w:val="20"/>
          <w:color w:val="auto"/>
        </w:rPr>
      </w:pPr>
      <w:r>
        <w:rPr>
          <w:rFonts w:ascii="Arial" w:cs="Arial" w:eastAsia="Arial" w:hAnsi="Arial"/>
          <w:sz w:val="14"/>
          <w:szCs w:val="14"/>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75311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spacing w:after="0" w:line="32" w:lineRule="exact"/>
        <w:rPr>
          <w:sz w:val="20"/>
          <w:szCs w:val="20"/>
          <w:color w:val="auto"/>
        </w:rPr>
      </w:pPr>
    </w:p>
    <w:p>
      <w:pPr>
        <w:jc w:val="right"/>
        <w:ind w:right="60"/>
        <w:spacing w:after="0"/>
        <w:rPr>
          <w:sz w:val="20"/>
          <w:szCs w:val="20"/>
          <w:color w:val="auto"/>
        </w:rPr>
      </w:pPr>
      <w:r>
        <w:rPr>
          <w:rFonts w:ascii="Arial" w:cs="Arial" w:eastAsia="Arial" w:hAnsi="Arial"/>
          <w:sz w:val="14"/>
          <w:szCs w:val="14"/>
          <w:color w:val="auto"/>
        </w:rPr>
        <w:t>109</w:t>
      </w:r>
    </w:p>
    <w:p>
      <w:pPr>
        <w:spacing w:after="0" w:line="39" w:lineRule="exact"/>
        <w:rPr>
          <w:sz w:val="20"/>
          <w:szCs w:val="20"/>
          <w:color w:val="auto"/>
        </w:rPr>
      </w:pPr>
    </w:p>
    <w:p>
      <w:pPr>
        <w:ind w:left="747" w:hanging="747"/>
        <w:spacing w:after="0"/>
        <w:tabs>
          <w:tab w:leader="none" w:pos="747" w:val="left"/>
        </w:tabs>
        <w:numPr>
          <w:ilvl w:val="0"/>
          <w:numId w:val="8"/>
        </w:numPr>
        <w:rPr>
          <w:rFonts w:ascii="Arial" w:cs="Arial" w:eastAsia="Arial" w:hAnsi="Arial"/>
          <w:sz w:val="14"/>
          <w:szCs w:val="14"/>
          <w:color w:val="auto"/>
        </w:rPr>
      </w:pPr>
      <w:r>
        <w:rPr>
          <w:rFonts w:ascii="Arial" w:cs="Arial" w:eastAsia="Arial" w:hAnsi="Arial"/>
          <w:sz w:val="14"/>
          <w:szCs w:val="14"/>
          <w:color w:val="auto"/>
        </w:rPr>
        <w:t>61.14</w:t>
      </w:r>
    </w:p>
    <w:p>
      <w:pPr>
        <w:spacing w:after="0" w:line="39" w:lineRule="exact"/>
        <w:rPr>
          <w:sz w:val="20"/>
          <w:szCs w:val="20"/>
          <w:color w:val="auto"/>
        </w:rPr>
      </w:pPr>
    </w:p>
    <w:p>
      <w:pPr>
        <w:ind w:left="747" w:hanging="747"/>
        <w:spacing w:after="0"/>
        <w:tabs>
          <w:tab w:leader="none" w:pos="747" w:val="left"/>
        </w:tabs>
        <w:numPr>
          <w:ilvl w:val="0"/>
          <w:numId w:val="9"/>
        </w:numPr>
        <w:rPr>
          <w:rFonts w:ascii="Arial" w:cs="Arial" w:eastAsia="Arial" w:hAnsi="Arial"/>
          <w:sz w:val="14"/>
          <w:szCs w:val="14"/>
          <w:color w:val="auto"/>
        </w:rPr>
      </w:pPr>
      <w:r>
        <w:rPr>
          <w:rFonts w:ascii="Arial" w:cs="Arial" w:eastAsia="Arial" w:hAnsi="Arial"/>
          <w:sz w:val="14"/>
          <w:szCs w:val="14"/>
          <w:color w:val="auto"/>
        </w:rPr>
        <w:t>64.27</w:t>
      </w:r>
    </w:p>
    <w:p>
      <w:pPr>
        <w:spacing w:after="0" w:line="38" w:lineRule="exact"/>
        <w:rPr>
          <w:rFonts w:ascii="Arial" w:cs="Arial" w:eastAsia="Arial" w:hAnsi="Arial"/>
          <w:sz w:val="14"/>
          <w:szCs w:val="14"/>
          <w:color w:val="auto"/>
        </w:rPr>
      </w:pPr>
    </w:p>
    <w:p>
      <w:pPr>
        <w:ind w:left="1027"/>
        <w:spacing w:after="0"/>
        <w:rPr>
          <w:rFonts w:ascii="Arial" w:cs="Arial" w:eastAsia="Arial" w:hAnsi="Arial"/>
          <w:sz w:val="14"/>
          <w:szCs w:val="14"/>
          <w:color w:val="auto"/>
        </w:rPr>
      </w:pPr>
      <w:r>
        <w:rPr>
          <w:rFonts w:ascii="Arial" w:cs="Arial" w:eastAsia="Arial" w:hAnsi="Arial"/>
          <w:sz w:val="14"/>
          <w:szCs w:val="14"/>
          <w:color w:val="auto"/>
        </w:rPr>
        <w:t>9</w:t>
      </w:r>
    </w:p>
    <w:p>
      <w:pPr>
        <w:spacing w:after="0" w:line="39" w:lineRule="exact"/>
        <w:rPr>
          <w:sz w:val="20"/>
          <w:szCs w:val="20"/>
          <w:color w:val="auto"/>
        </w:rPr>
      </w:pPr>
    </w:p>
    <w:p>
      <w:pPr>
        <w:ind w:left="747" w:hanging="747"/>
        <w:spacing w:after="0"/>
        <w:tabs>
          <w:tab w:leader="none" w:pos="747" w:val="left"/>
        </w:tabs>
        <w:numPr>
          <w:ilvl w:val="0"/>
          <w:numId w:val="10"/>
        </w:numPr>
        <w:rPr>
          <w:rFonts w:ascii="Arial" w:cs="Arial" w:eastAsia="Arial" w:hAnsi="Arial"/>
          <w:sz w:val="14"/>
          <w:szCs w:val="14"/>
          <w:color w:val="auto"/>
        </w:rPr>
      </w:pPr>
      <w:r>
        <w:rPr>
          <w:rFonts w:ascii="Arial" w:cs="Arial" w:eastAsia="Arial" w:hAnsi="Arial"/>
          <w:sz w:val="14"/>
          <w:szCs w:val="14"/>
          <w:color w:val="auto"/>
        </w:rPr>
        <w:t>42.86</w:t>
      </w:r>
    </w:p>
    <w:p>
      <w:pPr>
        <w:spacing w:after="0" w:line="38" w:lineRule="exact"/>
        <w:rPr>
          <w:rFonts w:ascii="Arial" w:cs="Arial" w:eastAsia="Arial" w:hAnsi="Arial"/>
          <w:sz w:val="14"/>
          <w:szCs w:val="14"/>
          <w:color w:val="auto"/>
        </w:rPr>
      </w:pPr>
    </w:p>
    <w:p>
      <w:pPr>
        <w:ind w:left="867"/>
        <w:spacing w:after="0"/>
        <w:rPr>
          <w:rFonts w:ascii="Arial" w:cs="Arial" w:eastAsia="Arial" w:hAnsi="Arial"/>
          <w:sz w:val="14"/>
          <w:szCs w:val="14"/>
          <w:color w:val="auto"/>
        </w:rPr>
      </w:pPr>
      <w:r>
        <w:rPr>
          <w:rFonts w:ascii="Arial" w:cs="Arial" w:eastAsia="Arial" w:hAnsi="Arial"/>
          <w:sz w:val="14"/>
          <w:szCs w:val="14"/>
          <w:color w:val="auto"/>
        </w:rPr>
        <w:t>113</w:t>
      </w:r>
    </w:p>
    <w:p>
      <w:pPr>
        <w:spacing w:after="0" w:line="39" w:lineRule="exact"/>
        <w:rPr>
          <w:sz w:val="20"/>
          <w:szCs w:val="20"/>
          <w:color w:val="auto"/>
        </w:rPr>
      </w:pPr>
    </w:p>
    <w:p>
      <w:pPr>
        <w:ind w:left="827" w:hanging="827"/>
        <w:spacing w:after="0"/>
        <w:tabs>
          <w:tab w:leader="none" w:pos="827" w:val="left"/>
        </w:tabs>
        <w:numPr>
          <w:ilvl w:val="0"/>
          <w:numId w:val="11"/>
        </w:numPr>
        <w:rPr>
          <w:rFonts w:ascii="Arial" w:cs="Arial" w:eastAsia="Arial" w:hAnsi="Arial"/>
          <w:sz w:val="14"/>
          <w:szCs w:val="14"/>
          <w:color w:val="auto"/>
        </w:rPr>
      </w:pPr>
      <w:r>
        <w:rPr>
          <w:rFonts w:ascii="Arial" w:cs="Arial" w:eastAsia="Arial" w:hAnsi="Arial"/>
          <w:sz w:val="14"/>
          <w:szCs w:val="14"/>
          <w:color w:val="auto"/>
        </w:rPr>
        <w:t>3.91</w:t>
      </w:r>
    </w:p>
    <w:p>
      <w:pPr>
        <w:spacing w:after="0" w:line="38" w:lineRule="exact"/>
        <w:rPr>
          <w:rFonts w:ascii="Arial" w:cs="Arial" w:eastAsia="Arial" w:hAnsi="Arial"/>
          <w:sz w:val="14"/>
          <w:szCs w:val="14"/>
          <w:color w:val="auto"/>
        </w:rPr>
      </w:pPr>
    </w:p>
    <w:p>
      <w:pPr>
        <w:ind w:left="867"/>
        <w:spacing w:after="0"/>
        <w:rPr>
          <w:rFonts w:ascii="Arial" w:cs="Arial" w:eastAsia="Arial" w:hAnsi="Arial"/>
          <w:sz w:val="14"/>
          <w:szCs w:val="14"/>
          <w:color w:val="auto"/>
        </w:rPr>
      </w:pPr>
      <w:r>
        <w:rPr>
          <w:rFonts w:ascii="Arial" w:cs="Arial" w:eastAsia="Arial" w:hAnsi="Arial"/>
          <w:sz w:val="14"/>
          <w:szCs w:val="14"/>
          <w:color w:val="auto"/>
        </w:rPr>
        <w:t>137</w:t>
      </w:r>
    </w:p>
    <w:p>
      <w:pPr>
        <w:spacing w:after="0" w:line="132" w:lineRule="exact"/>
        <w:rPr>
          <w:sz w:val="20"/>
          <w:szCs w:val="20"/>
          <w:color w:val="auto"/>
        </w:rPr>
      </w:pPr>
    </w:p>
    <w:p>
      <w:pPr>
        <w:ind w:left="947" w:hanging="947"/>
        <w:spacing w:after="0"/>
        <w:tabs>
          <w:tab w:leader="none" w:pos="947" w:val="left"/>
        </w:tabs>
        <w:numPr>
          <w:ilvl w:val="0"/>
          <w:numId w:val="12"/>
        </w:numPr>
        <w:rPr>
          <w:rFonts w:ascii="Arial" w:cs="Arial" w:eastAsia="Arial" w:hAnsi="Arial"/>
          <w:sz w:val="14"/>
          <w:szCs w:val="14"/>
          <w:color w:val="auto"/>
        </w:rPr>
      </w:pPr>
      <w:r>
        <w:rPr>
          <w:rFonts w:ascii="Arial" w:cs="Arial" w:eastAsia="Arial" w:hAnsi="Arial"/>
          <w:sz w:val="14"/>
          <w:szCs w:val="14"/>
          <w:color w:val="auto"/>
        </w:rPr>
        <w:t>13</w:t>
      </w:r>
    </w:p>
    <w:p>
      <w:pPr>
        <w:spacing w:after="0" w:line="39" w:lineRule="exact"/>
        <w:rPr>
          <w:sz w:val="20"/>
          <w:szCs w:val="20"/>
          <w:color w:val="auto"/>
        </w:rPr>
      </w:pPr>
    </w:p>
    <w:p>
      <w:pPr>
        <w:ind w:left="947" w:hanging="947"/>
        <w:spacing w:after="0"/>
        <w:tabs>
          <w:tab w:leader="none" w:pos="947" w:val="left"/>
        </w:tabs>
        <w:numPr>
          <w:ilvl w:val="0"/>
          <w:numId w:val="13"/>
        </w:numPr>
        <w:rPr>
          <w:rFonts w:ascii="Arial" w:cs="Arial" w:eastAsia="Arial" w:hAnsi="Arial"/>
          <w:sz w:val="14"/>
          <w:szCs w:val="14"/>
          <w:color w:val="auto"/>
        </w:rPr>
      </w:pPr>
      <w:r>
        <w:rPr>
          <w:rFonts w:ascii="Arial" w:cs="Arial" w:eastAsia="Arial" w:hAnsi="Arial"/>
          <w:sz w:val="14"/>
          <w:szCs w:val="14"/>
          <w:color w:val="auto"/>
        </w:rPr>
        <w:t>40</w:t>
      </w:r>
    </w:p>
    <w:p>
      <w:pPr>
        <w:spacing w:after="0" w:line="39" w:lineRule="exact"/>
        <w:rPr>
          <w:sz w:val="20"/>
          <w:szCs w:val="20"/>
          <w:color w:val="auto"/>
        </w:rPr>
      </w:pPr>
    </w:p>
    <w:p>
      <w:pPr>
        <w:ind w:left="867" w:hanging="867"/>
        <w:spacing w:after="0"/>
        <w:tabs>
          <w:tab w:leader="none" w:pos="867" w:val="left"/>
        </w:tabs>
        <w:numPr>
          <w:ilvl w:val="0"/>
          <w:numId w:val="14"/>
        </w:numPr>
        <w:rPr>
          <w:rFonts w:ascii="Arial" w:cs="Arial" w:eastAsia="Arial" w:hAnsi="Arial"/>
          <w:sz w:val="14"/>
          <w:szCs w:val="14"/>
          <w:color w:val="auto"/>
        </w:rPr>
      </w:pPr>
      <w:r>
        <w:rPr>
          <w:rFonts w:ascii="Arial" w:cs="Arial" w:eastAsia="Arial" w:hAnsi="Arial"/>
          <w:sz w:val="14"/>
          <w:szCs w:val="14"/>
          <w:color w:val="auto"/>
        </w:rPr>
        <w:t>126</w:t>
      </w:r>
    </w:p>
    <w:p>
      <w:pPr>
        <w:spacing w:after="0" w:line="39" w:lineRule="exact"/>
        <w:rPr>
          <w:sz w:val="20"/>
          <w:szCs w:val="20"/>
          <w:color w:val="auto"/>
        </w:rPr>
      </w:pPr>
    </w:p>
    <w:p>
      <w:pPr>
        <w:ind w:left="947" w:hanging="947"/>
        <w:spacing w:after="0"/>
        <w:tabs>
          <w:tab w:leader="none" w:pos="947" w:val="left"/>
        </w:tabs>
        <w:numPr>
          <w:ilvl w:val="0"/>
          <w:numId w:val="15"/>
        </w:numPr>
        <w:rPr>
          <w:rFonts w:ascii="Arial" w:cs="Arial" w:eastAsia="Arial" w:hAnsi="Arial"/>
          <w:sz w:val="14"/>
          <w:szCs w:val="14"/>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-69850</wp:posOffset>
            </wp:positionH>
            <wp:positionV relativeFrom="paragraph">
              <wp:posOffset>98425</wp:posOffset>
            </wp:positionV>
            <wp:extent cx="812165" cy="28181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12165" cy="2818130"/>
                    </a:xfrm>
                    <a:prstGeom prst="rect">
                      <a:avLst/>
                    </a:prstGeom>
                    <a:noFill/>
                  </pic:spPr>
                </pic:pic>
              </a:graphicData>
            </a:graphic>
          </wp:anchor>
        </w:drawing>
      </w:r>
    </w:p>
    <w:p>
      <w:pPr>
        <w:spacing w:after="0" w:line="152" w:lineRule="exact"/>
        <w:rPr>
          <w:sz w:val="20"/>
          <w:szCs w:val="20"/>
          <w:color w:val="auto"/>
        </w:rPr>
      </w:pPr>
    </w:p>
    <w:p>
      <w:pPr>
        <w:jc w:val="center"/>
        <w:ind w:right="13"/>
        <w:spacing w:after="0"/>
        <w:rPr>
          <w:sz w:val="20"/>
          <w:szCs w:val="20"/>
          <w:color w:val="auto"/>
        </w:rPr>
      </w:pPr>
      <w:r>
        <w:rPr>
          <w:rFonts w:ascii="Arial" w:cs="Arial" w:eastAsia="Arial" w:hAnsi="Arial"/>
          <w:sz w:val="14"/>
          <w:szCs w:val="14"/>
          <w:color w:val="auto"/>
        </w:rPr>
        <w:t>4th Quarter</w:t>
      </w:r>
    </w:p>
    <w:p>
      <w:pPr>
        <w:spacing w:after="0" w:line="39" w:lineRule="exact"/>
        <w:rPr>
          <w:sz w:val="20"/>
          <w:szCs w:val="20"/>
          <w:color w:val="auto"/>
        </w:rPr>
      </w:pPr>
    </w:p>
    <w:p>
      <w:pPr>
        <w:jc w:val="center"/>
        <w:ind w:right="13"/>
        <w:spacing w:after="0"/>
        <w:rPr>
          <w:sz w:val="20"/>
          <w:szCs w:val="20"/>
          <w:color w:val="auto"/>
        </w:rPr>
      </w:pPr>
      <w:r>
        <w:rPr>
          <w:rFonts w:ascii="Arial" w:cs="Arial" w:eastAsia="Arial" w:hAnsi="Arial"/>
          <w:sz w:val="14"/>
          <w:szCs w:val="14"/>
          <w:color w:val="auto"/>
        </w:rPr>
        <w:t>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22225</wp:posOffset>
            </wp:positionV>
            <wp:extent cx="7531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53110" cy="8255"/>
                    </a:xfrm>
                    <a:prstGeom prst="rect">
                      <a:avLst/>
                    </a:prstGeom>
                    <a:noFill/>
                  </pic:spPr>
                </pic:pic>
              </a:graphicData>
            </a:graphic>
          </wp:anchor>
        </w:drawing>
      </w:r>
    </w:p>
    <w:p>
      <w:pPr>
        <w:spacing w:after="0" w:line="32" w:lineRule="exact"/>
        <w:rPr>
          <w:sz w:val="20"/>
          <w:szCs w:val="20"/>
          <w:color w:val="auto"/>
        </w:rPr>
      </w:pPr>
    </w:p>
    <w:p>
      <w:pPr>
        <w:ind w:left="867" w:hanging="867"/>
        <w:spacing w:after="0"/>
        <w:tabs>
          <w:tab w:leader="none" w:pos="867" w:val="left"/>
        </w:tabs>
        <w:numPr>
          <w:ilvl w:val="0"/>
          <w:numId w:val="16"/>
        </w:numPr>
        <w:rPr>
          <w:rFonts w:ascii="Arial" w:cs="Arial" w:eastAsia="Arial" w:hAnsi="Arial"/>
          <w:sz w:val="14"/>
          <w:szCs w:val="14"/>
          <w:color w:val="auto"/>
        </w:rPr>
      </w:pPr>
      <w:r>
        <w:rPr>
          <w:rFonts w:ascii="Arial" w:cs="Arial" w:eastAsia="Arial" w:hAnsi="Arial"/>
          <w:sz w:val="14"/>
          <w:szCs w:val="14"/>
          <w:color w:val="auto"/>
        </w:rPr>
        <w:t>798</w:t>
      </w:r>
    </w:p>
    <w:p>
      <w:pPr>
        <w:spacing w:after="0" w:line="146" w:lineRule="exact"/>
        <w:rPr>
          <w:sz w:val="20"/>
          <w:szCs w:val="20"/>
          <w:color w:val="auto"/>
        </w:rPr>
      </w:pPr>
    </w:p>
    <w:p>
      <w:pPr>
        <w:ind w:left="867" w:hanging="867"/>
        <w:spacing w:after="0"/>
        <w:tabs>
          <w:tab w:leader="none" w:pos="867" w:val="left"/>
        </w:tabs>
        <w:numPr>
          <w:ilvl w:val="0"/>
          <w:numId w:val="17"/>
        </w:numPr>
        <w:rPr>
          <w:rFonts w:ascii="Arial" w:cs="Arial" w:eastAsia="Arial" w:hAnsi="Arial"/>
          <w:sz w:val="14"/>
          <w:szCs w:val="14"/>
          <w:color w:val="auto"/>
        </w:rPr>
      </w:pPr>
      <w:r>
        <w:rPr>
          <w:rFonts w:ascii="Arial" w:cs="Arial" w:eastAsia="Arial" w:hAnsi="Arial"/>
          <w:sz w:val="14"/>
          <w:szCs w:val="14"/>
          <w:color w:val="auto"/>
        </w:rPr>
        <w:t>325</w:t>
      </w:r>
    </w:p>
    <w:p>
      <w:pPr>
        <w:spacing w:after="0" w:line="39" w:lineRule="exact"/>
        <w:rPr>
          <w:sz w:val="20"/>
          <w:szCs w:val="20"/>
          <w:color w:val="auto"/>
        </w:rPr>
      </w:pPr>
    </w:p>
    <w:p>
      <w:pPr>
        <w:ind w:left="947" w:hanging="947"/>
        <w:spacing w:after="0"/>
        <w:tabs>
          <w:tab w:leader="none" w:pos="947" w:val="left"/>
        </w:tabs>
        <w:numPr>
          <w:ilvl w:val="0"/>
          <w:numId w:val="18"/>
        </w:numPr>
        <w:rPr>
          <w:rFonts w:ascii="Arial" w:cs="Arial" w:eastAsia="Arial" w:hAnsi="Arial"/>
          <w:sz w:val="14"/>
          <w:szCs w:val="14"/>
          <w:color w:val="auto"/>
        </w:rPr>
      </w:pPr>
      <w:r>
        <w:rPr>
          <w:rFonts w:ascii="Arial" w:cs="Arial" w:eastAsia="Arial" w:hAnsi="Arial"/>
          <w:sz w:val="14"/>
          <w:szCs w:val="14"/>
          <w:color w:val="auto"/>
        </w:rPr>
        <w:t>95</w:t>
      </w:r>
    </w:p>
    <w:p>
      <w:pPr>
        <w:spacing w:after="0" w:line="41" w:lineRule="exact"/>
        <w:rPr>
          <w:sz w:val="20"/>
          <w:szCs w:val="20"/>
          <w:color w:val="auto"/>
        </w:rPr>
      </w:pPr>
    </w:p>
    <w:p>
      <w:pPr>
        <w:ind w:left="947" w:hanging="947"/>
        <w:spacing w:after="0"/>
        <w:tabs>
          <w:tab w:leader="none" w:pos="947" w:val="left"/>
        </w:tabs>
        <w:numPr>
          <w:ilvl w:val="0"/>
          <w:numId w:val="19"/>
        </w:numPr>
        <w:rPr>
          <w:rFonts w:ascii="Arial" w:cs="Arial" w:eastAsia="Arial" w:hAnsi="Arial"/>
          <w:sz w:val="14"/>
          <w:szCs w:val="14"/>
          <w:i w:val="1"/>
          <w:iCs w:val="1"/>
          <w:color w:val="auto"/>
        </w:rPr>
      </w:pPr>
      <w:r>
        <w:rPr>
          <w:rFonts w:ascii="Arial" w:cs="Arial" w:eastAsia="Arial" w:hAnsi="Arial"/>
          <w:sz w:val="14"/>
          <w:szCs w:val="14"/>
          <w:i w:val="1"/>
          <w:iCs w:val="1"/>
          <w:color w:val="auto"/>
        </w:rPr>
        <w:t>89</w:t>
      </w:r>
    </w:p>
    <w:p>
      <w:pPr>
        <w:spacing w:after="0" w:line="37" w:lineRule="exact"/>
        <w:rPr>
          <w:sz w:val="20"/>
          <w:szCs w:val="20"/>
          <w:color w:val="auto"/>
        </w:rPr>
      </w:pPr>
    </w:p>
    <w:p>
      <w:pPr>
        <w:ind w:left="947" w:hanging="947"/>
        <w:spacing w:after="0"/>
        <w:tabs>
          <w:tab w:leader="none" w:pos="947" w:val="left"/>
        </w:tabs>
        <w:numPr>
          <w:ilvl w:val="0"/>
          <w:numId w:val="20"/>
        </w:numPr>
        <w:rPr>
          <w:rFonts w:ascii="Arial" w:cs="Arial" w:eastAsia="Arial" w:hAnsi="Arial"/>
          <w:sz w:val="14"/>
          <w:szCs w:val="14"/>
          <w:color w:val="auto"/>
        </w:rPr>
      </w:pPr>
      <w:r>
        <w:rPr>
          <w:rFonts w:ascii="Arial" w:cs="Arial" w:eastAsia="Arial" w:hAnsi="Arial"/>
          <w:sz w:val="14"/>
          <w:szCs w:val="14"/>
          <w:color w:val="auto"/>
        </w:rPr>
        <w:t>55</w:t>
      </w:r>
    </w:p>
    <w:p>
      <w:pPr>
        <w:spacing w:after="0" w:line="39" w:lineRule="exact"/>
        <w:rPr>
          <w:sz w:val="20"/>
          <w:szCs w:val="20"/>
          <w:color w:val="auto"/>
        </w:rPr>
      </w:pPr>
    </w:p>
    <w:p>
      <w:pPr>
        <w:ind w:left="947" w:hanging="947"/>
        <w:spacing w:after="0"/>
        <w:tabs>
          <w:tab w:leader="none" w:pos="947" w:val="left"/>
        </w:tabs>
        <w:numPr>
          <w:ilvl w:val="0"/>
          <w:numId w:val="21"/>
        </w:numPr>
        <w:rPr>
          <w:rFonts w:ascii="Arial" w:cs="Arial" w:eastAsia="Arial" w:hAnsi="Arial"/>
          <w:sz w:val="14"/>
          <w:szCs w:val="14"/>
          <w:color w:val="auto"/>
        </w:rPr>
      </w:pPr>
      <w:r>
        <w:rPr>
          <w:rFonts w:ascii="Arial" w:cs="Arial" w:eastAsia="Arial" w:hAnsi="Arial"/>
          <w:sz w:val="14"/>
          <w:szCs w:val="14"/>
          <w:color w:val="auto"/>
        </w:rPr>
        <w:t>20</w:t>
      </w:r>
    </w:p>
    <w:p>
      <w:pPr>
        <w:spacing w:after="0" w:line="39" w:lineRule="exact"/>
        <w:rPr>
          <w:sz w:val="20"/>
          <w:szCs w:val="20"/>
          <w:color w:val="auto"/>
        </w:rPr>
      </w:pPr>
    </w:p>
    <w:p>
      <w:pPr>
        <w:ind w:left="947" w:hanging="947"/>
        <w:spacing w:after="0"/>
        <w:tabs>
          <w:tab w:leader="none" w:pos="947" w:val="left"/>
        </w:tabs>
        <w:numPr>
          <w:ilvl w:val="0"/>
          <w:numId w:val="22"/>
        </w:numPr>
        <w:rPr>
          <w:rFonts w:ascii="Arial" w:cs="Arial" w:eastAsia="Arial" w:hAnsi="Arial"/>
          <w:sz w:val="14"/>
          <w:szCs w:val="14"/>
          <w:color w:val="auto"/>
        </w:rPr>
      </w:pPr>
      <w:r>
        <w:rPr>
          <w:rFonts w:ascii="Arial" w:cs="Arial" w:eastAsia="Arial" w:hAnsi="Arial"/>
          <w:sz w:val="14"/>
          <w:szCs w:val="14"/>
          <w:color w:val="auto"/>
        </w:rPr>
        <w:t>47</w:t>
      </w:r>
    </w:p>
    <w:p>
      <w:pPr>
        <w:spacing w:after="0" w:line="39" w:lineRule="exact"/>
        <w:rPr>
          <w:sz w:val="20"/>
          <w:szCs w:val="20"/>
          <w:color w:val="auto"/>
        </w:rPr>
      </w:pPr>
    </w:p>
    <w:p>
      <w:pPr>
        <w:ind w:left="947" w:hanging="947"/>
        <w:spacing w:after="0"/>
        <w:tabs>
          <w:tab w:leader="none" w:pos="947" w:val="left"/>
        </w:tabs>
        <w:numPr>
          <w:ilvl w:val="0"/>
          <w:numId w:val="23"/>
        </w:numPr>
        <w:rPr>
          <w:rFonts w:ascii="Arial" w:cs="Arial" w:eastAsia="Arial" w:hAnsi="Arial"/>
          <w:sz w:val="14"/>
          <w:szCs w:val="14"/>
          <w:color w:val="auto"/>
        </w:rPr>
      </w:pPr>
      <w:r>
        <w:rPr>
          <w:rFonts w:ascii="Arial" w:cs="Arial" w:eastAsia="Arial" w:hAnsi="Arial"/>
          <w:sz w:val="14"/>
          <w:szCs w:val="14"/>
          <w:color w:val="auto"/>
        </w:rPr>
        <w:t>29</w:t>
      </w:r>
    </w:p>
    <w:p>
      <w:pPr>
        <w:spacing w:after="0" w:line="39" w:lineRule="exact"/>
        <w:rPr>
          <w:sz w:val="20"/>
          <w:szCs w:val="20"/>
          <w:color w:val="auto"/>
        </w:rPr>
      </w:pPr>
    </w:p>
    <w:p>
      <w:pPr>
        <w:ind w:left="947" w:hanging="947"/>
        <w:spacing w:after="0"/>
        <w:tabs>
          <w:tab w:leader="none" w:pos="947" w:val="left"/>
        </w:tabs>
        <w:numPr>
          <w:ilvl w:val="0"/>
          <w:numId w:val="24"/>
        </w:numPr>
        <w:rPr>
          <w:rFonts w:ascii="Arial" w:cs="Arial" w:eastAsia="Arial" w:hAnsi="Arial"/>
          <w:sz w:val="14"/>
          <w:szCs w:val="14"/>
          <w:color w:val="auto"/>
        </w:rPr>
      </w:pPr>
      <w:r>
        <w:rPr>
          <w:rFonts w:ascii="Arial" w:cs="Arial" w:eastAsia="Arial" w:hAnsi="Arial"/>
          <w:sz w:val="14"/>
          <w:szCs w:val="14"/>
          <w:color w:val="auto"/>
        </w:rPr>
        <w:t>11</w:t>
      </w:r>
    </w:p>
    <w:p>
      <w:pPr>
        <w:spacing w:after="0" w:line="41" w:lineRule="exact"/>
        <w:rPr>
          <w:sz w:val="20"/>
          <w:szCs w:val="20"/>
          <w:color w:val="auto"/>
        </w:rPr>
      </w:pPr>
    </w:p>
    <w:p>
      <w:pPr>
        <w:ind w:left="947" w:hanging="947"/>
        <w:spacing w:after="0"/>
        <w:tabs>
          <w:tab w:leader="none" w:pos="947" w:val="left"/>
        </w:tabs>
        <w:numPr>
          <w:ilvl w:val="0"/>
          <w:numId w:val="25"/>
        </w:numPr>
        <w:rPr>
          <w:rFonts w:ascii="Arial" w:cs="Arial" w:eastAsia="Arial" w:hAnsi="Arial"/>
          <w:sz w:val="14"/>
          <w:szCs w:val="14"/>
          <w:i w:val="1"/>
          <w:iCs w:val="1"/>
          <w:color w:val="auto"/>
        </w:rPr>
      </w:pPr>
      <w:r>
        <w:rPr>
          <w:rFonts w:ascii="Arial" w:cs="Arial" w:eastAsia="Arial" w:hAnsi="Arial"/>
          <w:sz w:val="14"/>
          <w:szCs w:val="14"/>
          <w:i w:val="1"/>
          <w:iCs w:val="1"/>
          <w:color w:val="auto"/>
        </w:rPr>
        <w:t>22</w:t>
      </w:r>
    </w:p>
    <w:p>
      <w:pPr>
        <w:spacing w:after="0" w:line="37" w:lineRule="exact"/>
        <w:rPr>
          <w:sz w:val="20"/>
          <w:szCs w:val="20"/>
          <w:color w:val="auto"/>
        </w:rPr>
      </w:pPr>
    </w:p>
    <w:p>
      <w:pPr>
        <w:ind w:left="947" w:hanging="947"/>
        <w:spacing w:after="0"/>
        <w:tabs>
          <w:tab w:leader="none" w:pos="947" w:val="left"/>
        </w:tabs>
        <w:numPr>
          <w:ilvl w:val="0"/>
          <w:numId w:val="26"/>
        </w:numPr>
        <w:rPr>
          <w:rFonts w:ascii="Arial" w:cs="Arial" w:eastAsia="Arial" w:hAnsi="Arial"/>
          <w:sz w:val="14"/>
          <w:szCs w:val="14"/>
          <w:color w:val="auto"/>
        </w:rPr>
      </w:pPr>
      <w:r>
        <w:rPr>
          <w:rFonts w:ascii="Arial" w:cs="Arial" w:eastAsia="Arial" w:hAnsi="Arial"/>
          <w:sz w:val="14"/>
          <w:szCs w:val="14"/>
          <w:color w:val="auto"/>
        </w:rPr>
        <w:t>12</w:t>
      </w:r>
    </w:p>
    <w:p>
      <w:pPr>
        <w:spacing w:after="0" w:line="38" w:lineRule="exact"/>
        <w:rPr>
          <w:rFonts w:ascii="Arial" w:cs="Arial" w:eastAsia="Arial" w:hAnsi="Arial"/>
          <w:sz w:val="14"/>
          <w:szCs w:val="14"/>
          <w:color w:val="auto"/>
        </w:rPr>
      </w:pPr>
    </w:p>
    <w:p>
      <w:pPr>
        <w:ind w:left="827"/>
        <w:spacing w:after="0"/>
        <w:rPr>
          <w:rFonts w:ascii="Arial" w:cs="Arial" w:eastAsia="Arial" w:hAnsi="Arial"/>
          <w:sz w:val="14"/>
          <w:szCs w:val="14"/>
          <w:color w:val="auto"/>
        </w:rPr>
      </w:pPr>
      <w:r>
        <w:rPr>
          <w:rFonts w:ascii="Arial" w:cs="Arial" w:eastAsia="Arial" w:hAnsi="Arial"/>
          <w:sz w:val="14"/>
          <w:szCs w:val="14"/>
          <w:color w:val="auto"/>
        </w:rPr>
        <w:t>85.1</w:t>
      </w:r>
    </w:p>
    <w:p>
      <w:pPr>
        <w:spacing w:after="0" w:line="39" w:lineRule="exact"/>
        <w:rPr>
          <w:sz w:val="20"/>
          <w:szCs w:val="20"/>
          <w:color w:val="auto"/>
        </w:rPr>
      </w:pPr>
    </w:p>
    <w:p>
      <w:pPr>
        <w:ind w:left="827" w:hanging="827"/>
        <w:spacing w:after="0"/>
        <w:tabs>
          <w:tab w:leader="none" w:pos="827" w:val="left"/>
        </w:tabs>
        <w:numPr>
          <w:ilvl w:val="0"/>
          <w:numId w:val="27"/>
        </w:numPr>
        <w:rPr>
          <w:rFonts w:ascii="Arial" w:cs="Arial" w:eastAsia="Arial" w:hAnsi="Arial"/>
          <w:sz w:val="14"/>
          <w:szCs w:val="14"/>
          <w:color w:val="auto"/>
        </w:rPr>
      </w:pPr>
      <w:r>
        <w:rPr>
          <w:rFonts w:ascii="Arial" w:cs="Arial" w:eastAsia="Arial" w:hAnsi="Arial"/>
          <w:sz w:val="14"/>
          <w:szCs w:val="14"/>
          <w:color w:val="auto"/>
        </w:rPr>
        <w:t>0.14</w:t>
      </w:r>
    </w:p>
    <w:p>
      <w:pPr>
        <w:spacing w:after="0" w:line="146" w:lineRule="exact"/>
        <w:rPr>
          <w:sz w:val="20"/>
          <w:szCs w:val="20"/>
          <w:color w:val="auto"/>
        </w:rPr>
      </w:pPr>
    </w:p>
    <w:p>
      <w:pPr>
        <w:ind w:left="947" w:hanging="947"/>
        <w:spacing w:after="0"/>
        <w:tabs>
          <w:tab w:leader="none" w:pos="947" w:val="left"/>
        </w:tabs>
        <w:numPr>
          <w:ilvl w:val="0"/>
          <w:numId w:val="28"/>
        </w:numPr>
        <w:rPr>
          <w:rFonts w:ascii="Arial" w:cs="Arial" w:eastAsia="Arial" w:hAnsi="Arial"/>
          <w:sz w:val="14"/>
          <w:szCs w:val="14"/>
          <w:color w:val="auto"/>
        </w:rPr>
      </w:pPr>
      <w:r>
        <w:rPr>
          <w:rFonts w:ascii="Arial" w:cs="Arial" w:eastAsia="Arial" w:hAnsi="Arial"/>
          <w:sz w:val="14"/>
          <w:szCs w:val="14"/>
          <w:color w:val="auto"/>
        </w:rPr>
        <w:t>40</w:t>
      </w:r>
    </w:p>
    <w:p>
      <w:pPr>
        <w:spacing w:after="0" w:line="39" w:lineRule="exact"/>
        <w:rPr>
          <w:sz w:val="20"/>
          <w:szCs w:val="20"/>
          <w:color w:val="auto"/>
        </w:rPr>
      </w:pPr>
    </w:p>
    <w:p>
      <w:pPr>
        <w:ind w:left="827" w:hanging="827"/>
        <w:spacing w:after="0"/>
        <w:tabs>
          <w:tab w:leader="none" w:pos="827" w:val="left"/>
        </w:tabs>
        <w:numPr>
          <w:ilvl w:val="0"/>
          <w:numId w:val="29"/>
        </w:numPr>
        <w:rPr>
          <w:rFonts w:ascii="Arial" w:cs="Arial" w:eastAsia="Arial" w:hAnsi="Arial"/>
          <w:sz w:val="14"/>
          <w:szCs w:val="14"/>
          <w:color w:val="auto"/>
        </w:rPr>
      </w:pPr>
      <w:r>
        <w:rPr>
          <w:rFonts w:ascii="Arial" w:cs="Arial" w:eastAsia="Arial" w:hAnsi="Arial"/>
          <w:sz w:val="14"/>
          <w:szCs w:val="14"/>
          <w:color w:val="auto"/>
        </w:rPr>
        <w:t>0.47</w:t>
      </w:r>
    </w:p>
    <w:p>
      <w:pPr>
        <w:spacing w:after="0" w:line="39" w:lineRule="exact"/>
        <w:rPr>
          <w:sz w:val="20"/>
          <w:szCs w:val="20"/>
          <w:color w:val="auto"/>
        </w:rPr>
      </w:pPr>
    </w:p>
    <w:p>
      <w:pPr>
        <w:ind w:left="867" w:hanging="867"/>
        <w:spacing w:after="0"/>
        <w:tabs>
          <w:tab w:leader="none" w:pos="867" w:val="left"/>
        </w:tabs>
        <w:numPr>
          <w:ilvl w:val="0"/>
          <w:numId w:val="30"/>
        </w:numPr>
        <w:rPr>
          <w:rFonts w:ascii="Arial" w:cs="Arial" w:eastAsia="Arial" w:hAnsi="Arial"/>
          <w:sz w:val="14"/>
          <w:szCs w:val="14"/>
          <w:color w:val="auto"/>
        </w:rPr>
      </w:pPr>
      <w:r>
        <w:rPr>
          <w:rFonts w:ascii="Arial" w:cs="Arial" w:eastAsia="Arial" w:hAnsi="Arial"/>
          <w:sz w:val="14"/>
          <w:szCs w:val="14"/>
          <w:color w:val="auto"/>
        </w:rPr>
        <w:t>235</w:t>
      </w:r>
    </w:p>
    <w:p>
      <w:pPr>
        <w:spacing w:after="0" w:line="39" w:lineRule="exact"/>
        <w:rPr>
          <w:sz w:val="20"/>
          <w:szCs w:val="20"/>
          <w:color w:val="auto"/>
        </w:rPr>
      </w:pPr>
    </w:p>
    <w:p>
      <w:pPr>
        <w:ind w:left="867" w:hanging="867"/>
        <w:spacing w:after="0"/>
        <w:tabs>
          <w:tab w:leader="none" w:pos="867" w:val="left"/>
        </w:tabs>
        <w:numPr>
          <w:ilvl w:val="0"/>
          <w:numId w:val="31"/>
        </w:numPr>
        <w:rPr>
          <w:rFonts w:ascii="Arial" w:cs="Arial" w:eastAsia="Arial" w:hAnsi="Arial"/>
          <w:sz w:val="14"/>
          <w:szCs w:val="14"/>
          <w:color w:val="auto"/>
        </w:rPr>
      </w:pPr>
      <w:r>
        <w:rPr>
          <w:rFonts w:ascii="Arial" w:cs="Arial" w:eastAsia="Arial" w:hAnsi="Arial"/>
          <w:sz w:val="14"/>
          <w:szCs w:val="14"/>
          <w:color w:val="auto"/>
        </w:rPr>
        <w:t>251</w:t>
      </w:r>
    </w:p>
    <w:p>
      <w:pPr>
        <w:spacing w:after="0" w:line="39" w:lineRule="exact"/>
        <w:rPr>
          <w:sz w:val="20"/>
          <w:szCs w:val="20"/>
          <w:color w:val="auto"/>
        </w:rPr>
      </w:pPr>
    </w:p>
    <w:p>
      <w:pPr>
        <w:ind w:left="867" w:hanging="867"/>
        <w:spacing w:after="0"/>
        <w:tabs>
          <w:tab w:leader="none" w:pos="867" w:val="left"/>
        </w:tabs>
        <w:numPr>
          <w:ilvl w:val="0"/>
          <w:numId w:val="32"/>
        </w:numPr>
        <w:rPr>
          <w:rFonts w:ascii="Arial" w:cs="Arial" w:eastAsia="Arial" w:hAnsi="Arial"/>
          <w:sz w:val="14"/>
          <w:szCs w:val="14"/>
          <w:color w:val="auto"/>
        </w:rPr>
      </w:pPr>
      <w:r>
        <w:rPr>
          <w:rFonts w:ascii="Arial" w:cs="Arial" w:eastAsia="Arial" w:hAnsi="Arial"/>
          <w:sz w:val="14"/>
          <w:szCs w:val="14"/>
          <w:color w:val="auto"/>
        </w:rPr>
        <w:t>115</w:t>
      </w:r>
    </w:p>
    <w:p>
      <w:pPr>
        <w:spacing w:after="0" w:line="38" w:lineRule="exact"/>
        <w:rPr>
          <w:rFonts w:ascii="Arial" w:cs="Arial" w:eastAsia="Arial" w:hAnsi="Arial"/>
          <w:sz w:val="14"/>
          <w:szCs w:val="14"/>
          <w:color w:val="auto"/>
        </w:rPr>
      </w:pPr>
    </w:p>
    <w:p>
      <w:pPr>
        <w:ind w:left="867" w:hanging="867"/>
        <w:spacing w:after="0"/>
        <w:tabs>
          <w:tab w:leader="none" w:pos="867" w:val="left"/>
        </w:tabs>
        <w:numPr>
          <w:ilvl w:val="0"/>
          <w:numId w:val="32"/>
        </w:numPr>
        <w:rPr>
          <w:rFonts w:ascii="Arial" w:cs="Arial" w:eastAsia="Arial" w:hAnsi="Arial"/>
          <w:sz w:val="14"/>
          <w:szCs w:val="14"/>
          <w:color w:val="auto"/>
        </w:rPr>
      </w:pPr>
      <w:r>
        <w:rPr>
          <w:rFonts w:ascii="Arial" w:cs="Arial" w:eastAsia="Arial" w:hAnsi="Arial"/>
          <w:sz w:val="14"/>
          <w:szCs w:val="14"/>
          <w:color w:val="auto"/>
        </w:rPr>
        <w:t>120</w:t>
      </w:r>
    </w:p>
    <w:p>
      <w:pPr>
        <w:spacing w:after="0" w:line="233" w:lineRule="exact"/>
        <w:rPr>
          <w:sz w:val="20"/>
          <w:szCs w:val="20"/>
          <w:color w:val="auto"/>
        </w:rPr>
      </w:pPr>
    </w:p>
    <w:p>
      <w:pPr>
        <w:sectPr>
          <w:pgSz w:w="11900" w:h="16838" w:orient="portrait"/>
          <w:cols w:equalWidth="0" w:num="2">
            <w:col w:w="9860" w:space="213"/>
            <w:col w:w="1167"/>
          </w:cols>
          <w:pgMar w:left="320" w:top="1386" w:right="339" w:bottom="1440" w:gutter="0" w:footer="0" w:header="0"/>
        </w:sectPr>
      </w:pPr>
    </w:p>
    <w:p>
      <w:pPr>
        <w:spacing w:after="0" w:line="10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Guidance</w:t>
      </w:r>
    </w:p>
    <w:p>
      <w:pPr>
        <w:spacing w:after="0" w:line="263" w:lineRule="exact"/>
        <w:rPr>
          <w:sz w:val="20"/>
          <w:szCs w:val="20"/>
          <w:color w:val="auto"/>
        </w:rPr>
      </w:pPr>
    </w:p>
    <w:p>
      <w:pPr>
        <w:jc w:val="both"/>
        <w:ind w:firstLine="320"/>
        <w:spacing w:after="0" w:line="245" w:lineRule="auto"/>
        <w:rPr>
          <w:sz w:val="20"/>
          <w:szCs w:val="20"/>
          <w:color w:val="auto"/>
        </w:rPr>
      </w:pPr>
      <w:r>
        <w:rPr>
          <w:rFonts w:ascii="Arial" w:cs="Arial" w:eastAsia="Arial" w:hAnsi="Arial"/>
          <w:sz w:val="21"/>
          <w:szCs w:val="21"/>
          <w:color w:val="auto"/>
        </w:rPr>
        <w:t>The following table provides key second quarter and full year 2026 financial and operating guidance</w:t>
      </w:r>
      <w:r>
        <w:rPr>
          <w:rFonts w:ascii="Arial" w:cs="Arial" w:eastAsia="Arial" w:hAnsi="Arial"/>
          <w:sz w:val="27"/>
          <w:szCs w:val="27"/>
          <w:color w:val="auto"/>
          <w:vertAlign w:val="superscript"/>
        </w:rPr>
        <w:t>4</w:t>
      </w:r>
      <w:r>
        <w:rPr>
          <w:rFonts w:ascii="Arial" w:cs="Arial" w:eastAsia="Arial" w:hAnsi="Arial"/>
          <w:sz w:val="21"/>
          <w:szCs w:val="21"/>
          <w:color w:val="auto"/>
        </w:rPr>
        <w:t>. CRC is positioned to accelerate activity in the summer of 2026, increasing to a seven rig program in the second half of 2026, which includes 6 rigs in California and 1 rig in Utah. CRC currently holds the permits necessary to execute a majority of its planned capital program, subject to commodity prices and market conditions. See Attachment 2 for further information on CRC's second quarter and full year 2026 guidance.</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Page 3</w:t>
      </w:r>
    </w:p>
    <w:p>
      <w:pPr>
        <w:sectPr>
          <w:pgSz w:w="11900" w:h="16838" w:orient="portrait"/>
          <w:cols w:equalWidth="0" w:num="1">
            <w:col w:w="11240"/>
          </w:cols>
          <w:pgMar w:left="320" w:top="1386" w:right="339" w:bottom="144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177"/>
        </w:trPr>
        <w:tc>
          <w:tcPr>
            <w:tcW w:w="5220" w:type="dxa"/>
            <w:vAlign w:val="bottom"/>
            <w:tcBorders>
              <w:top w:val="single" w:sz="8" w:color="auto"/>
            </w:tcBorders>
            <w:shd w:val="clear" w:color="auto" w:fill="DBDBDB"/>
          </w:tcPr>
          <w:p>
            <w:pPr>
              <w:spacing w:after="0"/>
              <w:rPr>
                <w:sz w:val="15"/>
                <w:szCs w:val="15"/>
                <w:color w:val="auto"/>
              </w:rPr>
            </w:pPr>
          </w:p>
        </w:tc>
        <w:tc>
          <w:tcPr>
            <w:tcW w:w="3440" w:type="dxa"/>
            <w:vAlign w:val="bottom"/>
            <w:tcBorders>
              <w:top w:val="single" w:sz="8" w:color="auto"/>
            </w:tcBorders>
            <w:shd w:val="clear" w:color="auto" w:fill="DBDBDB"/>
          </w:tcPr>
          <w:p>
            <w:pPr>
              <w:spacing w:after="0"/>
              <w:rPr>
                <w:sz w:val="15"/>
                <w:szCs w:val="15"/>
                <w:color w:val="auto"/>
              </w:rPr>
            </w:pPr>
          </w:p>
        </w:tc>
        <w:tc>
          <w:tcPr>
            <w:tcW w:w="820" w:type="dxa"/>
            <w:vAlign w:val="bottom"/>
            <w:tcBorders>
              <w:top w:val="single" w:sz="8" w:color="auto"/>
            </w:tcBorders>
            <w:shd w:val="clear" w:color="auto" w:fill="DBDBDB"/>
          </w:tcPr>
          <w:p>
            <w:pPr>
              <w:spacing w:after="0"/>
              <w:rPr>
                <w:sz w:val="15"/>
                <w:szCs w:val="15"/>
                <w:color w:val="auto"/>
              </w:rPr>
            </w:pPr>
          </w:p>
        </w:tc>
        <w:tc>
          <w:tcPr>
            <w:tcW w:w="1760" w:type="dxa"/>
            <w:vAlign w:val="bottom"/>
            <w:tcBorders>
              <w:top w:val="single" w:sz="8" w:color="auto"/>
            </w:tcBorders>
            <w:gridSpan w:val="2"/>
            <w:shd w:val="clear" w:color="auto" w:fill="DBDBDB"/>
          </w:tcPr>
          <w:p>
            <w:pPr>
              <w:ind w:left="580"/>
              <w:spacing w:after="0"/>
              <w:rPr>
                <w:sz w:val="20"/>
                <w:szCs w:val="20"/>
                <w:color w:val="auto"/>
              </w:rPr>
            </w:pPr>
            <w:r>
              <w:rPr>
                <w:rFonts w:ascii="Arial" w:cs="Arial" w:eastAsia="Arial" w:hAnsi="Arial"/>
                <w:sz w:val="14"/>
                <w:szCs w:val="14"/>
                <w:b w:val="1"/>
                <w:bCs w:val="1"/>
                <w:color w:val="auto"/>
              </w:rPr>
              <w:t>Total Year</w:t>
            </w:r>
          </w:p>
        </w:tc>
      </w:tr>
      <w:tr>
        <w:trPr>
          <w:trHeight w:val="203"/>
        </w:trPr>
        <w:tc>
          <w:tcPr>
            <w:tcW w:w="5220" w:type="dxa"/>
            <w:vAlign w:val="bottom"/>
            <w:tcBorders>
              <w:bottom w:val="single" w:sz="8" w:color="auto"/>
            </w:tcBorders>
            <w:shd w:val="clear" w:color="auto" w:fill="DBDBDB"/>
          </w:tcPr>
          <w:p>
            <w:pPr>
              <w:spacing w:after="0"/>
              <w:rPr>
                <w:sz w:val="17"/>
                <w:szCs w:val="17"/>
                <w:color w:val="auto"/>
              </w:rPr>
            </w:pPr>
          </w:p>
        </w:tc>
        <w:tc>
          <w:tcPr>
            <w:tcW w:w="4260" w:type="dxa"/>
            <w:vAlign w:val="bottom"/>
            <w:tcBorders>
              <w:bottom w:val="single" w:sz="8" w:color="auto"/>
            </w:tcBorders>
            <w:gridSpan w:val="2"/>
            <w:shd w:val="clear" w:color="auto" w:fill="DBDBDB"/>
          </w:tcPr>
          <w:p>
            <w:pPr>
              <w:jc w:val="center"/>
              <w:ind w:left="2629"/>
              <w:spacing w:after="0"/>
              <w:rPr>
                <w:sz w:val="20"/>
                <w:szCs w:val="20"/>
                <w:color w:val="auto"/>
              </w:rPr>
            </w:pPr>
            <w:r>
              <w:rPr>
                <w:rFonts w:ascii="Arial" w:cs="Arial" w:eastAsia="Arial" w:hAnsi="Arial"/>
                <w:sz w:val="14"/>
                <w:szCs w:val="14"/>
                <w:b w:val="1"/>
                <w:bCs w:val="1"/>
                <w:color w:val="auto"/>
              </w:rPr>
              <w:t>2Q26E</w:t>
            </w:r>
          </w:p>
        </w:tc>
        <w:tc>
          <w:tcPr>
            <w:tcW w:w="1760" w:type="dxa"/>
            <w:vAlign w:val="bottom"/>
            <w:tcBorders>
              <w:bottom w:val="single" w:sz="8" w:color="auto"/>
            </w:tcBorders>
            <w:gridSpan w:val="2"/>
            <w:shd w:val="clear" w:color="auto" w:fill="DBDBDB"/>
          </w:tcPr>
          <w:p>
            <w:pPr>
              <w:jc w:val="center"/>
              <w:spacing w:after="0"/>
              <w:rPr>
                <w:sz w:val="20"/>
                <w:szCs w:val="20"/>
                <w:color w:val="auto"/>
              </w:rPr>
            </w:pPr>
            <w:r>
              <w:rPr>
                <w:rFonts w:ascii="Arial" w:cs="Arial" w:eastAsia="Arial" w:hAnsi="Arial"/>
                <w:sz w:val="14"/>
                <w:szCs w:val="14"/>
                <w:b w:val="1"/>
                <w:bCs w:val="1"/>
                <w:color w:val="auto"/>
              </w:rPr>
              <w:t>2026E</w:t>
            </w:r>
          </w:p>
        </w:tc>
      </w:tr>
      <w:tr>
        <w:trPr>
          <w:trHeight w:val="193"/>
        </w:trPr>
        <w:tc>
          <w:tcPr>
            <w:tcW w:w="5220" w:type="dxa"/>
            <w:vAlign w:val="bottom"/>
          </w:tcPr>
          <w:p>
            <w:pPr>
              <w:ind w:left="140"/>
              <w:spacing w:after="0"/>
              <w:rPr>
                <w:sz w:val="20"/>
                <w:szCs w:val="20"/>
                <w:color w:val="auto"/>
              </w:rPr>
            </w:pPr>
            <w:r>
              <w:rPr>
                <w:rFonts w:ascii="Arial" w:cs="Arial" w:eastAsia="Arial" w:hAnsi="Arial"/>
                <w:sz w:val="14"/>
                <w:szCs w:val="14"/>
                <w:color w:val="auto"/>
              </w:rPr>
              <w:t>Net Production (MBoe/d)</w:t>
            </w:r>
          </w:p>
        </w:tc>
        <w:tc>
          <w:tcPr>
            <w:tcW w:w="3440" w:type="dxa"/>
            <w:vAlign w:val="bottom"/>
          </w:tcPr>
          <w:p>
            <w:pPr>
              <w:jc w:val="right"/>
              <w:spacing w:after="0"/>
              <w:rPr>
                <w:sz w:val="20"/>
                <w:szCs w:val="20"/>
                <w:color w:val="auto"/>
              </w:rPr>
            </w:pPr>
            <w:r>
              <w:rPr>
                <w:rFonts w:ascii="Arial" w:cs="Arial" w:eastAsia="Arial" w:hAnsi="Arial"/>
                <w:sz w:val="14"/>
                <w:szCs w:val="14"/>
                <w:color w:val="auto"/>
              </w:rPr>
              <w:t>148</w:t>
            </w:r>
          </w:p>
        </w:tc>
        <w:tc>
          <w:tcPr>
            <w:tcW w:w="820" w:type="dxa"/>
            <w:vAlign w:val="bottom"/>
          </w:tcPr>
          <w:p>
            <w:pPr>
              <w:ind w:left="20"/>
              <w:spacing w:after="0"/>
              <w:rPr>
                <w:sz w:val="20"/>
                <w:szCs w:val="20"/>
                <w:color w:val="auto"/>
              </w:rPr>
            </w:pPr>
            <w:r>
              <w:rPr>
                <w:rFonts w:ascii="Arial" w:cs="Arial" w:eastAsia="Arial" w:hAnsi="Arial"/>
                <w:sz w:val="14"/>
                <w:szCs w:val="14"/>
                <w:color w:val="auto"/>
              </w:rPr>
              <w:t>- 150</w:t>
            </w:r>
          </w:p>
        </w:tc>
        <w:tc>
          <w:tcPr>
            <w:tcW w:w="880" w:type="dxa"/>
            <w:vAlign w:val="bottom"/>
          </w:tcPr>
          <w:p>
            <w:pPr>
              <w:jc w:val="right"/>
              <w:spacing w:after="0"/>
              <w:rPr>
                <w:sz w:val="20"/>
                <w:szCs w:val="20"/>
                <w:color w:val="auto"/>
              </w:rPr>
            </w:pPr>
            <w:r>
              <w:rPr>
                <w:rFonts w:ascii="Arial" w:cs="Arial" w:eastAsia="Arial" w:hAnsi="Arial"/>
                <w:sz w:val="14"/>
                <w:szCs w:val="14"/>
                <w:color w:val="auto"/>
              </w:rPr>
              <w:t>149</w:t>
            </w:r>
          </w:p>
        </w:tc>
        <w:tc>
          <w:tcPr>
            <w:tcW w:w="880" w:type="dxa"/>
            <w:vAlign w:val="bottom"/>
          </w:tcPr>
          <w:p>
            <w:pPr>
              <w:ind w:left="20"/>
              <w:spacing w:after="0"/>
              <w:rPr>
                <w:sz w:val="20"/>
                <w:szCs w:val="20"/>
                <w:color w:val="auto"/>
              </w:rPr>
            </w:pPr>
            <w:r>
              <w:rPr>
                <w:rFonts w:ascii="Arial" w:cs="Arial" w:eastAsia="Arial" w:hAnsi="Arial"/>
                <w:sz w:val="14"/>
                <w:szCs w:val="14"/>
                <w:color w:val="auto"/>
              </w:rPr>
              <w:t>- 155</w:t>
            </w:r>
          </w:p>
        </w:tc>
      </w:tr>
      <w:tr>
        <w:trPr>
          <w:trHeight w:val="213"/>
        </w:trPr>
        <w:tc>
          <w:tcPr>
            <w:tcW w:w="5220" w:type="dxa"/>
            <w:vAlign w:val="bottom"/>
          </w:tcPr>
          <w:p>
            <w:pPr>
              <w:ind w:left="140"/>
              <w:spacing w:after="0"/>
              <w:rPr>
                <w:sz w:val="20"/>
                <w:szCs w:val="20"/>
                <w:color w:val="auto"/>
              </w:rPr>
            </w:pPr>
            <w:r>
              <w:rPr>
                <w:rFonts w:ascii="Arial" w:cs="Arial" w:eastAsia="Arial" w:hAnsi="Arial"/>
                <w:sz w:val="14"/>
                <w:szCs w:val="14"/>
                <w:color w:val="auto"/>
              </w:rPr>
              <w:t>Percentage Oil</w:t>
            </w:r>
          </w:p>
        </w:tc>
        <w:tc>
          <w:tcPr>
            <w:tcW w:w="4260" w:type="dxa"/>
            <w:vAlign w:val="bottom"/>
            <w:gridSpan w:val="2"/>
          </w:tcPr>
          <w:p>
            <w:pPr>
              <w:jc w:val="right"/>
              <w:ind w:right="569"/>
              <w:spacing w:after="0"/>
              <w:rPr>
                <w:sz w:val="20"/>
                <w:szCs w:val="20"/>
                <w:color w:val="auto"/>
              </w:rPr>
            </w:pPr>
            <w:r>
              <w:rPr>
                <w:rFonts w:ascii="Arial" w:cs="Arial" w:eastAsia="Arial" w:hAnsi="Arial"/>
                <w:sz w:val="14"/>
                <w:szCs w:val="14"/>
                <w:color w:val="auto"/>
              </w:rPr>
              <w:t>81%</w:t>
            </w:r>
          </w:p>
        </w:tc>
        <w:tc>
          <w:tcPr>
            <w:tcW w:w="1760" w:type="dxa"/>
            <w:vAlign w:val="bottom"/>
            <w:gridSpan w:val="2"/>
          </w:tcPr>
          <w:p>
            <w:pPr>
              <w:jc w:val="right"/>
              <w:ind w:right="629"/>
              <w:spacing w:after="0"/>
              <w:rPr>
                <w:sz w:val="20"/>
                <w:szCs w:val="20"/>
                <w:color w:val="auto"/>
              </w:rPr>
            </w:pPr>
            <w:r>
              <w:rPr>
                <w:rFonts w:ascii="Arial" w:cs="Arial" w:eastAsia="Arial" w:hAnsi="Arial"/>
                <w:sz w:val="14"/>
                <w:szCs w:val="14"/>
                <w:color w:val="auto"/>
              </w:rPr>
              <w:t>81%</w:t>
            </w:r>
          </w:p>
        </w:tc>
      </w:tr>
      <w:tr>
        <w:trPr>
          <w:trHeight w:val="213"/>
        </w:trPr>
        <w:tc>
          <w:tcPr>
            <w:tcW w:w="5220" w:type="dxa"/>
            <w:vAlign w:val="bottom"/>
          </w:tcPr>
          <w:p>
            <w:pPr>
              <w:ind w:left="140"/>
              <w:spacing w:after="0"/>
              <w:rPr>
                <w:sz w:val="20"/>
                <w:szCs w:val="20"/>
                <w:color w:val="auto"/>
              </w:rPr>
            </w:pPr>
            <w:r>
              <w:rPr>
                <w:rFonts w:ascii="Arial" w:cs="Arial" w:eastAsia="Arial" w:hAnsi="Arial"/>
                <w:sz w:val="14"/>
                <w:szCs w:val="14"/>
                <w:color w:val="auto"/>
              </w:rPr>
              <w:t>Capital Investments ($ millions)</w:t>
            </w:r>
          </w:p>
        </w:tc>
        <w:tc>
          <w:tcPr>
            <w:tcW w:w="3440" w:type="dxa"/>
            <w:vAlign w:val="bottom"/>
          </w:tcPr>
          <w:p>
            <w:pPr>
              <w:jc w:val="right"/>
              <w:spacing w:after="0"/>
              <w:rPr>
                <w:sz w:val="20"/>
                <w:szCs w:val="20"/>
                <w:color w:val="auto"/>
              </w:rPr>
            </w:pPr>
            <w:r>
              <w:rPr>
                <w:rFonts w:ascii="Arial" w:cs="Arial" w:eastAsia="Arial" w:hAnsi="Arial"/>
                <w:sz w:val="14"/>
                <w:szCs w:val="14"/>
                <w:color w:val="auto"/>
              </w:rPr>
              <w:t>$120</w:t>
            </w:r>
          </w:p>
        </w:tc>
        <w:tc>
          <w:tcPr>
            <w:tcW w:w="820" w:type="dxa"/>
            <w:vAlign w:val="bottom"/>
          </w:tcPr>
          <w:p>
            <w:pPr>
              <w:ind w:left="20"/>
              <w:spacing w:after="0"/>
              <w:rPr>
                <w:sz w:val="20"/>
                <w:szCs w:val="20"/>
                <w:color w:val="auto"/>
              </w:rPr>
            </w:pPr>
            <w:r>
              <w:rPr>
                <w:rFonts w:ascii="Arial" w:cs="Arial" w:eastAsia="Arial" w:hAnsi="Arial"/>
                <w:sz w:val="14"/>
                <w:szCs w:val="14"/>
                <w:color w:val="auto"/>
              </w:rPr>
              <w:t>- $140</w:t>
            </w:r>
          </w:p>
        </w:tc>
        <w:tc>
          <w:tcPr>
            <w:tcW w:w="880" w:type="dxa"/>
            <w:vAlign w:val="bottom"/>
          </w:tcPr>
          <w:p>
            <w:pPr>
              <w:jc w:val="right"/>
              <w:spacing w:after="0"/>
              <w:rPr>
                <w:sz w:val="20"/>
                <w:szCs w:val="20"/>
                <w:color w:val="auto"/>
              </w:rPr>
            </w:pPr>
            <w:r>
              <w:rPr>
                <w:rFonts w:ascii="Arial" w:cs="Arial" w:eastAsia="Arial" w:hAnsi="Arial"/>
                <w:sz w:val="14"/>
                <w:szCs w:val="14"/>
                <w:color w:val="auto"/>
              </w:rPr>
              <w:t>$520</w:t>
            </w:r>
          </w:p>
        </w:tc>
        <w:tc>
          <w:tcPr>
            <w:tcW w:w="880" w:type="dxa"/>
            <w:vAlign w:val="bottom"/>
          </w:tcPr>
          <w:p>
            <w:pPr>
              <w:ind w:left="20"/>
              <w:spacing w:after="0"/>
              <w:rPr>
                <w:sz w:val="20"/>
                <w:szCs w:val="20"/>
                <w:color w:val="auto"/>
              </w:rPr>
            </w:pPr>
            <w:r>
              <w:rPr>
                <w:rFonts w:ascii="Arial" w:cs="Arial" w:eastAsia="Arial" w:hAnsi="Arial"/>
                <w:sz w:val="14"/>
                <w:szCs w:val="14"/>
                <w:color w:val="auto"/>
              </w:rPr>
              <w:t>- $560</w:t>
            </w:r>
          </w:p>
        </w:tc>
      </w:tr>
      <w:tr>
        <w:trPr>
          <w:trHeight w:val="267"/>
        </w:trPr>
        <w:tc>
          <w:tcPr>
            <w:tcW w:w="5220" w:type="dxa"/>
            <w:vAlign w:val="bottom"/>
          </w:tcPr>
          <w:p>
            <w:pPr>
              <w:ind w:left="140"/>
              <w:spacing w:after="0"/>
              <w:rPr>
                <w:sz w:val="20"/>
                <w:szCs w:val="20"/>
                <w:color w:val="auto"/>
              </w:rPr>
            </w:pPr>
            <w:r>
              <w:rPr>
                <w:rFonts w:ascii="Arial" w:cs="Arial" w:eastAsia="Arial" w:hAnsi="Arial"/>
                <w:sz w:val="14"/>
                <w:szCs w:val="14"/>
                <w:color w:val="auto"/>
              </w:rPr>
              <w:t>Adjusted EBITDAX</w:t>
            </w:r>
            <w:r>
              <w:rPr>
                <w:rFonts w:ascii="Arial" w:cs="Arial" w:eastAsia="Arial" w:hAnsi="Arial"/>
                <w:sz w:val="18"/>
                <w:szCs w:val="18"/>
                <w:color w:val="auto"/>
                <w:vertAlign w:val="superscript"/>
              </w:rPr>
              <w:t>1</w:t>
            </w:r>
            <w:r>
              <w:rPr>
                <w:rFonts w:ascii="Arial" w:cs="Arial" w:eastAsia="Arial" w:hAnsi="Arial"/>
                <w:sz w:val="14"/>
                <w:szCs w:val="14"/>
                <w:color w:val="auto"/>
              </w:rPr>
              <w:t xml:space="preserve"> ($ millions)</w:t>
            </w:r>
          </w:p>
        </w:tc>
        <w:tc>
          <w:tcPr>
            <w:tcW w:w="3440" w:type="dxa"/>
            <w:vAlign w:val="bottom"/>
          </w:tcPr>
          <w:p>
            <w:pPr>
              <w:jc w:val="right"/>
              <w:spacing w:after="0"/>
              <w:rPr>
                <w:sz w:val="20"/>
                <w:szCs w:val="20"/>
                <w:color w:val="auto"/>
              </w:rPr>
            </w:pPr>
            <w:r>
              <w:rPr>
                <w:rFonts w:ascii="Arial" w:cs="Arial" w:eastAsia="Arial" w:hAnsi="Arial"/>
                <w:sz w:val="14"/>
                <w:szCs w:val="14"/>
                <w:color w:val="auto"/>
              </w:rPr>
              <w:t>$370</w:t>
            </w:r>
          </w:p>
        </w:tc>
        <w:tc>
          <w:tcPr>
            <w:tcW w:w="820" w:type="dxa"/>
            <w:vAlign w:val="bottom"/>
          </w:tcPr>
          <w:p>
            <w:pPr>
              <w:ind w:left="20"/>
              <w:spacing w:after="0"/>
              <w:rPr>
                <w:sz w:val="20"/>
                <w:szCs w:val="20"/>
                <w:color w:val="auto"/>
              </w:rPr>
            </w:pPr>
            <w:r>
              <w:rPr>
                <w:rFonts w:ascii="Arial" w:cs="Arial" w:eastAsia="Arial" w:hAnsi="Arial"/>
                <w:sz w:val="14"/>
                <w:szCs w:val="14"/>
                <w:color w:val="auto"/>
              </w:rPr>
              <w:t>- $410</w:t>
            </w:r>
          </w:p>
        </w:tc>
        <w:tc>
          <w:tcPr>
            <w:tcW w:w="880" w:type="dxa"/>
            <w:vAlign w:val="bottom"/>
          </w:tcPr>
          <w:p>
            <w:pPr>
              <w:jc w:val="right"/>
              <w:spacing w:after="0"/>
              <w:rPr>
                <w:sz w:val="20"/>
                <w:szCs w:val="20"/>
                <w:color w:val="auto"/>
              </w:rPr>
            </w:pPr>
            <w:r>
              <w:rPr>
                <w:rFonts w:ascii="Arial" w:cs="Arial" w:eastAsia="Arial" w:hAnsi="Arial"/>
                <w:sz w:val="14"/>
                <w:szCs w:val="14"/>
                <w:color w:val="auto"/>
              </w:rPr>
              <w:t>$1,400</w:t>
            </w:r>
          </w:p>
        </w:tc>
        <w:tc>
          <w:tcPr>
            <w:tcW w:w="880" w:type="dxa"/>
            <w:vAlign w:val="bottom"/>
          </w:tcPr>
          <w:p>
            <w:pPr>
              <w:ind w:left="20"/>
              <w:spacing w:after="0"/>
              <w:rPr>
                <w:sz w:val="20"/>
                <w:szCs w:val="20"/>
                <w:color w:val="auto"/>
              </w:rPr>
            </w:pPr>
            <w:r>
              <w:rPr>
                <w:rFonts w:ascii="Arial" w:cs="Arial" w:eastAsia="Arial" w:hAnsi="Arial"/>
                <w:sz w:val="14"/>
                <w:szCs w:val="14"/>
                <w:color w:val="auto"/>
              </w:rPr>
              <w:t>- $1,500</w:t>
            </w:r>
          </w:p>
        </w:tc>
      </w:tr>
    </w:tbl>
    <w:p>
      <w:pPr>
        <w:spacing w:after="0" w:line="27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Shareholder Returns</w:t>
      </w:r>
    </w:p>
    <w:p>
      <w:pPr>
        <w:spacing w:after="0" w:line="254" w:lineRule="exact"/>
        <w:rPr>
          <w:sz w:val="20"/>
          <w:szCs w:val="20"/>
          <w:color w:val="auto"/>
        </w:rPr>
      </w:pPr>
    </w:p>
    <w:p>
      <w:pPr>
        <w:jc w:val="both"/>
        <w:ind w:firstLine="320"/>
        <w:spacing w:after="0" w:line="290" w:lineRule="auto"/>
        <w:rPr>
          <w:sz w:val="20"/>
          <w:szCs w:val="20"/>
          <w:color w:val="auto"/>
        </w:rPr>
      </w:pPr>
      <w:r>
        <w:rPr>
          <w:rFonts w:ascii="Arial" w:cs="Arial" w:eastAsia="Arial" w:hAnsi="Arial"/>
          <w:sz w:val="21"/>
          <w:szCs w:val="21"/>
          <w:color w:val="auto"/>
        </w:rPr>
        <w:t>On May 5, 2026, CRC's Board of Directors declared a quarterly cash dividend of $0.405 per share of common stock, payable to shareholders of record on May 29, 2026. The dividend is expected to be paid on June 18, 2026.</w:t>
      </w:r>
    </w:p>
    <w:p>
      <w:pPr>
        <w:spacing w:after="0" w:line="163" w:lineRule="exact"/>
        <w:rPr>
          <w:sz w:val="20"/>
          <w:szCs w:val="20"/>
          <w:color w:val="auto"/>
        </w:rPr>
      </w:pPr>
    </w:p>
    <w:p>
      <w:pPr>
        <w:jc w:val="both"/>
        <w:ind w:firstLine="320"/>
        <w:spacing w:after="0" w:line="229" w:lineRule="auto"/>
        <w:rPr>
          <w:sz w:val="20"/>
          <w:szCs w:val="20"/>
          <w:color w:val="auto"/>
        </w:rPr>
      </w:pPr>
      <w:r>
        <w:rPr>
          <w:rFonts w:ascii="Arial" w:cs="Arial" w:eastAsia="Arial" w:hAnsi="Arial"/>
          <w:sz w:val="21"/>
          <w:szCs w:val="21"/>
          <w:color w:val="auto"/>
        </w:rPr>
        <w:t>In the first quarter 2026, CRC repurchased 0.2 million shares of its common stock for $10 million</w:t>
      </w:r>
      <w:r>
        <w:rPr>
          <w:rFonts w:ascii="Arial" w:cs="Arial" w:eastAsia="Arial" w:hAnsi="Arial"/>
          <w:sz w:val="27"/>
          <w:szCs w:val="27"/>
          <w:color w:val="auto"/>
          <w:vertAlign w:val="superscript"/>
        </w:rPr>
        <w:t>2</w:t>
      </w:r>
      <w:r>
        <w:rPr>
          <w:rFonts w:ascii="Arial" w:cs="Arial" w:eastAsia="Arial" w:hAnsi="Arial"/>
          <w:sz w:val="21"/>
          <w:szCs w:val="21"/>
          <w:color w:val="auto"/>
        </w:rPr>
        <w:t xml:space="preserve"> at an average price of $45.70 per share and returned $36 million in dividends to shareholders. Since mid-2021, the Company has returned approximately $1,619 million to shareholders</w:t>
      </w:r>
      <w:r>
        <w:rPr>
          <w:rFonts w:ascii="Arial" w:cs="Arial" w:eastAsia="Arial" w:hAnsi="Arial"/>
          <w:sz w:val="27"/>
          <w:szCs w:val="27"/>
          <w:color w:val="auto"/>
          <w:vertAlign w:val="superscript"/>
        </w:rPr>
        <w:t>2</w:t>
      </w:r>
      <w:r>
        <w:rPr>
          <w:rFonts w:ascii="Arial" w:cs="Arial" w:eastAsia="Arial" w:hAnsi="Arial"/>
          <w:sz w:val="21"/>
          <w:szCs w:val="21"/>
          <w:color w:val="auto"/>
        </w:rPr>
        <w:t>, including $1,180 million in share repurchases and $439 million in dividends.</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Balance Sheet and Liquidity</w:t>
      </w:r>
    </w:p>
    <w:p>
      <w:pPr>
        <w:spacing w:after="0" w:line="240" w:lineRule="exact"/>
        <w:rPr>
          <w:sz w:val="20"/>
          <w:szCs w:val="20"/>
          <w:color w:val="auto"/>
        </w:rPr>
      </w:pPr>
    </w:p>
    <w:p>
      <w:pPr>
        <w:jc w:val="both"/>
        <w:ind w:firstLine="320"/>
        <w:spacing w:after="0" w:line="277" w:lineRule="auto"/>
        <w:rPr>
          <w:sz w:val="20"/>
          <w:szCs w:val="20"/>
          <w:color w:val="auto"/>
        </w:rPr>
      </w:pPr>
      <w:r>
        <w:rPr>
          <w:rFonts w:ascii="Arial" w:cs="Arial" w:eastAsia="Arial" w:hAnsi="Arial"/>
          <w:sz w:val="21"/>
          <w:szCs w:val="21"/>
          <w:color w:val="auto"/>
        </w:rPr>
        <w:t>In April 2026, CRC's lenders reaffirmed its $1,500 million borrowing base under its Revolving Credit Facility as part of its semi-annual redetermination.</w:t>
      </w:r>
    </w:p>
    <w:p>
      <w:pPr>
        <w:spacing w:after="0" w:line="162" w:lineRule="exact"/>
        <w:rPr>
          <w:sz w:val="20"/>
          <w:szCs w:val="20"/>
          <w:color w:val="auto"/>
        </w:rPr>
      </w:pPr>
    </w:p>
    <w:p>
      <w:pPr>
        <w:ind w:right="20" w:firstLine="320"/>
        <w:spacing w:after="0" w:line="251" w:lineRule="auto"/>
        <w:rPr>
          <w:sz w:val="20"/>
          <w:szCs w:val="20"/>
          <w:color w:val="auto"/>
        </w:rPr>
      </w:pPr>
      <w:r>
        <w:rPr>
          <w:rFonts w:ascii="Arial" w:cs="Arial" w:eastAsia="Arial" w:hAnsi="Arial"/>
          <w:sz w:val="21"/>
          <w:szCs w:val="21"/>
          <w:color w:val="auto"/>
        </w:rPr>
        <w:t>On March 23, 2026, CRC completed a $350 million follow-on offering of Senior Notes due 2034, generating net proceeds of $347 million, reflecting approximately $2 million of issuance premium and $5 million of issuance costs. The net proceeds, combined with cash on hand, were used to redeem $350 million of CRC's outstanding Senior Notes due 2029.</w:t>
      </w:r>
    </w:p>
    <w:p>
      <w:pPr>
        <w:spacing w:after="0" w:line="198" w:lineRule="exact"/>
        <w:rPr>
          <w:sz w:val="20"/>
          <w:szCs w:val="20"/>
          <w:color w:val="auto"/>
        </w:rPr>
      </w:pPr>
    </w:p>
    <w:p>
      <w:pPr>
        <w:jc w:val="both"/>
        <w:ind w:firstLine="320"/>
        <w:spacing w:after="0" w:line="227" w:lineRule="auto"/>
        <w:rPr>
          <w:sz w:val="20"/>
          <w:szCs w:val="20"/>
          <w:color w:val="auto"/>
        </w:rPr>
      </w:pPr>
      <w:r>
        <w:rPr>
          <w:rFonts w:ascii="Arial" w:cs="Arial" w:eastAsia="Arial" w:hAnsi="Arial"/>
          <w:sz w:val="21"/>
          <w:szCs w:val="21"/>
          <w:color w:val="auto"/>
        </w:rPr>
        <w:t>As of March 31, 2026, CRC had liquidity of $1,276 million</w:t>
      </w:r>
      <w:r>
        <w:rPr>
          <w:rFonts w:ascii="Arial" w:cs="Arial" w:eastAsia="Arial" w:hAnsi="Arial"/>
          <w:sz w:val="27"/>
          <w:szCs w:val="27"/>
          <w:color w:val="auto"/>
          <w:vertAlign w:val="superscript"/>
        </w:rPr>
        <w:t>1,3</w:t>
      </w:r>
      <w:r>
        <w:rPr>
          <w:rFonts w:ascii="Arial" w:cs="Arial" w:eastAsia="Arial" w:hAnsi="Arial"/>
          <w:sz w:val="21"/>
          <w:szCs w:val="21"/>
          <w:color w:val="auto"/>
        </w:rPr>
        <w:t>, consisting of $25 million in available cash and cash equivalents</w:t>
      </w:r>
      <w:r>
        <w:rPr>
          <w:rFonts w:ascii="Arial" w:cs="Arial" w:eastAsia="Arial" w:hAnsi="Arial"/>
          <w:sz w:val="27"/>
          <w:szCs w:val="27"/>
          <w:color w:val="auto"/>
          <w:vertAlign w:val="superscript"/>
        </w:rPr>
        <w:t>3</w:t>
      </w:r>
      <w:r>
        <w:rPr>
          <w:rFonts w:ascii="Arial" w:cs="Arial" w:eastAsia="Arial" w:hAnsi="Arial"/>
          <w:sz w:val="21"/>
          <w:szCs w:val="21"/>
          <w:color w:val="auto"/>
        </w:rPr>
        <w:t xml:space="preserve"> and $1,251 million of available borrowing capacity under its Revolving Credit Facility (which reflects $1,460 million of borrowing capacity less $184 million of outstanding letters of credit and $25 million outstanding on the Revolving Credit Facility).</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Participation in Upcoming Investor Conferences</w:t>
      </w:r>
    </w:p>
    <w:p>
      <w:pPr>
        <w:spacing w:after="0" w:line="267" w:lineRule="exact"/>
        <w:rPr>
          <w:sz w:val="20"/>
          <w:szCs w:val="20"/>
          <w:color w:val="auto"/>
        </w:rPr>
      </w:pPr>
    </w:p>
    <w:p>
      <w:pPr>
        <w:ind w:left="320"/>
        <w:spacing w:after="0"/>
        <w:rPr>
          <w:sz w:val="20"/>
          <w:szCs w:val="20"/>
          <w:color w:val="auto"/>
        </w:rPr>
      </w:pPr>
      <w:r>
        <w:rPr>
          <w:rFonts w:ascii="Arial" w:cs="Arial" w:eastAsia="Arial" w:hAnsi="Arial"/>
          <w:sz w:val="21"/>
          <w:szCs w:val="21"/>
          <w:color w:val="auto"/>
        </w:rPr>
        <w:t>CRC is scheduled to participate in the following events in May, June and July 2026:</w:t>
      </w:r>
    </w:p>
    <w:p>
      <w:pPr>
        <w:spacing w:after="0" w:line="252" w:lineRule="exact"/>
        <w:rPr>
          <w:sz w:val="20"/>
          <w:szCs w:val="20"/>
          <w:color w:val="auto"/>
        </w:rPr>
      </w:pPr>
    </w:p>
    <w:p>
      <w:pPr>
        <w:ind w:left="640" w:hanging="314"/>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Goldman Sachs Eleventh Annual Leverage Finance and Credit Conference, May 28, Dana Point, CA</w:t>
      </w:r>
    </w:p>
    <w:p>
      <w:pPr>
        <w:spacing w:after="0" w:line="31" w:lineRule="exact"/>
        <w:rPr>
          <w:rFonts w:ascii="Arial" w:cs="Arial" w:eastAsia="Arial" w:hAnsi="Arial"/>
          <w:sz w:val="21"/>
          <w:szCs w:val="21"/>
          <w:color w:val="auto"/>
        </w:rPr>
      </w:pPr>
    </w:p>
    <w:p>
      <w:pPr>
        <w:ind w:left="640" w:hanging="314"/>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2026 RBC Capital Markets Global Energy, Power &amp; Infrastructure Conference, June 2, New York, NY</w:t>
      </w:r>
    </w:p>
    <w:p>
      <w:pPr>
        <w:spacing w:after="0" w:line="11" w:lineRule="exact"/>
        <w:rPr>
          <w:rFonts w:ascii="Arial" w:cs="Arial" w:eastAsia="Arial" w:hAnsi="Arial"/>
          <w:sz w:val="21"/>
          <w:szCs w:val="21"/>
          <w:color w:val="auto"/>
        </w:rPr>
      </w:pPr>
    </w:p>
    <w:p>
      <w:pPr>
        <w:ind w:left="640" w:hanging="314"/>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BofA Securities Energy and Power Credit Conference, June 3, New York, NY</w:t>
      </w:r>
    </w:p>
    <w:p>
      <w:pPr>
        <w:spacing w:after="0" w:line="11" w:lineRule="exact"/>
        <w:rPr>
          <w:rFonts w:ascii="Arial" w:cs="Arial" w:eastAsia="Arial" w:hAnsi="Arial"/>
          <w:sz w:val="21"/>
          <w:szCs w:val="21"/>
          <w:color w:val="auto"/>
        </w:rPr>
      </w:pPr>
    </w:p>
    <w:p>
      <w:pPr>
        <w:ind w:left="640" w:hanging="314"/>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JP Morgan Natural Resources Conference, June 23, New York, NY</w:t>
      </w:r>
    </w:p>
    <w:p>
      <w:pPr>
        <w:spacing w:after="0" w:line="11" w:lineRule="exact"/>
        <w:rPr>
          <w:rFonts w:ascii="Arial" w:cs="Arial" w:eastAsia="Arial" w:hAnsi="Arial"/>
          <w:sz w:val="21"/>
          <w:szCs w:val="21"/>
          <w:color w:val="auto"/>
        </w:rPr>
      </w:pPr>
    </w:p>
    <w:p>
      <w:pPr>
        <w:ind w:left="640" w:hanging="314"/>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RBC Capital Markets Energy Transition Conference 2026, June 25, London, UK</w:t>
      </w:r>
    </w:p>
    <w:p>
      <w:pPr>
        <w:spacing w:after="0" w:line="19" w:lineRule="exact"/>
        <w:rPr>
          <w:rFonts w:ascii="Arial" w:cs="Arial" w:eastAsia="Arial" w:hAnsi="Arial"/>
          <w:sz w:val="21"/>
          <w:szCs w:val="21"/>
          <w:color w:val="auto"/>
        </w:rPr>
      </w:pPr>
    </w:p>
    <w:p>
      <w:pPr>
        <w:ind w:left="640" w:hanging="314"/>
        <w:spacing w:after="0"/>
        <w:tabs>
          <w:tab w:leader="none" w:pos="640" w:val="left"/>
        </w:tabs>
        <w:numPr>
          <w:ilvl w:val="0"/>
          <w:numId w:val="33"/>
        </w:numPr>
        <w:rPr>
          <w:rFonts w:ascii="Arial" w:cs="Arial" w:eastAsia="Arial" w:hAnsi="Arial"/>
          <w:sz w:val="21"/>
          <w:szCs w:val="21"/>
          <w:color w:val="auto"/>
        </w:rPr>
      </w:pPr>
      <w:r>
        <w:rPr>
          <w:rFonts w:ascii="Arial" w:cs="Arial" w:eastAsia="Arial" w:hAnsi="Arial"/>
          <w:sz w:val="21"/>
          <w:szCs w:val="21"/>
          <w:color w:val="auto"/>
        </w:rPr>
        <w:t>TD Cowen 24th Annual Calgary Energy, Power &amp; Utilities Conference, July 7 and 8, Calgary, AB</w:t>
      </w:r>
    </w:p>
    <w:p>
      <w:pPr>
        <w:spacing w:after="0" w:line="237" w:lineRule="exact"/>
        <w:rPr>
          <w:sz w:val="20"/>
          <w:szCs w:val="20"/>
          <w:color w:val="auto"/>
        </w:rPr>
      </w:pPr>
    </w:p>
    <w:p>
      <w:pPr>
        <w:ind w:firstLine="320"/>
        <w:spacing w:after="0" w:line="290" w:lineRule="auto"/>
        <w:rPr>
          <w:sz w:val="20"/>
          <w:szCs w:val="20"/>
          <w:color w:val="auto"/>
        </w:rPr>
      </w:pPr>
      <w:r>
        <w:rPr>
          <w:rFonts w:ascii="Arial" w:cs="Arial" w:eastAsia="Arial" w:hAnsi="Arial"/>
          <w:sz w:val="21"/>
          <w:szCs w:val="21"/>
          <w:color w:val="auto"/>
        </w:rPr>
        <w:t>CRC’s presentation materials will be available on the day of the event on its website. See the Events and Presentations page under the Investor Relations section at www.crc.com.</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w:t>
      </w:r>
    </w:p>
    <w:p>
      <w:pPr>
        <w:sectPr>
          <w:pgSz w:w="11900" w:h="16838" w:orient="portrait"/>
          <w:cols w:equalWidth="0" w:num="1">
            <w:col w:w="11240"/>
          </w:cols>
          <w:pgMar w:left="320" w:top="906" w:right="339" w:bottom="1440" w:gutter="0" w:footer="0" w:header="0"/>
        </w:sectPr>
      </w:pPr>
    </w:p>
    <w:bookmarkStart w:id="8" w:name="page9"/>
    <w:bookmarkEnd w:id="8"/>
    <w:p>
      <w:pPr>
        <w:spacing w:after="0"/>
        <w:rPr>
          <w:sz w:val="20"/>
          <w:szCs w:val="20"/>
          <w:color w:val="auto"/>
        </w:rPr>
      </w:pPr>
      <w:r>
        <w:rPr>
          <w:rFonts w:ascii="Arial" w:cs="Arial" w:eastAsia="Arial" w:hAnsi="Arial"/>
          <w:sz w:val="21"/>
          <w:szCs w:val="21"/>
          <w:b w:val="1"/>
          <w:bCs w:val="1"/>
          <w:u w:val="single" w:color="auto"/>
          <w:color w:val="auto"/>
        </w:rPr>
        <w:t>Conference Call Details</w:t>
      </w:r>
    </w:p>
    <w:p>
      <w:pPr>
        <w:spacing w:after="0" w:line="240" w:lineRule="exact"/>
        <w:rPr>
          <w:sz w:val="20"/>
          <w:szCs w:val="20"/>
          <w:color w:val="auto"/>
        </w:rPr>
      </w:pPr>
    </w:p>
    <w:p>
      <w:pPr>
        <w:ind w:right="80" w:firstLine="320"/>
        <w:spacing w:after="0" w:line="255" w:lineRule="auto"/>
        <w:rPr>
          <w:sz w:val="20"/>
          <w:szCs w:val="20"/>
          <w:color w:val="auto"/>
        </w:rPr>
      </w:pPr>
      <w:r>
        <w:rPr>
          <w:rFonts w:ascii="Arial" w:cs="Arial" w:eastAsia="Arial" w:hAnsi="Arial"/>
          <w:sz w:val="21"/>
          <w:szCs w:val="21"/>
          <w:color w:val="auto"/>
        </w:rPr>
        <w:t>A conference call and webcast is planned for 1 p.m. ET (10 a.m. PT) on Wednesday, May 6, 2026. To participate in the call, dial (877) 328-5505 (International calls dial +1 (412) 317-5421) or access via webcast at www.crc.com. Participants may also pre-register for the conference call at https://dpregister.com/sreg/10207969/103b95d691e. A digital replay of the conference call will be available for approximately 90 days.</w:t>
      </w:r>
    </w:p>
    <w:p>
      <w:pPr>
        <w:spacing w:after="0" w:line="217" w:lineRule="exact"/>
        <w:rPr>
          <w:sz w:val="20"/>
          <w:szCs w:val="20"/>
          <w:color w:val="auto"/>
        </w:rPr>
      </w:pPr>
    </w:p>
    <w:p>
      <w:pPr>
        <w:jc w:val="both"/>
        <w:ind w:firstLine="7"/>
        <w:spacing w:after="0" w:line="247" w:lineRule="auto"/>
        <w:tabs>
          <w:tab w:leader="none" w:pos="77"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See Attachment 3 for the non-GAAP financial measures of adjusted net income (loss), adjusted net income (loss) per share - basic and diluted, net cash provided by operating activities before net changes in operating assets and liabilities, adjusted EBITDAX, free cash flow, free cash flow before net changes in operating assets and liabilities, adjusted general and administrative expenses, total operating revenues before net (loss) gain from commodity derivatives, margin from purchased commodities, electricity revenue net of electricity generation expenses and other operating expenses net of other revenue, including reconciliations to the most directly comparable GAAP measure without unreasonable effort. See Attachment 2 for the 2Q26 and 2026 estimates of the non-GAAP measures of adjusted EBITDAX, adjusted general and administrative expenses, margin from purchased commodities, other operating expenses net of other revenue and electricity revenue net of electricity generation expenses, including reconciliations to its most directly comparable GAAP measure, without unreasonable effort. See Attachment 1 for a reconciliation of drilling completion and workover capital to total capital investments, and non-cash commodity derivative (loss) gain from combined derivatives to net (loss) gain from combined derivatives, reported under GAAP.</w:t>
      </w:r>
    </w:p>
    <w:p>
      <w:pPr>
        <w:spacing w:after="0" w:line="225"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2</w:t>
      </w:r>
      <w:r>
        <w:rPr>
          <w:rFonts w:ascii="Arial" w:cs="Arial" w:eastAsia="Arial" w:hAnsi="Arial"/>
          <w:sz w:val="14"/>
          <w:szCs w:val="14"/>
          <w:color w:val="auto"/>
        </w:rPr>
        <w:t xml:space="preserve"> All of CRC’s future quarterly dividends and share repurchases are subject to commodity prices, debt agreement covenants and Board of Directors' approval. The total value of shares purchased excludes commissions and excise taxes. Commissions paid on share repurchases were not significant in all periods presented.</w:t>
      </w:r>
    </w:p>
    <w:p>
      <w:pPr>
        <w:spacing w:after="0" w:line="1" w:lineRule="exact"/>
        <w:rPr>
          <w:rFonts w:ascii="Arial" w:cs="Arial" w:eastAsia="Arial" w:hAnsi="Arial"/>
          <w:sz w:val="18"/>
          <w:szCs w:val="18"/>
          <w:color w:val="auto"/>
          <w:vertAlign w:val="superscript"/>
        </w:rPr>
      </w:pPr>
    </w:p>
    <w:p>
      <w:pPr>
        <w:spacing w:after="0" w:line="185"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3</w:t>
      </w:r>
      <w:r>
        <w:rPr>
          <w:rFonts w:ascii="Arial" w:cs="Arial" w:eastAsia="Arial" w:hAnsi="Arial"/>
          <w:sz w:val="14"/>
          <w:szCs w:val="14"/>
          <w:color w:val="auto"/>
        </w:rPr>
        <w:t xml:space="preserve"> Excludes restricted cash of $15 million.</w:t>
      </w:r>
    </w:p>
    <w:p>
      <w:pPr>
        <w:jc w:val="both"/>
        <w:spacing w:after="0" w:line="211" w:lineRule="auto"/>
        <w:rPr>
          <w:rFonts w:ascii="Arial" w:cs="Arial" w:eastAsia="Arial" w:hAnsi="Arial"/>
          <w:sz w:val="18"/>
          <w:szCs w:val="18"/>
          <w:color w:val="auto"/>
          <w:vertAlign w:val="superscript"/>
        </w:rPr>
      </w:pPr>
      <w:r>
        <w:rPr>
          <w:rFonts w:ascii="Arial" w:cs="Arial" w:eastAsia="Arial" w:hAnsi="Arial"/>
          <w:sz w:val="18"/>
          <w:szCs w:val="18"/>
          <w:color w:val="auto"/>
          <w:vertAlign w:val="superscript"/>
        </w:rPr>
        <w:t>4</w:t>
      </w:r>
      <w:r>
        <w:rPr>
          <w:rFonts w:ascii="Arial" w:cs="Arial" w:eastAsia="Arial" w:hAnsi="Arial"/>
          <w:sz w:val="14"/>
          <w:szCs w:val="14"/>
          <w:color w:val="auto"/>
        </w:rPr>
        <w:t xml:space="preserve"> 2Q26 guidance assumes Brent price of $105.36 per barrel of oil, NGL realizations as a percentage of Brent consistent with prior years and a NYMEX gas price of $2.77 per mcf. Total year 2026 guidance assumes Brent price of $90.58 per barrel of oil, NGL realizations as a percentage of Brent consistent with prior years and a NYMEX gas price of $3.61 per mcf.</w:t>
      </w:r>
    </w:p>
    <w:p>
      <w:pPr>
        <w:spacing w:after="0" w:line="1" w:lineRule="exact"/>
        <w:rPr>
          <w:rFonts w:ascii="Arial" w:cs="Arial" w:eastAsia="Arial" w:hAnsi="Arial"/>
          <w:sz w:val="18"/>
          <w:szCs w:val="18"/>
          <w:color w:val="auto"/>
          <w:vertAlign w:val="superscript"/>
        </w:rPr>
      </w:pPr>
    </w:p>
    <w:p>
      <w:pPr>
        <w:spacing w:after="0" w:line="258" w:lineRule="auto"/>
        <w:rPr>
          <w:rFonts w:ascii="Arial" w:cs="Arial" w:eastAsia="Arial" w:hAnsi="Arial"/>
          <w:sz w:val="18"/>
          <w:szCs w:val="18"/>
          <w:color w:val="auto"/>
          <w:vertAlign w:val="superscript"/>
        </w:rPr>
      </w:pPr>
      <w:r>
        <w:rPr>
          <w:rFonts w:ascii="Arial" w:cs="Arial" w:eastAsia="Arial" w:hAnsi="Arial"/>
          <w:sz w:val="9"/>
          <w:szCs w:val="9"/>
          <w:color w:val="auto"/>
        </w:rPr>
        <w:t xml:space="preserve">5 </w:t>
      </w:r>
      <w:r>
        <w:rPr>
          <w:rFonts w:ascii="Arial" w:cs="Arial" w:eastAsia="Arial" w:hAnsi="Arial"/>
          <w:sz w:val="14"/>
          <w:szCs w:val="14"/>
          <w:color w:val="auto"/>
        </w:rPr>
        <w:t>Net production per day for the periods presented reflects the impact of transaction timing. Berry Corporation volumes contributed for approximately 14 days in 2025 following the</w:t>
      </w:r>
      <w:r>
        <w:rPr>
          <w:rFonts w:ascii="Arial" w:cs="Arial" w:eastAsia="Arial" w:hAnsi="Arial"/>
          <w:sz w:val="9"/>
          <w:szCs w:val="9"/>
          <w:color w:val="auto"/>
        </w:rPr>
        <w:t xml:space="preserve"> </w:t>
      </w:r>
      <w:r>
        <w:rPr>
          <w:rFonts w:ascii="Arial" w:cs="Arial" w:eastAsia="Arial" w:hAnsi="Arial"/>
          <w:sz w:val="14"/>
          <w:szCs w:val="14"/>
          <w:color w:val="auto"/>
        </w:rPr>
        <w:t>transaction close. Production amounts shown are reported results and are not presented on a pro forma basis.</w:t>
      </w:r>
    </w:p>
    <w:p>
      <w:pPr>
        <w:spacing w:after="0" w:line="20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California Resources Corporation</w:t>
      </w:r>
    </w:p>
    <w:p>
      <w:pPr>
        <w:spacing w:after="0" w:line="254" w:lineRule="exact"/>
        <w:rPr>
          <w:sz w:val="20"/>
          <w:szCs w:val="20"/>
          <w:color w:val="auto"/>
        </w:rPr>
      </w:pPr>
    </w:p>
    <w:p>
      <w:pPr>
        <w:jc w:val="both"/>
        <w:ind w:firstLine="320"/>
        <w:spacing w:after="0" w:line="264" w:lineRule="auto"/>
        <w:rPr>
          <w:sz w:val="20"/>
          <w:szCs w:val="20"/>
          <w:color w:val="auto"/>
        </w:rPr>
      </w:pPr>
      <w:r>
        <w:rPr>
          <w:rFonts w:ascii="Arial" w:cs="Arial" w:eastAsia="Arial" w:hAnsi="Arial"/>
          <w:sz w:val="21"/>
          <w:szCs w:val="21"/>
          <w:color w:val="auto"/>
        </w:rPr>
        <w:t>California Resources Corporation (CRC) is an independent energy and carbon management company advancing the energy transition. CRC is committed to environmental stewardship while safely providing local, responsibly sourced energy. CRC is also focused on maximizing the value of its land, mineral ownership, and energy expertise for decarbonization by developing CCS and other emissions reducing projects. For more information about CRC, please visit crc.com.</w:t>
      </w:r>
    </w:p>
    <w:p>
      <w:pPr>
        <w:spacing w:after="0" w:line="18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About Carbon TerraVault</w:t>
      </w:r>
    </w:p>
    <w:p>
      <w:pPr>
        <w:spacing w:after="0" w:line="267" w:lineRule="exact"/>
        <w:rPr>
          <w:sz w:val="20"/>
          <w:szCs w:val="20"/>
          <w:color w:val="auto"/>
        </w:rPr>
      </w:pPr>
    </w:p>
    <w:p>
      <w:pPr>
        <w:jc w:val="both"/>
        <w:ind w:firstLine="320"/>
        <w:spacing w:after="0" w:line="226" w:lineRule="auto"/>
        <w:rPr>
          <w:sz w:val="20"/>
          <w:szCs w:val="20"/>
          <w:color w:val="auto"/>
        </w:rPr>
      </w:pPr>
      <w:r>
        <w:rPr>
          <w:rFonts w:ascii="Arial" w:cs="Arial" w:eastAsia="Arial" w:hAnsi="Arial"/>
          <w:sz w:val="21"/>
          <w:szCs w:val="21"/>
          <w:color w:val="auto"/>
        </w:rPr>
        <w:t>Carbon TerraVault (CTV), CRC’s carbon management business, is developing services to capture, transport and permanently store carbon dioxide (CO</w:t>
      </w:r>
      <w:r>
        <w:rPr>
          <w:rFonts w:ascii="Arial" w:cs="Arial" w:eastAsia="Arial" w:hAnsi="Arial"/>
          <w:sz w:val="27"/>
          <w:szCs w:val="27"/>
          <w:color w:val="auto"/>
          <w:vertAlign w:val="subscript"/>
        </w:rPr>
        <w:t>2</w:t>
      </w:r>
      <w:r>
        <w:rPr>
          <w:rFonts w:ascii="Arial" w:cs="Arial" w:eastAsia="Arial" w:hAnsi="Arial"/>
          <w:sz w:val="21"/>
          <w:szCs w:val="21"/>
          <w:color w:val="auto"/>
        </w:rPr>
        <w:t>) for its customers. CTV is engaged in a series of proposed CCS projects to inject CO</w:t>
      </w:r>
      <w:r>
        <w:rPr>
          <w:rFonts w:ascii="Arial" w:cs="Arial" w:eastAsia="Arial" w:hAnsi="Arial"/>
          <w:sz w:val="27"/>
          <w:szCs w:val="27"/>
          <w:color w:val="auto"/>
          <w:vertAlign w:val="subscript"/>
        </w:rPr>
        <w:t>2</w:t>
      </w:r>
      <w:r>
        <w:rPr>
          <w:rFonts w:ascii="Arial" w:cs="Arial" w:eastAsia="Arial" w:hAnsi="Arial"/>
          <w:sz w:val="21"/>
          <w:szCs w:val="21"/>
          <w:color w:val="auto"/>
        </w:rPr>
        <w:t xml:space="preserve"> captured from industrial sources into depleted reservoirs deep underground for permanent sequestration. For more information, visit carbonterravault.com.</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w:t>
      </w:r>
    </w:p>
    <w:p>
      <w:pPr>
        <w:sectPr>
          <w:pgSz w:w="11900" w:h="16838" w:orient="portrait"/>
          <w:cols w:equalWidth="0" w:num="1">
            <w:col w:w="11240"/>
          </w:cols>
          <w:pgMar w:left="320" w:top="884" w:right="339" w:bottom="1440" w:gutter="0" w:footer="0" w:header="0"/>
        </w:sectPr>
      </w:pPr>
    </w:p>
    <w:bookmarkStart w:id="9" w:name="page10"/>
    <w:bookmarkEnd w:id="9"/>
    <w:p>
      <w:pPr>
        <w:spacing w:after="0"/>
        <w:rPr>
          <w:sz w:val="20"/>
          <w:szCs w:val="20"/>
          <w:color w:val="auto"/>
        </w:rPr>
      </w:pPr>
      <w:r>
        <w:rPr>
          <w:rFonts w:ascii="Arial" w:cs="Arial" w:eastAsia="Arial" w:hAnsi="Arial"/>
          <w:sz w:val="21"/>
          <w:szCs w:val="21"/>
          <w:b w:val="1"/>
          <w:bCs w:val="1"/>
          <w:u w:val="single" w:color="auto"/>
          <w:color w:val="auto"/>
        </w:rPr>
        <w:t>Forward-Looking Statements</w:t>
      </w:r>
    </w:p>
    <w:p>
      <w:pPr>
        <w:spacing w:after="0" w:line="254" w:lineRule="exact"/>
        <w:rPr>
          <w:sz w:val="20"/>
          <w:szCs w:val="20"/>
          <w:color w:val="auto"/>
        </w:rPr>
      </w:pPr>
    </w:p>
    <w:p>
      <w:pPr>
        <w:jc w:val="both"/>
        <w:ind w:firstLine="320"/>
        <w:spacing w:after="0" w:line="258" w:lineRule="auto"/>
        <w:rPr>
          <w:sz w:val="20"/>
          <w:szCs w:val="20"/>
          <w:color w:val="auto"/>
        </w:rPr>
      </w:pPr>
      <w:r>
        <w:rPr>
          <w:rFonts w:ascii="Arial" w:cs="Arial" w:eastAsia="Arial" w:hAnsi="Arial"/>
          <w:sz w:val="21"/>
          <w:szCs w:val="21"/>
          <w:color w:val="auto"/>
        </w:rPr>
        <w:t>Information set forth in this communication, including financial estimates and statements as to the effects of the Berry Merger, constitute “forward-looking statements” within the meaning of the safe harbor provisions of the Private Securities Litigation Reform Act of 1995 and other securities laws. All statements other than historical facts are forward-looking statements, and include statements regarding the benefits of the Berry Merger, CRC's future financial position, business strategy, projected revenues, earnings, costs, capital expenditures and plans and objectives and intentions of management for the future. Words such as “expect,” “could,” “may,” “anticipate,” “intend,” “plan,” “ability,” “believe,” “seek,” “see,” “will,” “would,” “estimate,” “forecast,” “target,” “guidance,” “outlook,” “opportunity” or “strategy” or similar expressions are generally intended to identify forward-looking statements. These forward-looking statements are based upon the current beliefs and expectations of the management of CRC and are subject to risks and uncertainties that could cause actual results to differ materially from those expressed in, projected in, or implied by, such statements.</w:t>
      </w:r>
    </w:p>
    <w:p>
      <w:pPr>
        <w:spacing w:after="0" w:line="200" w:lineRule="exact"/>
        <w:rPr>
          <w:sz w:val="20"/>
          <w:szCs w:val="20"/>
          <w:color w:val="auto"/>
        </w:rPr>
      </w:pPr>
    </w:p>
    <w:p>
      <w:pPr>
        <w:spacing w:after="0" w:line="256" w:lineRule="exact"/>
        <w:rPr>
          <w:sz w:val="20"/>
          <w:szCs w:val="20"/>
          <w:color w:val="auto"/>
        </w:rPr>
      </w:pPr>
    </w:p>
    <w:p>
      <w:pPr>
        <w:jc w:val="both"/>
        <w:ind w:firstLine="320"/>
        <w:spacing w:after="0" w:line="252" w:lineRule="auto"/>
        <w:rPr>
          <w:sz w:val="20"/>
          <w:szCs w:val="20"/>
          <w:color w:val="auto"/>
        </w:rPr>
      </w:pPr>
      <w:r>
        <w:rPr>
          <w:rFonts w:ascii="Arial" w:cs="Arial" w:eastAsia="Arial" w:hAnsi="Arial"/>
          <w:sz w:val="21"/>
          <w:szCs w:val="21"/>
          <w:color w:val="auto"/>
        </w:rPr>
        <w:t>Although CRC believes the expectations and forecasts reflected in its forward-looking statements are reasonable, they are inherently subject to numerous risks and uncertainties, most of which are difficult to predict and many of which are beyond its control. No assurance can be given that such forward-looking statements will be correct or achieved or that the assumptions are accurate or will not change over time. Particular uncertainties that could cause CRC’s actual results to be materially different than those expressed in its forward-looking statements are described in its most recent Annual Report on Form 10-K and its other periodic filings with the SEC. These factors include, but are not limited to: fluctuations in commodity prices; production levels and/or pricing by OPEC, OPEC+ or U.S. producers; government policy, war and political conditions and events; integration efforts and projected synergies and other benefits in connection with the Berry Merger and other acquisitions; divestitures and joint ventures; regulatory actions and changes that affect the oil and gas industry generally and us in particular; the efforts of activists to delay or prevent oil and gas activities or the development of CRC’s carbon management segment; changes in business strategy and the ability and financial resources to execute our capital plan in a timely manner; lower-than-expected production; changes to estimates of reserves and related future cash flows; the recoverability of resources and unexpected geologic conditions; general economic conditions and trends; results from operations and competition in the industries in which it operates; CRC’s ability to realize the anticipated benefits from prior or future efforts to reduce costs; environmental risks and liability; the benefits contemplated by its energy transition strategies and initiatives; CRC’s ability to successfully identify, develop and finance carbon capture and storage projects, power projects and other renewable energy efforts; delays from government approvals and otherwise that could affect the timing of first injection of CO</w:t>
      </w:r>
      <w:r>
        <w:rPr>
          <w:rFonts w:ascii="Arial" w:cs="Arial" w:eastAsia="Arial" w:hAnsi="Arial"/>
          <w:sz w:val="27"/>
          <w:szCs w:val="27"/>
          <w:color w:val="auto"/>
          <w:vertAlign w:val="subscript"/>
        </w:rPr>
        <w:t>2</w:t>
      </w:r>
      <w:r>
        <w:rPr>
          <w:rFonts w:ascii="Arial" w:cs="Arial" w:eastAsia="Arial" w:hAnsi="Arial"/>
          <w:sz w:val="21"/>
          <w:szCs w:val="21"/>
          <w:color w:val="auto"/>
        </w:rPr>
        <w:t>; future dividends and share repurchases and de-leveraging efforts; and natural disasters, accidents, mechanical failures, power outages, labor difficulties, cybersecurity breaches or attacks or other catastrophic events.</w:t>
      </w:r>
    </w:p>
    <w:p>
      <w:pPr>
        <w:spacing w:after="0" w:line="214" w:lineRule="exact"/>
        <w:rPr>
          <w:sz w:val="20"/>
          <w:szCs w:val="20"/>
          <w:color w:val="auto"/>
        </w:rPr>
      </w:pPr>
    </w:p>
    <w:p>
      <w:pPr>
        <w:jc w:val="both"/>
        <w:ind w:firstLine="320"/>
        <w:spacing w:after="0" w:line="262" w:lineRule="auto"/>
        <w:rPr>
          <w:sz w:val="20"/>
          <w:szCs w:val="20"/>
          <w:color w:val="auto"/>
        </w:rPr>
      </w:pPr>
      <w:r>
        <w:rPr>
          <w:rFonts w:ascii="Arial" w:cs="Arial" w:eastAsia="Arial" w:hAnsi="Arial"/>
          <w:sz w:val="21"/>
          <w:szCs w:val="21"/>
          <w:color w:val="auto"/>
        </w:rPr>
        <w:t>CRC cautions you not to place undue reliance on forward-looking statements contained in this document, which speak only as of the date hereof, and CRC is under no obligation, and expressly disclaims any obligation to update, alter or otherwise revise any forward-looking statements, whether as a result of new information, future events or otherwise. This communication may also contain information from third-party sources. This data may involve a number of assumptions and limitations, and CRC has not independently verified them and does not warrant the accuracy or completeness of such third-party information.</w:t>
      </w:r>
    </w:p>
    <w:p>
      <w:pPr>
        <w:spacing w:after="0" w:line="200" w:lineRule="exact"/>
        <w:rPr>
          <w:sz w:val="20"/>
          <w:szCs w:val="20"/>
          <w:color w:val="auto"/>
        </w:rPr>
      </w:pPr>
    </w:p>
    <w:p>
      <w:pPr>
        <w:spacing w:after="0" w:line="2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6</w:t>
      </w:r>
    </w:p>
    <w:p>
      <w:pPr>
        <w:sectPr>
          <w:pgSz w:w="11900" w:h="16838" w:orient="portrait"/>
          <w:cols w:equalWidth="0" w:num="1">
            <w:col w:w="11240"/>
          </w:cols>
          <w:pgMar w:left="320" w:top="884" w:right="3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41"/>
        </w:trPr>
        <w:tc>
          <w:tcPr>
            <w:tcW w:w="4180" w:type="dxa"/>
            <w:vAlign w:val="bottom"/>
            <w:gridSpan w:val="4"/>
          </w:tcPr>
          <w:p>
            <w:pPr>
              <w:spacing w:after="0"/>
              <w:rPr>
                <w:sz w:val="20"/>
                <w:szCs w:val="20"/>
                <w:color w:val="auto"/>
              </w:rPr>
            </w:pPr>
            <w:r>
              <w:rPr>
                <w:rFonts w:ascii="Arial" w:cs="Arial" w:eastAsia="Arial" w:hAnsi="Arial"/>
                <w:sz w:val="21"/>
                <w:szCs w:val="21"/>
                <w:b w:val="1"/>
                <w:bCs w:val="1"/>
                <w:color w:val="auto"/>
              </w:rPr>
              <w:t>Contacts:</w:t>
            </w:r>
          </w:p>
        </w:tc>
        <w:tc>
          <w:tcPr>
            <w:tcW w:w="1460" w:type="dxa"/>
            <w:vAlign w:val="bottom"/>
          </w:tcPr>
          <w:p>
            <w:pPr>
              <w:spacing w:after="0"/>
              <w:rPr>
                <w:sz w:val="21"/>
                <w:szCs w:val="21"/>
                <w:color w:val="auto"/>
              </w:rPr>
            </w:pPr>
          </w:p>
        </w:tc>
        <w:tc>
          <w:tcPr>
            <w:tcW w:w="3060" w:type="dxa"/>
            <w:vAlign w:val="bottom"/>
          </w:tcPr>
          <w:p>
            <w:pPr>
              <w:spacing w:after="0"/>
              <w:rPr>
                <w:sz w:val="21"/>
                <w:szCs w:val="21"/>
                <w:color w:val="auto"/>
              </w:rPr>
            </w:pPr>
          </w:p>
        </w:tc>
      </w:tr>
      <w:tr>
        <w:trPr>
          <w:trHeight w:val="20"/>
        </w:trPr>
        <w:tc>
          <w:tcPr>
            <w:tcW w:w="2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60" w:type="dxa"/>
            <w:vAlign w:val="bottom"/>
          </w:tcPr>
          <w:p>
            <w:pPr>
              <w:spacing w:after="0" w:line="20" w:lineRule="exact"/>
              <w:rPr>
                <w:sz w:val="1"/>
                <w:szCs w:val="1"/>
                <w:color w:val="auto"/>
              </w:rPr>
            </w:pPr>
          </w:p>
        </w:tc>
      </w:tr>
      <w:tr>
        <w:trPr>
          <w:trHeight w:val="287"/>
        </w:trPr>
        <w:tc>
          <w:tcPr>
            <w:tcW w:w="20" w:type="dxa"/>
            <w:vAlign w:val="bottom"/>
          </w:tcPr>
          <w:p>
            <w:pPr>
              <w:spacing w:after="0"/>
              <w:rPr>
                <w:sz w:val="24"/>
                <w:szCs w:val="24"/>
                <w:color w:val="auto"/>
              </w:rPr>
            </w:pPr>
          </w:p>
        </w:tc>
        <w:tc>
          <w:tcPr>
            <w:tcW w:w="4160" w:type="dxa"/>
            <w:vAlign w:val="bottom"/>
            <w:gridSpan w:val="3"/>
          </w:tcPr>
          <w:p>
            <w:pPr>
              <w:spacing w:after="0"/>
              <w:rPr>
                <w:sz w:val="20"/>
                <w:szCs w:val="20"/>
                <w:color w:val="auto"/>
              </w:rPr>
            </w:pPr>
            <w:r>
              <w:rPr>
                <w:rFonts w:ascii="Arial" w:cs="Arial" w:eastAsia="Arial" w:hAnsi="Arial"/>
                <w:sz w:val="21"/>
                <w:szCs w:val="21"/>
                <w:color w:val="auto"/>
              </w:rPr>
              <w:t>Daniel Juck (Investor Relations)</w:t>
            </w:r>
          </w:p>
        </w:tc>
        <w:tc>
          <w:tcPr>
            <w:tcW w:w="4520" w:type="dxa"/>
            <w:vAlign w:val="bottom"/>
            <w:gridSpan w:val="2"/>
          </w:tcPr>
          <w:p>
            <w:pPr>
              <w:ind w:left="1460"/>
              <w:spacing w:after="0"/>
              <w:rPr>
                <w:sz w:val="20"/>
                <w:szCs w:val="20"/>
                <w:color w:val="auto"/>
              </w:rPr>
            </w:pPr>
            <w:r>
              <w:rPr>
                <w:rFonts w:ascii="Arial" w:cs="Arial" w:eastAsia="Arial" w:hAnsi="Arial"/>
                <w:sz w:val="21"/>
                <w:szCs w:val="21"/>
                <w:color w:val="auto"/>
              </w:rPr>
              <w:t>Hailey Bonus (Media)</w:t>
            </w:r>
          </w:p>
        </w:tc>
      </w:tr>
      <w:tr>
        <w:trPr>
          <w:trHeight w:val="240"/>
        </w:trPr>
        <w:tc>
          <w:tcPr>
            <w:tcW w:w="1780" w:type="dxa"/>
            <w:vAlign w:val="bottom"/>
            <w:gridSpan w:val="3"/>
          </w:tcPr>
          <w:p>
            <w:pPr>
              <w:ind w:left="20"/>
              <w:spacing w:after="0" w:line="240" w:lineRule="exact"/>
              <w:rPr>
                <w:sz w:val="20"/>
                <w:szCs w:val="20"/>
                <w:color w:val="auto"/>
              </w:rPr>
            </w:pPr>
            <w:r>
              <w:rPr>
                <w:rFonts w:ascii="Arial" w:cs="Arial" w:eastAsia="Arial" w:hAnsi="Arial"/>
                <w:sz w:val="21"/>
                <w:szCs w:val="21"/>
                <w:color w:val="auto"/>
              </w:rPr>
              <w:t>818-661-3700</w:t>
            </w:r>
          </w:p>
        </w:tc>
        <w:tc>
          <w:tcPr>
            <w:tcW w:w="2400" w:type="dxa"/>
            <w:vAlign w:val="bottom"/>
          </w:tcPr>
          <w:p>
            <w:pPr>
              <w:spacing w:after="0"/>
              <w:rPr>
                <w:sz w:val="20"/>
                <w:szCs w:val="20"/>
                <w:color w:val="auto"/>
              </w:rPr>
            </w:pPr>
          </w:p>
        </w:tc>
        <w:tc>
          <w:tcPr>
            <w:tcW w:w="4520" w:type="dxa"/>
            <w:vAlign w:val="bottom"/>
            <w:gridSpan w:val="2"/>
          </w:tcPr>
          <w:p>
            <w:pPr>
              <w:ind w:left="1460"/>
              <w:spacing w:after="0" w:line="240" w:lineRule="exact"/>
              <w:rPr>
                <w:sz w:val="20"/>
                <w:szCs w:val="20"/>
                <w:color w:val="auto"/>
              </w:rPr>
            </w:pPr>
            <w:r>
              <w:rPr>
                <w:rFonts w:ascii="Arial" w:cs="Arial" w:eastAsia="Arial" w:hAnsi="Arial"/>
                <w:sz w:val="21"/>
                <w:szCs w:val="21"/>
                <w:color w:val="auto"/>
              </w:rPr>
              <w:t>714-874-7732</w:t>
            </w:r>
          </w:p>
        </w:tc>
      </w:tr>
      <w:tr>
        <w:trPr>
          <w:trHeight w:val="226"/>
        </w:trPr>
        <w:tc>
          <w:tcPr>
            <w:tcW w:w="20" w:type="dxa"/>
            <w:vAlign w:val="bottom"/>
          </w:tcPr>
          <w:p>
            <w:pPr>
              <w:spacing w:after="0"/>
              <w:rPr>
                <w:sz w:val="19"/>
                <w:szCs w:val="19"/>
                <w:color w:val="auto"/>
              </w:rPr>
            </w:pPr>
          </w:p>
        </w:tc>
        <w:tc>
          <w:tcPr>
            <w:tcW w:w="4160" w:type="dxa"/>
            <w:vAlign w:val="bottom"/>
            <w:gridSpan w:val="3"/>
          </w:tcPr>
          <w:p>
            <w:pPr>
              <w:spacing w:after="0" w:line="226" w:lineRule="exact"/>
              <w:rPr>
                <w:sz w:val="20"/>
                <w:szCs w:val="20"/>
                <w:color w:val="auto"/>
              </w:rPr>
            </w:pPr>
            <w:r>
              <w:rPr>
                <w:rFonts w:ascii="Arial" w:cs="Arial" w:eastAsia="Arial" w:hAnsi="Arial"/>
                <w:sz w:val="21"/>
                <w:szCs w:val="21"/>
                <w:color w:val="421BFF"/>
              </w:rPr>
              <w:t>CRC_IR@crc.com</w:t>
            </w:r>
          </w:p>
        </w:tc>
        <w:tc>
          <w:tcPr>
            <w:tcW w:w="4520" w:type="dxa"/>
            <w:vAlign w:val="bottom"/>
            <w:gridSpan w:val="2"/>
          </w:tcPr>
          <w:p>
            <w:pPr>
              <w:ind w:left="1460"/>
              <w:spacing w:after="0" w:line="226" w:lineRule="exact"/>
              <w:rPr>
                <w:sz w:val="20"/>
                <w:szCs w:val="20"/>
                <w:color w:val="auto"/>
              </w:rPr>
            </w:pPr>
            <w:r>
              <w:rPr>
                <w:rFonts w:ascii="Arial" w:cs="Arial" w:eastAsia="Arial" w:hAnsi="Arial"/>
                <w:sz w:val="21"/>
                <w:szCs w:val="21"/>
                <w:color w:val="421BFF"/>
              </w:rPr>
              <w:t>CRC.Communications@crc.com</w:t>
            </w:r>
          </w:p>
        </w:tc>
      </w:tr>
      <w:tr>
        <w:trPr>
          <w:trHeight w:val="20"/>
        </w:trPr>
        <w:tc>
          <w:tcPr>
            <w:tcW w:w="20" w:type="dxa"/>
            <w:vAlign w:val="bottom"/>
          </w:tcPr>
          <w:p>
            <w:pPr>
              <w:spacing w:after="0" w:line="20" w:lineRule="exact"/>
              <w:rPr>
                <w:sz w:val="1"/>
                <w:szCs w:val="1"/>
                <w:color w:val="auto"/>
              </w:rPr>
            </w:pPr>
          </w:p>
        </w:tc>
        <w:tc>
          <w:tcPr>
            <w:tcW w:w="960" w:type="dxa"/>
            <w:vAlign w:val="bottom"/>
            <w:shd w:val="clear" w:color="auto" w:fill="421BFF"/>
          </w:tcPr>
          <w:p>
            <w:pPr>
              <w:spacing w:after="0" w:line="20" w:lineRule="exact"/>
              <w:rPr>
                <w:sz w:val="1"/>
                <w:szCs w:val="1"/>
                <w:color w:val="auto"/>
              </w:rPr>
            </w:pPr>
          </w:p>
        </w:tc>
        <w:tc>
          <w:tcPr>
            <w:tcW w:w="800" w:type="dxa"/>
            <w:vAlign w:val="bottom"/>
            <w:shd w:val="clear" w:color="auto" w:fill="421BFF"/>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3060" w:type="dxa"/>
            <w:vAlign w:val="bottom"/>
            <w:shd w:val="clear" w:color="auto" w:fill="421BFF"/>
          </w:tcPr>
          <w:p>
            <w:pPr>
              <w:spacing w:after="0" w:line="20" w:lineRule="exact"/>
              <w:rPr>
                <w:sz w:val="1"/>
                <w:szCs w:val="1"/>
                <w:color w:val="auto"/>
              </w:rPr>
            </w:pPr>
          </w:p>
        </w:tc>
      </w:tr>
      <w:tr>
        <w:trPr>
          <w:trHeight w:val="902"/>
        </w:trPr>
        <w:tc>
          <w:tcPr>
            <w:tcW w:w="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4520" w:type="dxa"/>
            <w:vAlign w:val="bottom"/>
            <w:gridSpan w:val="2"/>
          </w:tcPr>
          <w:p>
            <w:pPr>
              <w:ind w:left="1160"/>
              <w:spacing w:after="0"/>
              <w:rPr>
                <w:sz w:val="20"/>
                <w:szCs w:val="20"/>
                <w:color w:val="auto"/>
              </w:rPr>
            </w:pPr>
            <w:r>
              <w:rPr>
                <w:rFonts w:ascii="Arial" w:cs="Arial" w:eastAsia="Arial" w:hAnsi="Arial"/>
                <w:sz w:val="18"/>
                <w:szCs w:val="18"/>
                <w:color w:val="auto"/>
              </w:rPr>
              <w:t>Page 7</w:t>
            </w:r>
          </w:p>
        </w:tc>
      </w:tr>
    </w:tbl>
    <w:p>
      <w:pPr>
        <w:sectPr>
          <w:pgSz w:w="11900" w:h="16838" w:orient="portrait"/>
          <w:cols w:equalWidth="0" w:num="1">
            <w:col w:w="10139"/>
          </w:cols>
          <w:pgMar w:left="320" w:top="1351" w:right="1440" w:bottom="1440" w:gutter="0" w:footer="0" w:header="0"/>
        </w:sectPr>
      </w:pPr>
    </w:p>
    <w:bookmarkStart w:id="11" w:name="page12"/>
    <w:bookmarkEnd w:id="1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spacing w:after="0"/>
              <w:rPr>
                <w:sz w:val="16"/>
                <w:szCs w:val="16"/>
                <w:color w:val="auto"/>
              </w:rPr>
            </w:pPr>
          </w:p>
        </w:tc>
        <w:tc>
          <w:tcPr>
            <w:tcW w:w="5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1</w:t>
            </w:r>
          </w:p>
        </w:tc>
      </w:tr>
      <w:tr>
        <w:trPr>
          <w:trHeight w:val="21"/>
        </w:trPr>
        <w:tc>
          <w:tcPr>
            <w:tcW w:w="2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5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2"/>
        </w:trPr>
        <w:tc>
          <w:tcPr>
            <w:tcW w:w="20" w:type="dxa"/>
            <w:vAlign w:val="bottom"/>
          </w:tcPr>
          <w:p>
            <w:pPr>
              <w:spacing w:after="0"/>
              <w:rPr>
                <w:sz w:val="16"/>
                <w:szCs w:val="16"/>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STATEMENTS OF OPERATIONS, SELECT FINANCIAL INFORMATION</w:t>
            </w: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307"/>
        </w:trPr>
        <w:tc>
          <w:tcPr>
            <w:tcW w:w="2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5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Arial" w:cs="Arial" w:eastAsia="Arial" w:hAnsi="Arial"/>
                <w:sz w:val="14"/>
                <w:szCs w:val="14"/>
                <w:b w:val="1"/>
                <w:bCs w:val="1"/>
                <w:color w:val="auto"/>
              </w:rPr>
              <w:t>1st Quarter</w:t>
            </w:r>
          </w:p>
        </w:tc>
        <w:tc>
          <w:tcPr>
            <w:tcW w:w="200" w:type="dxa"/>
            <w:vAlign w:val="bottom"/>
          </w:tcPr>
          <w:p>
            <w:pPr>
              <w:spacing w:after="0"/>
              <w:rPr>
                <w:sz w:val="24"/>
                <w:szCs w:val="24"/>
                <w:color w:val="auto"/>
              </w:rPr>
            </w:pPr>
          </w:p>
        </w:tc>
        <w:tc>
          <w:tcPr>
            <w:tcW w:w="1280" w:type="dxa"/>
            <w:vAlign w:val="bottom"/>
            <w:gridSpan w:val="2"/>
          </w:tcPr>
          <w:p>
            <w:pPr>
              <w:ind w:left="10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24"/>
                <w:szCs w:val="24"/>
                <w:color w:val="auto"/>
              </w:rPr>
            </w:pPr>
          </w:p>
        </w:tc>
        <w:tc>
          <w:tcPr>
            <w:tcW w:w="1180" w:type="dxa"/>
            <w:vAlign w:val="bottom"/>
          </w:tcPr>
          <w:p>
            <w:pPr>
              <w:jc w:val="right"/>
              <w:ind w:right="249"/>
              <w:spacing w:after="0"/>
              <w:rPr>
                <w:sz w:val="20"/>
                <w:szCs w:val="20"/>
                <w:color w:val="auto"/>
              </w:rPr>
            </w:pPr>
            <w:r>
              <w:rPr>
                <w:rFonts w:ascii="Arial" w:cs="Arial" w:eastAsia="Arial" w:hAnsi="Arial"/>
                <w:sz w:val="14"/>
                <w:szCs w:val="14"/>
                <w:b w:val="1"/>
                <w:bCs w:val="1"/>
                <w:color w:val="auto"/>
              </w:rPr>
              <w:t>1st Quarter</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i w:val="1"/>
                <w:iCs w:val="1"/>
                <w:color w:val="auto"/>
              </w:rPr>
              <w:t>($ and shares in millions, except per share amounts)</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469"/>
              <w:spacing w:after="0"/>
              <w:rPr>
                <w:sz w:val="20"/>
                <w:szCs w:val="20"/>
                <w:color w:val="auto"/>
              </w:rPr>
            </w:pPr>
            <w:r>
              <w:rPr>
                <w:rFonts w:ascii="Arial" w:cs="Arial" w:eastAsia="Arial" w:hAnsi="Arial"/>
                <w:sz w:val="14"/>
                <w:szCs w:val="14"/>
                <w:b w:val="1"/>
                <w:bCs w:val="1"/>
                <w:color w:val="auto"/>
              </w:rPr>
              <w:t>2025</w:t>
            </w:r>
          </w:p>
        </w:tc>
      </w:tr>
      <w:tr>
        <w:trPr>
          <w:trHeight w:val="195"/>
        </w:trPr>
        <w:tc>
          <w:tcPr>
            <w:tcW w:w="20" w:type="dxa"/>
            <w:vAlign w:val="bottom"/>
          </w:tcPr>
          <w:p>
            <w:pPr>
              <w:spacing w:after="0"/>
              <w:rPr>
                <w:sz w:val="16"/>
                <w:szCs w:val="16"/>
                <w:color w:val="auto"/>
              </w:rPr>
            </w:pPr>
          </w:p>
        </w:tc>
        <w:tc>
          <w:tcPr>
            <w:tcW w:w="17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Statements of Operations:</w:t>
            </w:r>
          </w:p>
        </w:tc>
        <w:tc>
          <w:tcPr>
            <w:tcW w:w="5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19"/>
        </w:trPr>
        <w:tc>
          <w:tcPr>
            <w:tcW w:w="20" w:type="dxa"/>
            <w:vAlign w:val="bottom"/>
          </w:tcPr>
          <w:p>
            <w:pPr>
              <w:spacing w:after="0"/>
              <w:rPr>
                <w:sz w:val="19"/>
                <w:szCs w:val="19"/>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Revenues</w:t>
            </w: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Oil, natural gas and natural gas liquids sales</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905</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679</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814</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Net (loss) gain from commodity derivatives</w:t>
            </w:r>
          </w:p>
        </w:tc>
        <w:tc>
          <w:tcPr>
            <w:tcW w:w="2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(848)</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6</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Revenue from marketing of purchased commodities</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41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60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64</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Electricity revenue</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22</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Other revenue</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6</w:t>
            </w:r>
          </w:p>
        </w:tc>
      </w:tr>
      <w:tr>
        <w:trPr>
          <w:trHeight w:val="193"/>
        </w:trPr>
        <w:tc>
          <w:tcPr>
            <w:tcW w:w="20" w:type="dxa"/>
            <w:vAlign w:val="bottom"/>
          </w:tcPr>
          <w:p>
            <w:pPr>
              <w:spacing w:after="0"/>
              <w:rPr>
                <w:sz w:val="16"/>
                <w:szCs w:val="16"/>
                <w:color w:val="auto"/>
              </w:rPr>
            </w:pPr>
          </w:p>
        </w:tc>
        <w:tc>
          <w:tcPr>
            <w:tcW w:w="6880" w:type="dxa"/>
            <w:vAlign w:val="bottom"/>
            <w:gridSpan w:val="2"/>
          </w:tcPr>
          <w:p>
            <w:pPr>
              <w:ind w:left="200"/>
              <w:spacing w:after="0"/>
              <w:rPr>
                <w:sz w:val="20"/>
                <w:szCs w:val="20"/>
                <w:color w:val="auto"/>
              </w:rPr>
            </w:pPr>
            <w:r>
              <w:rPr>
                <w:rFonts w:ascii="Arial" w:cs="Arial" w:eastAsia="Arial" w:hAnsi="Arial"/>
                <w:sz w:val="14"/>
                <w:szCs w:val="14"/>
                <w:color w:val="auto"/>
              </w:rPr>
              <w:t>Total operating revenues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119</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924</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912</w:t>
            </w:r>
          </w:p>
        </w:tc>
      </w:tr>
      <w:tr>
        <w:trPr>
          <w:trHeight w:val="287"/>
        </w:trPr>
        <w:tc>
          <w:tcPr>
            <w:tcW w:w="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Operating Expenses</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Operating costs</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365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325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316</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General and administrative expenses</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106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72</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Depreciation, depletion and amortization</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133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131</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Asset impairment</w:t>
            </w:r>
          </w:p>
        </w:tc>
        <w:tc>
          <w:tcPr>
            <w:tcW w:w="20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Taxes other than on income</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67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55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70</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Costs related to marketing of purchased commodities</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50</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Electricity generation expenses</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10</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Transportation costs</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20</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Accretion expense</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29</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Net loss on natural gas purchase derivatives</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(6)</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Measurement period adjustments, net</w:t>
            </w:r>
          </w:p>
        </w:tc>
        <w:tc>
          <w:tcPr>
            <w:tcW w:w="20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Other operating expenses, net</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54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82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33</w:t>
            </w:r>
          </w:p>
        </w:tc>
      </w:tr>
      <w:tr>
        <w:trPr>
          <w:trHeight w:val="193"/>
        </w:trPr>
        <w:tc>
          <w:tcPr>
            <w:tcW w:w="20" w:type="dxa"/>
            <w:vAlign w:val="bottom"/>
          </w:tcPr>
          <w:p>
            <w:pPr>
              <w:spacing w:after="0"/>
              <w:rPr>
                <w:sz w:val="16"/>
                <w:szCs w:val="16"/>
                <w:color w:val="auto"/>
              </w:rPr>
            </w:pPr>
          </w:p>
        </w:tc>
        <w:tc>
          <w:tcPr>
            <w:tcW w:w="6880" w:type="dxa"/>
            <w:vAlign w:val="bottom"/>
            <w:gridSpan w:val="2"/>
          </w:tcPr>
          <w:p>
            <w:pPr>
              <w:ind w:left="200"/>
              <w:spacing w:after="0"/>
              <w:rPr>
                <w:sz w:val="20"/>
                <w:szCs w:val="20"/>
                <w:color w:val="auto"/>
              </w:rPr>
            </w:pPr>
            <w:r>
              <w:rPr>
                <w:rFonts w:ascii="Arial" w:cs="Arial" w:eastAsia="Arial" w:hAnsi="Arial"/>
                <w:sz w:val="14"/>
                <w:szCs w:val="14"/>
                <w:color w:val="auto"/>
              </w:rPr>
              <w:t>Total operating expenses</w:t>
            </w: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830</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877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726</w:t>
            </w:r>
          </w:p>
        </w:tc>
      </w:tr>
      <w:tr>
        <w:trPr>
          <w:trHeight w:val="193"/>
        </w:trPr>
        <w:tc>
          <w:tcPr>
            <w:tcW w:w="20" w:type="dxa"/>
            <w:vAlign w:val="bottom"/>
          </w:tcPr>
          <w:p>
            <w:pPr>
              <w:spacing w:after="0"/>
              <w:rPr>
                <w:sz w:val="16"/>
                <w:szCs w:val="16"/>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Operating (Loss) Income</w:t>
            </w:r>
          </w:p>
        </w:tc>
        <w:tc>
          <w:tcPr>
            <w:tcW w:w="200" w:type="dxa"/>
            <w:vAlign w:val="bottom"/>
          </w:tcPr>
          <w:p>
            <w:pPr>
              <w:spacing w:after="0"/>
              <w:rPr>
                <w:sz w:val="16"/>
                <w:szCs w:val="16"/>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(711)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186</w:t>
            </w:r>
          </w:p>
        </w:tc>
      </w:tr>
      <w:tr>
        <w:trPr>
          <w:trHeight w:val="347"/>
        </w:trPr>
        <w:tc>
          <w:tcPr>
            <w:tcW w:w="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Non-Operating (Expenses) Income</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Interest and debt expense, net</w:t>
            </w:r>
          </w:p>
        </w:tc>
        <w:tc>
          <w:tcPr>
            <w:tcW w:w="2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(27)</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Equity loss from unconsolidated subsidiaries</w:t>
            </w:r>
          </w:p>
        </w:tc>
        <w:tc>
          <w:tcPr>
            <w:tcW w:w="2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(1)</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Loss on early extinguishment of debt</w:t>
            </w:r>
          </w:p>
        </w:tc>
        <w:tc>
          <w:tcPr>
            <w:tcW w:w="2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(1)</w:t>
            </w:r>
          </w:p>
        </w:tc>
      </w:tr>
      <w:tr>
        <w:trPr>
          <w:trHeight w:val="201"/>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Other non-operating income, net</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5</w:t>
            </w:r>
          </w:p>
        </w:tc>
      </w:tr>
      <w:tr>
        <w:trPr>
          <w:trHeight w:val="326"/>
        </w:trPr>
        <w:tc>
          <w:tcPr>
            <w:tcW w:w="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(Loss) Income Before Income Taxes</w:t>
            </w:r>
          </w:p>
        </w:tc>
        <w:tc>
          <w:tcPr>
            <w:tcW w:w="200" w:type="dxa"/>
            <w:vAlign w:val="bottom"/>
          </w:tcPr>
          <w:p>
            <w:pPr>
              <w:spacing w:after="0"/>
              <w:rPr>
                <w:sz w:val="24"/>
                <w:szCs w:val="24"/>
                <w:color w:val="auto"/>
              </w:rPr>
            </w:pP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(760)</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23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162</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Income tax benefit (provision)</w:t>
            </w: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49</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(47)</w:t>
            </w:r>
          </w:p>
        </w:tc>
      </w:tr>
      <w:tr>
        <w:trPr>
          <w:trHeight w:val="168"/>
        </w:trPr>
        <w:tc>
          <w:tcPr>
            <w:tcW w:w="20" w:type="dxa"/>
            <w:vAlign w:val="bottom"/>
          </w:tcPr>
          <w:p>
            <w:pPr>
              <w:spacing w:after="0"/>
              <w:rPr>
                <w:sz w:val="14"/>
                <w:szCs w:val="14"/>
                <w:color w:val="auto"/>
              </w:rPr>
            </w:pPr>
          </w:p>
        </w:tc>
        <w:tc>
          <w:tcPr>
            <w:tcW w:w="6880" w:type="dxa"/>
            <w:vAlign w:val="bottom"/>
            <w:gridSpan w:val="2"/>
          </w:tcPr>
          <w:p>
            <w:pPr>
              <w:spacing w:after="0"/>
              <w:rPr>
                <w:sz w:val="20"/>
                <w:szCs w:val="20"/>
                <w:color w:val="auto"/>
              </w:rPr>
            </w:pPr>
            <w:r>
              <w:rPr>
                <w:rFonts w:ascii="Arial" w:cs="Arial" w:eastAsia="Arial" w:hAnsi="Arial"/>
                <w:sz w:val="14"/>
                <w:szCs w:val="14"/>
                <w:b w:val="1"/>
                <w:bCs w:val="1"/>
                <w:color w:val="auto"/>
              </w:rPr>
              <w:t>Net (Loss) Income</w:t>
            </w: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(711)</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Borders>
              <w:bottom w:val="single" w:sz="8" w:color="auto"/>
            </w:tcBorders>
          </w:tcPr>
          <w:p>
            <w:pPr>
              <w:jc w:val="right"/>
              <w:ind w:right="109"/>
              <w:spacing w:after="0"/>
              <w:rPr>
                <w:sz w:val="20"/>
                <w:szCs w:val="20"/>
                <w:color w:val="auto"/>
              </w:rPr>
            </w:pPr>
            <w:r>
              <w:rPr>
                <w:rFonts w:ascii="Arial" w:cs="Arial" w:eastAsia="Arial" w:hAnsi="Arial"/>
                <w:sz w:val="14"/>
                <w:szCs w:val="14"/>
                <w:b w:val="1"/>
                <w:bCs w:val="1"/>
                <w:color w:val="auto"/>
              </w:rPr>
              <w:t>115</w:t>
            </w:r>
          </w:p>
        </w:tc>
      </w:tr>
      <w:tr>
        <w:trPr>
          <w:trHeight w:val="20"/>
        </w:trPr>
        <w:tc>
          <w:tcPr>
            <w:tcW w:w="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472"/>
        </w:trPr>
        <w:tc>
          <w:tcPr>
            <w:tcW w:w="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Net income per share - basic</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(8.02)</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0.14</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1.27</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Net income per share - diluted</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69"/>
              <w:spacing w:after="0"/>
              <w:rPr>
                <w:sz w:val="20"/>
                <w:szCs w:val="20"/>
                <w:color w:val="auto"/>
              </w:rPr>
            </w:pPr>
            <w:r>
              <w:rPr>
                <w:rFonts w:ascii="Arial" w:cs="Arial" w:eastAsia="Arial" w:hAnsi="Arial"/>
                <w:sz w:val="14"/>
                <w:szCs w:val="14"/>
                <w:b w:val="1"/>
                <w:bCs w:val="1"/>
                <w:color w:val="auto"/>
              </w:rPr>
              <w:t>(8.02)</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0.14</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1.26</w:t>
            </w:r>
          </w:p>
        </w:tc>
      </w:tr>
      <w:tr>
        <w:trPr>
          <w:trHeight w:val="347"/>
        </w:trPr>
        <w:tc>
          <w:tcPr>
            <w:tcW w:w="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Adjusted net income</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79</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40</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98</w:t>
            </w:r>
          </w:p>
        </w:tc>
      </w:tr>
      <w:tr>
        <w:trPr>
          <w:trHeight w:val="200"/>
        </w:trPr>
        <w:tc>
          <w:tcPr>
            <w:tcW w:w="20" w:type="dxa"/>
            <w:vAlign w:val="bottom"/>
          </w:tcPr>
          <w:p>
            <w:pPr>
              <w:spacing w:after="0"/>
              <w:rPr>
                <w:sz w:val="17"/>
                <w:szCs w:val="17"/>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Adjusted net income per share - basic</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0.89</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0.47</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1.08</w:t>
            </w:r>
          </w:p>
        </w:tc>
      </w:tr>
      <w:tr>
        <w:trPr>
          <w:trHeight w:val="248"/>
        </w:trPr>
        <w:tc>
          <w:tcPr>
            <w:tcW w:w="20" w:type="dxa"/>
            <w:vAlign w:val="bottom"/>
          </w:tcPr>
          <w:p>
            <w:pPr>
              <w:spacing w:after="0"/>
              <w:rPr>
                <w:sz w:val="21"/>
                <w:szCs w:val="21"/>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Adjusted net income per share - diluted</w:t>
            </w:r>
            <w:r>
              <w:rPr>
                <w:rFonts w:ascii="Arial" w:cs="Arial" w:eastAsia="Arial" w:hAnsi="Arial"/>
                <w:sz w:val="18"/>
                <w:szCs w:val="18"/>
                <w:color w:val="auto"/>
                <w:vertAlign w:val="superscript"/>
              </w:rPr>
              <w:t>(1)</w:t>
            </w: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0.88</w:t>
            </w:r>
          </w:p>
        </w:tc>
        <w:tc>
          <w:tcPr>
            <w:tcW w:w="100" w:type="dxa"/>
            <w:vAlign w:val="bottom"/>
          </w:tcPr>
          <w:p>
            <w:pPr>
              <w:spacing w:after="0"/>
              <w:rPr>
                <w:sz w:val="21"/>
                <w:szCs w:val="21"/>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0.47</w:t>
            </w:r>
          </w:p>
        </w:tc>
        <w:tc>
          <w:tcPr>
            <w:tcW w:w="100" w:type="dxa"/>
            <w:vAlign w:val="bottom"/>
          </w:tcPr>
          <w:p>
            <w:pPr>
              <w:spacing w:after="0"/>
              <w:rPr>
                <w:sz w:val="21"/>
                <w:szCs w:val="21"/>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1.07</w:t>
            </w:r>
          </w:p>
        </w:tc>
      </w:tr>
      <w:tr>
        <w:trPr>
          <w:trHeight w:val="298"/>
        </w:trPr>
        <w:tc>
          <w:tcPr>
            <w:tcW w:w="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basic</w:t>
            </w:r>
          </w:p>
        </w:tc>
        <w:tc>
          <w:tcPr>
            <w:tcW w:w="200" w:type="dxa"/>
            <w:vAlign w:val="bottom"/>
          </w:tcPr>
          <w:p>
            <w:pPr>
              <w:spacing w:after="0"/>
              <w:rPr>
                <w:sz w:val="24"/>
                <w:szCs w:val="24"/>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88.7</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84.6</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90.6</w:t>
            </w:r>
          </w:p>
        </w:tc>
      </w:tr>
      <w:tr>
        <w:trPr>
          <w:trHeight w:val="248"/>
        </w:trPr>
        <w:tc>
          <w:tcPr>
            <w:tcW w:w="20" w:type="dxa"/>
            <w:vAlign w:val="bottom"/>
          </w:tcPr>
          <w:p>
            <w:pPr>
              <w:spacing w:after="0"/>
              <w:rPr>
                <w:sz w:val="21"/>
                <w:szCs w:val="21"/>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Weighted-average common shares outstanding - diluted</w:t>
            </w:r>
            <w:r>
              <w:rPr>
                <w:rFonts w:ascii="Arial" w:cs="Arial" w:eastAsia="Arial" w:hAnsi="Arial"/>
                <w:sz w:val="18"/>
                <w:szCs w:val="18"/>
                <w:color w:val="auto"/>
                <w:vertAlign w:val="superscript"/>
              </w:rPr>
              <w:t>(1)</w:t>
            </w:r>
          </w:p>
        </w:tc>
        <w:tc>
          <w:tcPr>
            <w:tcW w:w="200" w:type="dxa"/>
            <w:vAlign w:val="bottom"/>
          </w:tcPr>
          <w:p>
            <w:pPr>
              <w:spacing w:after="0"/>
              <w:rPr>
                <w:sz w:val="21"/>
                <w:szCs w:val="21"/>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88.7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85.1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jc w:val="right"/>
              <w:ind w:right="109"/>
              <w:spacing w:after="0"/>
              <w:rPr>
                <w:sz w:val="20"/>
                <w:szCs w:val="20"/>
                <w:color w:val="auto"/>
              </w:rPr>
            </w:pPr>
            <w:r>
              <w:rPr>
                <w:rFonts w:ascii="Arial" w:cs="Arial" w:eastAsia="Arial" w:hAnsi="Arial"/>
                <w:sz w:val="14"/>
                <w:szCs w:val="14"/>
                <w:b w:val="1"/>
                <w:bCs w:val="1"/>
                <w:color w:val="auto"/>
              </w:rPr>
              <w:t>91.2</w:t>
            </w:r>
          </w:p>
        </w:tc>
      </w:tr>
      <w:tr>
        <w:trPr>
          <w:trHeight w:val="298"/>
        </w:trPr>
        <w:tc>
          <w:tcPr>
            <w:tcW w:w="20" w:type="dxa"/>
            <w:vAlign w:val="bottom"/>
          </w:tcPr>
          <w:p>
            <w:pPr>
              <w:spacing w:after="0"/>
              <w:rPr>
                <w:sz w:val="24"/>
                <w:szCs w:val="24"/>
                <w:color w:val="auto"/>
              </w:rPr>
            </w:pPr>
          </w:p>
        </w:tc>
        <w:tc>
          <w:tcPr>
            <w:tcW w:w="6880" w:type="dxa"/>
            <w:vAlign w:val="bottom"/>
            <w:gridSpan w:val="2"/>
          </w:tcPr>
          <w:p>
            <w:pPr>
              <w:spacing w:after="0"/>
              <w:rPr>
                <w:sz w:val="20"/>
                <w:szCs w:val="20"/>
                <w:color w:val="auto"/>
              </w:rPr>
            </w:pPr>
            <w:r>
              <w:rPr>
                <w:rFonts w:ascii="Arial" w:cs="Arial" w:eastAsia="Arial" w:hAnsi="Arial"/>
                <w:sz w:val="14"/>
                <w:szCs w:val="14"/>
                <w:color w:val="auto"/>
              </w:rPr>
              <w:t>Effective tax rate</w:t>
            </w: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6 %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48 %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4"/>
                <w:szCs w:val="14"/>
                <w:b w:val="1"/>
                <w:bCs w:val="1"/>
                <w:color w:val="auto"/>
              </w:rPr>
              <w:t>29 %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8</w:t>
      </w:r>
    </w:p>
    <w:p>
      <w:pPr>
        <w:sectPr>
          <w:pgSz w:w="11900" w:h="16838" w:orient="portrait"/>
          <w:cols w:equalWidth="0" w:num="1">
            <w:col w:w="11240"/>
          </w:cols>
          <w:pgMar w:left="320" w:top="1170" w:right="339" w:bottom="1440" w:gutter="0" w:footer="0" w:header="0"/>
        </w:sectPr>
      </w:pPr>
    </w:p>
    <w:bookmarkStart w:id="12" w:name="page13"/>
    <w:bookmarkEnd w:id="12"/>
    <w:tbl>
      <w:tblPr>
        <w:tblLayout w:type="fixed"/>
        <w:tblInd w:w="20" w:type="dxa"/>
        <w:tblCellMar>
          <w:top w:w="0" w:type="dxa"/>
          <w:left w:w="0" w:type="dxa"/>
          <w:bottom w:w="0" w:type="dxa"/>
          <w:right w:w="0" w:type="dxa"/>
        </w:tblCellMar>
      </w:tblPr>
      <w:tr>
        <w:trPr>
          <w:trHeight w:val="195"/>
        </w:trPr>
        <w:tc>
          <w:tcPr>
            <w:tcW w:w="7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9"/>
              </w:rPr>
              <w:t>1st Quarter</w:t>
            </w:r>
          </w:p>
        </w:tc>
        <w:tc>
          <w:tcPr>
            <w:tcW w:w="140" w:type="dxa"/>
            <w:vAlign w:val="bottom"/>
          </w:tcPr>
          <w:p>
            <w:pPr>
              <w:spacing w:after="0"/>
              <w:rPr>
                <w:sz w:val="16"/>
                <w:szCs w:val="16"/>
                <w:color w:val="auto"/>
              </w:rPr>
            </w:pPr>
          </w:p>
        </w:tc>
        <w:tc>
          <w:tcPr>
            <w:tcW w:w="1160" w:type="dxa"/>
            <w:vAlign w:val="bottom"/>
          </w:tcPr>
          <w:p>
            <w:pPr>
              <w:jc w:val="center"/>
              <w:ind w:right="69"/>
              <w:spacing w:after="0"/>
              <w:rPr>
                <w:sz w:val="20"/>
                <w:szCs w:val="20"/>
                <w:color w:val="auto"/>
              </w:rPr>
            </w:pPr>
            <w:r>
              <w:rPr>
                <w:rFonts w:ascii="Arial" w:cs="Arial" w:eastAsia="Arial" w:hAnsi="Arial"/>
                <w:sz w:val="14"/>
                <w:szCs w:val="14"/>
                <w:b w:val="1"/>
                <w:bCs w:val="1"/>
                <w:color w:val="auto"/>
              </w:rPr>
              <w:t>4th Quarter</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b w:val="1"/>
                <w:bCs w:val="1"/>
                <w:color w:val="auto"/>
              </w:rPr>
              <w:t>1st Quarter</w:t>
            </w:r>
          </w:p>
        </w:tc>
      </w:tr>
      <w:tr>
        <w:trPr>
          <w:trHeight w:val="200"/>
        </w:trPr>
        <w:tc>
          <w:tcPr>
            <w:tcW w:w="712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6"/>
              </w:rPr>
              <w:t>2026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r>
      <w:tr>
        <w:trPr>
          <w:trHeight w:val="180"/>
        </w:trPr>
        <w:tc>
          <w:tcPr>
            <w:tcW w:w="7120" w:type="dxa"/>
            <w:vAlign w:val="bottom"/>
          </w:tcPr>
          <w:p>
            <w:pPr>
              <w:spacing w:after="0"/>
              <w:rPr>
                <w:sz w:val="20"/>
                <w:szCs w:val="20"/>
                <w:color w:val="auto"/>
              </w:rPr>
            </w:pPr>
            <w:r>
              <w:rPr>
                <w:rFonts w:ascii="Arial" w:cs="Arial" w:eastAsia="Arial" w:hAnsi="Arial"/>
                <w:sz w:val="14"/>
                <w:szCs w:val="14"/>
                <w:b w:val="1"/>
                <w:bCs w:val="1"/>
                <w:color w:val="auto"/>
              </w:rPr>
              <w:t>Cash Flow Data:</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0"/>
        </w:trPr>
        <w:tc>
          <w:tcPr>
            <w:tcW w:w="712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186</w:t>
            </w:r>
          </w:p>
        </w:tc>
      </w:tr>
      <w:tr>
        <w:trPr>
          <w:trHeight w:val="200"/>
        </w:trPr>
        <w:tc>
          <w:tcPr>
            <w:tcW w:w="7120" w:type="dxa"/>
            <w:vAlign w:val="bottom"/>
          </w:tcPr>
          <w:p>
            <w:pPr>
              <w:spacing w:after="0"/>
              <w:rPr>
                <w:sz w:val="20"/>
                <w:szCs w:val="20"/>
                <w:color w:val="auto"/>
              </w:rPr>
            </w:pPr>
            <w:r>
              <w:rPr>
                <w:rFonts w:ascii="Arial" w:cs="Arial" w:eastAsia="Arial" w:hAnsi="Arial"/>
                <w:sz w:val="14"/>
                <w:szCs w:val="14"/>
                <w:color w:val="auto"/>
              </w:rPr>
              <w:t>Net cash used in investing activities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(508)</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(79)</w:t>
            </w:r>
          </w:p>
        </w:tc>
      </w:tr>
      <w:tr>
        <w:trPr>
          <w:trHeight w:val="200"/>
        </w:trPr>
        <w:tc>
          <w:tcPr>
            <w:tcW w:w="7120" w:type="dxa"/>
            <w:vAlign w:val="bottom"/>
          </w:tcPr>
          <w:p>
            <w:pPr>
              <w:spacing w:after="0"/>
              <w:rPr>
                <w:sz w:val="20"/>
                <w:szCs w:val="20"/>
                <w:color w:val="auto"/>
              </w:rPr>
            </w:pPr>
            <w:r>
              <w:rPr>
                <w:rFonts w:ascii="Arial" w:cs="Arial" w:eastAsia="Arial" w:hAnsi="Arial"/>
                <w:sz w:val="14"/>
                <w:szCs w:val="14"/>
                <w:color w:val="auto"/>
              </w:rPr>
              <w:t>Net cash (used in) provided by financing activities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(55)</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209</w:t>
            </w:r>
          </w:p>
        </w:tc>
        <w:tc>
          <w:tcPr>
            <w:tcW w:w="280" w:type="dxa"/>
            <w:vAlign w:val="bottom"/>
            <w:gridSpan w:val="2"/>
          </w:tcPr>
          <w:p>
            <w:pPr>
              <w:jc w:val="right"/>
              <w:ind w:right="80"/>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(265)</w:t>
            </w:r>
          </w:p>
        </w:tc>
      </w:tr>
      <w:tr>
        <w:trPr>
          <w:trHeight w:val="466"/>
        </w:trPr>
        <w:tc>
          <w:tcPr>
            <w:tcW w:w="7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March 31</w:t>
            </w:r>
          </w:p>
        </w:tc>
        <w:tc>
          <w:tcPr>
            <w:tcW w:w="140" w:type="dxa"/>
            <w:vAlign w:val="bottom"/>
          </w:tcPr>
          <w:p>
            <w:pPr>
              <w:spacing w:after="0"/>
              <w:rPr>
                <w:sz w:val="24"/>
                <w:szCs w:val="24"/>
                <w:color w:val="auto"/>
              </w:rPr>
            </w:pPr>
          </w:p>
        </w:tc>
        <w:tc>
          <w:tcPr>
            <w:tcW w:w="1160" w:type="dxa"/>
            <w:vAlign w:val="bottom"/>
          </w:tcPr>
          <w:p>
            <w:pPr>
              <w:jc w:val="center"/>
              <w:ind w:right="69"/>
              <w:spacing w:after="0"/>
              <w:rPr>
                <w:sz w:val="20"/>
                <w:szCs w:val="20"/>
                <w:color w:val="auto"/>
              </w:rPr>
            </w:pPr>
            <w:r>
              <w:rPr>
                <w:rFonts w:ascii="Arial" w:cs="Arial" w:eastAsia="Arial" w:hAnsi="Arial"/>
                <w:sz w:val="14"/>
                <w:szCs w:val="14"/>
                <w:b w:val="1"/>
                <w:bCs w:val="1"/>
                <w:color w:val="auto"/>
              </w:rPr>
              <w:t>December 31,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0"/>
        </w:trPr>
        <w:tc>
          <w:tcPr>
            <w:tcW w:w="7120" w:type="dxa"/>
            <w:vAlign w:val="bottom"/>
          </w:tcPr>
          <w:p>
            <w:pPr>
              <w:spacing w:after="0"/>
              <w:rPr>
                <w:sz w:val="20"/>
                <w:szCs w:val="20"/>
                <w:color w:val="auto"/>
              </w:rPr>
            </w:pPr>
            <w:r>
              <w:rPr>
                <w:rFonts w:ascii="Arial" w:cs="Arial" w:eastAsia="Arial" w:hAnsi="Arial"/>
                <w:sz w:val="14"/>
                <w:szCs w:val="14"/>
                <w:i w:val="1"/>
                <w:iCs w:val="1"/>
                <w:color w:val="auto"/>
              </w:rPr>
              <w:t>($ in millions)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right="109"/>
              <w:spacing w:after="0"/>
              <w:rPr>
                <w:sz w:val="20"/>
                <w:szCs w:val="20"/>
                <w:color w:val="auto"/>
              </w:rPr>
            </w:pPr>
            <w:r>
              <w:rPr>
                <w:rFonts w:ascii="Arial" w:cs="Arial" w:eastAsia="Arial" w:hAnsi="Arial"/>
                <w:sz w:val="14"/>
                <w:szCs w:val="14"/>
                <w:b w:val="1"/>
                <w:bCs w:val="1"/>
                <w:color w:val="auto"/>
                <w:w w:val="96"/>
              </w:rPr>
              <w:t>2026</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center"/>
              <w:ind w:right="69"/>
              <w:spacing w:after="0"/>
              <w:rPr>
                <w:sz w:val="20"/>
                <w:szCs w:val="20"/>
                <w:color w:val="auto"/>
              </w:rPr>
            </w:pPr>
            <w:r>
              <w:rPr>
                <w:rFonts w:ascii="Arial" w:cs="Arial" w:eastAsia="Arial" w:hAnsi="Arial"/>
                <w:sz w:val="14"/>
                <w:szCs w:val="14"/>
                <w:b w:val="1"/>
                <w:bCs w:val="1"/>
                <w:color w:val="auto"/>
                <w:w w:val="96"/>
              </w:rPr>
              <w:t>2025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180"/>
        </w:trPr>
        <w:tc>
          <w:tcPr>
            <w:tcW w:w="7120" w:type="dxa"/>
            <w:vAlign w:val="bottom"/>
          </w:tcPr>
          <w:p>
            <w:pPr>
              <w:spacing w:after="0"/>
              <w:rPr>
                <w:sz w:val="20"/>
                <w:szCs w:val="20"/>
                <w:color w:val="auto"/>
              </w:rPr>
            </w:pPr>
            <w:r>
              <w:rPr>
                <w:rFonts w:ascii="Arial" w:cs="Arial" w:eastAsia="Arial" w:hAnsi="Arial"/>
                <w:sz w:val="14"/>
                <w:szCs w:val="14"/>
                <w:b w:val="1"/>
                <w:bCs w:val="1"/>
                <w:color w:val="auto"/>
              </w:rPr>
              <w:t>Select Balance Sheet Information:</w:t>
            </w: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20" w:type="dxa"/>
            <w:vAlign w:val="bottom"/>
          </w:tcPr>
          <w:p>
            <w:pPr>
              <w:spacing w:after="0"/>
              <w:rPr>
                <w:sz w:val="15"/>
                <w:szCs w:val="15"/>
                <w:color w:val="auto"/>
              </w:rPr>
            </w:pPr>
          </w:p>
        </w:tc>
      </w:tr>
      <w:tr>
        <w:trPr>
          <w:trHeight w:val="200"/>
        </w:trPr>
        <w:tc>
          <w:tcPr>
            <w:tcW w:w="7120" w:type="dxa"/>
            <w:vAlign w:val="bottom"/>
          </w:tcPr>
          <w:p>
            <w:pPr>
              <w:spacing w:after="0"/>
              <w:rPr>
                <w:sz w:val="20"/>
                <w:szCs w:val="20"/>
                <w:color w:val="auto"/>
              </w:rPr>
            </w:pPr>
            <w:r>
              <w:rPr>
                <w:rFonts w:ascii="Arial" w:cs="Arial" w:eastAsia="Arial" w:hAnsi="Arial"/>
                <w:sz w:val="14"/>
                <w:szCs w:val="14"/>
                <w:color w:val="auto"/>
              </w:rPr>
              <w:t>Total current assets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788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938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0"/>
        </w:trPr>
        <w:tc>
          <w:tcPr>
            <w:tcW w:w="7120" w:type="dxa"/>
            <w:vAlign w:val="bottom"/>
          </w:tcPr>
          <w:p>
            <w:pPr>
              <w:spacing w:after="0"/>
              <w:rPr>
                <w:sz w:val="20"/>
                <w:szCs w:val="20"/>
                <w:color w:val="auto"/>
              </w:rPr>
            </w:pPr>
            <w:r>
              <w:rPr>
                <w:rFonts w:ascii="Arial" w:cs="Arial" w:eastAsia="Arial" w:hAnsi="Arial"/>
                <w:sz w:val="14"/>
                <w:szCs w:val="14"/>
                <w:color w:val="auto"/>
              </w:rPr>
              <w:t>Property, plant and equipment, net</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5,904</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5,905</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0"/>
        </w:trPr>
        <w:tc>
          <w:tcPr>
            <w:tcW w:w="712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1,441</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1,050</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0"/>
        </w:trPr>
        <w:tc>
          <w:tcPr>
            <w:tcW w:w="7120" w:type="dxa"/>
            <w:vAlign w:val="bottom"/>
          </w:tcPr>
          <w:p>
            <w:pPr>
              <w:spacing w:after="0"/>
              <w:rPr>
                <w:sz w:val="20"/>
                <w:szCs w:val="20"/>
                <w:color w:val="auto"/>
              </w:rPr>
            </w:pPr>
            <w:r>
              <w:rPr>
                <w:rFonts w:ascii="Arial" w:cs="Arial" w:eastAsia="Arial" w:hAnsi="Arial"/>
                <w:sz w:val="14"/>
                <w:szCs w:val="14"/>
                <w:color w:val="auto"/>
              </w:rPr>
              <w:t>Long-term debt, net</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1,310</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1,283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0"/>
        </w:trPr>
        <w:tc>
          <w:tcPr>
            <w:tcW w:w="7120" w:type="dxa"/>
            <w:vAlign w:val="bottom"/>
          </w:tcPr>
          <w:p>
            <w:pPr>
              <w:spacing w:after="0"/>
              <w:rPr>
                <w:sz w:val="20"/>
                <w:szCs w:val="20"/>
                <w:color w:val="auto"/>
              </w:rPr>
            </w:pPr>
            <w:r>
              <w:rPr>
                <w:rFonts w:ascii="Arial" w:cs="Arial" w:eastAsia="Arial" w:hAnsi="Arial"/>
                <w:sz w:val="14"/>
                <w:szCs w:val="14"/>
                <w:color w:val="auto"/>
              </w:rPr>
              <w:t>Noncurrent asset retirement obligations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906</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913</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0"/>
        </w:trPr>
        <w:tc>
          <w:tcPr>
            <w:tcW w:w="712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2,918</w:t>
            </w:r>
          </w:p>
        </w:tc>
        <w:tc>
          <w:tcPr>
            <w:tcW w:w="1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160" w:type="dxa"/>
            <w:vAlign w:val="bottom"/>
          </w:tcPr>
          <w:p>
            <w:pPr>
              <w:jc w:val="right"/>
              <w:spacing w:after="0"/>
              <w:rPr>
                <w:sz w:val="20"/>
                <w:szCs w:val="20"/>
                <w:color w:val="auto"/>
              </w:rPr>
            </w:pPr>
            <w:r>
              <w:rPr>
                <w:rFonts w:ascii="Arial" w:cs="Arial" w:eastAsia="Arial" w:hAnsi="Arial"/>
                <w:sz w:val="14"/>
                <w:szCs w:val="14"/>
                <w:b w:val="1"/>
                <w:bCs w:val="1"/>
                <w:color w:val="auto"/>
              </w:rPr>
              <w:t>3,674</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r>
    </w:tbl>
    <w:p>
      <w:pPr>
        <w:spacing w:after="0" w:line="200" w:lineRule="exact"/>
        <w:rPr>
          <w:sz w:val="20"/>
          <w:szCs w:val="20"/>
          <w:color w:val="auto"/>
        </w:rPr>
      </w:pPr>
    </w:p>
    <w:p>
      <w:pPr>
        <w:spacing w:after="0" w:line="330" w:lineRule="exact"/>
        <w:rPr>
          <w:sz w:val="20"/>
          <w:szCs w:val="20"/>
          <w:color w:val="auto"/>
        </w:rPr>
      </w:pPr>
    </w:p>
    <w:p>
      <w:pPr>
        <w:ind w:left="20"/>
        <w:spacing w:after="0"/>
        <w:rPr>
          <w:sz w:val="20"/>
          <w:szCs w:val="20"/>
          <w:color w:val="auto"/>
        </w:rPr>
      </w:pPr>
      <w:r>
        <w:rPr>
          <w:rFonts w:ascii="Arial" w:cs="Arial" w:eastAsia="Arial" w:hAnsi="Arial"/>
          <w:sz w:val="12"/>
          <w:szCs w:val="12"/>
          <w:color w:val="auto"/>
        </w:rPr>
        <w:t>(1) Adjusted net income per share - diluted for the three months ended March 31, 2026 is calculated using weighted average shares outstanding of 89.5 million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254000</wp:posOffset>
            </wp:positionV>
            <wp:extent cx="71342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1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GAINS AND LOSSES FROM COMMODITY DERIVATIVES</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347"/>
        </w:trPr>
        <w:tc>
          <w:tcPr>
            <w:tcW w:w="71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24"/>
                <w:szCs w:val="24"/>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b w:val="1"/>
                <w:bCs w:val="1"/>
                <w:color w:val="auto"/>
              </w:rPr>
              <w:t>1st Quarter</w:t>
            </w:r>
          </w:p>
        </w:tc>
      </w:tr>
      <w:tr>
        <w:trPr>
          <w:trHeight w:val="201"/>
        </w:trPr>
        <w:tc>
          <w:tcPr>
            <w:tcW w:w="7140" w:type="dxa"/>
            <w:vAlign w:val="bottom"/>
          </w:tcPr>
          <w:p>
            <w:pPr>
              <w:ind w:left="20"/>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r>
      <w:tr>
        <w:trPr>
          <w:trHeight w:val="233"/>
        </w:trPr>
        <w:tc>
          <w:tcPr>
            <w:tcW w:w="7140" w:type="dxa"/>
            <w:vAlign w:val="bottom"/>
          </w:tcPr>
          <w:p>
            <w:pPr>
              <w:ind w:left="20"/>
              <w:spacing w:after="0"/>
              <w:rPr>
                <w:sz w:val="20"/>
                <w:szCs w:val="20"/>
                <w:color w:val="auto"/>
              </w:rPr>
            </w:pPr>
            <w:r>
              <w:rPr>
                <w:rFonts w:ascii="Arial" w:cs="Arial" w:eastAsia="Arial" w:hAnsi="Arial"/>
                <w:sz w:val="14"/>
                <w:szCs w:val="14"/>
                <w:color w:val="auto"/>
              </w:rPr>
              <w:t>Non-cash (loss) gain from commodity sales derivatives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(792)</w:t>
            </w:r>
          </w:p>
        </w:tc>
        <w:tc>
          <w:tcPr>
            <w:tcW w:w="100" w:type="dxa"/>
            <w:vAlign w:val="bottom"/>
          </w:tcPr>
          <w:p>
            <w:pPr>
              <w:spacing w:after="0"/>
              <w:rPr>
                <w:sz w:val="20"/>
                <w:szCs w:val="20"/>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00" w:type="dxa"/>
            <w:vAlign w:val="bottom"/>
          </w:tcPr>
          <w:p>
            <w:pPr>
              <w:spacing w:after="0"/>
              <w:rPr>
                <w:sz w:val="20"/>
                <w:szCs w:val="20"/>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r>
        <w:trPr>
          <w:trHeight w:val="201"/>
        </w:trPr>
        <w:tc>
          <w:tcPr>
            <w:tcW w:w="7140" w:type="dxa"/>
            <w:vAlign w:val="bottom"/>
          </w:tcPr>
          <w:p>
            <w:pPr>
              <w:ind w:left="20"/>
              <w:spacing w:after="0"/>
              <w:rPr>
                <w:sz w:val="20"/>
                <w:szCs w:val="20"/>
                <w:color w:val="auto"/>
              </w:rPr>
            </w:pPr>
            <w:r>
              <w:rPr>
                <w:rFonts w:ascii="Arial" w:cs="Arial" w:eastAsia="Arial" w:hAnsi="Arial"/>
                <w:sz w:val="14"/>
                <w:szCs w:val="14"/>
                <w:color w:val="auto"/>
              </w:rPr>
              <w:t>Net settlements and premiums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w:t>
            </w:r>
          </w:p>
        </w:tc>
      </w:tr>
      <w:tr>
        <w:trPr>
          <w:trHeight w:val="194"/>
        </w:trPr>
        <w:tc>
          <w:tcPr>
            <w:tcW w:w="7140" w:type="dxa"/>
            <w:vAlign w:val="bottom"/>
          </w:tcPr>
          <w:p>
            <w:pPr>
              <w:ind w:left="260"/>
              <w:spacing w:after="0"/>
              <w:rPr>
                <w:sz w:val="20"/>
                <w:szCs w:val="20"/>
                <w:color w:val="auto"/>
              </w:rPr>
            </w:pPr>
            <w:r>
              <w:rPr>
                <w:rFonts w:ascii="Arial" w:cs="Arial" w:eastAsia="Arial" w:hAnsi="Arial"/>
                <w:sz w:val="14"/>
                <w:szCs w:val="14"/>
                <w:color w:val="auto"/>
              </w:rPr>
              <w:t>Net (loss) gain from commodity sales derivatives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(848)</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r>
      <w:tr>
        <w:trPr>
          <w:trHeight w:val="20"/>
        </w:trPr>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38"/>
        </w:trPr>
        <w:tc>
          <w:tcPr>
            <w:tcW w:w="7140" w:type="dxa"/>
            <w:vAlign w:val="bottom"/>
          </w:tcPr>
          <w:p>
            <w:pPr>
              <w:ind w:left="20"/>
              <w:spacing w:after="0"/>
              <w:rPr>
                <w:sz w:val="20"/>
                <w:szCs w:val="20"/>
                <w:color w:val="auto"/>
              </w:rPr>
            </w:pPr>
            <w:r>
              <w:rPr>
                <w:rFonts w:ascii="Arial" w:cs="Arial" w:eastAsia="Arial" w:hAnsi="Arial"/>
                <w:sz w:val="14"/>
                <w:szCs w:val="14"/>
                <w:color w:val="auto"/>
              </w:rPr>
              <w:t>Non-cash loss (gain) from natural gas purchase derivatives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r>
        <w:trPr>
          <w:trHeight w:val="201"/>
        </w:trPr>
        <w:tc>
          <w:tcPr>
            <w:tcW w:w="7140" w:type="dxa"/>
            <w:vAlign w:val="bottom"/>
          </w:tcPr>
          <w:p>
            <w:pPr>
              <w:ind w:left="20"/>
              <w:spacing w:after="0"/>
              <w:rPr>
                <w:sz w:val="20"/>
                <w:szCs w:val="20"/>
                <w:color w:val="auto"/>
              </w:rPr>
            </w:pPr>
            <w:r>
              <w:rPr>
                <w:rFonts w:ascii="Arial" w:cs="Arial" w:eastAsia="Arial" w:hAnsi="Arial"/>
                <w:sz w:val="14"/>
                <w:szCs w:val="14"/>
                <w:color w:val="auto"/>
              </w:rPr>
              <w:t>Settlements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r>
      <w:tr>
        <w:trPr>
          <w:trHeight w:val="194"/>
        </w:trPr>
        <w:tc>
          <w:tcPr>
            <w:tcW w:w="7140" w:type="dxa"/>
            <w:vAlign w:val="bottom"/>
          </w:tcPr>
          <w:p>
            <w:pPr>
              <w:ind w:left="240"/>
              <w:spacing w:after="0"/>
              <w:rPr>
                <w:sz w:val="20"/>
                <w:szCs w:val="20"/>
                <w:color w:val="auto"/>
              </w:rPr>
            </w:pPr>
            <w:r>
              <w:rPr>
                <w:rFonts w:ascii="Arial" w:cs="Arial" w:eastAsia="Arial" w:hAnsi="Arial"/>
                <w:sz w:val="14"/>
                <w:szCs w:val="14"/>
                <w:color w:val="auto"/>
              </w:rPr>
              <w:t>Net loss (gain) from natural gas purchase derivatives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r>
      <w:tr>
        <w:trPr>
          <w:trHeight w:val="20"/>
        </w:trPr>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738"/>
        </w:trPr>
        <w:tc>
          <w:tcPr>
            <w:tcW w:w="7140" w:type="dxa"/>
            <w:vAlign w:val="bottom"/>
          </w:tcPr>
          <w:p>
            <w:pPr>
              <w:ind w:left="20"/>
              <w:spacing w:after="0"/>
              <w:rPr>
                <w:sz w:val="20"/>
                <w:szCs w:val="20"/>
                <w:color w:val="auto"/>
              </w:rPr>
            </w:pPr>
            <w:r>
              <w:rPr>
                <w:rFonts w:ascii="Arial" w:cs="Arial" w:eastAsia="Arial" w:hAnsi="Arial"/>
                <w:sz w:val="14"/>
                <w:szCs w:val="14"/>
                <w:color w:val="auto"/>
              </w:rPr>
              <w:t>Non-cash (loss) gain from combined commodity derivatives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(804)</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73</w:t>
            </w:r>
          </w:p>
        </w:tc>
        <w:tc>
          <w:tcPr>
            <w:tcW w:w="100" w:type="dxa"/>
            <w:vAlign w:val="bottom"/>
          </w:tcPr>
          <w:p>
            <w:pPr>
              <w:spacing w:after="0"/>
              <w:rPr>
                <w:sz w:val="24"/>
                <w:szCs w:val="24"/>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40</w:t>
            </w:r>
          </w:p>
        </w:tc>
      </w:tr>
      <w:tr>
        <w:trPr>
          <w:trHeight w:val="201"/>
        </w:trPr>
        <w:tc>
          <w:tcPr>
            <w:tcW w:w="7140" w:type="dxa"/>
            <w:vAlign w:val="bottom"/>
          </w:tcPr>
          <w:p>
            <w:pPr>
              <w:ind w:left="20"/>
              <w:spacing w:after="0"/>
              <w:rPr>
                <w:sz w:val="20"/>
                <w:szCs w:val="20"/>
                <w:color w:val="auto"/>
              </w:rPr>
            </w:pPr>
            <w:r>
              <w:rPr>
                <w:rFonts w:ascii="Arial" w:cs="Arial" w:eastAsia="Arial" w:hAnsi="Arial"/>
                <w:sz w:val="14"/>
                <w:szCs w:val="14"/>
                <w:color w:val="auto"/>
              </w:rPr>
              <w:t>Net settlements and premiums from combined derivatives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(68)</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(28)</w:t>
            </w:r>
          </w:p>
        </w:tc>
      </w:tr>
      <w:tr>
        <w:trPr>
          <w:trHeight w:val="194"/>
        </w:trPr>
        <w:tc>
          <w:tcPr>
            <w:tcW w:w="7140" w:type="dxa"/>
            <w:vAlign w:val="bottom"/>
          </w:tcPr>
          <w:p>
            <w:pPr>
              <w:ind w:left="260"/>
              <w:spacing w:after="0"/>
              <w:rPr>
                <w:sz w:val="20"/>
                <w:szCs w:val="20"/>
                <w:color w:val="auto"/>
              </w:rPr>
            </w:pPr>
            <w:r>
              <w:rPr>
                <w:rFonts w:ascii="Arial" w:cs="Arial" w:eastAsia="Arial" w:hAnsi="Arial"/>
                <w:sz w:val="14"/>
                <w:szCs w:val="14"/>
                <w:color w:val="auto"/>
              </w:rPr>
              <w:t>Net (loss) gain from combined commodity derivatives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(872)</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100</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w:t>
            </w:r>
          </w:p>
        </w:tc>
      </w:tr>
      <w:tr>
        <w:trPr>
          <w:trHeight w:val="20"/>
        </w:trPr>
        <w:tc>
          <w:tcPr>
            <w:tcW w:w="7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9</w:t>
      </w:r>
    </w:p>
    <w:p>
      <w:pPr>
        <w:sectPr>
          <w:pgSz w:w="11900" w:h="16838" w:orient="portrait"/>
          <w:cols w:equalWidth="0" w:num="1">
            <w:col w:w="11240"/>
          </w:cols>
          <w:pgMar w:left="320" w:top="1143" w:right="339" w:bottom="1440" w:gutter="0" w:footer="0" w:header="0"/>
        </w:sectPr>
      </w:pPr>
    </w:p>
    <w:bookmarkStart w:id="13" w:name="page14"/>
    <w:bookmarkEnd w:id="13"/>
    <w:tbl>
      <w:tblPr>
        <w:tblLayout w:type="fixed"/>
        <w:tblInd w:w="0" w:type="dxa"/>
        <w:tblCellMar>
          <w:top w:w="0" w:type="dxa"/>
          <w:left w:w="0" w:type="dxa"/>
          <w:bottom w:w="0" w:type="dxa"/>
          <w:right w:w="0" w:type="dxa"/>
        </w:tblCellMar>
      </w:tblPr>
      <w:tr>
        <w:trPr>
          <w:trHeight w:val="212"/>
        </w:trPr>
        <w:tc>
          <w:tcPr>
            <w:tcW w:w="714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CAPITAL INVESTMENTS</w:t>
            </w: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r>
      <w:tr>
        <w:trPr>
          <w:trHeight w:val="253"/>
        </w:trPr>
        <w:tc>
          <w:tcPr>
            <w:tcW w:w="714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1st Quarter</w:t>
            </w:r>
          </w:p>
        </w:tc>
        <w:tc>
          <w:tcPr>
            <w:tcW w:w="180" w:type="dxa"/>
            <w:vAlign w:val="bottom"/>
          </w:tcPr>
          <w:p>
            <w:pPr>
              <w:spacing w:after="0"/>
              <w:rPr>
                <w:sz w:val="22"/>
                <w:szCs w:val="22"/>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180" w:type="dxa"/>
            <w:vAlign w:val="bottom"/>
          </w:tcPr>
          <w:p>
            <w:pPr>
              <w:spacing w:after="0"/>
              <w:rPr>
                <w:sz w:val="22"/>
                <w:szCs w:val="22"/>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b w:val="1"/>
                <w:bCs w:val="1"/>
                <w:color w:val="auto"/>
              </w:rPr>
              <w:t>1st Quarter</w:t>
            </w:r>
          </w:p>
        </w:tc>
      </w:tr>
      <w:tr>
        <w:trPr>
          <w:trHeight w:val="200"/>
        </w:trPr>
        <w:tc>
          <w:tcPr>
            <w:tcW w:w="7140" w:type="dxa"/>
            <w:vAlign w:val="bottom"/>
          </w:tcPr>
          <w:p>
            <w:pPr>
              <w:ind w:left="20"/>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r>
      <w:tr>
        <w:trPr>
          <w:trHeight w:val="239"/>
        </w:trPr>
        <w:tc>
          <w:tcPr>
            <w:tcW w:w="7140" w:type="dxa"/>
            <w:vAlign w:val="bottom"/>
          </w:tcPr>
          <w:p>
            <w:pPr>
              <w:ind w:left="140"/>
              <w:spacing w:after="0"/>
              <w:rPr>
                <w:sz w:val="20"/>
                <w:szCs w:val="20"/>
                <w:color w:val="auto"/>
              </w:rPr>
            </w:pPr>
            <w:r>
              <w:rPr>
                <w:rFonts w:ascii="Arial" w:cs="Arial" w:eastAsia="Arial" w:hAnsi="Arial"/>
                <w:sz w:val="14"/>
                <w:szCs w:val="14"/>
                <w:color w:val="auto"/>
              </w:rPr>
              <w:t>Facilities</w:t>
            </w:r>
            <w:r>
              <w:rPr>
                <w:rFonts w:ascii="Arial" w:cs="Arial" w:eastAsia="Arial" w:hAnsi="Arial"/>
                <w:sz w:val="18"/>
                <w:szCs w:val="18"/>
                <w:color w:val="auto"/>
                <w:vertAlign w:val="superscript"/>
              </w:rPr>
              <w:t>(1)</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37</w:t>
            </w:r>
          </w:p>
        </w:tc>
        <w:tc>
          <w:tcPr>
            <w:tcW w:w="100" w:type="dxa"/>
            <w:vAlign w:val="bottom"/>
          </w:tcPr>
          <w:p>
            <w:pPr>
              <w:spacing w:after="0"/>
              <w:rPr>
                <w:sz w:val="20"/>
                <w:szCs w:val="20"/>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20"/>
                <w:szCs w:val="20"/>
                <w:color w:val="auto"/>
              </w:rPr>
            </w:pP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16</w:t>
            </w:r>
          </w:p>
        </w:tc>
      </w:tr>
      <w:tr>
        <w:trPr>
          <w:trHeight w:val="195"/>
        </w:trPr>
        <w:tc>
          <w:tcPr>
            <w:tcW w:w="7140" w:type="dxa"/>
            <w:vAlign w:val="bottom"/>
          </w:tcPr>
          <w:p>
            <w:pPr>
              <w:ind w:left="140"/>
              <w:spacing w:after="0"/>
              <w:rPr>
                <w:sz w:val="20"/>
                <w:szCs w:val="20"/>
                <w:color w:val="auto"/>
              </w:rPr>
            </w:pPr>
            <w:r>
              <w:rPr>
                <w:rFonts w:ascii="Arial" w:cs="Arial" w:eastAsia="Arial" w:hAnsi="Arial"/>
                <w:sz w:val="14"/>
                <w:szCs w:val="14"/>
                <w:color w:val="auto"/>
              </w:rPr>
              <w:t>Drilling and completions</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53</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38</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200"/>
        </w:trPr>
        <w:tc>
          <w:tcPr>
            <w:tcW w:w="7140" w:type="dxa"/>
            <w:vAlign w:val="bottom"/>
          </w:tcPr>
          <w:p>
            <w:pPr>
              <w:ind w:left="140"/>
              <w:spacing w:after="0"/>
              <w:rPr>
                <w:sz w:val="20"/>
                <w:szCs w:val="20"/>
                <w:color w:val="auto"/>
              </w:rPr>
            </w:pPr>
            <w:r>
              <w:rPr>
                <w:rFonts w:ascii="Arial" w:cs="Arial" w:eastAsia="Arial" w:hAnsi="Arial"/>
                <w:sz w:val="14"/>
                <w:szCs w:val="14"/>
                <w:color w:val="auto"/>
              </w:rPr>
              <w:t>Workovers</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19</w:t>
            </w:r>
          </w:p>
        </w:tc>
      </w:tr>
      <w:tr>
        <w:trPr>
          <w:trHeight w:val="200"/>
        </w:trPr>
        <w:tc>
          <w:tcPr>
            <w:tcW w:w="7140" w:type="dxa"/>
            <w:vAlign w:val="bottom"/>
          </w:tcPr>
          <w:p>
            <w:pPr>
              <w:ind w:left="140"/>
              <w:spacing w:after="0"/>
              <w:rPr>
                <w:sz w:val="20"/>
                <w:szCs w:val="20"/>
                <w:color w:val="auto"/>
              </w:rPr>
            </w:pPr>
            <w:r>
              <w:rPr>
                <w:rFonts w:ascii="Arial" w:cs="Arial" w:eastAsia="Arial" w:hAnsi="Arial"/>
                <w:sz w:val="14"/>
                <w:szCs w:val="14"/>
                <w:color w:val="auto"/>
              </w:rPr>
              <w:t>Other</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r>
      <w:tr>
        <w:trPr>
          <w:trHeight w:val="193"/>
        </w:trPr>
        <w:tc>
          <w:tcPr>
            <w:tcW w:w="7140" w:type="dxa"/>
            <w:vAlign w:val="bottom"/>
          </w:tcPr>
          <w:p>
            <w:pPr>
              <w:ind w:left="20"/>
              <w:spacing w:after="0"/>
              <w:rPr>
                <w:sz w:val="20"/>
                <w:szCs w:val="20"/>
                <w:color w:val="auto"/>
              </w:rPr>
            </w:pPr>
            <w:r>
              <w:rPr>
                <w:rFonts w:ascii="Arial" w:cs="Arial" w:eastAsia="Arial" w:hAnsi="Arial"/>
                <w:sz w:val="14"/>
                <w:szCs w:val="14"/>
                <w:color w:val="auto"/>
              </w:rPr>
              <w:t>Oil and natural gas segment</w:t>
            </w: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50</w:t>
            </w:r>
          </w:p>
        </w:tc>
      </w:tr>
      <w:tr>
        <w:trPr>
          <w:trHeight w:val="200"/>
        </w:trPr>
        <w:tc>
          <w:tcPr>
            <w:tcW w:w="7140" w:type="dxa"/>
            <w:vAlign w:val="bottom"/>
          </w:tcPr>
          <w:p>
            <w:pPr>
              <w:ind w:left="20"/>
              <w:spacing w:after="0"/>
              <w:rPr>
                <w:sz w:val="20"/>
                <w:szCs w:val="20"/>
                <w:color w:val="auto"/>
              </w:rPr>
            </w:pPr>
            <w:r>
              <w:rPr>
                <w:rFonts w:ascii="Arial" w:cs="Arial" w:eastAsia="Arial" w:hAnsi="Arial"/>
                <w:sz w:val="14"/>
                <w:szCs w:val="14"/>
                <w:color w:val="auto"/>
              </w:rPr>
              <w:t>Carbon management segment</w:t>
            </w: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201"/>
        </w:trPr>
        <w:tc>
          <w:tcPr>
            <w:tcW w:w="7140" w:type="dxa"/>
            <w:vAlign w:val="bottom"/>
          </w:tcPr>
          <w:p>
            <w:pPr>
              <w:ind w:left="20"/>
              <w:spacing w:after="0" w:line="201" w:lineRule="exact"/>
              <w:rPr>
                <w:sz w:val="20"/>
                <w:szCs w:val="20"/>
                <w:color w:val="auto"/>
              </w:rPr>
            </w:pPr>
            <w:r>
              <w:rPr>
                <w:rFonts w:ascii="Arial" w:cs="Arial" w:eastAsia="Arial" w:hAnsi="Arial"/>
                <w:sz w:val="14"/>
                <w:szCs w:val="14"/>
                <w:color w:val="auto"/>
              </w:rPr>
              <w:t>Corporate and other</w:t>
            </w:r>
            <w:r>
              <w:rPr>
                <w:rFonts w:ascii="Arial" w:cs="Arial" w:eastAsia="Arial" w:hAnsi="Arial"/>
                <w:sz w:val="18"/>
                <w:szCs w:val="18"/>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r>
      <w:tr>
        <w:trPr>
          <w:trHeight w:val="193"/>
        </w:trPr>
        <w:tc>
          <w:tcPr>
            <w:tcW w:w="7140" w:type="dxa"/>
            <w:vAlign w:val="bottom"/>
          </w:tcPr>
          <w:p>
            <w:pPr>
              <w:ind w:left="20"/>
              <w:spacing w:after="0"/>
              <w:rPr>
                <w:sz w:val="20"/>
                <w:szCs w:val="20"/>
                <w:color w:val="auto"/>
              </w:rPr>
            </w:pPr>
            <w:r>
              <w:rPr>
                <w:rFonts w:ascii="Arial" w:cs="Arial" w:eastAsia="Arial" w:hAnsi="Arial"/>
                <w:sz w:val="14"/>
                <w:szCs w:val="14"/>
                <w:color w:val="auto"/>
              </w:rPr>
              <w:t>Total capital investment</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w:t>
            </w:r>
          </w:p>
        </w:tc>
        <w:tc>
          <w:tcPr>
            <w:tcW w:w="100" w:type="dxa"/>
            <w:vAlign w:val="bottom"/>
          </w:tcPr>
          <w:p>
            <w:pPr>
              <w:spacing w:after="0"/>
              <w:rPr>
                <w:sz w:val="16"/>
                <w:szCs w:val="16"/>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w:t>
            </w:r>
          </w:p>
        </w:tc>
      </w:tr>
    </w:tbl>
    <w:p>
      <w:pPr>
        <w:spacing w:after="0" w:line="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588010</wp:posOffset>
            </wp:positionV>
            <wp:extent cx="713422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ind w:left="20" w:right="440" w:firstLine="4"/>
        <w:spacing w:after="0" w:line="254" w:lineRule="auto"/>
        <w:tabs>
          <w:tab w:leader="none" w:pos="206" w:val="left"/>
        </w:tabs>
        <w:numPr>
          <w:ilvl w:val="0"/>
          <w:numId w:val="35"/>
        </w:numPr>
        <w:rPr>
          <w:rFonts w:ascii="Arial" w:cs="Arial" w:eastAsia="Arial" w:hAnsi="Arial"/>
          <w:sz w:val="12"/>
          <w:szCs w:val="12"/>
          <w:color w:val="auto"/>
        </w:rPr>
      </w:pPr>
      <w:r>
        <w:rPr>
          <w:rFonts w:ascii="Arial" w:cs="Arial" w:eastAsia="Arial" w:hAnsi="Arial"/>
          <w:sz w:val="12"/>
          <w:szCs w:val="12"/>
          <w:color w:val="auto"/>
        </w:rPr>
        <w:t>Certain amounts previously reported in the Q1 2025 earnings release have been corrected. This correction relates to reporting of $8 million of capital as Corporate and other in Q1 2025 and this amount was reclassified to Facilities in Q4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4531995</wp:posOffset>
            </wp:positionH>
            <wp:positionV relativeFrom="paragraph">
              <wp:posOffset>-173355</wp:posOffset>
            </wp:positionV>
            <wp:extent cx="260667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606675" cy="8255"/>
                    </a:xfrm>
                    <a:prstGeom prst="rect">
                      <a:avLst/>
                    </a:prstGeom>
                    <a:noFill/>
                  </pic:spPr>
                </pic:pic>
              </a:graphicData>
            </a:graphic>
          </wp:anchor>
        </w:drawing>
        <w:drawing>
          <wp:anchor simplePos="0" relativeHeight="251657728" behindDoc="1" locked="0" layoutInCell="0" allowOverlap="1">
            <wp:simplePos x="0" y="0"/>
            <wp:positionH relativeFrom="column">
              <wp:posOffset>63500</wp:posOffset>
            </wp:positionH>
            <wp:positionV relativeFrom="paragraph">
              <wp:posOffset>240665</wp:posOffset>
            </wp:positionV>
            <wp:extent cx="701548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015480" cy="8255"/>
                    </a:xfrm>
                    <a:prstGeom prst="rect">
                      <a:avLst/>
                    </a:prstGeom>
                    <a:noFill/>
                  </pic:spPr>
                </pic:pic>
              </a:graphicData>
            </a:graphic>
          </wp:anchor>
        </w:drawing>
      </w:r>
    </w:p>
    <w:p>
      <w:pPr>
        <w:spacing w:after="0" w:line="379" w:lineRule="exact"/>
        <w:rPr>
          <w:sz w:val="20"/>
          <w:szCs w:val="20"/>
          <w:color w:val="auto"/>
        </w:rPr>
      </w:pPr>
    </w:p>
    <w:tbl>
      <w:tblPr>
        <w:tblLayout w:type="fixed"/>
        <w:tblInd w:w="100" w:type="dxa"/>
        <w:tblCellMar>
          <w:top w:w="0" w:type="dxa"/>
          <w:left w:w="0" w:type="dxa"/>
          <w:bottom w:w="0" w:type="dxa"/>
          <w:right w:w="0" w:type="dxa"/>
        </w:tblCellMar>
      </w:tblPr>
      <w:tr>
        <w:trPr>
          <w:trHeight w:val="212"/>
        </w:trPr>
        <w:tc>
          <w:tcPr>
            <w:tcW w:w="5680" w:type="dxa"/>
            <w:vAlign w:val="bottom"/>
            <w:tcBorders>
              <w:top w:val="single" w:sz="8" w:color="auto"/>
            </w:tcBorders>
          </w:tcPr>
          <w:p>
            <w:pPr>
              <w:ind w:left="20"/>
              <w:spacing w:after="0"/>
              <w:rPr>
                <w:sz w:val="20"/>
                <w:szCs w:val="20"/>
                <w:color w:val="auto"/>
              </w:rPr>
            </w:pPr>
            <w:r>
              <w:rPr>
                <w:rFonts w:ascii="Arial" w:cs="Arial" w:eastAsia="Arial" w:hAnsi="Arial"/>
                <w:sz w:val="14"/>
                <w:szCs w:val="14"/>
                <w:b w:val="1"/>
                <w:bCs w:val="1"/>
                <w:color w:val="auto"/>
              </w:rPr>
              <w:t>LIQUIDITY</w:t>
            </w:r>
          </w:p>
        </w:tc>
        <w:tc>
          <w:tcPr>
            <w:tcW w:w="460" w:type="dxa"/>
            <w:vAlign w:val="bottom"/>
            <w:tcBorders>
              <w:top w:val="single" w:sz="8" w:color="auto"/>
            </w:tcBorders>
          </w:tcPr>
          <w:p>
            <w:pPr>
              <w:spacing w:after="0"/>
              <w:rPr>
                <w:sz w:val="18"/>
                <w:szCs w:val="18"/>
                <w:color w:val="auto"/>
              </w:rPr>
            </w:pPr>
          </w:p>
        </w:tc>
        <w:tc>
          <w:tcPr>
            <w:tcW w:w="218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tcPr>
          <w:p>
            <w:pPr>
              <w:spacing w:after="0"/>
              <w:rPr>
                <w:sz w:val="18"/>
                <w:szCs w:val="18"/>
                <w:color w:val="auto"/>
              </w:rPr>
            </w:pPr>
          </w:p>
        </w:tc>
      </w:tr>
      <w:tr>
        <w:trPr>
          <w:trHeight w:val="293"/>
        </w:trPr>
        <w:tc>
          <w:tcPr>
            <w:tcW w:w="5680" w:type="dxa"/>
            <w:vAlign w:val="bottom"/>
          </w:tcPr>
          <w:p>
            <w:pPr>
              <w:ind w:left="20"/>
              <w:spacing w:after="0"/>
              <w:rPr>
                <w:sz w:val="20"/>
                <w:szCs w:val="20"/>
                <w:color w:val="auto"/>
              </w:rPr>
            </w:pPr>
            <w:r>
              <w:rPr>
                <w:rFonts w:ascii="Arial" w:cs="Arial" w:eastAsia="Arial" w:hAnsi="Arial"/>
                <w:sz w:val="14"/>
                <w:szCs w:val="14"/>
                <w:i w:val="1"/>
                <w:iCs w:val="1"/>
                <w:color w:val="auto"/>
              </w:rPr>
              <w:t>($ millions)</w:t>
            </w:r>
          </w:p>
        </w:tc>
        <w:tc>
          <w:tcPr>
            <w:tcW w:w="460" w:type="dxa"/>
            <w:vAlign w:val="bottom"/>
          </w:tcPr>
          <w:p>
            <w:pPr>
              <w:spacing w:after="0"/>
              <w:rPr>
                <w:sz w:val="24"/>
                <w:szCs w:val="24"/>
                <w:color w:val="auto"/>
              </w:rPr>
            </w:pPr>
          </w:p>
        </w:tc>
        <w:tc>
          <w:tcPr>
            <w:tcW w:w="2260" w:type="dxa"/>
            <w:vAlign w:val="bottom"/>
            <w:gridSpan w:val="2"/>
          </w:tcPr>
          <w:p>
            <w:pPr>
              <w:ind w:left="360"/>
              <w:spacing w:after="0"/>
              <w:rPr>
                <w:sz w:val="20"/>
                <w:szCs w:val="20"/>
                <w:color w:val="auto"/>
              </w:rPr>
            </w:pPr>
            <w:r>
              <w:rPr>
                <w:rFonts w:ascii="Arial" w:cs="Arial" w:eastAsia="Arial" w:hAnsi="Arial"/>
                <w:sz w:val="14"/>
                <w:szCs w:val="14"/>
                <w:b w:val="1"/>
                <w:bCs w:val="1"/>
                <w:color w:val="auto"/>
              </w:rPr>
              <w:t>March 31, 2026</w:t>
            </w:r>
          </w:p>
        </w:tc>
        <w:tc>
          <w:tcPr>
            <w:tcW w:w="400" w:type="dxa"/>
            <w:vAlign w:val="bottom"/>
          </w:tcPr>
          <w:p>
            <w:pPr>
              <w:spacing w:after="0"/>
              <w:rPr>
                <w:sz w:val="24"/>
                <w:szCs w:val="24"/>
                <w:color w:val="auto"/>
              </w:rPr>
            </w:pPr>
          </w:p>
        </w:tc>
        <w:tc>
          <w:tcPr>
            <w:tcW w:w="2240" w:type="dxa"/>
            <w:vAlign w:val="bottom"/>
          </w:tcPr>
          <w:p>
            <w:pPr>
              <w:jc w:val="right"/>
              <w:ind w:right="609"/>
              <w:spacing w:after="0"/>
              <w:rPr>
                <w:sz w:val="20"/>
                <w:szCs w:val="20"/>
                <w:color w:val="auto"/>
              </w:rPr>
            </w:pPr>
            <w:r>
              <w:rPr>
                <w:rFonts w:ascii="Arial" w:cs="Arial" w:eastAsia="Arial" w:hAnsi="Arial"/>
                <w:sz w:val="14"/>
                <w:szCs w:val="14"/>
                <w:b w:val="1"/>
                <w:bCs w:val="1"/>
                <w:color w:val="auto"/>
              </w:rPr>
              <w:t>December 31, 2025</w:t>
            </w:r>
          </w:p>
        </w:tc>
      </w:tr>
      <w:tr>
        <w:trPr>
          <w:trHeight w:val="241"/>
        </w:trPr>
        <w:tc>
          <w:tcPr>
            <w:tcW w:w="5680" w:type="dxa"/>
            <w:vAlign w:val="bottom"/>
          </w:tcPr>
          <w:p>
            <w:pPr>
              <w:ind w:left="20"/>
              <w:spacing w:after="0"/>
              <w:rPr>
                <w:sz w:val="20"/>
                <w:szCs w:val="20"/>
                <w:color w:val="auto"/>
              </w:rPr>
            </w:pPr>
            <w:r>
              <w:rPr>
                <w:rFonts w:ascii="Arial" w:cs="Arial" w:eastAsia="Arial" w:hAnsi="Arial"/>
                <w:sz w:val="14"/>
                <w:szCs w:val="14"/>
                <w:color w:val="auto"/>
              </w:rPr>
              <w:t>Available cash and cash equivalents</w:t>
            </w:r>
            <w:r>
              <w:rPr>
                <w:rFonts w:ascii="Arial" w:cs="Arial" w:eastAsia="Arial" w:hAnsi="Arial"/>
                <w:sz w:val="18"/>
                <w:szCs w:val="18"/>
                <w:color w:val="auto"/>
                <w:vertAlign w:val="superscript"/>
              </w:rPr>
              <w:t>(1)</w:t>
            </w:r>
          </w:p>
        </w:tc>
        <w:tc>
          <w:tcPr>
            <w:tcW w:w="460" w:type="dxa"/>
            <w:vAlign w:val="bottom"/>
            <w:tcBorders>
              <w:top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w:t>
            </w:r>
          </w:p>
        </w:tc>
        <w:tc>
          <w:tcPr>
            <w:tcW w:w="21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20"/>
                <w:szCs w:val="20"/>
                <w:color w:val="auto"/>
              </w:rPr>
            </w:pPr>
          </w:p>
        </w:tc>
        <w:tc>
          <w:tcPr>
            <w:tcW w:w="400" w:type="dxa"/>
            <w:vAlign w:val="bottom"/>
            <w:tcBorders>
              <w:top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w:t>
            </w:r>
          </w:p>
        </w:tc>
        <w:tc>
          <w:tcPr>
            <w:tcW w:w="224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117</w:t>
            </w:r>
          </w:p>
        </w:tc>
      </w:tr>
      <w:tr>
        <w:trPr>
          <w:trHeight w:val="239"/>
        </w:trPr>
        <w:tc>
          <w:tcPr>
            <w:tcW w:w="5680" w:type="dxa"/>
            <w:vAlign w:val="bottom"/>
          </w:tcPr>
          <w:p>
            <w:pPr>
              <w:ind w:left="20"/>
              <w:spacing w:after="0"/>
              <w:rPr>
                <w:sz w:val="20"/>
                <w:szCs w:val="20"/>
                <w:color w:val="auto"/>
              </w:rPr>
            </w:pPr>
            <w:r>
              <w:rPr>
                <w:rFonts w:ascii="Arial" w:cs="Arial" w:eastAsia="Arial" w:hAnsi="Arial"/>
                <w:sz w:val="14"/>
                <w:szCs w:val="14"/>
                <w:color w:val="auto"/>
              </w:rPr>
              <w:t>Revolving credit facility:</w:t>
            </w:r>
          </w:p>
        </w:tc>
        <w:tc>
          <w:tcPr>
            <w:tcW w:w="46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206"/>
        </w:trPr>
        <w:tc>
          <w:tcPr>
            <w:tcW w:w="5680" w:type="dxa"/>
            <w:vAlign w:val="bottom"/>
          </w:tcPr>
          <w:p>
            <w:pPr>
              <w:ind w:left="240"/>
              <w:spacing w:after="0"/>
              <w:rPr>
                <w:sz w:val="20"/>
                <w:szCs w:val="20"/>
                <w:color w:val="auto"/>
              </w:rPr>
            </w:pPr>
            <w:r>
              <w:rPr>
                <w:rFonts w:ascii="Arial" w:cs="Arial" w:eastAsia="Arial" w:hAnsi="Arial"/>
                <w:sz w:val="14"/>
                <w:szCs w:val="14"/>
                <w:color w:val="auto"/>
              </w:rPr>
              <w:t>Borrowing capacity</w:t>
            </w:r>
          </w:p>
        </w:tc>
        <w:tc>
          <w:tcPr>
            <w:tcW w:w="46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1,460</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4"/>
                <w:szCs w:val="14"/>
                <w:b w:val="1"/>
                <w:bCs w:val="1"/>
                <w:color w:val="auto"/>
              </w:rPr>
              <w:t>1,460</w:t>
            </w:r>
          </w:p>
        </w:tc>
      </w:tr>
      <w:tr>
        <w:trPr>
          <w:trHeight w:val="200"/>
        </w:trPr>
        <w:tc>
          <w:tcPr>
            <w:tcW w:w="5680" w:type="dxa"/>
            <w:vAlign w:val="bottom"/>
          </w:tcPr>
          <w:p>
            <w:pPr>
              <w:ind w:left="240"/>
              <w:spacing w:after="0"/>
              <w:rPr>
                <w:sz w:val="20"/>
                <w:szCs w:val="20"/>
                <w:color w:val="auto"/>
              </w:rPr>
            </w:pPr>
            <w:r>
              <w:rPr>
                <w:rFonts w:ascii="Arial" w:cs="Arial" w:eastAsia="Arial" w:hAnsi="Arial"/>
                <w:sz w:val="14"/>
                <w:szCs w:val="14"/>
                <w:color w:val="auto"/>
              </w:rPr>
              <w:t>Revolver balance drawn</w:t>
            </w:r>
          </w:p>
        </w:tc>
        <w:tc>
          <w:tcPr>
            <w:tcW w:w="460" w:type="dxa"/>
            <w:vAlign w:val="bottom"/>
          </w:tcPr>
          <w:p>
            <w:pPr>
              <w:spacing w:after="0"/>
              <w:rPr>
                <w:sz w:val="17"/>
                <w:szCs w:val="17"/>
                <w:color w:val="auto"/>
              </w:rPr>
            </w:pPr>
          </w:p>
        </w:tc>
        <w:tc>
          <w:tcPr>
            <w:tcW w:w="218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24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5680" w:type="dxa"/>
            <w:vAlign w:val="bottom"/>
          </w:tcPr>
          <w:p>
            <w:pPr>
              <w:ind w:left="240"/>
              <w:spacing w:after="0"/>
              <w:rPr>
                <w:sz w:val="20"/>
                <w:szCs w:val="20"/>
                <w:color w:val="auto"/>
              </w:rPr>
            </w:pPr>
            <w:r>
              <w:rPr>
                <w:rFonts w:ascii="Arial" w:cs="Arial" w:eastAsia="Arial" w:hAnsi="Arial"/>
                <w:sz w:val="14"/>
                <w:szCs w:val="14"/>
                <w:color w:val="auto"/>
              </w:rPr>
              <w:t>Outstanding letters of credit</w:t>
            </w:r>
          </w:p>
        </w:tc>
        <w:tc>
          <w:tcPr>
            <w:tcW w:w="460" w:type="dxa"/>
            <w:vAlign w:val="bottom"/>
            <w:tcBorders>
              <w:bottom w:val="single" w:sz="8" w:color="auto"/>
            </w:tcBorders>
          </w:tcPr>
          <w:p>
            <w:pPr>
              <w:spacing w:after="0"/>
              <w:rPr>
                <w:sz w:val="17"/>
                <w:szCs w:val="17"/>
                <w:color w:val="auto"/>
              </w:rPr>
            </w:pP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(184)</w:t>
            </w:r>
          </w:p>
        </w:tc>
        <w:tc>
          <w:tcPr>
            <w:tcW w:w="80" w:type="dxa"/>
            <w:vAlign w:val="bottom"/>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(176)</w:t>
            </w:r>
          </w:p>
        </w:tc>
      </w:tr>
      <w:tr>
        <w:trPr>
          <w:trHeight w:val="194"/>
        </w:trPr>
        <w:tc>
          <w:tcPr>
            <w:tcW w:w="5680" w:type="dxa"/>
            <w:vAlign w:val="bottom"/>
          </w:tcPr>
          <w:p>
            <w:pPr>
              <w:ind w:left="20"/>
              <w:spacing w:after="0"/>
              <w:rPr>
                <w:sz w:val="20"/>
                <w:szCs w:val="20"/>
                <w:color w:val="auto"/>
              </w:rPr>
            </w:pPr>
            <w:r>
              <w:rPr>
                <w:rFonts w:ascii="Arial" w:cs="Arial" w:eastAsia="Arial" w:hAnsi="Arial"/>
                <w:sz w:val="14"/>
                <w:szCs w:val="14"/>
                <w:color w:val="auto"/>
              </w:rPr>
              <w:t>Availability</w:t>
            </w: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1,251</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1,284</w:t>
            </w:r>
          </w:p>
        </w:tc>
      </w:tr>
      <w:tr>
        <w:trPr>
          <w:trHeight w:val="247"/>
        </w:trPr>
        <w:tc>
          <w:tcPr>
            <w:tcW w:w="568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2180" w:type="dxa"/>
            <w:vAlign w:val="bottom"/>
            <w:tcBorders>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2240" w:type="dxa"/>
            <w:vAlign w:val="bottom"/>
            <w:tcBorders>
              <w:bottom w:val="single" w:sz="8" w:color="auto"/>
            </w:tcBorders>
          </w:tcPr>
          <w:p>
            <w:pPr>
              <w:spacing w:after="0"/>
              <w:rPr>
                <w:sz w:val="21"/>
                <w:szCs w:val="21"/>
                <w:color w:val="auto"/>
              </w:rPr>
            </w:pPr>
          </w:p>
        </w:tc>
      </w:tr>
      <w:tr>
        <w:trPr>
          <w:trHeight w:val="193"/>
        </w:trPr>
        <w:tc>
          <w:tcPr>
            <w:tcW w:w="5680" w:type="dxa"/>
            <w:vAlign w:val="bottom"/>
          </w:tcPr>
          <w:p>
            <w:pPr>
              <w:ind w:left="20"/>
              <w:spacing w:after="0"/>
              <w:rPr>
                <w:sz w:val="20"/>
                <w:szCs w:val="20"/>
                <w:color w:val="auto"/>
              </w:rPr>
            </w:pPr>
            <w:r>
              <w:rPr>
                <w:rFonts w:ascii="Arial" w:cs="Arial" w:eastAsia="Arial" w:hAnsi="Arial"/>
                <w:sz w:val="14"/>
                <w:szCs w:val="14"/>
                <w:color w:val="auto"/>
              </w:rPr>
              <w:t>Liquidity</w:t>
            </w: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w:t>
            </w:r>
          </w:p>
        </w:tc>
        <w:tc>
          <w:tcPr>
            <w:tcW w:w="21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1,276</w:t>
            </w:r>
          </w:p>
        </w:tc>
        <w:tc>
          <w:tcPr>
            <w:tcW w:w="80" w:type="dxa"/>
            <w:vAlign w:val="bottom"/>
          </w:tcPr>
          <w:p>
            <w:pPr>
              <w:spacing w:after="0"/>
              <w:rPr>
                <w:sz w:val="16"/>
                <w:szCs w:val="16"/>
                <w:color w:val="auto"/>
              </w:rPr>
            </w:pPr>
          </w:p>
        </w:tc>
        <w:tc>
          <w:tcPr>
            <w:tcW w:w="400" w:type="dxa"/>
            <w:vAlign w:val="bottom"/>
            <w:tcBorders>
              <w:bottom w:val="single" w:sz="8" w:color="auto"/>
            </w:tcBorders>
          </w:tcPr>
          <w:p>
            <w:pPr>
              <w:jc w:val="right"/>
              <w:ind w:right="229"/>
              <w:spacing w:after="0"/>
              <w:rPr>
                <w:sz w:val="20"/>
                <w:szCs w:val="20"/>
                <w:color w:val="auto"/>
              </w:rPr>
            </w:pPr>
            <w:r>
              <w:rPr>
                <w:rFonts w:ascii="Arial" w:cs="Arial" w:eastAsia="Arial" w:hAnsi="Arial"/>
                <w:sz w:val="14"/>
                <w:szCs w:val="14"/>
                <w:b w:val="1"/>
                <w:bCs w:val="1"/>
                <w:color w:val="auto"/>
              </w:rPr>
              <w:t>$</w:t>
            </w:r>
          </w:p>
        </w:tc>
        <w:tc>
          <w:tcPr>
            <w:tcW w:w="22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1,401</w:t>
            </w:r>
          </w:p>
        </w:tc>
      </w:tr>
      <w:tr>
        <w:trPr>
          <w:trHeight w:val="20"/>
        </w:trPr>
        <w:tc>
          <w:tcPr>
            <w:tcW w:w="56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2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120"/>
        <w:spacing w:after="0"/>
        <w:rPr>
          <w:sz w:val="20"/>
          <w:szCs w:val="20"/>
          <w:color w:val="auto"/>
        </w:rPr>
      </w:pPr>
      <w:r>
        <w:rPr>
          <w:rFonts w:ascii="Arial" w:cs="Arial" w:eastAsia="Arial" w:hAnsi="Arial"/>
          <w:sz w:val="12"/>
          <w:szCs w:val="12"/>
          <w:color w:val="auto"/>
        </w:rPr>
        <w:t>(1) Excludes restricted cash of $15 million at both March 31, 2026 and December 31, 2025.</w:t>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10</w:t>
      </w:r>
    </w:p>
    <w:p>
      <w:pPr>
        <w:sectPr>
          <w:pgSz w:w="11900" w:h="16838" w:orient="portrait"/>
          <w:cols w:equalWidth="0" w:num="1">
            <w:col w:w="11240"/>
          </w:cols>
          <w:pgMar w:left="320" w:top="946"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195"/>
        </w:trPr>
        <w:tc>
          <w:tcPr>
            <w:tcW w:w="52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900" w:type="dxa"/>
            <w:vAlign w:val="bottom"/>
            <w:tcBorders>
              <w:bottom w:val="single" w:sz="8" w:color="auto"/>
            </w:tcBorders>
          </w:tcPr>
          <w:p>
            <w:pPr>
              <w:ind w:left="980"/>
              <w:spacing w:after="0"/>
              <w:rPr>
                <w:sz w:val="20"/>
                <w:szCs w:val="20"/>
                <w:color w:val="auto"/>
              </w:rPr>
            </w:pPr>
            <w:r>
              <w:rPr>
                <w:rFonts w:ascii="Arial" w:cs="Arial" w:eastAsia="Arial" w:hAnsi="Arial"/>
                <w:sz w:val="14"/>
                <w:szCs w:val="14"/>
                <w:b w:val="1"/>
                <w:bCs w:val="1"/>
                <w:color w:val="auto"/>
              </w:rPr>
              <w:t>Attachment 2</w:t>
            </w:r>
          </w:p>
        </w:tc>
        <w:tc>
          <w:tcPr>
            <w:tcW w:w="0" w:type="dxa"/>
            <w:vAlign w:val="bottom"/>
          </w:tcPr>
          <w:p>
            <w:pPr>
              <w:spacing w:after="0"/>
              <w:rPr>
                <w:sz w:val="1"/>
                <w:szCs w:val="1"/>
                <w:color w:val="auto"/>
              </w:rPr>
            </w:pPr>
          </w:p>
        </w:tc>
      </w:tr>
      <w:tr>
        <w:trPr>
          <w:trHeight w:val="21"/>
        </w:trPr>
        <w:tc>
          <w:tcPr>
            <w:tcW w:w="52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gridSpan w:val="3"/>
          </w:tcPr>
          <w:p>
            <w:pPr>
              <w:spacing w:after="0" w:line="20" w:lineRule="exact"/>
              <w:rPr>
                <w:sz w:val="1"/>
                <w:szCs w:val="1"/>
                <w:color w:val="auto"/>
              </w:rPr>
            </w:pPr>
          </w:p>
        </w:tc>
        <w:tc>
          <w:tcPr>
            <w:tcW w:w="2000" w:type="dxa"/>
            <w:vAlign w:val="bottom"/>
            <w:tcBorders>
              <w:bottom w:val="single" w:sz="8" w:color="auto"/>
            </w:tcBorders>
            <w:gridSpan w:val="3"/>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4"/>
        </w:trPr>
        <w:tc>
          <w:tcPr>
            <w:tcW w:w="528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CRC GUIDANCE</w:t>
            </w:r>
          </w:p>
        </w:tc>
        <w:tc>
          <w:tcPr>
            <w:tcW w:w="80" w:type="dxa"/>
            <w:vAlign w:val="bottom"/>
            <w:vMerge w:val="restart"/>
          </w:tcPr>
          <w:p>
            <w:pPr>
              <w:spacing w:after="0"/>
              <w:rPr>
                <w:sz w:val="12"/>
                <w:szCs w:val="12"/>
                <w:color w:val="auto"/>
              </w:rPr>
            </w:pPr>
          </w:p>
        </w:tc>
        <w:tc>
          <w:tcPr>
            <w:tcW w:w="1980" w:type="dxa"/>
            <w:vAlign w:val="bottom"/>
            <w:gridSpan w:val="3"/>
          </w:tcPr>
          <w:p>
            <w:pPr>
              <w:ind w:left="500"/>
              <w:spacing w:after="0" w:line="144" w:lineRule="exact"/>
              <w:rPr>
                <w:sz w:val="20"/>
                <w:szCs w:val="20"/>
                <w:color w:val="auto"/>
              </w:rPr>
            </w:pPr>
            <w:r>
              <w:rPr>
                <w:rFonts w:ascii="Arial" w:cs="Arial" w:eastAsia="Arial" w:hAnsi="Arial"/>
                <w:sz w:val="14"/>
                <w:szCs w:val="14"/>
                <w:b w:val="1"/>
                <w:bCs w:val="1"/>
                <w:color w:val="auto"/>
              </w:rPr>
              <w:t>Consolidated</w:t>
            </w:r>
          </w:p>
        </w:tc>
        <w:tc>
          <w:tcPr>
            <w:tcW w:w="2000" w:type="dxa"/>
            <w:vAlign w:val="bottom"/>
            <w:gridSpan w:val="3"/>
          </w:tcPr>
          <w:p>
            <w:pPr>
              <w:jc w:val="center"/>
              <w:ind w:right="80"/>
              <w:spacing w:after="0" w:line="144" w:lineRule="exact"/>
              <w:rPr>
                <w:sz w:val="20"/>
                <w:szCs w:val="20"/>
                <w:color w:val="auto"/>
              </w:rPr>
            </w:pPr>
            <w:r>
              <w:rPr>
                <w:rFonts w:ascii="Arial" w:cs="Arial" w:eastAsia="Arial" w:hAnsi="Arial"/>
                <w:sz w:val="14"/>
                <w:szCs w:val="14"/>
                <w:b w:val="1"/>
                <w:bCs w:val="1"/>
                <w:color w:val="auto"/>
              </w:rPr>
              <w:t>Oil and Natural Gas</w:t>
            </w:r>
          </w:p>
        </w:tc>
        <w:tc>
          <w:tcPr>
            <w:tcW w:w="1900" w:type="dxa"/>
            <w:vAlign w:val="bottom"/>
          </w:tcPr>
          <w:p>
            <w:pPr>
              <w:jc w:val="center"/>
              <w:spacing w:after="0" w:line="144" w:lineRule="exact"/>
              <w:rPr>
                <w:sz w:val="20"/>
                <w:szCs w:val="20"/>
                <w:color w:val="auto"/>
              </w:rPr>
            </w:pPr>
            <w:r>
              <w:rPr>
                <w:rFonts w:ascii="Arial" w:cs="Arial" w:eastAsia="Arial" w:hAnsi="Arial"/>
                <w:sz w:val="14"/>
                <w:szCs w:val="14"/>
                <w:b w:val="1"/>
                <w:bCs w:val="1"/>
                <w:color w:val="auto"/>
              </w:rPr>
              <w:t>Carbon Management</w:t>
            </w:r>
          </w:p>
        </w:tc>
        <w:tc>
          <w:tcPr>
            <w:tcW w:w="0" w:type="dxa"/>
            <w:vAlign w:val="bottom"/>
          </w:tcPr>
          <w:p>
            <w:pPr>
              <w:spacing w:after="0"/>
              <w:rPr>
                <w:sz w:val="1"/>
                <w:szCs w:val="1"/>
                <w:color w:val="auto"/>
              </w:rPr>
            </w:pPr>
          </w:p>
        </w:tc>
      </w:tr>
      <w:tr>
        <w:trPr>
          <w:trHeight w:val="183"/>
        </w:trPr>
        <w:tc>
          <w:tcPr>
            <w:tcW w:w="52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2Q26E</w:t>
            </w:r>
          </w:p>
        </w:tc>
        <w:tc>
          <w:tcPr>
            <w:tcW w:w="80" w:type="dxa"/>
            <w:vAlign w:val="bottom"/>
          </w:tcPr>
          <w:p>
            <w:pPr>
              <w:spacing w:after="0"/>
              <w:rPr>
                <w:sz w:val="15"/>
                <w:szCs w:val="15"/>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Segment</w:t>
            </w:r>
          </w:p>
        </w:tc>
        <w:tc>
          <w:tcPr>
            <w:tcW w:w="10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6"/>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Net production (MBoe/d)</w:t>
            </w:r>
          </w:p>
        </w:tc>
        <w:tc>
          <w:tcPr>
            <w:tcW w:w="900" w:type="dxa"/>
            <w:vAlign w:val="bottom"/>
          </w:tcPr>
          <w:p>
            <w:pPr>
              <w:jc w:val="right"/>
              <w:spacing w:after="0"/>
              <w:rPr>
                <w:sz w:val="20"/>
                <w:szCs w:val="20"/>
                <w:color w:val="auto"/>
              </w:rPr>
            </w:pPr>
            <w:r>
              <w:rPr>
                <w:rFonts w:ascii="Arial" w:cs="Arial" w:eastAsia="Arial" w:hAnsi="Arial"/>
                <w:sz w:val="14"/>
                <w:szCs w:val="14"/>
                <w:color w:val="auto"/>
              </w:rPr>
              <w:t>148</w:t>
            </w:r>
          </w:p>
        </w:tc>
        <w:tc>
          <w:tcPr>
            <w:tcW w:w="1000" w:type="dxa"/>
            <w:vAlign w:val="bottom"/>
          </w:tcPr>
          <w:p>
            <w:pPr>
              <w:ind w:left="20"/>
              <w:spacing w:after="0"/>
              <w:rPr>
                <w:sz w:val="20"/>
                <w:szCs w:val="20"/>
                <w:color w:val="auto"/>
              </w:rPr>
            </w:pPr>
            <w:r>
              <w:rPr>
                <w:rFonts w:ascii="Arial" w:cs="Arial" w:eastAsia="Arial" w:hAnsi="Arial"/>
                <w:sz w:val="14"/>
                <w:szCs w:val="14"/>
                <w:color w:val="auto"/>
              </w:rPr>
              <w:t>- 150</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Net oil production (%)</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Operating costs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$335</w:t>
            </w:r>
          </w:p>
        </w:tc>
        <w:tc>
          <w:tcPr>
            <w:tcW w:w="1000" w:type="dxa"/>
            <w:vAlign w:val="bottom"/>
          </w:tcPr>
          <w:p>
            <w:pPr>
              <w:ind w:left="20"/>
              <w:spacing w:after="0"/>
              <w:rPr>
                <w:sz w:val="20"/>
                <w:szCs w:val="20"/>
                <w:color w:val="auto"/>
              </w:rPr>
            </w:pPr>
            <w:r>
              <w:rPr>
                <w:rFonts w:ascii="Arial" w:cs="Arial" w:eastAsia="Arial" w:hAnsi="Arial"/>
                <w:sz w:val="14"/>
                <w:szCs w:val="14"/>
                <w:color w:val="auto"/>
              </w:rPr>
              <w:t>- $355</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$335</w:t>
            </w:r>
          </w:p>
        </w:tc>
        <w:tc>
          <w:tcPr>
            <w:tcW w:w="980" w:type="dxa"/>
            <w:vAlign w:val="bottom"/>
          </w:tcPr>
          <w:p>
            <w:pPr>
              <w:ind w:left="20"/>
              <w:spacing w:after="0"/>
              <w:rPr>
                <w:sz w:val="20"/>
                <w:szCs w:val="20"/>
                <w:color w:val="auto"/>
              </w:rPr>
            </w:pPr>
            <w:r>
              <w:rPr>
                <w:rFonts w:ascii="Arial" w:cs="Arial" w:eastAsia="Arial" w:hAnsi="Arial"/>
                <w:sz w:val="14"/>
                <w:szCs w:val="14"/>
                <w:color w:val="auto"/>
              </w:rPr>
              <w:t>- $355</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General and administrative expenses ($ millions)</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8"/>
              </w:rPr>
              <w:t>$90 - $100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$13</w:t>
            </w:r>
          </w:p>
        </w:tc>
        <w:tc>
          <w:tcPr>
            <w:tcW w:w="980" w:type="dxa"/>
            <w:vAlign w:val="bottom"/>
          </w:tcPr>
          <w:p>
            <w:pPr>
              <w:ind w:left="20"/>
              <w:spacing w:after="0"/>
              <w:rPr>
                <w:sz w:val="20"/>
                <w:szCs w:val="20"/>
                <w:color w:val="auto"/>
              </w:rPr>
            </w:pPr>
            <w:r>
              <w:rPr>
                <w:rFonts w:ascii="Arial" w:cs="Arial" w:eastAsia="Arial" w:hAnsi="Arial"/>
                <w:sz w:val="14"/>
                <w:szCs w:val="14"/>
                <w:color w:val="auto"/>
              </w:rPr>
              <w:t>- $17</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rPr>
              <w:t>$2 - $4</w:t>
            </w: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i w:val="1"/>
                <w:iCs w:val="1"/>
                <w:color w:val="auto"/>
              </w:rPr>
              <w:t>Adjusted general and administrative expenses ($ millions)</w:t>
            </w: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$85</w:t>
            </w:r>
          </w:p>
        </w:tc>
        <w:tc>
          <w:tcPr>
            <w:tcW w:w="1000" w:type="dxa"/>
            <w:vAlign w:val="bottom"/>
          </w:tcPr>
          <w:p>
            <w:pPr>
              <w:ind w:left="20"/>
              <w:spacing w:after="0"/>
              <w:rPr>
                <w:sz w:val="20"/>
                <w:szCs w:val="20"/>
                <w:color w:val="auto"/>
              </w:rPr>
            </w:pPr>
            <w:r>
              <w:rPr>
                <w:rFonts w:ascii="Arial" w:cs="Arial" w:eastAsia="Arial" w:hAnsi="Arial"/>
                <w:sz w:val="14"/>
                <w:szCs w:val="14"/>
                <w:i w:val="1"/>
                <w:iCs w:val="1"/>
                <w:color w:val="auto"/>
              </w:rPr>
              <w:t>- $95</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$13</w:t>
            </w:r>
          </w:p>
        </w:tc>
        <w:tc>
          <w:tcPr>
            <w:tcW w:w="980" w:type="dxa"/>
            <w:vAlign w:val="bottom"/>
          </w:tcPr>
          <w:p>
            <w:pPr>
              <w:ind w:left="20"/>
              <w:spacing w:after="0"/>
              <w:rPr>
                <w:sz w:val="20"/>
                <w:szCs w:val="20"/>
                <w:color w:val="auto"/>
              </w:rPr>
            </w:pPr>
            <w:r>
              <w:rPr>
                <w:rFonts w:ascii="Arial" w:cs="Arial" w:eastAsia="Arial" w:hAnsi="Arial"/>
                <w:sz w:val="14"/>
                <w:szCs w:val="14"/>
                <w:i w:val="1"/>
                <w:iCs w:val="1"/>
                <w:color w:val="auto"/>
              </w:rPr>
              <w:t>- $17</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i w:val="1"/>
                <w:iCs w:val="1"/>
                <w:color w:val="auto"/>
              </w:rPr>
              <w:t>$2 - $4</w:t>
            </w: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Depreciation, depletion and amortization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$145</w:t>
            </w:r>
          </w:p>
        </w:tc>
        <w:tc>
          <w:tcPr>
            <w:tcW w:w="1000" w:type="dxa"/>
            <w:vAlign w:val="bottom"/>
          </w:tcPr>
          <w:p>
            <w:pPr>
              <w:ind w:left="20"/>
              <w:spacing w:after="0"/>
              <w:rPr>
                <w:sz w:val="20"/>
                <w:szCs w:val="20"/>
                <w:color w:val="auto"/>
              </w:rPr>
            </w:pPr>
            <w:r>
              <w:rPr>
                <w:rFonts w:ascii="Arial" w:cs="Arial" w:eastAsia="Arial" w:hAnsi="Arial"/>
                <w:sz w:val="14"/>
                <w:szCs w:val="14"/>
                <w:color w:val="auto"/>
              </w:rPr>
              <w:t>- $157</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$140</w:t>
            </w:r>
          </w:p>
        </w:tc>
        <w:tc>
          <w:tcPr>
            <w:tcW w:w="980" w:type="dxa"/>
            <w:vAlign w:val="bottom"/>
          </w:tcPr>
          <w:p>
            <w:pPr>
              <w:ind w:left="20"/>
              <w:spacing w:after="0"/>
              <w:rPr>
                <w:sz w:val="20"/>
                <w:szCs w:val="20"/>
                <w:color w:val="auto"/>
              </w:rPr>
            </w:pPr>
            <w:r>
              <w:rPr>
                <w:rFonts w:ascii="Arial" w:cs="Arial" w:eastAsia="Arial" w:hAnsi="Arial"/>
                <w:sz w:val="14"/>
                <w:szCs w:val="14"/>
                <w:color w:val="auto"/>
              </w:rPr>
              <w:t>- $150</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Capital investments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$120</w:t>
            </w:r>
          </w:p>
        </w:tc>
        <w:tc>
          <w:tcPr>
            <w:tcW w:w="1000" w:type="dxa"/>
            <w:vAlign w:val="bottom"/>
          </w:tcPr>
          <w:p>
            <w:pPr>
              <w:ind w:left="20"/>
              <w:spacing w:after="0"/>
              <w:rPr>
                <w:sz w:val="20"/>
                <w:szCs w:val="20"/>
                <w:color w:val="auto"/>
              </w:rPr>
            </w:pPr>
            <w:r>
              <w:rPr>
                <w:rFonts w:ascii="Arial" w:cs="Arial" w:eastAsia="Arial" w:hAnsi="Arial"/>
                <w:sz w:val="14"/>
                <w:szCs w:val="14"/>
                <w:color w:val="auto"/>
              </w:rPr>
              <w:t>- $140</w:t>
            </w:r>
          </w:p>
        </w:tc>
        <w:tc>
          <w:tcPr>
            <w:tcW w:w="80" w:type="dxa"/>
            <w:vAlign w:val="bottom"/>
          </w:tcPr>
          <w:p>
            <w:pPr>
              <w:spacing w:after="0"/>
              <w:rPr>
                <w:sz w:val="17"/>
                <w:szCs w:val="17"/>
                <w:color w:val="auto"/>
              </w:rPr>
            </w:pP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8"/>
              </w:rPr>
              <w:t>$115 - $130</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rPr>
              <w:t>$2 - $5</w:t>
            </w: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Adjusted EBITDAX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$370</w:t>
            </w:r>
          </w:p>
        </w:tc>
        <w:tc>
          <w:tcPr>
            <w:tcW w:w="1000" w:type="dxa"/>
            <w:vAlign w:val="bottom"/>
          </w:tcPr>
          <w:p>
            <w:pPr>
              <w:ind w:left="20"/>
              <w:spacing w:after="0"/>
              <w:rPr>
                <w:sz w:val="20"/>
                <w:szCs w:val="20"/>
                <w:color w:val="auto"/>
              </w:rPr>
            </w:pPr>
            <w:r>
              <w:rPr>
                <w:rFonts w:ascii="Arial" w:cs="Arial" w:eastAsia="Arial" w:hAnsi="Arial"/>
                <w:sz w:val="14"/>
                <w:szCs w:val="14"/>
                <w:color w:val="auto"/>
              </w:rPr>
              <w:t>- $410</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 xml:space="preserve">Margin from purchased commodities ($ millions) </w:t>
            </w:r>
            <w:r>
              <w:rPr>
                <w:rFonts w:ascii="Arial" w:cs="Arial" w:eastAsia="Arial" w:hAnsi="Arial"/>
                <w:sz w:val="18"/>
                <w:szCs w:val="18"/>
                <w:color w:val="auto"/>
                <w:vertAlign w:val="superscript"/>
              </w:rPr>
              <w:t>(1)</w:t>
            </w: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1000" w:type="dxa"/>
            <w:vAlign w:val="bottom"/>
          </w:tcPr>
          <w:p>
            <w:pPr>
              <w:ind w:left="20"/>
              <w:spacing w:after="0"/>
              <w:rPr>
                <w:sz w:val="20"/>
                <w:szCs w:val="20"/>
                <w:color w:val="auto"/>
              </w:rPr>
            </w:pPr>
            <w:r>
              <w:rPr>
                <w:rFonts w:ascii="Arial" w:cs="Arial" w:eastAsia="Arial" w:hAnsi="Arial"/>
                <w:sz w:val="14"/>
                <w:szCs w:val="14"/>
                <w:color w:val="auto"/>
              </w:rPr>
              <w:t>- $15</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Electricity revenue net of electricity generation expenses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1000" w:type="dxa"/>
            <w:vAlign w:val="bottom"/>
          </w:tcPr>
          <w:p>
            <w:pPr>
              <w:ind w:left="20"/>
              <w:spacing w:after="0"/>
              <w:rPr>
                <w:sz w:val="20"/>
                <w:szCs w:val="20"/>
                <w:color w:val="auto"/>
              </w:rPr>
            </w:pPr>
            <w:r>
              <w:rPr>
                <w:rFonts w:ascii="Arial" w:cs="Arial" w:eastAsia="Arial" w:hAnsi="Arial"/>
                <w:sz w:val="14"/>
                <w:szCs w:val="14"/>
                <w:color w:val="auto"/>
              </w:rPr>
              <w:t>- $(2)</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 xml:space="preserve">Other operating expenses net of other revenue ($ millions) </w:t>
            </w:r>
            <w:r>
              <w:rPr>
                <w:rFonts w:ascii="Arial" w:cs="Arial" w:eastAsia="Arial" w:hAnsi="Arial"/>
                <w:sz w:val="18"/>
                <w:szCs w:val="18"/>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4"/>
                <w:szCs w:val="14"/>
                <w:color w:val="auto"/>
              </w:rPr>
              <w:t>$10</w:t>
            </w:r>
          </w:p>
        </w:tc>
        <w:tc>
          <w:tcPr>
            <w:tcW w:w="1000" w:type="dxa"/>
            <w:vAlign w:val="bottom"/>
          </w:tcPr>
          <w:p>
            <w:pPr>
              <w:ind w:left="20"/>
              <w:spacing w:after="0"/>
              <w:rPr>
                <w:sz w:val="20"/>
                <w:szCs w:val="20"/>
                <w:color w:val="auto"/>
              </w:rPr>
            </w:pPr>
            <w:r>
              <w:rPr>
                <w:rFonts w:ascii="Arial" w:cs="Arial" w:eastAsia="Arial" w:hAnsi="Arial"/>
                <w:sz w:val="14"/>
                <w:szCs w:val="14"/>
                <w:color w:val="auto"/>
              </w:rPr>
              <w:t>- $20</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rPr>
              <w:t>$2 - $10</w:t>
            </w:r>
          </w:p>
        </w:tc>
        <w:tc>
          <w:tcPr>
            <w:tcW w:w="0" w:type="dxa"/>
            <w:vAlign w:val="bottom"/>
          </w:tcPr>
          <w:p>
            <w:pPr>
              <w:spacing w:after="0"/>
              <w:rPr>
                <w:sz w:val="1"/>
                <w:szCs w:val="1"/>
                <w:color w:val="auto"/>
              </w:rPr>
            </w:pPr>
          </w:p>
        </w:tc>
      </w:tr>
      <w:tr>
        <w:trPr>
          <w:trHeight w:val="189"/>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Transportation costs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$25</w:t>
            </w:r>
          </w:p>
        </w:tc>
        <w:tc>
          <w:tcPr>
            <w:tcW w:w="1000" w:type="dxa"/>
            <w:vAlign w:val="bottom"/>
          </w:tcPr>
          <w:p>
            <w:pPr>
              <w:ind w:left="20"/>
              <w:spacing w:after="0"/>
              <w:rPr>
                <w:sz w:val="20"/>
                <w:szCs w:val="20"/>
                <w:color w:val="auto"/>
              </w:rPr>
            </w:pPr>
            <w:r>
              <w:rPr>
                <w:rFonts w:ascii="Arial" w:cs="Arial" w:eastAsia="Arial" w:hAnsi="Arial"/>
                <w:sz w:val="14"/>
                <w:szCs w:val="14"/>
                <w:color w:val="auto"/>
              </w:rPr>
              <w:t>- $30</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$19</w:t>
            </w:r>
          </w:p>
        </w:tc>
        <w:tc>
          <w:tcPr>
            <w:tcW w:w="980" w:type="dxa"/>
            <w:vAlign w:val="bottom"/>
          </w:tcPr>
          <w:p>
            <w:pPr>
              <w:ind w:left="20"/>
              <w:spacing w:after="0"/>
              <w:rPr>
                <w:sz w:val="20"/>
                <w:szCs w:val="20"/>
                <w:color w:val="auto"/>
              </w:rPr>
            </w:pPr>
            <w:r>
              <w:rPr>
                <w:rFonts w:ascii="Arial" w:cs="Arial" w:eastAsia="Arial" w:hAnsi="Arial"/>
                <w:sz w:val="14"/>
                <w:szCs w:val="14"/>
                <w:color w:val="auto"/>
              </w:rPr>
              <w:t>- $24</w:t>
            </w: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Taxes other than on income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$60</w:t>
            </w:r>
          </w:p>
        </w:tc>
        <w:tc>
          <w:tcPr>
            <w:tcW w:w="1000" w:type="dxa"/>
            <w:vAlign w:val="bottom"/>
          </w:tcPr>
          <w:p>
            <w:pPr>
              <w:ind w:left="20"/>
              <w:spacing w:after="0"/>
              <w:rPr>
                <w:sz w:val="20"/>
                <w:szCs w:val="20"/>
                <w:color w:val="auto"/>
              </w:rPr>
            </w:pPr>
            <w:r>
              <w:rPr>
                <w:rFonts w:ascii="Arial" w:cs="Arial" w:eastAsia="Arial" w:hAnsi="Arial"/>
                <w:sz w:val="14"/>
                <w:szCs w:val="14"/>
                <w:color w:val="auto"/>
              </w:rPr>
              <w:t>- $70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$55</w:t>
            </w:r>
          </w:p>
        </w:tc>
        <w:tc>
          <w:tcPr>
            <w:tcW w:w="980" w:type="dxa"/>
            <w:vAlign w:val="bottom"/>
          </w:tcPr>
          <w:p>
            <w:pPr>
              <w:ind w:left="20"/>
              <w:spacing w:after="0"/>
              <w:rPr>
                <w:sz w:val="20"/>
                <w:szCs w:val="20"/>
                <w:color w:val="auto"/>
              </w:rPr>
            </w:pPr>
            <w:r>
              <w:rPr>
                <w:rFonts w:ascii="Arial" w:cs="Arial" w:eastAsia="Arial" w:hAnsi="Arial"/>
                <w:sz w:val="14"/>
                <w:szCs w:val="14"/>
                <w:color w:val="auto"/>
              </w:rPr>
              <w:t>- $60</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Interest and debt expense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$30</w:t>
            </w:r>
          </w:p>
        </w:tc>
        <w:tc>
          <w:tcPr>
            <w:tcW w:w="1000" w:type="dxa"/>
            <w:vAlign w:val="bottom"/>
          </w:tcPr>
          <w:p>
            <w:pPr>
              <w:ind w:left="20"/>
              <w:spacing w:after="0"/>
              <w:rPr>
                <w:sz w:val="20"/>
                <w:szCs w:val="20"/>
                <w:color w:val="auto"/>
              </w:rPr>
            </w:pPr>
            <w:r>
              <w:rPr>
                <w:rFonts w:ascii="Arial" w:cs="Arial" w:eastAsia="Arial" w:hAnsi="Arial"/>
                <w:sz w:val="14"/>
                <w:szCs w:val="14"/>
                <w:color w:val="auto"/>
              </w:rPr>
              <w:t>- $35</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Other Assumptions:</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Brent ($/Bbl)</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8"/>
              </w:rPr>
              <w:t>$105.36</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NYMEX ($/Mcf)</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6"/>
              </w:rPr>
              <w:t>$2.77</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Price realization oil - % of Brent:</w:t>
            </w:r>
          </w:p>
        </w:tc>
        <w:tc>
          <w:tcPr>
            <w:tcW w:w="900" w:type="dxa"/>
            <w:vAlign w:val="bottom"/>
          </w:tcPr>
          <w:p>
            <w:pPr>
              <w:jc w:val="right"/>
              <w:spacing w:after="0"/>
              <w:rPr>
                <w:sz w:val="20"/>
                <w:szCs w:val="20"/>
                <w:color w:val="auto"/>
              </w:rPr>
            </w:pPr>
            <w:r>
              <w:rPr>
                <w:rFonts w:ascii="Arial" w:cs="Arial" w:eastAsia="Arial" w:hAnsi="Arial"/>
                <w:sz w:val="14"/>
                <w:szCs w:val="14"/>
                <w:color w:val="auto"/>
              </w:rPr>
              <w:t>94%</w:t>
            </w:r>
          </w:p>
        </w:tc>
        <w:tc>
          <w:tcPr>
            <w:tcW w:w="1000" w:type="dxa"/>
            <w:vAlign w:val="bottom"/>
          </w:tcPr>
          <w:p>
            <w:pPr>
              <w:ind w:left="20"/>
              <w:spacing w:after="0"/>
              <w:rPr>
                <w:sz w:val="20"/>
                <w:szCs w:val="20"/>
                <w:color w:val="auto"/>
              </w:rPr>
            </w:pPr>
            <w:r>
              <w:rPr>
                <w:rFonts w:ascii="Arial" w:cs="Arial" w:eastAsia="Arial" w:hAnsi="Arial"/>
                <w:sz w:val="14"/>
                <w:szCs w:val="14"/>
                <w:color w:val="auto"/>
              </w:rPr>
              <w:t>- 97%</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Price realization NGLs - % of Brent:</w:t>
            </w:r>
          </w:p>
        </w:tc>
        <w:tc>
          <w:tcPr>
            <w:tcW w:w="900" w:type="dxa"/>
            <w:vAlign w:val="bottom"/>
          </w:tcPr>
          <w:p>
            <w:pPr>
              <w:jc w:val="right"/>
              <w:spacing w:after="0"/>
              <w:rPr>
                <w:sz w:val="20"/>
                <w:szCs w:val="20"/>
                <w:color w:val="auto"/>
              </w:rPr>
            </w:pPr>
            <w:r>
              <w:rPr>
                <w:rFonts w:ascii="Arial" w:cs="Arial" w:eastAsia="Arial" w:hAnsi="Arial"/>
                <w:sz w:val="14"/>
                <w:szCs w:val="14"/>
                <w:color w:val="auto"/>
              </w:rPr>
              <w:t>44%</w:t>
            </w:r>
          </w:p>
        </w:tc>
        <w:tc>
          <w:tcPr>
            <w:tcW w:w="1000" w:type="dxa"/>
            <w:vAlign w:val="bottom"/>
          </w:tcPr>
          <w:p>
            <w:pPr>
              <w:ind w:left="20"/>
              <w:spacing w:after="0"/>
              <w:rPr>
                <w:sz w:val="20"/>
                <w:szCs w:val="20"/>
                <w:color w:val="auto"/>
              </w:rPr>
            </w:pPr>
            <w:r>
              <w:rPr>
                <w:rFonts w:ascii="Arial" w:cs="Arial" w:eastAsia="Arial" w:hAnsi="Arial"/>
                <w:sz w:val="14"/>
                <w:szCs w:val="14"/>
                <w:color w:val="auto"/>
              </w:rPr>
              <w:t>- 50%</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Price realization natural gas - % of NYMEX:</w:t>
            </w:r>
          </w:p>
        </w:tc>
        <w:tc>
          <w:tcPr>
            <w:tcW w:w="900" w:type="dxa"/>
            <w:vAlign w:val="bottom"/>
          </w:tcPr>
          <w:p>
            <w:pPr>
              <w:jc w:val="right"/>
              <w:spacing w:after="0"/>
              <w:rPr>
                <w:sz w:val="20"/>
                <w:szCs w:val="20"/>
                <w:color w:val="auto"/>
              </w:rPr>
            </w:pPr>
            <w:r>
              <w:rPr>
                <w:rFonts w:ascii="Arial" w:cs="Arial" w:eastAsia="Arial" w:hAnsi="Arial"/>
                <w:sz w:val="14"/>
                <w:szCs w:val="14"/>
                <w:color w:val="auto"/>
              </w:rPr>
              <w:t>38%</w:t>
            </w:r>
          </w:p>
        </w:tc>
        <w:tc>
          <w:tcPr>
            <w:tcW w:w="1000" w:type="dxa"/>
            <w:vAlign w:val="bottom"/>
          </w:tcPr>
          <w:p>
            <w:pPr>
              <w:ind w:left="20"/>
              <w:spacing w:after="0"/>
              <w:rPr>
                <w:sz w:val="20"/>
                <w:szCs w:val="20"/>
                <w:color w:val="auto"/>
              </w:rPr>
            </w:pPr>
            <w:r>
              <w:rPr>
                <w:rFonts w:ascii="Arial" w:cs="Arial" w:eastAsia="Arial" w:hAnsi="Arial"/>
                <w:sz w:val="14"/>
                <w:szCs w:val="14"/>
                <w:color w:val="auto"/>
              </w:rPr>
              <w:t>- 44%</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 xml:space="preserve">Current income tax provision ($ millions) </w:t>
            </w:r>
            <w:r>
              <w:rPr>
                <w:rFonts w:ascii="Arial" w:cs="Arial" w:eastAsia="Arial" w:hAnsi="Arial"/>
                <w:sz w:val="18"/>
                <w:szCs w:val="18"/>
                <w:color w:val="auto"/>
                <w:vertAlign w:val="superscript"/>
              </w:rPr>
              <w:t>(3)</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rPr>
              <w:t>$2 -$4</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Effective tax rate</w:t>
            </w:r>
          </w:p>
        </w:tc>
        <w:tc>
          <w:tcPr>
            <w:tcW w:w="900" w:type="dxa"/>
            <w:vAlign w:val="bottom"/>
          </w:tcPr>
          <w:p>
            <w:pPr>
              <w:jc w:val="right"/>
              <w:spacing w:after="0"/>
              <w:rPr>
                <w:sz w:val="20"/>
                <w:szCs w:val="20"/>
                <w:color w:val="auto"/>
              </w:rPr>
            </w:pPr>
            <w:r>
              <w:rPr>
                <w:rFonts w:ascii="Arial" w:cs="Arial" w:eastAsia="Arial" w:hAnsi="Arial"/>
                <w:sz w:val="14"/>
                <w:szCs w:val="14"/>
                <w:color w:val="auto"/>
              </w:rPr>
              <w:t>6%</w:t>
            </w:r>
          </w:p>
        </w:tc>
        <w:tc>
          <w:tcPr>
            <w:tcW w:w="1000" w:type="dxa"/>
            <w:vAlign w:val="bottom"/>
          </w:tcPr>
          <w:p>
            <w:pPr>
              <w:ind w:left="20"/>
              <w:spacing w:after="0"/>
              <w:rPr>
                <w:sz w:val="20"/>
                <w:szCs w:val="20"/>
                <w:color w:val="auto"/>
              </w:rPr>
            </w:pPr>
            <w:r>
              <w:rPr>
                <w:rFonts w:ascii="Arial" w:cs="Arial" w:eastAsia="Arial" w:hAnsi="Arial"/>
                <w:sz w:val="14"/>
                <w:szCs w:val="14"/>
                <w:color w:val="auto"/>
              </w:rPr>
              <w:t>- 9%</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11</w:t>
      </w:r>
    </w:p>
    <w:p>
      <w:pPr>
        <w:sectPr>
          <w:pgSz w:w="11900" w:h="16838" w:orient="portrait"/>
          <w:cols w:equalWidth="0" w:num="1">
            <w:col w:w="11240"/>
          </w:cols>
          <w:pgMar w:left="320" w:top="1050" w:right="3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64"/>
        </w:trPr>
        <w:tc>
          <w:tcPr>
            <w:tcW w:w="5280" w:type="dxa"/>
            <w:vAlign w:val="bottom"/>
            <w:tcBorders>
              <w:top w:val="single" w:sz="8" w:color="auto"/>
            </w:tcBorders>
            <w:vMerge w:val="restart"/>
          </w:tcPr>
          <w:p>
            <w:pPr>
              <w:ind w:left="20"/>
              <w:spacing w:after="0"/>
              <w:rPr>
                <w:sz w:val="20"/>
                <w:szCs w:val="20"/>
                <w:color w:val="auto"/>
              </w:rPr>
            </w:pPr>
            <w:r>
              <w:rPr>
                <w:rFonts w:ascii="Arial" w:cs="Arial" w:eastAsia="Arial" w:hAnsi="Arial"/>
                <w:sz w:val="14"/>
                <w:szCs w:val="14"/>
                <w:b w:val="1"/>
                <w:bCs w:val="1"/>
                <w:color w:val="auto"/>
              </w:rPr>
              <w:t>CRC GUIDANCE</w:t>
            </w:r>
          </w:p>
        </w:tc>
        <w:tc>
          <w:tcPr>
            <w:tcW w:w="80" w:type="dxa"/>
            <w:vAlign w:val="bottom"/>
            <w:tcBorders>
              <w:top w:val="single" w:sz="8" w:color="auto"/>
            </w:tcBorders>
            <w:vMerge w:val="restart"/>
          </w:tcPr>
          <w:p>
            <w:pPr>
              <w:spacing w:after="0"/>
              <w:rPr>
                <w:sz w:val="14"/>
                <w:szCs w:val="14"/>
                <w:color w:val="auto"/>
              </w:rPr>
            </w:pPr>
          </w:p>
        </w:tc>
        <w:tc>
          <w:tcPr>
            <w:tcW w:w="1980" w:type="dxa"/>
            <w:vAlign w:val="bottom"/>
            <w:tcBorders>
              <w:top w:val="single" w:sz="8" w:color="auto"/>
            </w:tcBorders>
            <w:gridSpan w:val="3"/>
          </w:tcPr>
          <w:p>
            <w:pPr>
              <w:ind w:left="500"/>
              <w:spacing w:after="0"/>
              <w:rPr>
                <w:sz w:val="20"/>
                <w:szCs w:val="20"/>
                <w:color w:val="auto"/>
              </w:rPr>
            </w:pPr>
            <w:r>
              <w:rPr>
                <w:rFonts w:ascii="Arial" w:cs="Arial" w:eastAsia="Arial" w:hAnsi="Arial"/>
                <w:sz w:val="14"/>
                <w:szCs w:val="14"/>
                <w:b w:val="1"/>
                <w:bCs w:val="1"/>
                <w:color w:val="auto"/>
              </w:rPr>
              <w:t>Consolidated</w:t>
            </w:r>
          </w:p>
        </w:tc>
        <w:tc>
          <w:tcPr>
            <w:tcW w:w="2000" w:type="dxa"/>
            <w:vAlign w:val="bottom"/>
            <w:tcBorders>
              <w:top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rPr>
              <w:t>Oil and Natural Gas</w:t>
            </w:r>
          </w:p>
        </w:tc>
        <w:tc>
          <w:tcPr>
            <w:tcW w:w="190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rPr>
              <w:t>Carbon Management</w:t>
            </w:r>
          </w:p>
        </w:tc>
        <w:tc>
          <w:tcPr>
            <w:tcW w:w="0" w:type="dxa"/>
            <w:vAlign w:val="bottom"/>
          </w:tcPr>
          <w:p>
            <w:pPr>
              <w:spacing w:after="0"/>
              <w:rPr>
                <w:sz w:val="1"/>
                <w:szCs w:val="1"/>
                <w:color w:val="auto"/>
              </w:rPr>
            </w:pPr>
          </w:p>
        </w:tc>
      </w:tr>
      <w:tr>
        <w:trPr>
          <w:trHeight w:val="183"/>
        </w:trPr>
        <w:tc>
          <w:tcPr>
            <w:tcW w:w="5280" w:type="dxa"/>
            <w:vAlign w:val="bottom"/>
            <w:tcBorders>
              <w:bottom w:val="single" w:sz="8" w:color="auto"/>
            </w:tcBorders>
            <w:vMerge w:val="continue"/>
          </w:tcPr>
          <w:p>
            <w:pPr>
              <w:spacing w:after="0"/>
              <w:rPr>
                <w:sz w:val="15"/>
                <w:szCs w:val="15"/>
                <w:color w:val="auto"/>
              </w:rPr>
            </w:pPr>
          </w:p>
        </w:tc>
        <w:tc>
          <w:tcPr>
            <w:tcW w:w="80" w:type="dxa"/>
            <w:vAlign w:val="bottom"/>
            <w:vMerge w:val="continue"/>
          </w:tcPr>
          <w:p>
            <w:pPr>
              <w:spacing w:after="0"/>
              <w:rPr>
                <w:sz w:val="15"/>
                <w:szCs w:val="15"/>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2026E</w:t>
            </w:r>
          </w:p>
        </w:tc>
        <w:tc>
          <w:tcPr>
            <w:tcW w:w="80" w:type="dxa"/>
            <w:vAlign w:val="bottom"/>
          </w:tcPr>
          <w:p>
            <w:pPr>
              <w:spacing w:after="0"/>
              <w:rPr>
                <w:sz w:val="15"/>
                <w:szCs w:val="15"/>
                <w:color w:val="auto"/>
              </w:rPr>
            </w:pPr>
          </w:p>
        </w:tc>
        <w:tc>
          <w:tcPr>
            <w:tcW w:w="19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rPr>
              <w:t>Segment</w:t>
            </w:r>
          </w:p>
        </w:tc>
        <w:tc>
          <w:tcPr>
            <w:tcW w:w="100" w:type="dxa"/>
            <w:vAlign w:val="bottom"/>
          </w:tcPr>
          <w:p>
            <w:pPr>
              <w:spacing w:after="0"/>
              <w:rPr>
                <w:sz w:val="15"/>
                <w:szCs w:val="15"/>
                <w:color w:val="auto"/>
              </w:rPr>
            </w:pPr>
          </w:p>
        </w:tc>
        <w:tc>
          <w:tcPr>
            <w:tcW w:w="19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Segment</w:t>
            </w:r>
          </w:p>
        </w:tc>
        <w:tc>
          <w:tcPr>
            <w:tcW w:w="0" w:type="dxa"/>
            <w:vAlign w:val="bottom"/>
          </w:tcPr>
          <w:p>
            <w:pPr>
              <w:spacing w:after="0"/>
              <w:rPr>
                <w:sz w:val="1"/>
                <w:szCs w:val="1"/>
                <w:color w:val="auto"/>
              </w:rPr>
            </w:pPr>
          </w:p>
        </w:tc>
      </w:tr>
      <w:tr>
        <w:trPr>
          <w:trHeight w:val="186"/>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Net production (MBoe/d)</w:t>
            </w:r>
          </w:p>
        </w:tc>
        <w:tc>
          <w:tcPr>
            <w:tcW w:w="900" w:type="dxa"/>
            <w:vAlign w:val="bottom"/>
          </w:tcPr>
          <w:p>
            <w:pPr>
              <w:jc w:val="right"/>
              <w:spacing w:after="0"/>
              <w:rPr>
                <w:sz w:val="20"/>
                <w:szCs w:val="20"/>
                <w:color w:val="auto"/>
              </w:rPr>
            </w:pPr>
            <w:r>
              <w:rPr>
                <w:rFonts w:ascii="Arial" w:cs="Arial" w:eastAsia="Arial" w:hAnsi="Arial"/>
                <w:sz w:val="14"/>
                <w:szCs w:val="14"/>
                <w:color w:val="auto"/>
              </w:rPr>
              <w:t>149</w:t>
            </w:r>
          </w:p>
        </w:tc>
        <w:tc>
          <w:tcPr>
            <w:tcW w:w="1000" w:type="dxa"/>
            <w:vAlign w:val="bottom"/>
          </w:tcPr>
          <w:p>
            <w:pPr>
              <w:ind w:left="20"/>
              <w:spacing w:after="0"/>
              <w:rPr>
                <w:sz w:val="20"/>
                <w:szCs w:val="20"/>
                <w:color w:val="auto"/>
              </w:rPr>
            </w:pPr>
            <w:r>
              <w:rPr>
                <w:rFonts w:ascii="Arial" w:cs="Arial" w:eastAsia="Arial" w:hAnsi="Arial"/>
                <w:sz w:val="14"/>
                <w:szCs w:val="14"/>
                <w:color w:val="auto"/>
              </w:rPr>
              <w:t>- 155</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Net oil production (%)</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rPr>
              <w:t>81%</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Operating costs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$1,415</w:t>
            </w:r>
          </w:p>
        </w:tc>
        <w:tc>
          <w:tcPr>
            <w:tcW w:w="1000" w:type="dxa"/>
            <w:vAlign w:val="bottom"/>
          </w:tcPr>
          <w:p>
            <w:pPr>
              <w:ind w:left="20"/>
              <w:spacing w:after="0"/>
              <w:rPr>
                <w:sz w:val="20"/>
                <w:szCs w:val="20"/>
                <w:color w:val="auto"/>
              </w:rPr>
            </w:pPr>
            <w:r>
              <w:rPr>
                <w:rFonts w:ascii="Arial" w:cs="Arial" w:eastAsia="Arial" w:hAnsi="Arial"/>
                <w:sz w:val="14"/>
                <w:szCs w:val="14"/>
                <w:color w:val="auto"/>
              </w:rPr>
              <w:t>- $1,485</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$1,415</w:t>
            </w:r>
          </w:p>
        </w:tc>
        <w:tc>
          <w:tcPr>
            <w:tcW w:w="980" w:type="dxa"/>
            <w:vAlign w:val="bottom"/>
          </w:tcPr>
          <w:p>
            <w:pPr>
              <w:ind w:left="20"/>
              <w:spacing w:after="0"/>
              <w:rPr>
                <w:sz w:val="20"/>
                <w:szCs w:val="20"/>
                <w:color w:val="auto"/>
              </w:rPr>
            </w:pPr>
            <w:r>
              <w:rPr>
                <w:rFonts w:ascii="Arial" w:cs="Arial" w:eastAsia="Arial" w:hAnsi="Arial"/>
                <w:sz w:val="14"/>
                <w:szCs w:val="14"/>
                <w:color w:val="auto"/>
              </w:rPr>
              <w:t>- $1,485</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General and administrative expenses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$360</w:t>
            </w:r>
          </w:p>
        </w:tc>
        <w:tc>
          <w:tcPr>
            <w:tcW w:w="1000" w:type="dxa"/>
            <w:vAlign w:val="bottom"/>
          </w:tcPr>
          <w:p>
            <w:pPr>
              <w:ind w:left="20"/>
              <w:spacing w:after="0"/>
              <w:rPr>
                <w:sz w:val="20"/>
                <w:szCs w:val="20"/>
                <w:color w:val="auto"/>
              </w:rPr>
            </w:pPr>
            <w:r>
              <w:rPr>
                <w:rFonts w:ascii="Arial" w:cs="Arial" w:eastAsia="Arial" w:hAnsi="Arial"/>
                <w:sz w:val="14"/>
                <w:szCs w:val="14"/>
                <w:color w:val="auto"/>
              </w:rPr>
              <w:t>- $380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w:t>
            </w:r>
          </w:p>
        </w:tc>
        <w:tc>
          <w:tcPr>
            <w:tcW w:w="980" w:type="dxa"/>
            <w:vAlign w:val="bottom"/>
          </w:tcPr>
          <w:p>
            <w:pPr>
              <w:ind w:left="20"/>
              <w:spacing w:after="0"/>
              <w:rPr>
                <w:sz w:val="20"/>
                <w:szCs w:val="20"/>
                <w:color w:val="auto"/>
              </w:rPr>
            </w:pPr>
            <w:r>
              <w:rPr>
                <w:rFonts w:ascii="Arial" w:cs="Arial" w:eastAsia="Arial" w:hAnsi="Arial"/>
                <w:sz w:val="14"/>
                <w:szCs w:val="14"/>
                <w:color w:val="auto"/>
              </w:rPr>
              <w:t>- $60</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rPr>
              <w:t>$6 - $12</w:t>
            </w: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i w:val="1"/>
                <w:iCs w:val="1"/>
                <w:color w:val="auto"/>
              </w:rPr>
              <w:t>Adjusted general and administrative expenses ($ millions)</w:t>
            </w:r>
          </w:p>
        </w:tc>
        <w:tc>
          <w:tcPr>
            <w:tcW w:w="900" w:type="dxa"/>
            <w:vAlign w:val="bottom"/>
          </w:tcPr>
          <w:p>
            <w:pPr>
              <w:jc w:val="right"/>
              <w:spacing w:after="0"/>
              <w:rPr>
                <w:sz w:val="20"/>
                <w:szCs w:val="20"/>
                <w:color w:val="auto"/>
              </w:rPr>
            </w:pPr>
            <w:r>
              <w:rPr>
                <w:rFonts w:ascii="Arial" w:cs="Arial" w:eastAsia="Arial" w:hAnsi="Arial"/>
                <w:sz w:val="14"/>
                <w:szCs w:val="14"/>
                <w:i w:val="1"/>
                <w:iCs w:val="1"/>
                <w:color w:val="auto"/>
              </w:rPr>
              <w:t>$325</w:t>
            </w:r>
          </w:p>
        </w:tc>
        <w:tc>
          <w:tcPr>
            <w:tcW w:w="1000" w:type="dxa"/>
            <w:vAlign w:val="bottom"/>
          </w:tcPr>
          <w:p>
            <w:pPr>
              <w:ind w:left="20"/>
              <w:spacing w:after="0"/>
              <w:rPr>
                <w:sz w:val="20"/>
                <w:szCs w:val="20"/>
                <w:color w:val="auto"/>
              </w:rPr>
            </w:pPr>
            <w:r>
              <w:rPr>
                <w:rFonts w:ascii="Arial" w:cs="Arial" w:eastAsia="Arial" w:hAnsi="Arial"/>
                <w:sz w:val="14"/>
                <w:szCs w:val="14"/>
                <w:i w:val="1"/>
                <w:iCs w:val="1"/>
                <w:color w:val="auto"/>
              </w:rPr>
              <w:t>- $340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i w:val="1"/>
                <w:iCs w:val="1"/>
                <w:color w:val="auto"/>
              </w:rPr>
              <w:t>$50</w:t>
            </w:r>
          </w:p>
        </w:tc>
        <w:tc>
          <w:tcPr>
            <w:tcW w:w="980" w:type="dxa"/>
            <w:vAlign w:val="bottom"/>
          </w:tcPr>
          <w:p>
            <w:pPr>
              <w:ind w:left="20"/>
              <w:spacing w:after="0"/>
              <w:rPr>
                <w:sz w:val="20"/>
                <w:szCs w:val="20"/>
                <w:color w:val="auto"/>
              </w:rPr>
            </w:pPr>
            <w:r>
              <w:rPr>
                <w:rFonts w:ascii="Arial" w:cs="Arial" w:eastAsia="Arial" w:hAnsi="Arial"/>
                <w:sz w:val="14"/>
                <w:szCs w:val="14"/>
                <w:i w:val="1"/>
                <w:iCs w:val="1"/>
                <w:color w:val="auto"/>
              </w:rPr>
              <w:t>- $60</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i w:val="1"/>
                <w:iCs w:val="1"/>
                <w:color w:val="auto"/>
              </w:rPr>
              <w:t>$6 - $12</w:t>
            </w: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Depreciation, depletion and amortization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$595</w:t>
            </w:r>
          </w:p>
        </w:tc>
        <w:tc>
          <w:tcPr>
            <w:tcW w:w="1000" w:type="dxa"/>
            <w:vAlign w:val="bottom"/>
          </w:tcPr>
          <w:p>
            <w:pPr>
              <w:ind w:left="20"/>
              <w:spacing w:after="0"/>
              <w:rPr>
                <w:sz w:val="20"/>
                <w:szCs w:val="20"/>
                <w:color w:val="auto"/>
              </w:rPr>
            </w:pPr>
            <w:r>
              <w:rPr>
                <w:rFonts w:ascii="Arial" w:cs="Arial" w:eastAsia="Arial" w:hAnsi="Arial"/>
                <w:sz w:val="14"/>
                <w:szCs w:val="14"/>
                <w:color w:val="auto"/>
              </w:rPr>
              <w:t>- $615</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$575</w:t>
            </w:r>
          </w:p>
        </w:tc>
        <w:tc>
          <w:tcPr>
            <w:tcW w:w="980" w:type="dxa"/>
            <w:vAlign w:val="bottom"/>
          </w:tcPr>
          <w:p>
            <w:pPr>
              <w:ind w:left="20"/>
              <w:spacing w:after="0"/>
              <w:rPr>
                <w:sz w:val="20"/>
                <w:szCs w:val="20"/>
                <w:color w:val="auto"/>
              </w:rPr>
            </w:pPr>
            <w:r>
              <w:rPr>
                <w:rFonts w:ascii="Arial" w:cs="Arial" w:eastAsia="Arial" w:hAnsi="Arial"/>
                <w:sz w:val="14"/>
                <w:szCs w:val="14"/>
                <w:color w:val="auto"/>
              </w:rPr>
              <w:t>- $590</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Capital investments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$520</w:t>
            </w:r>
          </w:p>
        </w:tc>
        <w:tc>
          <w:tcPr>
            <w:tcW w:w="1000" w:type="dxa"/>
            <w:vAlign w:val="bottom"/>
          </w:tcPr>
          <w:p>
            <w:pPr>
              <w:ind w:left="20"/>
              <w:spacing w:after="0"/>
              <w:rPr>
                <w:sz w:val="20"/>
                <w:szCs w:val="20"/>
                <w:color w:val="auto"/>
              </w:rPr>
            </w:pPr>
            <w:r>
              <w:rPr>
                <w:rFonts w:ascii="Arial" w:cs="Arial" w:eastAsia="Arial" w:hAnsi="Arial"/>
                <w:sz w:val="14"/>
                <w:szCs w:val="14"/>
                <w:color w:val="auto"/>
              </w:rPr>
              <w:t>- $560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$500</w:t>
            </w:r>
          </w:p>
        </w:tc>
        <w:tc>
          <w:tcPr>
            <w:tcW w:w="980" w:type="dxa"/>
            <w:vAlign w:val="bottom"/>
          </w:tcPr>
          <w:p>
            <w:pPr>
              <w:ind w:left="20"/>
              <w:spacing w:after="0"/>
              <w:rPr>
                <w:sz w:val="20"/>
                <w:szCs w:val="20"/>
                <w:color w:val="auto"/>
              </w:rPr>
            </w:pPr>
            <w:r>
              <w:rPr>
                <w:rFonts w:ascii="Arial" w:cs="Arial" w:eastAsia="Arial" w:hAnsi="Arial"/>
                <w:sz w:val="14"/>
                <w:szCs w:val="14"/>
                <w:color w:val="auto"/>
              </w:rPr>
              <w:t>- $525</w:t>
            </w:r>
          </w:p>
        </w:tc>
        <w:tc>
          <w:tcPr>
            <w:tcW w:w="100" w:type="dxa"/>
            <w:vAlign w:val="bottom"/>
          </w:tcPr>
          <w:p>
            <w:pPr>
              <w:spacing w:after="0"/>
              <w:rPr>
                <w:sz w:val="17"/>
                <w:szCs w:val="17"/>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rPr>
              <w:t>$12 - $20</w:t>
            </w: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Adjusted EBITDAX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$1,400</w:t>
            </w:r>
          </w:p>
        </w:tc>
        <w:tc>
          <w:tcPr>
            <w:tcW w:w="1000" w:type="dxa"/>
            <w:vAlign w:val="bottom"/>
          </w:tcPr>
          <w:p>
            <w:pPr>
              <w:ind w:left="20"/>
              <w:spacing w:after="0"/>
              <w:rPr>
                <w:sz w:val="20"/>
                <w:szCs w:val="20"/>
                <w:color w:val="auto"/>
              </w:rPr>
            </w:pPr>
            <w:r>
              <w:rPr>
                <w:rFonts w:ascii="Arial" w:cs="Arial" w:eastAsia="Arial" w:hAnsi="Arial"/>
                <w:sz w:val="14"/>
                <w:szCs w:val="14"/>
                <w:color w:val="auto"/>
              </w:rPr>
              <w:t>- $1,500</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07"/>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 xml:space="preserve">Margin from purchased commodities ($ millions) </w:t>
            </w:r>
            <w:r>
              <w:rPr>
                <w:rFonts w:ascii="Arial" w:cs="Arial" w:eastAsia="Arial" w:hAnsi="Arial"/>
                <w:sz w:val="18"/>
                <w:szCs w:val="18"/>
                <w:color w:val="auto"/>
                <w:vertAlign w:val="superscript"/>
              </w:rPr>
              <w:t>(1)</w:t>
            </w:r>
          </w:p>
        </w:tc>
        <w:tc>
          <w:tcPr>
            <w:tcW w:w="900" w:type="dxa"/>
            <w:vAlign w:val="bottom"/>
          </w:tcPr>
          <w:p>
            <w:pPr>
              <w:jc w:val="right"/>
              <w:spacing w:after="0"/>
              <w:rPr>
                <w:sz w:val="20"/>
                <w:szCs w:val="20"/>
                <w:color w:val="auto"/>
              </w:rPr>
            </w:pPr>
            <w:r>
              <w:rPr>
                <w:rFonts w:ascii="Arial" w:cs="Arial" w:eastAsia="Arial" w:hAnsi="Arial"/>
                <w:sz w:val="14"/>
                <w:szCs w:val="14"/>
                <w:color w:val="auto"/>
              </w:rPr>
              <w:t>$50</w:t>
            </w:r>
          </w:p>
        </w:tc>
        <w:tc>
          <w:tcPr>
            <w:tcW w:w="1000" w:type="dxa"/>
            <w:vAlign w:val="bottom"/>
          </w:tcPr>
          <w:p>
            <w:pPr>
              <w:ind w:left="20"/>
              <w:spacing w:after="0"/>
              <w:rPr>
                <w:sz w:val="20"/>
                <w:szCs w:val="20"/>
                <w:color w:val="auto"/>
              </w:rPr>
            </w:pPr>
            <w:r>
              <w:rPr>
                <w:rFonts w:ascii="Arial" w:cs="Arial" w:eastAsia="Arial" w:hAnsi="Arial"/>
                <w:sz w:val="14"/>
                <w:szCs w:val="14"/>
                <w:color w:val="auto"/>
              </w:rPr>
              <w:t>- $65</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9"/>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Electricity revenue net of electricity generation expenses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$25</w:t>
            </w:r>
          </w:p>
        </w:tc>
        <w:tc>
          <w:tcPr>
            <w:tcW w:w="1000" w:type="dxa"/>
            <w:vAlign w:val="bottom"/>
          </w:tcPr>
          <w:p>
            <w:pPr>
              <w:ind w:left="20"/>
              <w:spacing w:after="0"/>
              <w:rPr>
                <w:sz w:val="20"/>
                <w:szCs w:val="20"/>
                <w:color w:val="auto"/>
              </w:rPr>
            </w:pPr>
            <w:r>
              <w:rPr>
                <w:rFonts w:ascii="Arial" w:cs="Arial" w:eastAsia="Arial" w:hAnsi="Arial"/>
                <w:sz w:val="14"/>
                <w:szCs w:val="14"/>
                <w:color w:val="auto"/>
              </w:rPr>
              <w:t>- $45</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1"/>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 xml:space="preserve">Other operating expenses net of other revenue ($ millions) </w:t>
            </w:r>
            <w:r>
              <w:rPr>
                <w:rFonts w:ascii="Arial" w:cs="Arial" w:eastAsia="Arial" w:hAnsi="Arial"/>
                <w:sz w:val="18"/>
                <w:szCs w:val="18"/>
                <w:color w:val="auto"/>
                <w:vertAlign w:val="superscript"/>
              </w:rPr>
              <w:t>(2)</w:t>
            </w:r>
          </w:p>
        </w:tc>
        <w:tc>
          <w:tcPr>
            <w:tcW w:w="900" w:type="dxa"/>
            <w:vAlign w:val="bottom"/>
          </w:tcPr>
          <w:p>
            <w:pPr>
              <w:jc w:val="right"/>
              <w:spacing w:after="0"/>
              <w:rPr>
                <w:sz w:val="20"/>
                <w:szCs w:val="20"/>
                <w:color w:val="auto"/>
              </w:rPr>
            </w:pPr>
            <w:r>
              <w:rPr>
                <w:rFonts w:ascii="Arial" w:cs="Arial" w:eastAsia="Arial" w:hAnsi="Arial"/>
                <w:sz w:val="14"/>
                <w:szCs w:val="14"/>
                <w:color w:val="auto"/>
              </w:rPr>
              <w:t>$75</w:t>
            </w:r>
          </w:p>
        </w:tc>
        <w:tc>
          <w:tcPr>
            <w:tcW w:w="1000" w:type="dxa"/>
            <w:vAlign w:val="bottom"/>
          </w:tcPr>
          <w:p>
            <w:pPr>
              <w:ind w:left="20"/>
              <w:spacing w:after="0"/>
              <w:rPr>
                <w:sz w:val="20"/>
                <w:szCs w:val="20"/>
                <w:color w:val="auto"/>
              </w:rPr>
            </w:pPr>
            <w:r>
              <w:rPr>
                <w:rFonts w:ascii="Arial" w:cs="Arial" w:eastAsia="Arial" w:hAnsi="Arial"/>
                <w:sz w:val="14"/>
                <w:szCs w:val="14"/>
                <w:color w:val="auto"/>
              </w:rPr>
              <w:t>- $85</w:t>
            </w:r>
          </w:p>
        </w:tc>
        <w:tc>
          <w:tcPr>
            <w:tcW w:w="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00" w:type="dxa"/>
            <w:vAlign w:val="bottom"/>
          </w:tcPr>
          <w:p>
            <w:pPr>
              <w:jc w:val="center"/>
              <w:spacing w:after="0"/>
              <w:rPr>
                <w:sz w:val="20"/>
                <w:szCs w:val="20"/>
                <w:color w:val="auto"/>
              </w:rPr>
            </w:pPr>
            <w:r>
              <w:rPr>
                <w:rFonts w:ascii="Arial" w:cs="Arial" w:eastAsia="Arial" w:hAnsi="Arial"/>
                <w:sz w:val="14"/>
                <w:szCs w:val="14"/>
                <w:color w:val="auto"/>
              </w:rPr>
              <w:t>$20 - $30</w:t>
            </w:r>
          </w:p>
        </w:tc>
        <w:tc>
          <w:tcPr>
            <w:tcW w:w="0" w:type="dxa"/>
            <w:vAlign w:val="bottom"/>
          </w:tcPr>
          <w:p>
            <w:pPr>
              <w:spacing w:after="0"/>
              <w:rPr>
                <w:sz w:val="1"/>
                <w:szCs w:val="1"/>
                <w:color w:val="auto"/>
              </w:rPr>
            </w:pPr>
          </w:p>
        </w:tc>
      </w:tr>
      <w:tr>
        <w:trPr>
          <w:trHeight w:val="189"/>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Transportation costs ($ millions)</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8"/>
              </w:rPr>
              <w:t>$105 - $115</w:t>
            </w:r>
          </w:p>
        </w:tc>
        <w:tc>
          <w:tcPr>
            <w:tcW w:w="8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$65</w:t>
            </w:r>
          </w:p>
        </w:tc>
        <w:tc>
          <w:tcPr>
            <w:tcW w:w="980" w:type="dxa"/>
            <w:vAlign w:val="bottom"/>
          </w:tcPr>
          <w:p>
            <w:pPr>
              <w:ind w:left="20"/>
              <w:spacing w:after="0"/>
              <w:rPr>
                <w:sz w:val="20"/>
                <w:szCs w:val="20"/>
                <w:color w:val="auto"/>
              </w:rPr>
            </w:pPr>
            <w:r>
              <w:rPr>
                <w:rFonts w:ascii="Arial" w:cs="Arial" w:eastAsia="Arial" w:hAnsi="Arial"/>
                <w:sz w:val="14"/>
                <w:szCs w:val="14"/>
                <w:color w:val="auto"/>
              </w:rPr>
              <w:t>- $70</w:t>
            </w: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Taxes other than on income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$270</w:t>
            </w:r>
          </w:p>
        </w:tc>
        <w:tc>
          <w:tcPr>
            <w:tcW w:w="1000" w:type="dxa"/>
            <w:vAlign w:val="bottom"/>
          </w:tcPr>
          <w:p>
            <w:pPr>
              <w:ind w:left="20"/>
              <w:spacing w:after="0"/>
              <w:rPr>
                <w:sz w:val="20"/>
                <w:szCs w:val="20"/>
                <w:color w:val="auto"/>
              </w:rPr>
            </w:pPr>
            <w:r>
              <w:rPr>
                <w:rFonts w:ascii="Arial" w:cs="Arial" w:eastAsia="Arial" w:hAnsi="Arial"/>
                <w:sz w:val="14"/>
                <w:szCs w:val="14"/>
                <w:color w:val="auto"/>
              </w:rPr>
              <w:t>- $280</w:t>
            </w:r>
          </w:p>
        </w:tc>
        <w:tc>
          <w:tcPr>
            <w:tcW w:w="8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Arial" w:cs="Arial" w:eastAsia="Arial" w:hAnsi="Arial"/>
                <w:sz w:val="14"/>
                <w:szCs w:val="14"/>
                <w:color w:val="auto"/>
              </w:rPr>
              <w:t>$238</w:t>
            </w:r>
          </w:p>
        </w:tc>
        <w:tc>
          <w:tcPr>
            <w:tcW w:w="980" w:type="dxa"/>
            <w:vAlign w:val="bottom"/>
          </w:tcPr>
          <w:p>
            <w:pPr>
              <w:ind w:left="20"/>
              <w:spacing w:after="0"/>
              <w:rPr>
                <w:sz w:val="20"/>
                <w:szCs w:val="20"/>
                <w:color w:val="auto"/>
              </w:rPr>
            </w:pPr>
            <w:r>
              <w:rPr>
                <w:rFonts w:ascii="Arial" w:cs="Arial" w:eastAsia="Arial" w:hAnsi="Arial"/>
                <w:sz w:val="14"/>
                <w:szCs w:val="14"/>
                <w:color w:val="auto"/>
              </w:rPr>
              <w:t>- $243</w:t>
            </w: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Interest and debt expense ($ millions)</w:t>
            </w:r>
          </w:p>
        </w:tc>
        <w:tc>
          <w:tcPr>
            <w:tcW w:w="900" w:type="dxa"/>
            <w:vAlign w:val="bottom"/>
          </w:tcPr>
          <w:p>
            <w:pPr>
              <w:jc w:val="right"/>
              <w:spacing w:after="0"/>
              <w:rPr>
                <w:sz w:val="20"/>
                <w:szCs w:val="20"/>
                <w:color w:val="auto"/>
              </w:rPr>
            </w:pPr>
            <w:r>
              <w:rPr>
                <w:rFonts w:ascii="Arial" w:cs="Arial" w:eastAsia="Arial" w:hAnsi="Arial"/>
                <w:sz w:val="14"/>
                <w:szCs w:val="14"/>
                <w:color w:val="auto"/>
              </w:rPr>
              <w:t>$120</w:t>
            </w:r>
          </w:p>
        </w:tc>
        <w:tc>
          <w:tcPr>
            <w:tcW w:w="1000" w:type="dxa"/>
            <w:vAlign w:val="bottom"/>
          </w:tcPr>
          <w:p>
            <w:pPr>
              <w:ind w:left="20"/>
              <w:spacing w:after="0"/>
              <w:rPr>
                <w:sz w:val="20"/>
                <w:szCs w:val="20"/>
                <w:color w:val="auto"/>
              </w:rPr>
            </w:pPr>
            <w:r>
              <w:rPr>
                <w:rFonts w:ascii="Arial" w:cs="Arial" w:eastAsia="Arial" w:hAnsi="Arial"/>
                <w:sz w:val="14"/>
                <w:szCs w:val="14"/>
                <w:color w:val="auto"/>
              </w:rPr>
              <w:t>- $130</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3"/>
        </w:trPr>
        <w:tc>
          <w:tcPr>
            <w:tcW w:w="5360" w:type="dxa"/>
            <w:vAlign w:val="bottom"/>
            <w:gridSpan w:val="2"/>
          </w:tcPr>
          <w:p>
            <w:pPr>
              <w:ind w:left="140"/>
              <w:spacing w:after="0"/>
              <w:rPr>
                <w:sz w:val="20"/>
                <w:szCs w:val="20"/>
                <w:color w:val="auto"/>
              </w:rPr>
            </w:pPr>
            <w:r>
              <w:rPr>
                <w:rFonts w:ascii="Arial" w:cs="Arial" w:eastAsia="Arial" w:hAnsi="Arial"/>
                <w:sz w:val="14"/>
                <w:szCs w:val="14"/>
                <w:color w:val="auto"/>
              </w:rPr>
              <w:t>Other Assumptions:</w:t>
            </w:r>
          </w:p>
        </w:tc>
        <w:tc>
          <w:tcPr>
            <w:tcW w:w="9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Brent ($/Bbl)</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7"/>
              </w:rPr>
              <w:t>$90.58</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NYMEX ($/Mcf)</w:t>
            </w:r>
          </w:p>
        </w:tc>
        <w:tc>
          <w:tcPr>
            <w:tcW w:w="1900" w:type="dxa"/>
            <w:vAlign w:val="bottom"/>
            <w:gridSpan w:val="2"/>
          </w:tcPr>
          <w:p>
            <w:pPr>
              <w:jc w:val="center"/>
              <w:spacing w:after="0"/>
              <w:rPr>
                <w:sz w:val="20"/>
                <w:szCs w:val="20"/>
                <w:color w:val="auto"/>
              </w:rPr>
            </w:pPr>
            <w:r>
              <w:rPr>
                <w:rFonts w:ascii="Arial" w:cs="Arial" w:eastAsia="Arial" w:hAnsi="Arial"/>
                <w:sz w:val="14"/>
                <w:szCs w:val="14"/>
                <w:color w:val="auto"/>
                <w:w w:val="96"/>
              </w:rPr>
              <w:t>$3.61</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Price realization oil - % of Brent:</w:t>
            </w:r>
          </w:p>
        </w:tc>
        <w:tc>
          <w:tcPr>
            <w:tcW w:w="900" w:type="dxa"/>
            <w:vAlign w:val="bottom"/>
          </w:tcPr>
          <w:p>
            <w:pPr>
              <w:jc w:val="right"/>
              <w:spacing w:after="0"/>
              <w:rPr>
                <w:sz w:val="20"/>
                <w:szCs w:val="20"/>
                <w:color w:val="auto"/>
              </w:rPr>
            </w:pPr>
            <w:r>
              <w:rPr>
                <w:rFonts w:ascii="Arial" w:cs="Arial" w:eastAsia="Arial" w:hAnsi="Arial"/>
                <w:sz w:val="14"/>
                <w:szCs w:val="14"/>
                <w:color w:val="auto"/>
              </w:rPr>
              <w:t>94%</w:t>
            </w:r>
          </w:p>
        </w:tc>
        <w:tc>
          <w:tcPr>
            <w:tcW w:w="1000" w:type="dxa"/>
            <w:vAlign w:val="bottom"/>
          </w:tcPr>
          <w:p>
            <w:pPr>
              <w:ind w:left="20"/>
              <w:spacing w:after="0"/>
              <w:rPr>
                <w:sz w:val="20"/>
                <w:szCs w:val="20"/>
                <w:color w:val="auto"/>
              </w:rPr>
            </w:pPr>
            <w:r>
              <w:rPr>
                <w:rFonts w:ascii="Arial" w:cs="Arial" w:eastAsia="Arial" w:hAnsi="Arial"/>
                <w:sz w:val="14"/>
                <w:szCs w:val="14"/>
                <w:color w:val="auto"/>
              </w:rPr>
              <w:t>- 98%</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Price realization NGLs - % of Brent:</w:t>
            </w:r>
          </w:p>
        </w:tc>
        <w:tc>
          <w:tcPr>
            <w:tcW w:w="900" w:type="dxa"/>
            <w:vAlign w:val="bottom"/>
          </w:tcPr>
          <w:p>
            <w:pPr>
              <w:jc w:val="right"/>
              <w:spacing w:after="0"/>
              <w:rPr>
                <w:sz w:val="20"/>
                <w:szCs w:val="20"/>
                <w:color w:val="auto"/>
              </w:rPr>
            </w:pPr>
            <w:r>
              <w:rPr>
                <w:rFonts w:ascii="Arial" w:cs="Arial" w:eastAsia="Arial" w:hAnsi="Arial"/>
                <w:sz w:val="14"/>
                <w:szCs w:val="14"/>
                <w:color w:val="auto"/>
              </w:rPr>
              <w:t>50%</w:t>
            </w:r>
          </w:p>
        </w:tc>
        <w:tc>
          <w:tcPr>
            <w:tcW w:w="1000" w:type="dxa"/>
            <w:vAlign w:val="bottom"/>
          </w:tcPr>
          <w:p>
            <w:pPr>
              <w:ind w:left="20"/>
              <w:spacing w:after="0"/>
              <w:rPr>
                <w:sz w:val="20"/>
                <w:szCs w:val="20"/>
                <w:color w:val="auto"/>
              </w:rPr>
            </w:pPr>
            <w:r>
              <w:rPr>
                <w:rFonts w:ascii="Arial" w:cs="Arial" w:eastAsia="Arial" w:hAnsi="Arial"/>
                <w:sz w:val="14"/>
                <w:szCs w:val="14"/>
                <w:color w:val="auto"/>
              </w:rPr>
              <w:t>- 55%</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0"/>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Price realization natural gas - % of NYMEX:</w:t>
            </w:r>
          </w:p>
        </w:tc>
        <w:tc>
          <w:tcPr>
            <w:tcW w:w="900" w:type="dxa"/>
            <w:vAlign w:val="bottom"/>
          </w:tcPr>
          <w:p>
            <w:pPr>
              <w:jc w:val="right"/>
              <w:spacing w:after="0"/>
              <w:rPr>
                <w:sz w:val="20"/>
                <w:szCs w:val="20"/>
                <w:color w:val="auto"/>
              </w:rPr>
            </w:pPr>
            <w:r>
              <w:rPr>
                <w:rFonts w:ascii="Arial" w:cs="Arial" w:eastAsia="Arial" w:hAnsi="Arial"/>
                <w:sz w:val="14"/>
                <w:szCs w:val="14"/>
                <w:color w:val="auto"/>
              </w:rPr>
              <w:t>67%</w:t>
            </w:r>
          </w:p>
        </w:tc>
        <w:tc>
          <w:tcPr>
            <w:tcW w:w="1000" w:type="dxa"/>
            <w:vAlign w:val="bottom"/>
          </w:tcPr>
          <w:p>
            <w:pPr>
              <w:ind w:left="20"/>
              <w:spacing w:after="0"/>
              <w:rPr>
                <w:sz w:val="20"/>
                <w:szCs w:val="20"/>
                <w:color w:val="auto"/>
              </w:rPr>
            </w:pPr>
            <w:r>
              <w:rPr>
                <w:rFonts w:ascii="Arial" w:cs="Arial" w:eastAsia="Arial" w:hAnsi="Arial"/>
                <w:sz w:val="14"/>
                <w:szCs w:val="14"/>
                <w:color w:val="auto"/>
              </w:rPr>
              <w:t>- 72%</w:t>
            </w:r>
          </w:p>
        </w:tc>
        <w:tc>
          <w:tcPr>
            <w:tcW w:w="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64"/>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 xml:space="preserve">Current income tax provision ($ millions) </w:t>
            </w:r>
            <w:r>
              <w:rPr>
                <w:rFonts w:ascii="Arial" w:cs="Arial" w:eastAsia="Arial" w:hAnsi="Arial"/>
                <w:sz w:val="18"/>
                <w:szCs w:val="18"/>
                <w:color w:val="auto"/>
                <w:vertAlign w:val="superscript"/>
              </w:rPr>
              <w:t>(3)</w:t>
            </w:r>
          </w:p>
        </w:tc>
        <w:tc>
          <w:tcPr>
            <w:tcW w:w="900" w:type="dxa"/>
            <w:vAlign w:val="bottom"/>
          </w:tcPr>
          <w:p>
            <w:pPr>
              <w:jc w:val="right"/>
              <w:spacing w:after="0"/>
              <w:rPr>
                <w:sz w:val="20"/>
                <w:szCs w:val="20"/>
                <w:color w:val="auto"/>
              </w:rPr>
            </w:pPr>
            <w:r>
              <w:rPr>
                <w:rFonts w:ascii="Arial" w:cs="Arial" w:eastAsia="Arial" w:hAnsi="Arial"/>
                <w:sz w:val="14"/>
                <w:szCs w:val="14"/>
                <w:color w:val="auto"/>
              </w:rPr>
              <w:t>$5</w:t>
            </w:r>
          </w:p>
        </w:tc>
        <w:tc>
          <w:tcPr>
            <w:tcW w:w="1000" w:type="dxa"/>
            <w:vAlign w:val="bottom"/>
          </w:tcPr>
          <w:p>
            <w:pPr>
              <w:ind w:left="20"/>
              <w:spacing w:after="0"/>
              <w:rPr>
                <w:sz w:val="20"/>
                <w:szCs w:val="20"/>
                <w:color w:val="auto"/>
              </w:rPr>
            </w:pPr>
            <w:r>
              <w:rPr>
                <w:rFonts w:ascii="Arial" w:cs="Arial" w:eastAsia="Arial" w:hAnsi="Arial"/>
                <w:sz w:val="14"/>
                <w:szCs w:val="14"/>
                <w:color w:val="auto"/>
              </w:rPr>
              <w:t>- $8</w:t>
            </w: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89"/>
        </w:trPr>
        <w:tc>
          <w:tcPr>
            <w:tcW w:w="5360" w:type="dxa"/>
            <w:vAlign w:val="bottom"/>
            <w:gridSpan w:val="2"/>
          </w:tcPr>
          <w:p>
            <w:pPr>
              <w:ind w:left="260"/>
              <w:spacing w:after="0"/>
              <w:rPr>
                <w:sz w:val="20"/>
                <w:szCs w:val="20"/>
                <w:color w:val="auto"/>
              </w:rPr>
            </w:pPr>
            <w:r>
              <w:rPr>
                <w:rFonts w:ascii="Arial" w:cs="Arial" w:eastAsia="Arial" w:hAnsi="Arial"/>
                <w:sz w:val="14"/>
                <w:szCs w:val="14"/>
                <w:color w:val="auto"/>
              </w:rPr>
              <w:t>Effective tax rate</w:t>
            </w:r>
          </w:p>
        </w:tc>
        <w:tc>
          <w:tcPr>
            <w:tcW w:w="900" w:type="dxa"/>
            <w:vAlign w:val="bottom"/>
          </w:tcPr>
          <w:p>
            <w:pPr>
              <w:jc w:val="right"/>
              <w:spacing w:after="0"/>
              <w:rPr>
                <w:sz w:val="20"/>
                <w:szCs w:val="20"/>
                <w:color w:val="auto"/>
              </w:rPr>
            </w:pPr>
            <w:r>
              <w:rPr>
                <w:rFonts w:ascii="Arial" w:cs="Arial" w:eastAsia="Arial" w:hAnsi="Arial"/>
                <w:sz w:val="14"/>
                <w:szCs w:val="14"/>
                <w:color w:val="auto"/>
              </w:rPr>
              <w:t>12%</w:t>
            </w:r>
          </w:p>
        </w:tc>
        <w:tc>
          <w:tcPr>
            <w:tcW w:w="1000" w:type="dxa"/>
            <w:vAlign w:val="bottom"/>
          </w:tcPr>
          <w:p>
            <w:pPr>
              <w:ind w:left="20"/>
              <w:spacing w:after="0"/>
              <w:rPr>
                <w:sz w:val="20"/>
                <w:szCs w:val="20"/>
                <w:color w:val="auto"/>
              </w:rPr>
            </w:pPr>
            <w:r>
              <w:rPr>
                <w:rFonts w:ascii="Arial" w:cs="Arial" w:eastAsia="Arial" w:hAnsi="Arial"/>
                <w:sz w:val="14"/>
                <w:szCs w:val="14"/>
                <w:color w:val="auto"/>
              </w:rPr>
              <w:t>- 16%</w:t>
            </w:r>
          </w:p>
        </w:tc>
        <w:tc>
          <w:tcPr>
            <w:tcW w:w="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207645</wp:posOffset>
            </wp:positionH>
            <wp:positionV relativeFrom="page">
              <wp:posOffset>647700</wp:posOffset>
            </wp:positionV>
            <wp:extent cx="713422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ind w:firstLine="7"/>
        <w:spacing w:after="0"/>
        <w:tabs>
          <w:tab w:leader="none" w:pos="138" w:val="left"/>
        </w:tabs>
        <w:numPr>
          <w:ilvl w:val="0"/>
          <w:numId w:val="36"/>
        </w:numPr>
        <w:rPr>
          <w:rFonts w:ascii="Arial" w:cs="Arial" w:eastAsia="Arial" w:hAnsi="Arial"/>
          <w:sz w:val="16"/>
          <w:szCs w:val="16"/>
          <w:color w:val="auto"/>
          <w:vertAlign w:val="superscript"/>
        </w:rPr>
      </w:pPr>
      <w:r>
        <w:rPr>
          <w:rFonts w:ascii="Arial" w:cs="Arial" w:eastAsia="Arial" w:hAnsi="Arial"/>
          <w:sz w:val="13"/>
          <w:szCs w:val="13"/>
          <w:color w:val="auto"/>
        </w:rPr>
        <w:t>Margin from purchased commodities is calculated as the difference between revenue from marketing of purchased commodities and costs related to marketing of purchased commodities, and excludes costs of transportation.</w:t>
      </w:r>
    </w:p>
    <w:p>
      <w:pPr>
        <w:ind w:firstLine="7"/>
        <w:spacing w:after="0" w:line="213" w:lineRule="auto"/>
        <w:tabs>
          <w:tab w:leader="none" w:pos="152" w:val="left"/>
        </w:tabs>
        <w:numPr>
          <w:ilvl w:val="0"/>
          <w:numId w:val="36"/>
        </w:numPr>
        <w:rPr>
          <w:rFonts w:ascii="Arial" w:cs="Arial" w:eastAsia="Arial" w:hAnsi="Arial"/>
          <w:sz w:val="17"/>
          <w:szCs w:val="17"/>
          <w:color w:val="auto"/>
          <w:vertAlign w:val="superscript"/>
        </w:rPr>
      </w:pPr>
      <w:r>
        <w:rPr>
          <w:rFonts w:ascii="Arial" w:cs="Arial" w:eastAsia="Arial" w:hAnsi="Arial"/>
          <w:sz w:val="13"/>
          <w:szCs w:val="13"/>
          <w:color w:val="auto"/>
        </w:rPr>
        <w:t>Other operating revenue and expenses, net is calculated as the difference between other revenue and other operating expenses, net and includes exploration expense and CMB expenses. CMB expenses includes lease cost for sequestration easements, advocacy, and other startup related costs.</w:t>
      </w:r>
    </w:p>
    <w:p>
      <w:pPr>
        <w:spacing w:after="0" w:line="238" w:lineRule="auto"/>
        <w:rPr>
          <w:rFonts w:ascii="Arial" w:cs="Arial" w:eastAsia="Arial" w:hAnsi="Arial"/>
          <w:sz w:val="17"/>
          <w:szCs w:val="17"/>
          <w:color w:val="auto"/>
          <w:vertAlign w:val="superscript"/>
        </w:rPr>
      </w:pPr>
      <w:r>
        <w:rPr>
          <w:rFonts w:ascii="Arial" w:cs="Arial" w:eastAsia="Arial" w:hAnsi="Arial"/>
          <w:sz w:val="14"/>
          <w:szCs w:val="14"/>
          <w:color w:val="auto"/>
        </w:rPr>
        <w:t>See Attachment 3 for management's disclosure of its use of these non-GAAP measures and how these measures provide useful information to investors about CRC's results of operations and financial condition.</w:t>
      </w:r>
    </w:p>
    <w:p>
      <w:pPr>
        <w:jc w:val="both"/>
        <w:ind w:firstLine="7"/>
        <w:spacing w:after="0" w:line="248" w:lineRule="auto"/>
        <w:tabs>
          <w:tab w:leader="none" w:pos="155" w:val="left"/>
        </w:tabs>
        <w:numPr>
          <w:ilvl w:val="0"/>
          <w:numId w:val="36"/>
        </w:numPr>
        <w:rPr>
          <w:rFonts w:ascii="Arial" w:cs="Arial" w:eastAsia="Arial" w:hAnsi="Arial"/>
          <w:sz w:val="9"/>
          <w:szCs w:val="9"/>
          <w:color w:val="auto"/>
        </w:rPr>
      </w:pPr>
      <w:r>
        <w:rPr>
          <w:rFonts w:ascii="Arial" w:cs="Arial" w:eastAsia="Arial" w:hAnsi="Arial"/>
          <w:sz w:val="14"/>
          <w:szCs w:val="14"/>
          <w:color w:val="auto"/>
        </w:rPr>
        <w:t>Current income tax composition is subject to variability and depends on a number of factors, including but not limited to, final taxable income determinations, the availability and utilization of net operating loss carryforwards (NOLs), applicable tax credits, and other differences between book and taxable income. Accordingly, the current provision may vary from period to period and should not be viewed as indicative of future tax obligations.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162560</wp:posOffset>
            </wp:positionV>
            <wp:extent cx="70916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091680" cy="825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187960</wp:posOffset>
            </wp:positionV>
            <wp:extent cx="709168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091680" cy="8255"/>
                    </a:xfrm>
                    <a:prstGeom prst="rect">
                      <a:avLst/>
                    </a:prstGeom>
                    <a:noFill/>
                  </pic:spPr>
                </pic:pic>
              </a:graphicData>
            </a:graphic>
          </wp:anchor>
        </w:drawing>
      </w:r>
    </w:p>
    <w:p>
      <w:pPr>
        <w:spacing w:after="0" w:line="36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80" w:type="dxa"/>
            <w:vAlign w:val="bottom"/>
          </w:tcPr>
          <w:p>
            <w:pPr>
              <w:spacing w:after="0"/>
              <w:rPr>
                <w:sz w:val="20"/>
                <w:szCs w:val="20"/>
                <w:color w:val="auto"/>
              </w:rPr>
            </w:pPr>
            <w:r>
              <w:rPr>
                <w:rFonts w:ascii="Arial" w:cs="Arial" w:eastAsia="Arial" w:hAnsi="Arial"/>
                <w:sz w:val="14"/>
                <w:szCs w:val="14"/>
                <w:b w:val="1"/>
                <w:bCs w:val="1"/>
                <w:color w:val="auto"/>
              </w:rPr>
              <w:t>FORWARD LOOKING NON-GAAP RECONCILIATIONS</w:t>
            </w: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4"/>
        </w:trPr>
        <w:tc>
          <w:tcPr>
            <w:tcW w:w="4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center"/>
              <w:ind w:left="389"/>
              <w:spacing w:after="0"/>
              <w:rPr>
                <w:sz w:val="20"/>
                <w:szCs w:val="20"/>
                <w:color w:val="auto"/>
              </w:rPr>
            </w:pPr>
            <w:r>
              <w:rPr>
                <w:rFonts w:ascii="Arial" w:cs="Arial" w:eastAsia="Arial" w:hAnsi="Arial"/>
                <w:sz w:val="14"/>
                <w:szCs w:val="14"/>
                <w:b w:val="1"/>
                <w:bCs w:val="1"/>
                <w:color w:val="auto"/>
              </w:rPr>
              <w:t>2Q26E</w:t>
            </w:r>
          </w:p>
        </w:tc>
        <w:tc>
          <w:tcPr>
            <w:tcW w:w="6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1"/>
        </w:trPr>
        <w:tc>
          <w:tcPr>
            <w:tcW w:w="4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4"/>
            <w:vMerge w:val="restart"/>
          </w:tcPr>
          <w:p>
            <w:pPr>
              <w:jc w:val="right"/>
              <w:ind w:right="509"/>
              <w:spacing w:after="0"/>
              <w:rPr>
                <w:sz w:val="20"/>
                <w:szCs w:val="20"/>
                <w:color w:val="auto"/>
              </w:rPr>
            </w:pPr>
            <w:r>
              <w:rPr>
                <w:rFonts w:ascii="Arial" w:cs="Arial" w:eastAsia="Arial" w:hAnsi="Arial"/>
                <w:sz w:val="14"/>
                <w:szCs w:val="14"/>
                <w:b w:val="1"/>
                <w:bCs w:val="1"/>
                <w:color w:val="auto"/>
              </w:rPr>
              <w:t>Consolidated</w:t>
            </w:r>
          </w:p>
        </w:tc>
        <w:tc>
          <w:tcPr>
            <w:tcW w:w="1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5"/>
          </w:tcPr>
          <w:p>
            <w:pPr>
              <w:jc w:val="center"/>
              <w:ind w:right="360"/>
              <w:spacing w:after="0" w:line="141" w:lineRule="exact"/>
              <w:rPr>
                <w:sz w:val="20"/>
                <w:szCs w:val="20"/>
                <w:color w:val="auto"/>
              </w:rPr>
            </w:pPr>
            <w:r>
              <w:rPr>
                <w:rFonts w:ascii="Arial" w:cs="Arial" w:eastAsia="Arial" w:hAnsi="Arial"/>
                <w:sz w:val="14"/>
                <w:szCs w:val="14"/>
                <w:b w:val="1"/>
                <w:bCs w:val="1"/>
                <w:color w:val="auto"/>
              </w:rPr>
              <w:t>Oil and Natural Gas</w:t>
            </w:r>
          </w:p>
        </w:tc>
        <w:tc>
          <w:tcPr>
            <w:tcW w:w="200" w:type="dxa"/>
            <w:vAlign w:val="bottom"/>
          </w:tcPr>
          <w:p>
            <w:pPr>
              <w:spacing w:after="0"/>
              <w:rPr>
                <w:sz w:val="12"/>
                <w:szCs w:val="12"/>
                <w:color w:val="auto"/>
              </w:rPr>
            </w:pPr>
          </w:p>
        </w:tc>
        <w:tc>
          <w:tcPr>
            <w:tcW w:w="1860" w:type="dxa"/>
            <w:vAlign w:val="bottom"/>
            <w:gridSpan w:val="4"/>
          </w:tcPr>
          <w:p>
            <w:pPr>
              <w:jc w:val="right"/>
              <w:ind w:right="249"/>
              <w:spacing w:after="0" w:line="141" w:lineRule="exact"/>
              <w:rPr>
                <w:sz w:val="20"/>
                <w:szCs w:val="20"/>
                <w:color w:val="auto"/>
              </w:rPr>
            </w:pPr>
            <w:r>
              <w:rPr>
                <w:rFonts w:ascii="Arial" w:cs="Arial" w:eastAsia="Arial" w:hAnsi="Arial"/>
                <w:sz w:val="14"/>
                <w:szCs w:val="14"/>
                <w:b w:val="1"/>
                <w:bCs w:val="1"/>
                <w:color w:val="auto"/>
              </w:rPr>
              <w:t>Carbon Management</w:t>
            </w:r>
          </w:p>
        </w:tc>
        <w:tc>
          <w:tcPr>
            <w:tcW w:w="0" w:type="dxa"/>
            <w:vAlign w:val="bottom"/>
          </w:tcPr>
          <w:p>
            <w:pPr>
              <w:spacing w:after="0"/>
              <w:rPr>
                <w:sz w:val="1"/>
                <w:szCs w:val="1"/>
                <w:color w:val="auto"/>
              </w:rPr>
            </w:pPr>
          </w:p>
        </w:tc>
      </w:tr>
      <w:tr>
        <w:trPr>
          <w:trHeight w:val="187"/>
        </w:trPr>
        <w:tc>
          <w:tcPr>
            <w:tcW w:w="478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40" w:type="dxa"/>
            <w:vAlign w:val="bottom"/>
            <w:tcBorders>
              <w:bottom w:val="single" w:sz="8" w:color="auto"/>
            </w:tcBorders>
            <w:gridSpan w:val="4"/>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369"/>
              <w:spacing w:after="0"/>
              <w:rPr>
                <w:sz w:val="20"/>
                <w:szCs w:val="20"/>
                <w:color w:val="auto"/>
              </w:rPr>
            </w:pPr>
            <w:r>
              <w:rPr>
                <w:rFonts w:ascii="Arial" w:cs="Arial" w:eastAsia="Arial" w:hAnsi="Arial"/>
                <w:sz w:val="14"/>
                <w:szCs w:val="14"/>
                <w:b w:val="1"/>
                <w:bCs w:val="1"/>
                <w:color w:val="auto"/>
              </w:rPr>
              <w:t>Segment</w:t>
            </w:r>
          </w:p>
        </w:tc>
        <w:tc>
          <w:tcPr>
            <w:tcW w:w="680" w:type="dxa"/>
            <w:vAlign w:val="bottom"/>
            <w:tcBorders>
              <w:bottom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Segment</w:t>
            </w: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780" w:type="dxa"/>
            <w:vAlign w:val="bottom"/>
          </w:tcPr>
          <w:p>
            <w:pPr>
              <w:ind w:left="20"/>
              <w:spacing w:after="0"/>
              <w:rPr>
                <w:sz w:val="20"/>
                <w:szCs w:val="20"/>
                <w:color w:val="auto"/>
              </w:rPr>
            </w:pPr>
            <w:r>
              <w:rPr>
                <w:rFonts w:ascii="Arial" w:cs="Arial" w:eastAsia="Arial" w:hAnsi="Arial"/>
                <w:sz w:val="14"/>
                <w:szCs w:val="14"/>
                <w:i w:val="1"/>
                <w:iCs w:val="1"/>
                <w:color w:val="auto"/>
              </w:rPr>
              <w:t>($ millions)</w:t>
            </w:r>
          </w:p>
        </w:tc>
        <w:tc>
          <w:tcPr>
            <w:tcW w:w="2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High</w:t>
            </w:r>
          </w:p>
        </w:tc>
        <w:tc>
          <w:tcPr>
            <w:tcW w:w="2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color w:val="auto"/>
              </w:rPr>
              <w:t>Low</w:t>
            </w:r>
          </w:p>
        </w:tc>
        <w:tc>
          <w:tcPr>
            <w:tcW w:w="3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color w:val="auto"/>
              </w:rPr>
              <w:t>High</w:t>
            </w:r>
          </w:p>
        </w:tc>
        <w:tc>
          <w:tcPr>
            <w:tcW w:w="20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Low</w:t>
            </w:r>
          </w:p>
        </w:tc>
        <w:tc>
          <w:tcPr>
            <w:tcW w:w="300" w:type="dxa"/>
            <w:vAlign w:val="bottom"/>
          </w:tcPr>
          <w:p>
            <w:pPr>
              <w:spacing w:after="0"/>
              <w:rPr>
                <w:sz w:val="16"/>
                <w:szCs w:val="16"/>
                <w:color w:val="auto"/>
              </w:rPr>
            </w:pPr>
          </w:p>
        </w:tc>
        <w:tc>
          <w:tcPr>
            <w:tcW w:w="680" w:type="dxa"/>
            <w:vAlign w:val="bottom"/>
          </w:tcPr>
          <w:p>
            <w:pPr>
              <w:jc w:val="right"/>
              <w:ind w:right="269"/>
              <w:spacing w:after="0"/>
              <w:rPr>
                <w:sz w:val="20"/>
                <w:szCs w:val="20"/>
                <w:color w:val="auto"/>
              </w:rPr>
            </w:pPr>
            <w:r>
              <w:rPr>
                <w:rFonts w:ascii="Arial" w:cs="Arial" w:eastAsia="Arial" w:hAnsi="Arial"/>
                <w:sz w:val="14"/>
                <w:szCs w:val="14"/>
                <w:color w:val="auto"/>
              </w:rPr>
              <w:t>High</w:t>
            </w:r>
          </w:p>
        </w:tc>
        <w:tc>
          <w:tcPr>
            <w:tcW w:w="0" w:type="dxa"/>
            <w:vAlign w:val="bottom"/>
          </w:tcPr>
          <w:p>
            <w:pPr>
              <w:spacing w:after="0"/>
              <w:rPr>
                <w:sz w:val="1"/>
                <w:szCs w:val="1"/>
                <w:color w:val="auto"/>
              </w:rPr>
            </w:pPr>
          </w:p>
        </w:tc>
      </w:tr>
      <w:tr>
        <w:trPr>
          <w:trHeight w:val="193"/>
        </w:trPr>
        <w:tc>
          <w:tcPr>
            <w:tcW w:w="4780" w:type="dxa"/>
            <w:vAlign w:val="bottom"/>
          </w:tcPr>
          <w:p>
            <w:pPr>
              <w:ind w:left="20"/>
              <w:spacing w:after="0"/>
              <w:rPr>
                <w:sz w:val="20"/>
                <w:szCs w:val="20"/>
                <w:color w:val="auto"/>
              </w:rPr>
            </w:pPr>
            <w:r>
              <w:rPr>
                <w:rFonts w:ascii="Arial" w:cs="Arial" w:eastAsia="Arial" w:hAnsi="Arial"/>
                <w:sz w:val="14"/>
                <w:szCs w:val="14"/>
                <w:color w:val="auto"/>
              </w:rPr>
              <w:t>General and administrative expenses</w:t>
            </w: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90</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100</w:t>
            </w:r>
          </w:p>
        </w:tc>
        <w:tc>
          <w:tcPr>
            <w:tcW w:w="14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6"/>
                <w:szCs w:val="16"/>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4"/>
        </w:trPr>
        <w:tc>
          <w:tcPr>
            <w:tcW w:w="4780" w:type="dxa"/>
            <w:vAlign w:val="bottom"/>
          </w:tcPr>
          <w:p>
            <w:pPr>
              <w:ind w:left="20"/>
              <w:spacing w:after="0"/>
              <w:rPr>
                <w:sz w:val="20"/>
                <w:szCs w:val="20"/>
                <w:color w:val="auto"/>
              </w:rPr>
            </w:pPr>
            <w:r>
              <w:rPr>
                <w:rFonts w:ascii="Arial" w:cs="Arial" w:eastAsia="Arial" w:hAnsi="Arial"/>
                <w:sz w:val="14"/>
                <w:szCs w:val="14"/>
                <w:color w:val="auto"/>
              </w:rPr>
              <w:t>Equity-settled stock-based compensation</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780" w:type="dxa"/>
            <w:vAlign w:val="bottom"/>
          </w:tcPr>
          <w:p>
            <w:pPr>
              <w:ind w:left="20"/>
              <w:spacing w:after="0"/>
              <w:rPr>
                <w:sz w:val="20"/>
                <w:szCs w:val="20"/>
                <w:color w:val="auto"/>
              </w:rPr>
            </w:pPr>
            <w:r>
              <w:rPr>
                <w:rFonts w:ascii="Arial" w:cs="Arial" w:eastAsia="Arial" w:hAnsi="Arial"/>
                <w:sz w:val="14"/>
                <w:szCs w:val="14"/>
                <w:b w:val="1"/>
                <w:bCs w:val="1"/>
                <w:color w:val="auto"/>
              </w:rPr>
              <w:t>Estimated adjusted general and administrative expenses</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95</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12</w:t>
      </w:r>
    </w:p>
    <w:p>
      <w:pPr>
        <w:sectPr>
          <w:pgSz w:w="11900" w:h="16838" w:orient="portrait"/>
          <w:cols w:equalWidth="0" w:num="1">
            <w:col w:w="11240"/>
          </w:cols>
          <w:pgMar w:left="320" w:top="1039" w:right="3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Consolidated</w:t>
            </w:r>
          </w:p>
        </w:tc>
        <w:tc>
          <w:tcPr>
            <w:tcW w:w="820" w:type="dxa"/>
            <w:vAlign w:val="bottom"/>
            <w:tcBorders>
              <w:top w:val="single" w:sz="8" w:color="auto"/>
              <w:bottom w:val="single" w:sz="8" w:color="auto"/>
            </w:tcBorders>
          </w:tcPr>
          <w:p>
            <w:pPr>
              <w:spacing w:after="0"/>
              <w:rPr>
                <w:sz w:val="18"/>
                <w:szCs w:val="18"/>
                <w:color w:val="auto"/>
              </w:rPr>
            </w:pPr>
          </w:p>
        </w:tc>
      </w:tr>
      <w:tr>
        <w:trPr>
          <w:trHeight w:val="193"/>
        </w:trPr>
        <w:tc>
          <w:tcPr>
            <w:tcW w:w="8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4"/>
                <w:szCs w:val="14"/>
                <w:b w:val="1"/>
                <w:bCs w:val="1"/>
                <w:color w:val="auto"/>
              </w:rPr>
              <w:t>2Q26E</w:t>
            </w:r>
          </w:p>
        </w:tc>
        <w:tc>
          <w:tcPr>
            <w:tcW w:w="820" w:type="dxa"/>
            <w:vAlign w:val="bottom"/>
            <w:tcBorders>
              <w:bottom w:val="single" w:sz="8" w:color="auto"/>
            </w:tcBorders>
          </w:tcPr>
          <w:p>
            <w:pPr>
              <w:spacing w:after="0"/>
              <w:rPr>
                <w:sz w:val="16"/>
                <w:szCs w:val="16"/>
                <w:color w:val="auto"/>
              </w:rPr>
            </w:pPr>
          </w:p>
        </w:tc>
      </w:tr>
      <w:tr>
        <w:trPr>
          <w:trHeight w:val="188"/>
        </w:trPr>
        <w:tc>
          <w:tcPr>
            <w:tcW w:w="860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30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44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Arial" w:cs="Arial" w:eastAsia="Arial" w:hAnsi="Arial"/>
                <w:sz w:val="14"/>
                <w:szCs w:val="14"/>
                <w:color w:val="auto"/>
              </w:rPr>
              <w:t>High</w:t>
            </w:r>
          </w:p>
        </w:tc>
      </w:tr>
      <w:tr>
        <w:trPr>
          <w:trHeight w:val="193"/>
        </w:trPr>
        <w:tc>
          <w:tcPr>
            <w:tcW w:w="8600" w:type="dxa"/>
            <w:vAlign w:val="bottom"/>
          </w:tcPr>
          <w:p>
            <w:pPr>
              <w:spacing w:after="0"/>
              <w:rPr>
                <w:sz w:val="20"/>
                <w:szCs w:val="20"/>
                <w:color w:val="auto"/>
              </w:rPr>
            </w:pPr>
            <w:r>
              <w:rPr>
                <w:rFonts w:ascii="Arial" w:cs="Arial" w:eastAsia="Arial" w:hAnsi="Arial"/>
                <w:sz w:val="14"/>
                <w:szCs w:val="14"/>
                <w:color w:val="auto"/>
              </w:rPr>
              <w:t>Revenue from marketing of purchased commodities</w:t>
            </w: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center"/>
              <w:ind w:left="469"/>
              <w:spacing w:after="0"/>
              <w:rPr>
                <w:sz w:val="20"/>
                <w:szCs w:val="20"/>
                <w:color w:val="auto"/>
              </w:rPr>
            </w:pPr>
            <w:r>
              <w:rPr>
                <w:rFonts w:ascii="Arial" w:cs="Arial" w:eastAsia="Arial" w:hAnsi="Arial"/>
                <w:sz w:val="14"/>
                <w:szCs w:val="14"/>
                <w:color w:val="auto"/>
              </w:rPr>
              <w:t>32</w:t>
            </w:r>
          </w:p>
        </w:tc>
      </w:tr>
      <w:tr>
        <w:trPr>
          <w:trHeight w:val="204"/>
        </w:trPr>
        <w:tc>
          <w:tcPr>
            <w:tcW w:w="8600" w:type="dxa"/>
            <w:vAlign w:val="bottom"/>
          </w:tcPr>
          <w:p>
            <w:pPr>
              <w:spacing w:after="0"/>
              <w:rPr>
                <w:sz w:val="20"/>
                <w:szCs w:val="20"/>
                <w:color w:val="auto"/>
              </w:rPr>
            </w:pPr>
            <w:r>
              <w:rPr>
                <w:rFonts w:ascii="Arial" w:cs="Arial" w:eastAsia="Arial" w:hAnsi="Arial"/>
                <w:sz w:val="14"/>
                <w:szCs w:val="14"/>
                <w:color w:val="auto"/>
              </w:rPr>
              <w:t>Costs related to marketing of purchased commodities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color w:val="auto"/>
              </w:rPr>
              <w:t>(17)</w:t>
            </w:r>
          </w:p>
        </w:tc>
      </w:tr>
      <w:tr>
        <w:trPr>
          <w:trHeight w:val="197"/>
        </w:trPr>
        <w:tc>
          <w:tcPr>
            <w:tcW w:w="8600" w:type="dxa"/>
            <w:vAlign w:val="bottom"/>
          </w:tcPr>
          <w:p>
            <w:pPr>
              <w:spacing w:after="0"/>
              <w:rPr>
                <w:sz w:val="20"/>
                <w:szCs w:val="20"/>
                <w:color w:val="auto"/>
              </w:rPr>
            </w:pPr>
            <w:r>
              <w:rPr>
                <w:rFonts w:ascii="Arial" w:cs="Arial" w:eastAsia="Arial" w:hAnsi="Arial"/>
                <w:sz w:val="14"/>
                <w:szCs w:val="14"/>
                <w:b w:val="1"/>
                <w:bCs w:val="1"/>
                <w:color w:val="auto"/>
              </w:rPr>
              <w:t>Margin from purchased commodities</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center"/>
              <w:ind w:left="469"/>
              <w:spacing w:after="0"/>
              <w:rPr>
                <w:sz w:val="20"/>
                <w:szCs w:val="20"/>
                <w:color w:val="auto"/>
              </w:rPr>
            </w:pPr>
            <w:r>
              <w:rPr>
                <w:rFonts w:ascii="Arial" w:cs="Arial" w:eastAsia="Arial" w:hAnsi="Arial"/>
                <w:sz w:val="14"/>
                <w:szCs w:val="14"/>
                <w:color w:val="auto"/>
              </w:rPr>
              <w:t>15</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Consolidated</w:t>
            </w:r>
          </w:p>
        </w:tc>
        <w:tc>
          <w:tcPr>
            <w:tcW w:w="820" w:type="dxa"/>
            <w:vAlign w:val="bottom"/>
            <w:tcBorders>
              <w:top w:val="single" w:sz="8" w:color="auto"/>
              <w:bottom w:val="single" w:sz="8" w:color="auto"/>
            </w:tcBorders>
          </w:tcPr>
          <w:p>
            <w:pPr>
              <w:spacing w:after="0"/>
              <w:rPr>
                <w:sz w:val="18"/>
                <w:szCs w:val="18"/>
                <w:color w:val="auto"/>
              </w:rPr>
            </w:pPr>
          </w:p>
        </w:tc>
      </w:tr>
      <w:tr>
        <w:trPr>
          <w:trHeight w:val="193"/>
        </w:trPr>
        <w:tc>
          <w:tcPr>
            <w:tcW w:w="8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500" w:type="dxa"/>
            <w:vAlign w:val="bottom"/>
            <w:gridSpan w:val="3"/>
          </w:tcPr>
          <w:p>
            <w:pPr>
              <w:jc w:val="right"/>
              <w:ind w:right="209"/>
              <w:spacing w:after="0"/>
              <w:rPr>
                <w:sz w:val="20"/>
                <w:szCs w:val="20"/>
                <w:color w:val="auto"/>
              </w:rPr>
            </w:pPr>
            <w:r>
              <w:rPr>
                <w:rFonts w:ascii="Arial" w:cs="Arial" w:eastAsia="Arial" w:hAnsi="Arial"/>
                <w:sz w:val="14"/>
                <w:szCs w:val="14"/>
                <w:b w:val="1"/>
                <w:bCs w:val="1"/>
                <w:color w:val="auto"/>
              </w:rPr>
              <w:t>2Q26E</w:t>
            </w:r>
          </w:p>
        </w:tc>
        <w:tc>
          <w:tcPr>
            <w:tcW w:w="820" w:type="dxa"/>
            <w:vAlign w:val="bottom"/>
          </w:tcPr>
          <w:p>
            <w:pPr>
              <w:spacing w:after="0"/>
              <w:rPr>
                <w:sz w:val="16"/>
                <w:szCs w:val="16"/>
                <w:color w:val="auto"/>
              </w:rPr>
            </w:pPr>
          </w:p>
        </w:tc>
      </w:tr>
      <w:tr>
        <w:trPr>
          <w:trHeight w:val="195"/>
        </w:trPr>
        <w:tc>
          <w:tcPr>
            <w:tcW w:w="860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30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440" w:type="dxa"/>
            <w:vAlign w:val="bottom"/>
          </w:tcPr>
          <w:p>
            <w:pPr>
              <w:spacing w:after="0"/>
              <w:rPr>
                <w:sz w:val="16"/>
                <w:szCs w:val="16"/>
                <w:color w:val="auto"/>
              </w:rPr>
            </w:pPr>
          </w:p>
        </w:tc>
        <w:tc>
          <w:tcPr>
            <w:tcW w:w="820" w:type="dxa"/>
            <w:vAlign w:val="bottom"/>
          </w:tcPr>
          <w:p>
            <w:pPr>
              <w:ind w:left="40"/>
              <w:spacing w:after="0"/>
              <w:rPr>
                <w:sz w:val="20"/>
                <w:szCs w:val="20"/>
                <w:color w:val="auto"/>
              </w:rPr>
            </w:pPr>
            <w:r>
              <w:rPr>
                <w:rFonts w:ascii="Arial" w:cs="Arial" w:eastAsia="Arial" w:hAnsi="Arial"/>
                <w:sz w:val="14"/>
                <w:szCs w:val="14"/>
                <w:color w:val="auto"/>
              </w:rPr>
              <w:t>High</w:t>
            </w:r>
          </w:p>
        </w:tc>
      </w:tr>
      <w:tr>
        <w:trPr>
          <w:trHeight w:val="193"/>
        </w:trPr>
        <w:tc>
          <w:tcPr>
            <w:tcW w:w="8600" w:type="dxa"/>
            <w:vAlign w:val="bottom"/>
          </w:tcPr>
          <w:p>
            <w:pPr>
              <w:spacing w:after="0"/>
              <w:rPr>
                <w:sz w:val="20"/>
                <w:szCs w:val="20"/>
                <w:color w:val="auto"/>
              </w:rPr>
            </w:pPr>
            <w:r>
              <w:rPr>
                <w:rFonts w:ascii="Arial" w:cs="Arial" w:eastAsia="Arial" w:hAnsi="Arial"/>
                <w:sz w:val="14"/>
                <w:szCs w:val="14"/>
                <w:color w:val="auto"/>
              </w:rPr>
              <w:t>Other operating expenses, net</w:t>
            </w: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center"/>
              <w:ind w:left="469"/>
              <w:spacing w:after="0"/>
              <w:rPr>
                <w:sz w:val="20"/>
                <w:szCs w:val="20"/>
                <w:color w:val="auto"/>
              </w:rPr>
            </w:pPr>
            <w:r>
              <w:rPr>
                <w:rFonts w:ascii="Arial" w:cs="Arial" w:eastAsia="Arial" w:hAnsi="Arial"/>
                <w:sz w:val="14"/>
                <w:szCs w:val="14"/>
                <w:color w:val="auto"/>
              </w:rPr>
              <w:t>30</w:t>
            </w:r>
          </w:p>
        </w:tc>
      </w:tr>
      <w:tr>
        <w:trPr>
          <w:trHeight w:val="204"/>
        </w:trPr>
        <w:tc>
          <w:tcPr>
            <w:tcW w:w="8600" w:type="dxa"/>
            <w:vAlign w:val="bottom"/>
          </w:tcPr>
          <w:p>
            <w:pPr>
              <w:spacing w:after="0"/>
              <w:rPr>
                <w:sz w:val="20"/>
                <w:szCs w:val="20"/>
                <w:color w:val="auto"/>
              </w:rPr>
            </w:pPr>
            <w:r>
              <w:rPr>
                <w:rFonts w:ascii="Arial" w:cs="Arial" w:eastAsia="Arial" w:hAnsi="Arial"/>
                <w:sz w:val="14"/>
                <w:szCs w:val="14"/>
                <w:color w:val="auto"/>
              </w:rPr>
              <w:t>Other revenue</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center"/>
              <w:ind w:left="449"/>
              <w:spacing w:after="0"/>
              <w:rPr>
                <w:sz w:val="20"/>
                <w:szCs w:val="20"/>
                <w:color w:val="auto"/>
              </w:rPr>
            </w:pPr>
            <w:r>
              <w:rPr>
                <w:rFonts w:ascii="Arial" w:cs="Arial" w:eastAsia="Arial" w:hAnsi="Arial"/>
                <w:sz w:val="14"/>
                <w:szCs w:val="14"/>
                <w:color w:val="auto"/>
              </w:rPr>
              <w:t>(10)</w:t>
            </w:r>
          </w:p>
        </w:tc>
      </w:tr>
      <w:tr>
        <w:trPr>
          <w:trHeight w:val="197"/>
        </w:trPr>
        <w:tc>
          <w:tcPr>
            <w:tcW w:w="8600" w:type="dxa"/>
            <w:vAlign w:val="bottom"/>
          </w:tcPr>
          <w:p>
            <w:pPr>
              <w:spacing w:after="0"/>
              <w:rPr>
                <w:sz w:val="20"/>
                <w:szCs w:val="20"/>
                <w:color w:val="auto"/>
              </w:rPr>
            </w:pPr>
            <w:r>
              <w:rPr>
                <w:rFonts w:ascii="Arial" w:cs="Arial" w:eastAsia="Arial" w:hAnsi="Arial"/>
                <w:sz w:val="14"/>
                <w:szCs w:val="14"/>
                <w:b w:val="1"/>
                <w:bCs w:val="1"/>
                <w:color w:val="auto"/>
              </w:rPr>
              <w:t>Other operating expenses net of other revenue</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center"/>
              <w:ind w:left="469"/>
              <w:spacing w:after="0"/>
              <w:rPr>
                <w:sz w:val="20"/>
                <w:szCs w:val="20"/>
                <w:color w:val="auto"/>
              </w:rPr>
            </w:pPr>
            <w:r>
              <w:rPr>
                <w:rFonts w:ascii="Arial" w:cs="Arial" w:eastAsia="Arial" w:hAnsi="Arial"/>
                <w:sz w:val="14"/>
                <w:szCs w:val="14"/>
                <w:color w:val="auto"/>
              </w:rPr>
              <w:t>20</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476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left="389"/>
              <w:spacing w:after="0"/>
              <w:rPr>
                <w:sz w:val="20"/>
                <w:szCs w:val="20"/>
                <w:color w:val="auto"/>
              </w:rPr>
            </w:pPr>
            <w:r>
              <w:rPr>
                <w:rFonts w:ascii="Arial" w:cs="Arial" w:eastAsia="Arial" w:hAnsi="Arial"/>
                <w:sz w:val="14"/>
                <w:szCs w:val="14"/>
                <w:b w:val="1"/>
                <w:bCs w:val="1"/>
                <w:color w:val="auto"/>
              </w:rPr>
              <w:t>2026E</w:t>
            </w:r>
          </w:p>
        </w:tc>
        <w:tc>
          <w:tcPr>
            <w:tcW w:w="6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4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40" w:type="dxa"/>
            <w:vAlign w:val="bottom"/>
            <w:gridSpan w:val="4"/>
            <w:vMerge w:val="restart"/>
          </w:tcPr>
          <w:p>
            <w:pPr>
              <w:jc w:val="right"/>
              <w:ind w:right="509"/>
              <w:spacing w:after="0"/>
              <w:rPr>
                <w:sz w:val="20"/>
                <w:szCs w:val="20"/>
                <w:color w:val="auto"/>
              </w:rPr>
            </w:pPr>
            <w:r>
              <w:rPr>
                <w:rFonts w:ascii="Arial" w:cs="Arial" w:eastAsia="Arial" w:hAnsi="Arial"/>
                <w:sz w:val="14"/>
                <w:szCs w:val="14"/>
                <w:b w:val="1"/>
                <w:bCs w:val="1"/>
                <w:color w:val="auto"/>
              </w:rPr>
              <w:t>Consolidated</w:t>
            </w:r>
          </w:p>
        </w:tc>
        <w:tc>
          <w:tcPr>
            <w:tcW w:w="140" w:type="dxa"/>
            <w:vAlign w:val="bottom"/>
            <w:vMerge w:val="restart"/>
          </w:tcPr>
          <w:p>
            <w:pPr>
              <w:spacing w:after="0"/>
              <w:rPr>
                <w:sz w:val="12"/>
                <w:szCs w:val="12"/>
                <w:color w:val="auto"/>
              </w:rPr>
            </w:pPr>
          </w:p>
        </w:tc>
        <w:tc>
          <w:tcPr>
            <w:tcW w:w="220" w:type="dxa"/>
            <w:vAlign w:val="bottom"/>
          </w:tcPr>
          <w:p>
            <w:pPr>
              <w:spacing w:after="0"/>
              <w:rPr>
                <w:sz w:val="12"/>
                <w:szCs w:val="12"/>
                <w:color w:val="auto"/>
              </w:rPr>
            </w:pPr>
          </w:p>
        </w:tc>
        <w:tc>
          <w:tcPr>
            <w:tcW w:w="1980" w:type="dxa"/>
            <w:vAlign w:val="bottom"/>
            <w:gridSpan w:val="5"/>
          </w:tcPr>
          <w:p>
            <w:pPr>
              <w:jc w:val="center"/>
              <w:ind w:right="360"/>
              <w:spacing w:after="0" w:line="145" w:lineRule="exact"/>
              <w:rPr>
                <w:sz w:val="20"/>
                <w:szCs w:val="20"/>
                <w:color w:val="auto"/>
              </w:rPr>
            </w:pPr>
            <w:r>
              <w:rPr>
                <w:rFonts w:ascii="Arial" w:cs="Arial" w:eastAsia="Arial" w:hAnsi="Arial"/>
                <w:sz w:val="14"/>
                <w:szCs w:val="14"/>
                <w:b w:val="1"/>
                <w:bCs w:val="1"/>
                <w:color w:val="auto"/>
              </w:rPr>
              <w:t>Oil and Natural Gas</w:t>
            </w:r>
          </w:p>
        </w:tc>
        <w:tc>
          <w:tcPr>
            <w:tcW w:w="200" w:type="dxa"/>
            <w:vAlign w:val="bottom"/>
          </w:tcPr>
          <w:p>
            <w:pPr>
              <w:spacing w:after="0"/>
              <w:rPr>
                <w:sz w:val="12"/>
                <w:szCs w:val="12"/>
                <w:color w:val="auto"/>
              </w:rPr>
            </w:pPr>
          </w:p>
        </w:tc>
        <w:tc>
          <w:tcPr>
            <w:tcW w:w="1860" w:type="dxa"/>
            <w:vAlign w:val="bottom"/>
            <w:gridSpan w:val="4"/>
          </w:tcPr>
          <w:p>
            <w:pPr>
              <w:jc w:val="right"/>
              <w:ind w:right="249"/>
              <w:spacing w:after="0" w:line="145" w:lineRule="exact"/>
              <w:rPr>
                <w:sz w:val="20"/>
                <w:szCs w:val="20"/>
                <w:color w:val="auto"/>
              </w:rPr>
            </w:pPr>
            <w:r>
              <w:rPr>
                <w:rFonts w:ascii="Arial" w:cs="Arial" w:eastAsia="Arial" w:hAnsi="Arial"/>
                <w:sz w:val="14"/>
                <w:szCs w:val="14"/>
                <w:b w:val="1"/>
                <w:bCs w:val="1"/>
                <w:color w:val="auto"/>
              </w:rPr>
              <w:t>Carbon Management</w:t>
            </w:r>
          </w:p>
        </w:tc>
        <w:tc>
          <w:tcPr>
            <w:tcW w:w="0" w:type="dxa"/>
            <w:vAlign w:val="bottom"/>
          </w:tcPr>
          <w:p>
            <w:pPr>
              <w:spacing w:after="0"/>
              <w:rPr>
                <w:sz w:val="1"/>
                <w:szCs w:val="1"/>
                <w:color w:val="auto"/>
              </w:rPr>
            </w:pPr>
          </w:p>
        </w:tc>
      </w:tr>
      <w:tr>
        <w:trPr>
          <w:trHeight w:val="183"/>
        </w:trPr>
        <w:tc>
          <w:tcPr>
            <w:tcW w:w="476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840" w:type="dxa"/>
            <w:vAlign w:val="bottom"/>
            <w:tcBorders>
              <w:bottom w:val="single" w:sz="8" w:color="auto"/>
            </w:tcBorders>
            <w:gridSpan w:val="4"/>
            <w:vMerge w:val="continue"/>
          </w:tcPr>
          <w:p>
            <w:pPr>
              <w:spacing w:after="0"/>
              <w:rPr>
                <w:sz w:val="15"/>
                <w:szCs w:val="15"/>
                <w:color w:val="auto"/>
              </w:rPr>
            </w:pPr>
          </w:p>
        </w:tc>
        <w:tc>
          <w:tcPr>
            <w:tcW w:w="140" w:type="dxa"/>
            <w:vAlign w:val="bottom"/>
            <w:vMerge w:val="continue"/>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gridSpan w:val="3"/>
          </w:tcPr>
          <w:p>
            <w:pPr>
              <w:jc w:val="center"/>
              <w:ind w:left="369"/>
              <w:spacing w:after="0"/>
              <w:rPr>
                <w:sz w:val="20"/>
                <w:szCs w:val="20"/>
                <w:color w:val="auto"/>
              </w:rPr>
            </w:pPr>
            <w:r>
              <w:rPr>
                <w:rFonts w:ascii="Arial" w:cs="Arial" w:eastAsia="Arial" w:hAnsi="Arial"/>
                <w:sz w:val="14"/>
                <w:szCs w:val="14"/>
                <w:b w:val="1"/>
                <w:bCs w:val="1"/>
                <w:color w:val="auto"/>
              </w:rPr>
              <w:t>Segment</w:t>
            </w:r>
          </w:p>
        </w:tc>
        <w:tc>
          <w:tcPr>
            <w:tcW w:w="680" w:type="dxa"/>
            <w:vAlign w:val="bottom"/>
            <w:tcBorders>
              <w:bottom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Segment</w:t>
            </w:r>
          </w:p>
        </w:tc>
        <w:tc>
          <w:tcPr>
            <w:tcW w:w="68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76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2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color w:val="auto"/>
              </w:rPr>
              <w:t>Low</w:t>
            </w:r>
          </w:p>
        </w:tc>
        <w:tc>
          <w:tcPr>
            <w:tcW w:w="220" w:type="dxa"/>
            <w:vAlign w:val="bottom"/>
          </w:tcPr>
          <w:p>
            <w:pPr>
              <w:spacing w:after="0"/>
              <w:rPr>
                <w:sz w:val="16"/>
                <w:szCs w:val="16"/>
                <w:color w:val="auto"/>
              </w:rPr>
            </w:pPr>
          </w:p>
        </w:tc>
        <w:tc>
          <w:tcPr>
            <w:tcW w:w="900" w:type="dxa"/>
            <w:vAlign w:val="bottom"/>
            <w:gridSpan w:val="2"/>
          </w:tcPr>
          <w:p>
            <w:pPr>
              <w:ind w:left="120"/>
              <w:spacing w:after="0"/>
              <w:rPr>
                <w:sz w:val="20"/>
                <w:szCs w:val="20"/>
                <w:color w:val="auto"/>
              </w:rPr>
            </w:pPr>
            <w:r>
              <w:rPr>
                <w:rFonts w:ascii="Arial" w:cs="Arial" w:eastAsia="Arial" w:hAnsi="Arial"/>
                <w:sz w:val="14"/>
                <w:szCs w:val="14"/>
                <w:color w:val="auto"/>
              </w:rPr>
              <w:t>High</w:t>
            </w:r>
          </w:p>
        </w:tc>
        <w:tc>
          <w:tcPr>
            <w:tcW w:w="220" w:type="dxa"/>
            <w:vAlign w:val="bottom"/>
          </w:tcPr>
          <w:p>
            <w:pPr>
              <w:spacing w:after="0"/>
              <w:rPr>
                <w:sz w:val="16"/>
                <w:szCs w:val="16"/>
                <w:color w:val="auto"/>
              </w:rPr>
            </w:pPr>
          </w:p>
        </w:tc>
        <w:tc>
          <w:tcPr>
            <w:tcW w:w="860" w:type="dxa"/>
            <w:vAlign w:val="bottom"/>
            <w:gridSpan w:val="2"/>
          </w:tcPr>
          <w:p>
            <w:pPr>
              <w:ind w:left="140"/>
              <w:spacing w:after="0"/>
              <w:rPr>
                <w:sz w:val="20"/>
                <w:szCs w:val="20"/>
                <w:color w:val="auto"/>
              </w:rPr>
            </w:pPr>
            <w:r>
              <w:rPr>
                <w:rFonts w:ascii="Arial" w:cs="Arial" w:eastAsia="Arial" w:hAnsi="Arial"/>
                <w:sz w:val="14"/>
                <w:szCs w:val="14"/>
                <w:color w:val="auto"/>
              </w:rPr>
              <w:t>Low</w:t>
            </w:r>
          </w:p>
        </w:tc>
        <w:tc>
          <w:tcPr>
            <w:tcW w:w="300" w:type="dxa"/>
            <w:vAlign w:val="bottom"/>
          </w:tcPr>
          <w:p>
            <w:pPr>
              <w:spacing w:after="0"/>
              <w:rPr>
                <w:sz w:val="16"/>
                <w:szCs w:val="16"/>
                <w:color w:val="auto"/>
              </w:rPr>
            </w:pPr>
          </w:p>
        </w:tc>
        <w:tc>
          <w:tcPr>
            <w:tcW w:w="820" w:type="dxa"/>
            <w:vAlign w:val="bottom"/>
            <w:gridSpan w:val="2"/>
          </w:tcPr>
          <w:p>
            <w:pPr>
              <w:ind w:left="40"/>
              <w:spacing w:after="0"/>
              <w:rPr>
                <w:sz w:val="20"/>
                <w:szCs w:val="20"/>
                <w:color w:val="auto"/>
              </w:rPr>
            </w:pPr>
            <w:r>
              <w:rPr>
                <w:rFonts w:ascii="Arial" w:cs="Arial" w:eastAsia="Arial" w:hAnsi="Arial"/>
                <w:sz w:val="14"/>
                <w:szCs w:val="14"/>
                <w:color w:val="auto"/>
              </w:rPr>
              <w:t>High</w:t>
            </w:r>
          </w:p>
        </w:tc>
        <w:tc>
          <w:tcPr>
            <w:tcW w:w="200" w:type="dxa"/>
            <w:vAlign w:val="bottom"/>
          </w:tcPr>
          <w:p>
            <w:pPr>
              <w:spacing w:after="0"/>
              <w:rPr>
                <w:sz w:val="16"/>
                <w:szCs w:val="16"/>
                <w:color w:val="auto"/>
              </w:rPr>
            </w:pPr>
          </w:p>
        </w:tc>
        <w:tc>
          <w:tcPr>
            <w:tcW w:w="880" w:type="dxa"/>
            <w:vAlign w:val="bottom"/>
            <w:gridSpan w:val="2"/>
          </w:tcPr>
          <w:p>
            <w:pPr>
              <w:ind w:left="160"/>
              <w:spacing w:after="0"/>
              <w:rPr>
                <w:sz w:val="20"/>
                <w:szCs w:val="20"/>
                <w:color w:val="auto"/>
              </w:rPr>
            </w:pPr>
            <w:r>
              <w:rPr>
                <w:rFonts w:ascii="Arial" w:cs="Arial" w:eastAsia="Arial" w:hAnsi="Arial"/>
                <w:sz w:val="14"/>
                <w:szCs w:val="14"/>
                <w:color w:val="auto"/>
              </w:rPr>
              <w:t>Low</w:t>
            </w:r>
          </w:p>
        </w:tc>
        <w:tc>
          <w:tcPr>
            <w:tcW w:w="300" w:type="dxa"/>
            <w:vAlign w:val="bottom"/>
          </w:tcPr>
          <w:p>
            <w:pPr>
              <w:spacing w:after="0"/>
              <w:rPr>
                <w:sz w:val="16"/>
                <w:szCs w:val="16"/>
                <w:color w:val="auto"/>
              </w:rPr>
            </w:pPr>
          </w:p>
        </w:tc>
        <w:tc>
          <w:tcPr>
            <w:tcW w:w="680" w:type="dxa"/>
            <w:vAlign w:val="bottom"/>
          </w:tcPr>
          <w:p>
            <w:pPr>
              <w:jc w:val="right"/>
              <w:ind w:right="269"/>
              <w:spacing w:after="0"/>
              <w:rPr>
                <w:sz w:val="20"/>
                <w:szCs w:val="20"/>
                <w:color w:val="auto"/>
              </w:rPr>
            </w:pPr>
            <w:r>
              <w:rPr>
                <w:rFonts w:ascii="Arial" w:cs="Arial" w:eastAsia="Arial" w:hAnsi="Arial"/>
                <w:sz w:val="14"/>
                <w:szCs w:val="14"/>
                <w:color w:val="auto"/>
              </w:rPr>
              <w:t>High</w:t>
            </w:r>
          </w:p>
        </w:tc>
        <w:tc>
          <w:tcPr>
            <w:tcW w:w="0" w:type="dxa"/>
            <w:vAlign w:val="bottom"/>
          </w:tcPr>
          <w:p>
            <w:pPr>
              <w:spacing w:after="0"/>
              <w:rPr>
                <w:sz w:val="1"/>
                <w:szCs w:val="1"/>
                <w:color w:val="auto"/>
              </w:rPr>
            </w:pPr>
          </w:p>
        </w:tc>
      </w:tr>
      <w:tr>
        <w:trPr>
          <w:trHeight w:val="193"/>
        </w:trPr>
        <w:tc>
          <w:tcPr>
            <w:tcW w:w="4760" w:type="dxa"/>
            <w:vAlign w:val="bottom"/>
          </w:tcPr>
          <w:p>
            <w:pPr>
              <w:spacing w:after="0"/>
              <w:rPr>
                <w:sz w:val="20"/>
                <w:szCs w:val="20"/>
                <w:color w:val="auto"/>
              </w:rPr>
            </w:pPr>
            <w:r>
              <w:rPr>
                <w:rFonts w:ascii="Arial" w:cs="Arial" w:eastAsia="Arial" w:hAnsi="Arial"/>
                <w:sz w:val="14"/>
                <w:szCs w:val="14"/>
                <w:color w:val="auto"/>
              </w:rPr>
              <w:t>General and administrative expenses</w:t>
            </w: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360</w:t>
            </w:r>
          </w:p>
        </w:tc>
        <w:tc>
          <w:tcPr>
            <w:tcW w:w="10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380</w:t>
            </w:r>
          </w:p>
        </w:tc>
        <w:tc>
          <w:tcPr>
            <w:tcW w:w="140" w:type="dxa"/>
            <w:vAlign w:val="bottom"/>
          </w:tcPr>
          <w:p>
            <w:pPr>
              <w:spacing w:after="0"/>
              <w:rPr>
                <w:sz w:val="16"/>
                <w:szCs w:val="16"/>
                <w:color w:val="auto"/>
              </w:rPr>
            </w:pPr>
          </w:p>
        </w:tc>
        <w:tc>
          <w:tcPr>
            <w:tcW w:w="220" w:type="dxa"/>
            <w:vAlign w:val="bottom"/>
            <w:tcBorders>
              <w:top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Borders>
              <w:top w:val="single" w:sz="8" w:color="auto"/>
            </w:tcBorders>
          </w:tcPr>
          <w:p>
            <w:pPr>
              <w:spacing w:after="0"/>
              <w:rPr>
                <w:sz w:val="16"/>
                <w:szCs w:val="16"/>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40" w:type="dxa"/>
            <w:vAlign w:val="bottom"/>
          </w:tcPr>
          <w:p>
            <w:pPr>
              <w:spacing w:after="0"/>
              <w:rPr>
                <w:sz w:val="16"/>
                <w:szCs w:val="16"/>
                <w:color w:val="auto"/>
              </w:rPr>
            </w:pPr>
          </w:p>
        </w:tc>
        <w:tc>
          <w:tcPr>
            <w:tcW w:w="200" w:type="dxa"/>
            <w:vAlign w:val="bottom"/>
            <w:tcBorders>
              <w:top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4"/>
        </w:trPr>
        <w:tc>
          <w:tcPr>
            <w:tcW w:w="4760" w:type="dxa"/>
            <w:vAlign w:val="bottom"/>
          </w:tcPr>
          <w:p>
            <w:pPr>
              <w:spacing w:after="0"/>
              <w:rPr>
                <w:sz w:val="20"/>
                <w:szCs w:val="20"/>
                <w:color w:val="auto"/>
              </w:rPr>
            </w:pPr>
            <w:r>
              <w:rPr>
                <w:rFonts w:ascii="Arial" w:cs="Arial" w:eastAsia="Arial" w:hAnsi="Arial"/>
                <w:sz w:val="14"/>
                <w:szCs w:val="14"/>
                <w:color w:val="auto"/>
              </w:rPr>
              <w:t>Equity-settled stock-based compensation</w:t>
            </w: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(40)</w:t>
            </w: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6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8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7"/>
        </w:trPr>
        <w:tc>
          <w:tcPr>
            <w:tcW w:w="4760" w:type="dxa"/>
            <w:vAlign w:val="bottom"/>
          </w:tcPr>
          <w:p>
            <w:pPr>
              <w:spacing w:after="0"/>
              <w:rPr>
                <w:sz w:val="20"/>
                <w:szCs w:val="20"/>
                <w:color w:val="auto"/>
              </w:rPr>
            </w:pPr>
            <w:r>
              <w:rPr>
                <w:rFonts w:ascii="Arial" w:cs="Arial" w:eastAsia="Arial" w:hAnsi="Arial"/>
                <w:sz w:val="14"/>
                <w:szCs w:val="14"/>
                <w:b w:val="1"/>
                <w:bCs w:val="1"/>
                <w:color w:val="auto"/>
              </w:rPr>
              <w:t>Estimated adjusted general and administrative expenses</w:t>
            </w: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325</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340</w:t>
            </w:r>
          </w:p>
        </w:tc>
        <w:tc>
          <w:tcPr>
            <w:tcW w:w="14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60</w:t>
            </w:r>
          </w:p>
        </w:tc>
        <w:tc>
          <w:tcPr>
            <w:tcW w:w="14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w:t>
            </w:r>
          </w:p>
        </w:tc>
        <w:tc>
          <w:tcPr>
            <w:tcW w:w="10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w:t>
            </w: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Consolidated</w:t>
            </w:r>
          </w:p>
        </w:tc>
        <w:tc>
          <w:tcPr>
            <w:tcW w:w="820" w:type="dxa"/>
            <w:vAlign w:val="bottom"/>
            <w:tcBorders>
              <w:top w:val="single" w:sz="8" w:color="auto"/>
              <w:bottom w:val="single" w:sz="8" w:color="auto"/>
            </w:tcBorders>
          </w:tcPr>
          <w:p>
            <w:pPr>
              <w:spacing w:after="0"/>
              <w:rPr>
                <w:sz w:val="18"/>
                <w:szCs w:val="18"/>
                <w:color w:val="auto"/>
              </w:rPr>
            </w:pPr>
          </w:p>
        </w:tc>
      </w:tr>
      <w:tr>
        <w:trPr>
          <w:trHeight w:val="193"/>
        </w:trPr>
        <w:tc>
          <w:tcPr>
            <w:tcW w:w="8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4"/>
                <w:szCs w:val="14"/>
                <w:b w:val="1"/>
                <w:bCs w:val="1"/>
                <w:color w:val="auto"/>
              </w:rPr>
              <w:t>2026E</w:t>
            </w:r>
          </w:p>
        </w:tc>
        <w:tc>
          <w:tcPr>
            <w:tcW w:w="820" w:type="dxa"/>
            <w:vAlign w:val="bottom"/>
            <w:tcBorders>
              <w:bottom w:val="single" w:sz="8" w:color="auto"/>
            </w:tcBorders>
          </w:tcPr>
          <w:p>
            <w:pPr>
              <w:spacing w:after="0"/>
              <w:rPr>
                <w:sz w:val="16"/>
                <w:szCs w:val="16"/>
                <w:color w:val="auto"/>
              </w:rPr>
            </w:pPr>
          </w:p>
        </w:tc>
      </w:tr>
      <w:tr>
        <w:trPr>
          <w:trHeight w:val="188"/>
        </w:trPr>
        <w:tc>
          <w:tcPr>
            <w:tcW w:w="860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30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440" w:type="dxa"/>
            <w:vAlign w:val="bottom"/>
          </w:tcPr>
          <w:p>
            <w:pPr>
              <w:spacing w:after="0"/>
              <w:rPr>
                <w:sz w:val="16"/>
                <w:szCs w:val="16"/>
                <w:color w:val="auto"/>
              </w:rPr>
            </w:pPr>
          </w:p>
        </w:tc>
        <w:tc>
          <w:tcPr>
            <w:tcW w:w="820" w:type="dxa"/>
            <w:vAlign w:val="bottom"/>
          </w:tcPr>
          <w:p>
            <w:pPr>
              <w:jc w:val="right"/>
              <w:ind w:right="409"/>
              <w:spacing w:after="0"/>
              <w:rPr>
                <w:sz w:val="20"/>
                <w:szCs w:val="20"/>
                <w:color w:val="auto"/>
              </w:rPr>
            </w:pPr>
            <w:r>
              <w:rPr>
                <w:rFonts w:ascii="Arial" w:cs="Arial" w:eastAsia="Arial" w:hAnsi="Arial"/>
                <w:sz w:val="14"/>
                <w:szCs w:val="14"/>
                <w:color w:val="auto"/>
              </w:rPr>
              <w:t>High</w:t>
            </w:r>
          </w:p>
        </w:tc>
      </w:tr>
      <w:tr>
        <w:trPr>
          <w:trHeight w:val="193"/>
        </w:trPr>
        <w:tc>
          <w:tcPr>
            <w:tcW w:w="8600" w:type="dxa"/>
            <w:vAlign w:val="bottom"/>
          </w:tcPr>
          <w:p>
            <w:pPr>
              <w:spacing w:after="0"/>
              <w:rPr>
                <w:sz w:val="20"/>
                <w:szCs w:val="20"/>
                <w:color w:val="auto"/>
              </w:rPr>
            </w:pPr>
            <w:r>
              <w:rPr>
                <w:rFonts w:ascii="Arial" w:cs="Arial" w:eastAsia="Arial" w:hAnsi="Arial"/>
                <w:sz w:val="14"/>
                <w:szCs w:val="14"/>
                <w:color w:val="auto"/>
              </w:rPr>
              <w:t>Revenue from marketing of purchased commodities</w:t>
            </w: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168</w:t>
            </w:r>
          </w:p>
        </w:tc>
      </w:tr>
      <w:tr>
        <w:trPr>
          <w:trHeight w:val="204"/>
        </w:trPr>
        <w:tc>
          <w:tcPr>
            <w:tcW w:w="8600" w:type="dxa"/>
            <w:vAlign w:val="bottom"/>
          </w:tcPr>
          <w:p>
            <w:pPr>
              <w:spacing w:after="0"/>
              <w:rPr>
                <w:sz w:val="20"/>
                <w:szCs w:val="20"/>
                <w:color w:val="auto"/>
              </w:rPr>
            </w:pPr>
            <w:r>
              <w:rPr>
                <w:rFonts w:ascii="Arial" w:cs="Arial" w:eastAsia="Arial" w:hAnsi="Arial"/>
                <w:sz w:val="14"/>
                <w:szCs w:val="14"/>
                <w:color w:val="auto"/>
              </w:rPr>
              <w:t>Costs related to marketing of purchased commodities</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(93)</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(103)</w:t>
            </w:r>
          </w:p>
        </w:tc>
      </w:tr>
      <w:tr>
        <w:trPr>
          <w:trHeight w:val="197"/>
        </w:trPr>
        <w:tc>
          <w:tcPr>
            <w:tcW w:w="8600" w:type="dxa"/>
            <w:vAlign w:val="bottom"/>
          </w:tcPr>
          <w:p>
            <w:pPr>
              <w:spacing w:after="0"/>
              <w:rPr>
                <w:sz w:val="20"/>
                <w:szCs w:val="20"/>
                <w:color w:val="auto"/>
              </w:rPr>
            </w:pPr>
            <w:r>
              <w:rPr>
                <w:rFonts w:ascii="Arial" w:cs="Arial" w:eastAsia="Arial" w:hAnsi="Arial"/>
                <w:sz w:val="14"/>
                <w:szCs w:val="14"/>
                <w:b w:val="1"/>
                <w:bCs w:val="1"/>
                <w:color w:val="auto"/>
              </w:rPr>
              <w:t>Margin from purchased commodities</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50</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6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50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Consolidated</w:t>
            </w:r>
          </w:p>
        </w:tc>
        <w:tc>
          <w:tcPr>
            <w:tcW w:w="820" w:type="dxa"/>
            <w:vAlign w:val="bottom"/>
            <w:tcBorders>
              <w:top w:val="single" w:sz="8" w:color="auto"/>
              <w:bottom w:val="single" w:sz="8" w:color="auto"/>
            </w:tcBorders>
          </w:tcPr>
          <w:p>
            <w:pPr>
              <w:spacing w:after="0"/>
              <w:rPr>
                <w:sz w:val="18"/>
                <w:szCs w:val="18"/>
                <w:color w:val="auto"/>
              </w:rPr>
            </w:pPr>
          </w:p>
        </w:tc>
      </w:tr>
      <w:tr>
        <w:trPr>
          <w:trHeight w:val="193"/>
        </w:trPr>
        <w:tc>
          <w:tcPr>
            <w:tcW w:w="86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ind w:right="209"/>
              <w:spacing w:after="0"/>
              <w:rPr>
                <w:sz w:val="20"/>
                <w:szCs w:val="20"/>
                <w:color w:val="auto"/>
              </w:rPr>
            </w:pPr>
            <w:r>
              <w:rPr>
                <w:rFonts w:ascii="Arial" w:cs="Arial" w:eastAsia="Arial" w:hAnsi="Arial"/>
                <w:sz w:val="14"/>
                <w:szCs w:val="14"/>
                <w:b w:val="1"/>
                <w:bCs w:val="1"/>
                <w:color w:val="auto"/>
              </w:rPr>
              <w:t>2026E</w:t>
            </w:r>
          </w:p>
        </w:tc>
        <w:tc>
          <w:tcPr>
            <w:tcW w:w="820" w:type="dxa"/>
            <w:vAlign w:val="bottom"/>
            <w:tcBorders>
              <w:bottom w:val="single" w:sz="8" w:color="auto"/>
            </w:tcBorders>
          </w:tcPr>
          <w:p>
            <w:pPr>
              <w:spacing w:after="0"/>
              <w:rPr>
                <w:sz w:val="16"/>
                <w:szCs w:val="16"/>
                <w:color w:val="auto"/>
              </w:rPr>
            </w:pPr>
          </w:p>
        </w:tc>
      </w:tr>
      <w:tr>
        <w:trPr>
          <w:trHeight w:val="188"/>
        </w:trPr>
        <w:tc>
          <w:tcPr>
            <w:tcW w:w="860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300" w:type="dxa"/>
            <w:vAlign w:val="bottom"/>
          </w:tcPr>
          <w:p>
            <w:pPr>
              <w:spacing w:after="0"/>
              <w:rPr>
                <w:sz w:val="16"/>
                <w:szCs w:val="16"/>
                <w:color w:val="auto"/>
              </w:rPr>
            </w:pPr>
          </w:p>
        </w:tc>
        <w:tc>
          <w:tcPr>
            <w:tcW w:w="1060" w:type="dxa"/>
            <w:vAlign w:val="bottom"/>
            <w:gridSpan w:val="2"/>
          </w:tcPr>
          <w:p>
            <w:pPr>
              <w:ind w:left="200"/>
              <w:spacing w:after="0"/>
              <w:rPr>
                <w:sz w:val="20"/>
                <w:szCs w:val="20"/>
                <w:color w:val="auto"/>
              </w:rPr>
            </w:pPr>
            <w:r>
              <w:rPr>
                <w:rFonts w:ascii="Arial" w:cs="Arial" w:eastAsia="Arial" w:hAnsi="Arial"/>
                <w:sz w:val="14"/>
                <w:szCs w:val="14"/>
                <w:color w:val="auto"/>
              </w:rPr>
              <w:t>Low</w:t>
            </w:r>
          </w:p>
        </w:tc>
        <w:tc>
          <w:tcPr>
            <w:tcW w:w="440" w:type="dxa"/>
            <w:vAlign w:val="bottom"/>
          </w:tcPr>
          <w:p>
            <w:pPr>
              <w:spacing w:after="0"/>
              <w:rPr>
                <w:sz w:val="16"/>
                <w:szCs w:val="16"/>
                <w:color w:val="auto"/>
              </w:rPr>
            </w:pPr>
          </w:p>
        </w:tc>
        <w:tc>
          <w:tcPr>
            <w:tcW w:w="820" w:type="dxa"/>
            <w:vAlign w:val="bottom"/>
          </w:tcPr>
          <w:p>
            <w:pPr>
              <w:jc w:val="right"/>
              <w:ind w:right="409"/>
              <w:spacing w:after="0"/>
              <w:rPr>
                <w:sz w:val="20"/>
                <w:szCs w:val="20"/>
                <w:color w:val="auto"/>
              </w:rPr>
            </w:pPr>
            <w:r>
              <w:rPr>
                <w:rFonts w:ascii="Arial" w:cs="Arial" w:eastAsia="Arial" w:hAnsi="Arial"/>
                <w:sz w:val="14"/>
                <w:szCs w:val="14"/>
                <w:color w:val="auto"/>
              </w:rPr>
              <w:t>High</w:t>
            </w:r>
          </w:p>
        </w:tc>
      </w:tr>
      <w:tr>
        <w:trPr>
          <w:trHeight w:val="193"/>
        </w:trPr>
        <w:tc>
          <w:tcPr>
            <w:tcW w:w="8600" w:type="dxa"/>
            <w:vAlign w:val="bottom"/>
          </w:tcPr>
          <w:p>
            <w:pPr>
              <w:spacing w:after="0"/>
              <w:rPr>
                <w:sz w:val="20"/>
                <w:szCs w:val="20"/>
                <w:color w:val="auto"/>
              </w:rPr>
            </w:pPr>
            <w:r>
              <w:rPr>
                <w:rFonts w:ascii="Arial" w:cs="Arial" w:eastAsia="Arial" w:hAnsi="Arial"/>
                <w:sz w:val="14"/>
                <w:szCs w:val="14"/>
                <w:color w:val="auto"/>
              </w:rPr>
              <w:t>Other operating expenses, net</w:t>
            </w:r>
          </w:p>
        </w:tc>
        <w:tc>
          <w:tcPr>
            <w:tcW w:w="300" w:type="dxa"/>
            <w:vAlign w:val="bottom"/>
            <w:tcBorders>
              <w:top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101</w:t>
            </w:r>
          </w:p>
        </w:tc>
        <w:tc>
          <w:tcPr>
            <w:tcW w:w="100" w:type="dxa"/>
            <w:vAlign w:val="bottom"/>
          </w:tcPr>
          <w:p>
            <w:pPr>
              <w:spacing w:after="0"/>
              <w:rPr>
                <w:sz w:val="16"/>
                <w:szCs w:val="16"/>
                <w:color w:val="auto"/>
              </w:rPr>
            </w:pPr>
          </w:p>
        </w:tc>
        <w:tc>
          <w:tcPr>
            <w:tcW w:w="440" w:type="dxa"/>
            <w:vAlign w:val="bottom"/>
            <w:tcBorders>
              <w:top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119</w:t>
            </w:r>
          </w:p>
        </w:tc>
      </w:tr>
      <w:tr>
        <w:trPr>
          <w:trHeight w:val="204"/>
        </w:trPr>
        <w:tc>
          <w:tcPr>
            <w:tcW w:w="8600" w:type="dxa"/>
            <w:vAlign w:val="bottom"/>
          </w:tcPr>
          <w:p>
            <w:pPr>
              <w:spacing w:after="0"/>
              <w:rPr>
                <w:sz w:val="20"/>
                <w:szCs w:val="20"/>
                <w:color w:val="auto"/>
              </w:rPr>
            </w:pPr>
            <w:r>
              <w:rPr>
                <w:rFonts w:ascii="Arial" w:cs="Arial" w:eastAsia="Arial" w:hAnsi="Arial"/>
                <w:sz w:val="14"/>
                <w:szCs w:val="14"/>
                <w:color w:val="auto"/>
              </w:rPr>
              <w:t>Other revenue</w:t>
            </w:r>
          </w:p>
        </w:tc>
        <w:tc>
          <w:tcPr>
            <w:tcW w:w="3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(34)</w:t>
            </w:r>
          </w:p>
        </w:tc>
      </w:tr>
      <w:tr>
        <w:trPr>
          <w:trHeight w:val="197"/>
        </w:trPr>
        <w:tc>
          <w:tcPr>
            <w:tcW w:w="8600" w:type="dxa"/>
            <w:vAlign w:val="bottom"/>
          </w:tcPr>
          <w:p>
            <w:pPr>
              <w:spacing w:after="0"/>
              <w:rPr>
                <w:sz w:val="20"/>
                <w:szCs w:val="20"/>
                <w:color w:val="auto"/>
              </w:rPr>
            </w:pPr>
            <w:r>
              <w:rPr>
                <w:rFonts w:ascii="Arial" w:cs="Arial" w:eastAsia="Arial" w:hAnsi="Arial"/>
                <w:sz w:val="14"/>
                <w:szCs w:val="14"/>
                <w:b w:val="1"/>
                <w:bCs w:val="1"/>
                <w:color w:val="auto"/>
              </w:rPr>
              <w:t>Other operating expenses net of other revenue</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7"/>
                <w:szCs w:val="17"/>
                <w:color w:val="auto"/>
              </w:rPr>
            </w:pPr>
          </w:p>
        </w:tc>
        <w:tc>
          <w:tcPr>
            <w:tcW w:w="44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w:t>
            </w:r>
          </w:p>
        </w:tc>
      </w:tr>
      <w:tr>
        <w:trPr>
          <w:trHeight w:val="20"/>
        </w:trPr>
        <w:tc>
          <w:tcPr>
            <w:tcW w:w="86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13</w:t>
      </w:r>
    </w:p>
    <w:p>
      <w:pPr>
        <w:sectPr>
          <w:pgSz w:w="11900" w:h="16838" w:orient="portrait"/>
          <w:cols w:equalWidth="0" w:num="1">
            <w:col w:w="11220"/>
          </w:cols>
          <w:pgMar w:left="340" w:top="1226" w:right="339" w:bottom="1440" w:gutter="0" w:footer="0" w:header="0"/>
        </w:sectPr>
      </w:pPr>
    </w:p>
    <w:bookmarkStart w:id="17" w:name="page18"/>
    <w:bookmarkEnd w:id="17"/>
    <w:p>
      <w:pPr>
        <w:ind w:left="10300"/>
        <w:spacing w:after="0"/>
        <w:rPr>
          <w:sz w:val="20"/>
          <w:szCs w:val="20"/>
          <w:color w:val="auto"/>
        </w:rPr>
      </w:pPr>
      <w:r>
        <w:rPr>
          <w:rFonts w:ascii="Arial" w:cs="Arial" w:eastAsia="Arial" w:hAnsi="Arial"/>
          <w:sz w:val="14"/>
          <w:szCs w:val="14"/>
          <w:b w:val="1"/>
          <w:bCs w:val="1"/>
          <w:color w:val="auto"/>
        </w:rPr>
        <w:t>Attachment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22225</wp:posOffset>
            </wp:positionV>
            <wp:extent cx="71342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47625</wp:posOffset>
            </wp:positionV>
            <wp:extent cx="713422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NON-GAAP RECONCILIATIONS</w:t>
      </w:r>
    </w:p>
    <w:p>
      <w:pPr>
        <w:spacing w:after="0" w:line="92" w:lineRule="exact"/>
        <w:rPr>
          <w:sz w:val="20"/>
          <w:szCs w:val="20"/>
          <w:color w:val="auto"/>
        </w:rPr>
      </w:pPr>
    </w:p>
    <w:p>
      <w:pPr>
        <w:spacing w:after="0"/>
        <w:rPr>
          <w:sz w:val="20"/>
          <w:szCs w:val="20"/>
          <w:color w:val="auto"/>
        </w:rPr>
      </w:pPr>
      <w:r>
        <w:rPr>
          <w:rFonts w:ascii="Arial" w:cs="Arial" w:eastAsia="Arial" w:hAnsi="Arial"/>
          <w:sz w:val="14"/>
          <w:szCs w:val="14"/>
          <w:color w:val="auto"/>
        </w:rPr>
        <w:t>To supplement the presentation of its financial results prepared in accordance with U.S. generally accepted accounting principles (GAAP), management uses certain non-GAAP</w:t>
      </w:r>
    </w:p>
    <w:p>
      <w:pPr>
        <w:ind w:right="20"/>
        <w:spacing w:after="0" w:line="208" w:lineRule="auto"/>
        <w:rPr>
          <w:sz w:val="20"/>
          <w:szCs w:val="20"/>
          <w:color w:val="auto"/>
        </w:rPr>
      </w:pPr>
      <w:r>
        <w:rPr>
          <w:rFonts w:ascii="Arial" w:cs="Arial" w:eastAsia="Arial" w:hAnsi="Arial"/>
          <w:sz w:val="14"/>
          <w:szCs w:val="14"/>
          <w:color w:val="auto"/>
        </w:rPr>
        <w:t>measures to assess its financial condition, results of operations and cash flows. These measures are also widely used by the industry, the investment community and CRC's lenders. Although these are non-GAAP measures, the amounts included in the calculations were computed in accordance with GAAP. Certain items excluded from these non-</w:t>
      </w:r>
    </w:p>
    <w:p>
      <w:pPr>
        <w:spacing w:after="0" w:line="219" w:lineRule="auto"/>
        <w:rPr>
          <w:sz w:val="20"/>
          <w:szCs w:val="20"/>
          <w:color w:val="auto"/>
        </w:rPr>
      </w:pPr>
      <w:r>
        <w:rPr>
          <w:rFonts w:ascii="Arial" w:cs="Arial" w:eastAsia="Arial" w:hAnsi="Arial"/>
          <w:sz w:val="14"/>
          <w:szCs w:val="14"/>
          <w:color w:val="auto"/>
        </w:rPr>
        <w:t>GAAP measures are significant components in understanding and assessing CRC's financial performance, such as CRC's cost of capital and tax structure, as well as the effect of</w:t>
      </w:r>
    </w:p>
    <w:p>
      <w:pPr>
        <w:spacing w:after="0" w:line="1" w:lineRule="exact"/>
        <w:rPr>
          <w:sz w:val="20"/>
          <w:szCs w:val="20"/>
          <w:color w:val="auto"/>
        </w:rPr>
      </w:pPr>
    </w:p>
    <w:p>
      <w:pPr>
        <w:ind w:right="20"/>
        <w:spacing w:after="0" w:line="208" w:lineRule="auto"/>
        <w:rPr>
          <w:sz w:val="20"/>
          <w:szCs w:val="20"/>
          <w:color w:val="auto"/>
        </w:rPr>
      </w:pPr>
      <w:r>
        <w:rPr>
          <w:rFonts w:ascii="Arial" w:cs="Arial" w:eastAsia="Arial" w:hAnsi="Arial"/>
          <w:sz w:val="14"/>
          <w:szCs w:val="14"/>
          <w:color w:val="auto"/>
        </w:rPr>
        <w:t>acquisition and development costs of CRC's assets. Management believes that the non-GAAP measures presented, when viewed in combination with CRC's financial and operating results prepared in accordance with GAAP, provide a more complete understanding of the factors and trends affecting the Company's performance. The non-GAAP</w:t>
      </w:r>
    </w:p>
    <w:p>
      <w:pPr>
        <w:spacing w:after="0" w:line="1" w:lineRule="exact"/>
        <w:rPr>
          <w:sz w:val="20"/>
          <w:szCs w:val="20"/>
          <w:color w:val="auto"/>
        </w:rPr>
      </w:pPr>
    </w:p>
    <w:p>
      <w:pPr>
        <w:ind w:right="20"/>
        <w:spacing w:after="0" w:line="239" w:lineRule="auto"/>
        <w:rPr>
          <w:sz w:val="20"/>
          <w:szCs w:val="20"/>
          <w:color w:val="auto"/>
        </w:rPr>
      </w:pPr>
      <w:r>
        <w:rPr>
          <w:rFonts w:ascii="Arial" w:cs="Arial" w:eastAsia="Arial" w:hAnsi="Arial"/>
          <w:sz w:val="14"/>
          <w:szCs w:val="14"/>
          <w:color w:val="auto"/>
        </w:rPr>
        <w:t>measures presented herein may not be comparable to other similarly titled measures of other companies. Below are additional disclosures regarding each of these non-GAAP measures, including reconciliations to their most directly comparable GAAP measure where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224790</wp:posOffset>
            </wp:positionV>
            <wp:extent cx="713422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250190</wp:posOffset>
            </wp:positionV>
            <wp:extent cx="713422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9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ADJUSTED NET INCOME (LOSS)</w:t>
      </w:r>
    </w:p>
    <w:p>
      <w:pPr>
        <w:spacing w:after="0" w:line="92" w:lineRule="exact"/>
        <w:rPr>
          <w:sz w:val="20"/>
          <w:szCs w:val="20"/>
          <w:color w:val="auto"/>
        </w:rPr>
      </w:pPr>
    </w:p>
    <w:p>
      <w:pPr>
        <w:jc w:val="both"/>
        <w:ind w:right="20"/>
        <w:spacing w:after="0" w:line="219" w:lineRule="auto"/>
        <w:rPr>
          <w:sz w:val="20"/>
          <w:szCs w:val="20"/>
          <w:color w:val="auto"/>
        </w:rPr>
      </w:pPr>
      <w:r>
        <w:rPr>
          <w:rFonts w:ascii="Arial" w:cs="Arial" w:eastAsia="Arial" w:hAnsi="Arial"/>
          <w:sz w:val="14"/>
          <w:szCs w:val="14"/>
          <w:color w:val="auto"/>
        </w:rPr>
        <w:t>Adjusted net income (loss) and adjusted net income (loss) per share are non-GAAP measures. CRC defines adjusted net income as net income excluding the effects of significant transactions and events that affect earnings but vary widely and unpredictably in nature, timing and amount. These events may recur, even across successive reporting periods.</w:t>
      </w:r>
    </w:p>
    <w:p>
      <w:pPr>
        <w:spacing w:after="0" w:line="218" w:lineRule="auto"/>
        <w:rPr>
          <w:sz w:val="20"/>
          <w:szCs w:val="20"/>
          <w:color w:val="auto"/>
        </w:rPr>
      </w:pPr>
      <w:r>
        <w:rPr>
          <w:rFonts w:ascii="Arial" w:cs="Arial" w:eastAsia="Arial" w:hAnsi="Arial"/>
          <w:sz w:val="14"/>
          <w:szCs w:val="14"/>
          <w:color w:val="auto"/>
        </w:rPr>
        <w:t>Management believes these non-GAAP measures provide useful information to the industry and the investment community interested in comparing CRC's financial performance</w:t>
      </w:r>
    </w:p>
    <w:p>
      <w:pPr>
        <w:ind w:right="20"/>
        <w:spacing w:after="0" w:line="208" w:lineRule="auto"/>
        <w:rPr>
          <w:sz w:val="20"/>
          <w:szCs w:val="20"/>
          <w:color w:val="auto"/>
        </w:rPr>
      </w:pPr>
      <w:r>
        <w:rPr>
          <w:rFonts w:ascii="Arial" w:cs="Arial" w:eastAsia="Arial" w:hAnsi="Arial"/>
          <w:sz w:val="14"/>
          <w:szCs w:val="14"/>
          <w:color w:val="auto"/>
        </w:rPr>
        <w:t>between periods. Reported earnings are considered representative of management's performance over the long term. Adjusted net income (loss) is not considered to be an alternative to net income (loss) reported in accordance with GAAP. The following table presents a reconciliation of the GAAP financial measure of net income and net income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attributable to common stock per share to the non-GAAP financial measures of adjusted net income and adjusted net income per share.</w:t>
      </w:r>
    </w:p>
    <w:p>
      <w:pPr>
        <w:spacing w:after="0" w:line="78"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1st Quarter</w:t>
            </w:r>
          </w:p>
        </w:tc>
        <w:tc>
          <w:tcPr>
            <w:tcW w:w="20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6"/>
                <w:szCs w:val="16"/>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b w:val="1"/>
                <w:bCs w:val="1"/>
                <w:color w:val="auto"/>
              </w:rPr>
              <w:t>1st Quarter</w:t>
            </w:r>
          </w:p>
        </w:tc>
      </w:tr>
      <w:tr>
        <w:trPr>
          <w:trHeight w:val="200"/>
        </w:trPr>
        <w:tc>
          <w:tcPr>
            <w:tcW w:w="7080" w:type="dxa"/>
            <w:vAlign w:val="bottom"/>
          </w:tcPr>
          <w:p>
            <w:pPr>
              <w:spacing w:after="0"/>
              <w:rPr>
                <w:sz w:val="20"/>
                <w:szCs w:val="20"/>
                <w:color w:val="auto"/>
              </w:rPr>
            </w:pPr>
            <w:r>
              <w:rPr>
                <w:rFonts w:ascii="Arial" w:cs="Arial" w:eastAsia="Arial" w:hAnsi="Arial"/>
                <w:sz w:val="14"/>
                <w:szCs w:val="14"/>
                <w:i w:val="1"/>
                <w:iCs w:val="1"/>
                <w:color w:val="auto"/>
              </w:rPr>
              <w:t>($ millions, except per share amounts)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r>
      <w:tr>
        <w:trPr>
          <w:trHeight w:val="193"/>
        </w:trPr>
        <w:tc>
          <w:tcPr>
            <w:tcW w:w="7080" w:type="dxa"/>
            <w:vAlign w:val="bottom"/>
          </w:tcPr>
          <w:p>
            <w:pPr>
              <w:spacing w:after="0"/>
              <w:rPr>
                <w:sz w:val="20"/>
                <w:szCs w:val="20"/>
                <w:color w:val="auto"/>
              </w:rPr>
            </w:pPr>
            <w:r>
              <w:rPr>
                <w:rFonts w:ascii="Arial" w:cs="Arial" w:eastAsia="Arial" w:hAnsi="Arial"/>
                <w:sz w:val="14"/>
                <w:szCs w:val="14"/>
                <w:color w:val="auto"/>
              </w:rPr>
              <w:t>Net (loss) income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(711)</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115</w:t>
            </w:r>
          </w:p>
        </w:tc>
      </w:tr>
      <w:tr>
        <w:trPr>
          <w:trHeight w:val="194"/>
        </w:trPr>
        <w:tc>
          <w:tcPr>
            <w:tcW w:w="7080" w:type="dxa"/>
            <w:vAlign w:val="bottom"/>
          </w:tcPr>
          <w:p>
            <w:pPr>
              <w:spacing w:after="0"/>
              <w:rPr>
                <w:sz w:val="20"/>
                <w:szCs w:val="20"/>
                <w:color w:val="auto"/>
              </w:rPr>
            </w:pPr>
            <w:r>
              <w:rPr>
                <w:rFonts w:ascii="Arial" w:cs="Arial" w:eastAsia="Arial" w:hAnsi="Arial"/>
                <w:sz w:val="14"/>
                <w:szCs w:val="14"/>
                <w:color w:val="auto"/>
              </w:rPr>
              <w:t>Unusual, infrequent and other items: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6"/>
        </w:trPr>
        <w:tc>
          <w:tcPr>
            <w:tcW w:w="7080" w:type="dxa"/>
            <w:vAlign w:val="bottom"/>
          </w:tcPr>
          <w:p>
            <w:pPr>
              <w:ind w:left="120"/>
              <w:spacing w:after="0"/>
              <w:rPr>
                <w:sz w:val="20"/>
                <w:szCs w:val="20"/>
                <w:color w:val="auto"/>
              </w:rPr>
            </w:pPr>
            <w:r>
              <w:rPr>
                <w:rFonts w:ascii="Arial" w:cs="Arial" w:eastAsia="Arial" w:hAnsi="Arial"/>
                <w:sz w:val="14"/>
                <w:szCs w:val="14"/>
                <w:color w:val="auto"/>
              </w:rPr>
              <w:t>Non-cash derivative loss (gain) on Brent based commodity contracts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792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Non-cash derivative loss on natural gas derivative contracts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Asset impairment</w:t>
            </w:r>
          </w:p>
        </w:tc>
        <w:tc>
          <w:tcPr>
            <w:tcW w:w="1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Severance and termination costs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w:t>
            </w: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Merger-related costs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Loss on early extinguishment of debt</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Offshore platform expense</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Measurement period adjustments</w:t>
            </w:r>
          </w:p>
        </w:tc>
        <w:tc>
          <w:tcPr>
            <w:tcW w:w="1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Other, net</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r>
      <w:tr>
        <w:trPr>
          <w:trHeight w:val="193"/>
        </w:trPr>
        <w:tc>
          <w:tcPr>
            <w:tcW w:w="7080" w:type="dxa"/>
            <w:vAlign w:val="bottom"/>
          </w:tcPr>
          <w:p>
            <w:pPr>
              <w:ind w:left="200"/>
              <w:spacing w:after="0"/>
              <w:rPr>
                <w:sz w:val="20"/>
                <w:szCs w:val="20"/>
                <w:color w:val="auto"/>
              </w:rPr>
            </w:pPr>
            <w:r>
              <w:rPr>
                <w:rFonts w:ascii="Arial" w:cs="Arial" w:eastAsia="Arial" w:hAnsi="Arial"/>
                <w:sz w:val="14"/>
                <w:szCs w:val="14"/>
                <w:color w:val="auto"/>
              </w:rPr>
              <w:t>Total unusual, infrequent and other items</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869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Income tax (benefit) provision of adjustments at the combined tax rate</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55"/>
        </w:trPr>
        <w:tc>
          <w:tcPr>
            <w:tcW w:w="708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120" w:type="dxa"/>
            <w:vAlign w:val="bottom"/>
            <w:tcBorders>
              <w:bottom w:val="single" w:sz="8" w:color="auto"/>
            </w:tcBorders>
          </w:tcPr>
          <w:p>
            <w:pPr>
              <w:spacing w:after="0"/>
              <w:rPr>
                <w:sz w:val="4"/>
                <w:szCs w:val="4"/>
                <w:color w:val="auto"/>
              </w:rPr>
            </w:pPr>
          </w:p>
        </w:tc>
      </w:tr>
      <w:tr>
        <w:trPr>
          <w:trHeight w:val="193"/>
        </w:trPr>
        <w:tc>
          <w:tcPr>
            <w:tcW w:w="7080" w:type="dxa"/>
            <w:vAlign w:val="bottom"/>
          </w:tcPr>
          <w:p>
            <w:pPr>
              <w:spacing w:after="0"/>
              <w:rPr>
                <w:sz w:val="20"/>
                <w:szCs w:val="20"/>
                <w:color w:val="auto"/>
              </w:rPr>
            </w:pPr>
            <w:r>
              <w:rPr>
                <w:rFonts w:ascii="Arial" w:cs="Arial" w:eastAsia="Arial" w:hAnsi="Arial"/>
                <w:sz w:val="14"/>
                <w:szCs w:val="14"/>
                <w:color w:val="auto"/>
              </w:rPr>
              <w:t>Adjusted net income</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98</w:t>
            </w: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18"/>
        </w:trPr>
        <w:tc>
          <w:tcPr>
            <w:tcW w:w="7080" w:type="dxa"/>
            <w:vAlign w:val="bottom"/>
          </w:tcPr>
          <w:p>
            <w:pPr>
              <w:spacing w:after="0"/>
              <w:rPr>
                <w:sz w:val="20"/>
                <w:szCs w:val="20"/>
                <w:color w:val="auto"/>
              </w:rPr>
            </w:pPr>
            <w:r>
              <w:rPr>
                <w:rFonts w:ascii="Arial" w:cs="Arial" w:eastAsia="Arial" w:hAnsi="Arial"/>
                <w:sz w:val="14"/>
                <w:szCs w:val="14"/>
                <w:color w:val="auto"/>
              </w:rPr>
              <w:t>Net income (loss) per share – basic</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(8.02)</w:t>
            </w:r>
          </w:p>
        </w:tc>
        <w:tc>
          <w:tcPr>
            <w:tcW w:w="8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0.14</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1.27</w:t>
            </w:r>
          </w:p>
        </w:tc>
      </w:tr>
      <w:tr>
        <w:trPr>
          <w:trHeight w:val="200"/>
        </w:trPr>
        <w:tc>
          <w:tcPr>
            <w:tcW w:w="7080" w:type="dxa"/>
            <w:vAlign w:val="bottom"/>
          </w:tcPr>
          <w:p>
            <w:pPr>
              <w:spacing w:after="0"/>
              <w:rPr>
                <w:sz w:val="20"/>
                <w:szCs w:val="20"/>
                <w:color w:val="auto"/>
              </w:rPr>
            </w:pPr>
            <w:r>
              <w:rPr>
                <w:rFonts w:ascii="Arial" w:cs="Arial" w:eastAsia="Arial" w:hAnsi="Arial"/>
                <w:sz w:val="14"/>
                <w:szCs w:val="14"/>
                <w:color w:val="auto"/>
              </w:rPr>
              <w:t>Net income (loss) per share – diluted</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(8.02)</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0.14</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1.26</w:t>
            </w:r>
          </w:p>
        </w:tc>
      </w:tr>
      <w:tr>
        <w:trPr>
          <w:trHeight w:val="200"/>
        </w:trPr>
        <w:tc>
          <w:tcPr>
            <w:tcW w:w="7080" w:type="dxa"/>
            <w:vAlign w:val="bottom"/>
          </w:tcPr>
          <w:p>
            <w:pPr>
              <w:spacing w:after="0"/>
              <w:rPr>
                <w:sz w:val="20"/>
                <w:szCs w:val="20"/>
                <w:color w:val="auto"/>
              </w:rPr>
            </w:pPr>
            <w:r>
              <w:rPr>
                <w:rFonts w:ascii="Arial" w:cs="Arial" w:eastAsia="Arial" w:hAnsi="Arial"/>
                <w:sz w:val="14"/>
                <w:szCs w:val="14"/>
                <w:color w:val="auto"/>
              </w:rPr>
              <w:t>Adjusted net income per share – basic</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0.89</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0.47</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1.08</w:t>
            </w:r>
          </w:p>
        </w:tc>
      </w:tr>
      <w:tr>
        <w:trPr>
          <w:trHeight w:val="200"/>
        </w:trPr>
        <w:tc>
          <w:tcPr>
            <w:tcW w:w="7080" w:type="dxa"/>
            <w:vAlign w:val="bottom"/>
          </w:tcPr>
          <w:p>
            <w:pPr>
              <w:spacing w:after="0"/>
              <w:rPr>
                <w:sz w:val="20"/>
                <w:szCs w:val="20"/>
                <w:color w:val="auto"/>
              </w:rPr>
            </w:pPr>
            <w:r>
              <w:rPr>
                <w:rFonts w:ascii="Arial" w:cs="Arial" w:eastAsia="Arial" w:hAnsi="Arial"/>
                <w:sz w:val="14"/>
                <w:szCs w:val="14"/>
                <w:color w:val="auto"/>
              </w:rPr>
              <w:t>Adjusted net income per share – diluted</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0.88</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0.47</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1.07</w:t>
            </w:r>
          </w:p>
        </w:tc>
      </w:tr>
    </w:tbl>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14</w:t>
      </w:r>
    </w:p>
    <w:p>
      <w:pPr>
        <w:sectPr>
          <w:pgSz w:w="11900" w:h="16838" w:orient="portrait"/>
          <w:cols w:equalWidth="0" w:num="1">
            <w:col w:w="11220"/>
          </w:cols>
          <w:pgMar w:left="340" w:top="1050" w:right="339" w:bottom="1440" w:gutter="0" w:footer="0" w:header="0"/>
        </w:sectPr>
      </w:pPr>
    </w:p>
    <w:bookmarkStart w:id="18" w:name="page19"/>
    <w:bookmarkEnd w:id="18"/>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207645</wp:posOffset>
            </wp:positionH>
            <wp:positionV relativeFrom="page">
              <wp:posOffset>664210</wp:posOffset>
            </wp:positionV>
            <wp:extent cx="713422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689610</wp:posOffset>
            </wp:positionV>
            <wp:extent cx="713422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4225" cy="8255"/>
                    </a:xfrm>
                    <a:prstGeom prst="rect">
                      <a:avLst/>
                    </a:prstGeom>
                    <a:noFill/>
                  </pic:spPr>
                </pic:pic>
              </a:graphicData>
            </a:graphic>
          </wp:anchor>
        </w:drawing>
        <w:t>ADJUSTED EBITDAX</w:t>
      </w:r>
    </w:p>
    <w:p>
      <w:pPr>
        <w:spacing w:after="0" w:line="92" w:lineRule="exact"/>
        <w:rPr>
          <w:sz w:val="20"/>
          <w:szCs w:val="20"/>
          <w:color w:val="auto"/>
        </w:rPr>
      </w:pPr>
    </w:p>
    <w:p>
      <w:pPr>
        <w:jc w:val="both"/>
        <w:ind w:right="20"/>
        <w:spacing w:after="0" w:line="245" w:lineRule="auto"/>
        <w:rPr>
          <w:sz w:val="20"/>
          <w:szCs w:val="20"/>
          <w:color w:val="auto"/>
        </w:rPr>
      </w:pPr>
      <w:r>
        <w:rPr>
          <w:rFonts w:ascii="Arial" w:cs="Arial" w:eastAsia="Arial" w:hAnsi="Arial"/>
          <w:sz w:val="14"/>
          <w:szCs w:val="14"/>
          <w:color w:val="auto"/>
        </w:rPr>
        <w:t>CRC defines adjusted EBITDAX as earnings before interest expense; income taxes; depreciation, depletion and amortization; exploration expense; other unusual, infrequent and out-of-period items; and other non-cash items. CRC believes this measure provides useful information in assessing its financial condition, results of operations and cash flows and is widely used by the industry, the investment community and its lenders. Although this is a non-GAAP measure, the amounts included in the calculation were computed in accordance with GAAP. Certain items excluded from this non-GAAP measure are significant components in understanding and assessing CRC’s financial performance, such as its cost of capital and tax structure, as well as depreciation, depletion and amortization of CRC's assets. This measure should be read in conjunction with the information contained in CRC’s financial statements prepared in accordance with GAAP. A version of adjusted EBITDAX is a material component of certain of its financial covenants under CRC's Revolving Credit Facility and is provided in addition to, and not as an alternative for, income and liquidity measures calculated in accordance with GAAP.</w:t>
      </w:r>
    </w:p>
    <w:p>
      <w:pPr>
        <w:spacing w:after="0" w:line="209" w:lineRule="exact"/>
        <w:rPr>
          <w:sz w:val="20"/>
          <w:szCs w:val="20"/>
          <w:color w:val="auto"/>
        </w:rPr>
      </w:pPr>
    </w:p>
    <w:p>
      <w:pPr>
        <w:spacing w:after="0"/>
        <w:rPr>
          <w:sz w:val="20"/>
          <w:szCs w:val="20"/>
          <w:color w:val="auto"/>
        </w:rPr>
      </w:pPr>
      <w:r>
        <w:rPr>
          <w:rFonts w:ascii="Arial" w:cs="Arial" w:eastAsia="Arial" w:hAnsi="Arial"/>
          <w:sz w:val="14"/>
          <w:szCs w:val="14"/>
          <w:color w:val="auto"/>
        </w:rPr>
        <w:t>These materials include forward-looking non-GAAP financial measures, including adjusted EBITDAX. CRC is unable to provide a reconciliation of such forward-looking non-GAAP</w:t>
      </w:r>
    </w:p>
    <w:p>
      <w:pPr>
        <w:spacing w:after="0" w:line="13" w:lineRule="exact"/>
        <w:rPr>
          <w:sz w:val="20"/>
          <w:szCs w:val="20"/>
          <w:color w:val="auto"/>
        </w:rPr>
      </w:pPr>
    </w:p>
    <w:p>
      <w:pPr>
        <w:jc w:val="both"/>
        <w:ind w:right="20"/>
        <w:spacing w:after="0" w:line="228" w:lineRule="auto"/>
        <w:rPr>
          <w:sz w:val="20"/>
          <w:szCs w:val="20"/>
          <w:color w:val="auto"/>
        </w:rPr>
      </w:pPr>
      <w:r>
        <w:rPr>
          <w:rFonts w:ascii="Arial" w:cs="Arial" w:eastAsia="Arial" w:hAnsi="Arial"/>
          <w:sz w:val="14"/>
          <w:szCs w:val="14"/>
          <w:color w:val="auto"/>
        </w:rPr>
        <w:t>measures to the most directly comparable forward-looking GAAP financial measures because certain information needed to reconcile these measures is dependent on future events, many of which are outside of CRC’s control and cannot be reasonably predicted at this time. These items include, but are not limited to, changes in working capital, the</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timing and amount of capital accruals, and other non-cash or unusual items. Accordingly, a quantitative reconciliation is not available without unreasonable efforts.</w:t>
      </w:r>
    </w:p>
    <w:p>
      <w:pPr>
        <w:spacing w:after="0" w:line="225" w:lineRule="exact"/>
        <w:rPr>
          <w:sz w:val="20"/>
          <w:szCs w:val="20"/>
          <w:color w:val="auto"/>
        </w:rPr>
      </w:pPr>
    </w:p>
    <w:p>
      <w:pPr>
        <w:jc w:val="both"/>
        <w:ind w:right="20"/>
        <w:spacing w:after="0" w:line="258" w:lineRule="auto"/>
        <w:rPr>
          <w:sz w:val="20"/>
          <w:szCs w:val="20"/>
          <w:color w:val="auto"/>
        </w:rPr>
      </w:pPr>
      <w:r>
        <w:rPr>
          <w:rFonts w:ascii="Arial" w:cs="Arial" w:eastAsia="Arial" w:hAnsi="Arial"/>
          <w:sz w:val="14"/>
          <w:szCs w:val="14"/>
          <w:color w:val="auto"/>
        </w:rPr>
        <w:t>The following table represents a reconciliation of the GAAP financial measures of net income and net cash provided by operating activities to the non-GAAP financial measure of adjusted EBITDAX. CRC has included non-GAAP measures of adjusted EBITDAX for its oil and gas segment and its carbon management segment below. Management believes these segment non-GAAP measures are useful for investors to understand the results of our core businesses.</w:t>
      </w:r>
    </w:p>
    <w:p>
      <w:pPr>
        <w:spacing w:after="0" w:line="200" w:lineRule="exact"/>
        <w:rPr>
          <w:sz w:val="20"/>
          <w:szCs w:val="20"/>
          <w:color w:val="auto"/>
        </w:rPr>
      </w:pPr>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1st Quarter</w:t>
            </w:r>
          </w:p>
        </w:tc>
        <w:tc>
          <w:tcPr>
            <w:tcW w:w="20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6"/>
                <w:szCs w:val="16"/>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b w:val="1"/>
                <w:bCs w:val="1"/>
                <w:color w:val="auto"/>
              </w:rPr>
              <w:t>1st Quarter</w:t>
            </w:r>
          </w:p>
        </w:tc>
      </w:tr>
      <w:tr>
        <w:trPr>
          <w:trHeight w:val="200"/>
        </w:trPr>
        <w:tc>
          <w:tcPr>
            <w:tcW w:w="7080" w:type="dxa"/>
            <w:vAlign w:val="bottom"/>
          </w:tcPr>
          <w:p>
            <w:pPr>
              <w:spacing w:after="0"/>
              <w:rPr>
                <w:sz w:val="20"/>
                <w:szCs w:val="20"/>
                <w:color w:val="auto"/>
              </w:rPr>
            </w:pPr>
            <w:r>
              <w:rPr>
                <w:rFonts w:ascii="Arial" w:cs="Arial" w:eastAsia="Arial" w:hAnsi="Arial"/>
                <w:sz w:val="14"/>
                <w:szCs w:val="14"/>
                <w:i w:val="1"/>
                <w:iCs w:val="1"/>
                <w:color w:val="auto"/>
              </w:rPr>
              <w:t>($ millions, except per BOE amounts)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r>
      <w:tr>
        <w:trPr>
          <w:trHeight w:val="193"/>
        </w:trPr>
        <w:tc>
          <w:tcPr>
            <w:tcW w:w="7080" w:type="dxa"/>
            <w:vAlign w:val="bottom"/>
          </w:tcPr>
          <w:p>
            <w:pPr>
              <w:spacing w:after="0"/>
              <w:rPr>
                <w:sz w:val="20"/>
                <w:szCs w:val="20"/>
                <w:color w:val="auto"/>
              </w:rPr>
            </w:pPr>
            <w:r>
              <w:rPr>
                <w:rFonts w:ascii="Arial" w:cs="Arial" w:eastAsia="Arial" w:hAnsi="Arial"/>
                <w:sz w:val="14"/>
                <w:szCs w:val="14"/>
                <w:color w:val="auto"/>
              </w:rPr>
              <w:t>Net (loss) income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(711)</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115</w:t>
            </w: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Interest and debt expense</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27</w:t>
            </w: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133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131</w:t>
            </w: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Income tax (benefit) provision</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(49)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47</w:t>
            </w: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Interest income</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Equity loss from unconsolidated subsidiaries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05"/>
        </w:trPr>
        <w:tc>
          <w:tcPr>
            <w:tcW w:w="7080" w:type="dxa"/>
            <w:vAlign w:val="bottom"/>
          </w:tcPr>
          <w:p>
            <w:pPr>
              <w:ind w:left="120"/>
              <w:spacing w:after="0" w:line="205" w:lineRule="exact"/>
              <w:rPr>
                <w:sz w:val="20"/>
                <w:szCs w:val="20"/>
                <w:color w:val="auto"/>
              </w:rPr>
            </w:pPr>
            <w:r>
              <w:rPr>
                <w:rFonts w:ascii="Arial" w:cs="Arial" w:eastAsia="Arial" w:hAnsi="Arial"/>
                <w:sz w:val="14"/>
                <w:szCs w:val="14"/>
                <w:color w:val="auto"/>
              </w:rPr>
              <w:t xml:space="preserve">Unusual, infrequent and other items </w:t>
            </w:r>
            <w:r>
              <w:rPr>
                <w:rFonts w:ascii="Arial" w:cs="Arial" w:eastAsia="Arial" w:hAnsi="Arial"/>
                <w:sz w:val="18"/>
                <w:szCs w:val="18"/>
                <w:color w:val="auto"/>
                <w:vertAlign w:val="superscript"/>
              </w:rPr>
              <w:t>(1)</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869</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(24)</w:t>
            </w:r>
          </w:p>
        </w:tc>
      </w:tr>
      <w:tr>
        <w:trPr>
          <w:trHeight w:val="189"/>
        </w:trPr>
        <w:tc>
          <w:tcPr>
            <w:tcW w:w="7080" w:type="dxa"/>
            <w:vAlign w:val="bottom"/>
          </w:tcPr>
          <w:p>
            <w:pPr>
              <w:ind w:left="120"/>
              <w:spacing w:after="0"/>
              <w:rPr>
                <w:sz w:val="20"/>
                <w:szCs w:val="20"/>
                <w:color w:val="auto"/>
              </w:rPr>
            </w:pPr>
            <w:r>
              <w:rPr>
                <w:rFonts w:ascii="Arial" w:cs="Arial" w:eastAsia="Arial" w:hAnsi="Arial"/>
                <w:sz w:val="14"/>
                <w:szCs w:val="14"/>
                <w:color w:val="auto"/>
              </w:rPr>
              <w:t>Non-cash items</w:t>
            </w:r>
          </w:p>
        </w:tc>
        <w:tc>
          <w:tcPr>
            <w:tcW w:w="18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206"/>
        </w:trPr>
        <w:tc>
          <w:tcPr>
            <w:tcW w:w="7080" w:type="dxa"/>
            <w:vAlign w:val="bottom"/>
          </w:tcPr>
          <w:p>
            <w:pPr>
              <w:ind w:left="24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29</w:t>
            </w:r>
          </w:p>
        </w:tc>
      </w:tr>
      <w:tr>
        <w:trPr>
          <w:trHeight w:val="200"/>
        </w:trPr>
        <w:tc>
          <w:tcPr>
            <w:tcW w:w="7080" w:type="dxa"/>
            <w:vAlign w:val="bottom"/>
          </w:tcPr>
          <w:p>
            <w:pPr>
              <w:ind w:left="240"/>
              <w:spacing w:after="0"/>
              <w:rPr>
                <w:sz w:val="20"/>
                <w:szCs w:val="20"/>
                <w:color w:val="auto"/>
              </w:rPr>
            </w:pPr>
            <w:r>
              <w:rPr>
                <w:rFonts w:ascii="Arial" w:cs="Arial" w:eastAsia="Arial" w:hAnsi="Arial"/>
                <w:sz w:val="14"/>
                <w:szCs w:val="14"/>
                <w:color w:val="auto"/>
              </w:rPr>
              <w:t>Stock-based compensation</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6</w:t>
            </w:r>
          </w:p>
        </w:tc>
      </w:tr>
      <w:tr>
        <w:trPr>
          <w:trHeight w:val="201"/>
        </w:trPr>
        <w:tc>
          <w:tcPr>
            <w:tcW w:w="7080" w:type="dxa"/>
            <w:vAlign w:val="bottom"/>
          </w:tcPr>
          <w:p>
            <w:pPr>
              <w:ind w:left="240"/>
              <w:spacing w:after="0"/>
              <w:rPr>
                <w:sz w:val="20"/>
                <w:szCs w:val="20"/>
                <w:color w:val="auto"/>
              </w:rPr>
            </w:pPr>
            <w:r>
              <w:rPr>
                <w:rFonts w:ascii="Arial" w:cs="Arial" w:eastAsia="Arial" w:hAnsi="Arial"/>
                <w:sz w:val="14"/>
                <w:szCs w:val="14"/>
                <w:color w:val="auto"/>
              </w:rPr>
              <w:t>Pension and post-retirement benefits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r>
      <w:tr>
        <w:trPr>
          <w:trHeight w:val="194"/>
        </w:trPr>
        <w:tc>
          <w:tcPr>
            <w:tcW w:w="7080" w:type="dxa"/>
            <w:vAlign w:val="bottom"/>
          </w:tcPr>
          <w:p>
            <w:pPr>
              <w:spacing w:after="0"/>
              <w:rPr>
                <w:sz w:val="20"/>
                <w:szCs w:val="20"/>
                <w:color w:val="auto"/>
              </w:rPr>
            </w:pPr>
            <w:r>
              <w:rPr>
                <w:rFonts w:ascii="Arial" w:cs="Arial" w:eastAsia="Arial" w:hAnsi="Arial"/>
                <w:sz w:val="14"/>
                <w:szCs w:val="14"/>
                <w:b w:val="1"/>
                <w:bCs w:val="1"/>
                <w:color w:val="auto"/>
              </w:rPr>
              <w:t>Adjusted EBITDAX</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304</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251</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328</w:t>
            </w: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32"/>
        </w:trPr>
        <w:tc>
          <w:tcPr>
            <w:tcW w:w="708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8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186</w:t>
            </w: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Cash interest payments</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11</w:t>
            </w: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Cash interest received</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1"/>
        </w:trPr>
        <w:tc>
          <w:tcPr>
            <w:tcW w:w="7080" w:type="dxa"/>
            <w:vAlign w:val="bottom"/>
          </w:tcPr>
          <w:p>
            <w:pPr>
              <w:ind w:left="120"/>
              <w:spacing w:after="0"/>
              <w:rPr>
                <w:sz w:val="20"/>
                <w:szCs w:val="20"/>
                <w:color w:val="auto"/>
              </w:rPr>
            </w:pPr>
            <w:r>
              <w:rPr>
                <w:rFonts w:ascii="Arial" w:cs="Arial" w:eastAsia="Arial" w:hAnsi="Arial"/>
                <w:sz w:val="14"/>
                <w:szCs w:val="14"/>
                <w:color w:val="auto"/>
              </w:rPr>
              <w:t>Working capital changes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205</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134</w:t>
            </w:r>
          </w:p>
        </w:tc>
      </w:tr>
      <w:tr>
        <w:trPr>
          <w:trHeight w:val="194"/>
        </w:trPr>
        <w:tc>
          <w:tcPr>
            <w:tcW w:w="7080" w:type="dxa"/>
            <w:vAlign w:val="bottom"/>
          </w:tcPr>
          <w:p>
            <w:pPr>
              <w:spacing w:after="0"/>
              <w:rPr>
                <w:sz w:val="20"/>
                <w:szCs w:val="20"/>
                <w:color w:val="auto"/>
              </w:rPr>
            </w:pPr>
            <w:r>
              <w:rPr>
                <w:rFonts w:ascii="Arial" w:cs="Arial" w:eastAsia="Arial" w:hAnsi="Arial"/>
                <w:sz w:val="14"/>
                <w:szCs w:val="14"/>
                <w:b w:val="1"/>
                <w:bCs w:val="1"/>
                <w:color w:val="auto"/>
              </w:rPr>
              <w:t>Adjusted EBITDAX</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304</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251</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328</w:t>
            </w: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32"/>
        </w:trPr>
        <w:tc>
          <w:tcPr>
            <w:tcW w:w="7080" w:type="dxa"/>
            <w:vAlign w:val="bottom"/>
          </w:tcPr>
          <w:p>
            <w:pPr>
              <w:spacing w:after="0"/>
              <w:rPr>
                <w:sz w:val="20"/>
                <w:szCs w:val="20"/>
                <w:color w:val="auto"/>
              </w:rPr>
            </w:pPr>
            <w:r>
              <w:rPr>
                <w:rFonts w:ascii="Arial" w:cs="Arial" w:eastAsia="Arial" w:hAnsi="Arial"/>
                <w:sz w:val="14"/>
                <w:szCs w:val="14"/>
                <w:b w:val="1"/>
                <w:bCs w:val="1"/>
                <w:color w:val="auto"/>
              </w:rPr>
              <w:t>Net (loss) income per Boe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(51.19)</w:t>
            </w:r>
          </w:p>
        </w:tc>
        <w:tc>
          <w:tcPr>
            <w:tcW w:w="8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0.96</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9.09</w:t>
            </w:r>
          </w:p>
        </w:tc>
      </w:tr>
      <w:tr>
        <w:trPr>
          <w:trHeight w:val="200"/>
        </w:trPr>
        <w:tc>
          <w:tcPr>
            <w:tcW w:w="7080" w:type="dxa"/>
            <w:vAlign w:val="bottom"/>
          </w:tcPr>
          <w:p>
            <w:pPr>
              <w:spacing w:after="0"/>
              <w:rPr>
                <w:sz w:val="20"/>
                <w:szCs w:val="20"/>
                <w:color w:val="auto"/>
              </w:rPr>
            </w:pPr>
            <w:r>
              <w:rPr>
                <w:rFonts w:ascii="Arial" w:cs="Arial" w:eastAsia="Arial" w:hAnsi="Arial"/>
                <w:sz w:val="14"/>
                <w:szCs w:val="14"/>
                <w:b w:val="1"/>
                <w:bCs w:val="1"/>
                <w:color w:val="auto"/>
              </w:rPr>
              <w:t>Adjusted EBITDAX per Boe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21.89</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19.85</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25.92</w:t>
            </w:r>
          </w:p>
        </w:tc>
      </w:tr>
    </w:tbl>
    <w:p>
      <w:pPr>
        <w:spacing w:after="0" w:line="253" w:lineRule="exact"/>
        <w:rPr>
          <w:sz w:val="20"/>
          <w:szCs w:val="20"/>
          <w:color w:val="auto"/>
        </w:rPr>
      </w:pPr>
    </w:p>
    <w:p>
      <w:pPr>
        <w:ind w:left="160" w:hanging="156"/>
        <w:spacing w:after="0"/>
        <w:tabs>
          <w:tab w:leader="none" w:pos="160" w:val="left"/>
        </w:tabs>
        <w:numPr>
          <w:ilvl w:val="0"/>
          <w:numId w:val="37"/>
        </w:numPr>
        <w:rPr>
          <w:rFonts w:ascii="Arial" w:cs="Arial" w:eastAsia="Arial" w:hAnsi="Arial"/>
          <w:sz w:val="18"/>
          <w:szCs w:val="18"/>
          <w:color w:val="auto"/>
          <w:vertAlign w:val="superscript"/>
        </w:rPr>
      </w:pPr>
      <w:r>
        <w:rPr>
          <w:rFonts w:ascii="Arial" w:cs="Arial" w:eastAsia="Arial" w:hAnsi="Arial"/>
          <w:sz w:val="14"/>
          <w:szCs w:val="14"/>
          <w:color w:val="auto"/>
        </w:rPr>
        <w:t>See Adjusted Net Income (Loss) reconciliation.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15</w:t>
      </w:r>
    </w:p>
    <w:p>
      <w:pPr>
        <w:sectPr>
          <w:pgSz w:w="11900" w:h="16838" w:orient="portrait"/>
          <w:cols w:equalWidth="0" w:num="1">
            <w:col w:w="11220"/>
          </w:cols>
          <w:pgMar w:left="340" w:top="1103" w:right="339" w:bottom="1440" w:gutter="0" w:footer="0" w:header="0"/>
        </w:sectPr>
      </w:pPr>
    </w:p>
    <w:bookmarkStart w:id="19" w:name="page20"/>
    <w:bookmarkEnd w:id="19"/>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207645</wp:posOffset>
            </wp:positionH>
            <wp:positionV relativeFrom="page">
              <wp:posOffset>664210</wp:posOffset>
            </wp:positionV>
            <wp:extent cx="713422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689610</wp:posOffset>
            </wp:positionV>
            <wp:extent cx="713422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4225" cy="8255"/>
                    </a:xfrm>
                    <a:prstGeom prst="rect">
                      <a:avLst/>
                    </a:prstGeom>
                    <a:noFill/>
                  </pic:spPr>
                </pic:pic>
              </a:graphicData>
            </a:graphic>
          </wp:anchor>
        </w:drawing>
        <w:t>SEGMENT ADJUSTED EBITDAX</w:t>
      </w:r>
    </w:p>
    <w:p>
      <w:pPr>
        <w:spacing w:after="0" w:line="132"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 xml:space="preserve">This measure should be read in conjunction with Note 16 </w:t>
      </w:r>
      <w:r>
        <w:rPr>
          <w:rFonts w:ascii="Arial" w:cs="Arial" w:eastAsia="Arial" w:hAnsi="Arial"/>
          <w:sz w:val="14"/>
          <w:szCs w:val="14"/>
          <w:i w:val="1"/>
          <w:iCs w:val="1"/>
          <w:color w:val="auto"/>
        </w:rPr>
        <w:t>Segment Information</w:t>
      </w:r>
      <w:r>
        <w:rPr>
          <w:rFonts w:ascii="Arial" w:cs="Arial" w:eastAsia="Arial" w:hAnsi="Arial"/>
          <w:sz w:val="14"/>
          <w:szCs w:val="14"/>
          <w:color w:val="auto"/>
        </w:rPr>
        <w:t xml:space="preserve"> in CRC’s 2025 Annual Report. A reconciliation of the non-GAAP measure of segment adjusted EBITDAX cannot be reconciled to the comparable measure of operating cash flow prepared in accordance with GAAP without unreasonable effort.</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20"/>
                <w:szCs w:val="20"/>
                <w:color w:val="auto"/>
              </w:rPr>
            </w:pPr>
            <w:r>
              <w:rPr>
                <w:rFonts w:ascii="Arial" w:cs="Arial" w:eastAsia="Arial" w:hAnsi="Arial"/>
                <w:sz w:val="14"/>
                <w:szCs w:val="14"/>
                <w:b w:val="1"/>
                <w:bCs w:val="1"/>
                <w:color w:val="auto"/>
              </w:rPr>
              <w:t>Oil and Natural Gas Segment</w:t>
            </w:r>
          </w:p>
        </w:tc>
        <w:tc>
          <w:tcPr>
            <w:tcW w:w="1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1st Quarter</w:t>
            </w:r>
          </w:p>
        </w:tc>
        <w:tc>
          <w:tcPr>
            <w:tcW w:w="20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6"/>
                <w:szCs w:val="16"/>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b w:val="1"/>
                <w:bCs w:val="1"/>
                <w:color w:val="auto"/>
              </w:rPr>
              <w:t>1st Quarter</w:t>
            </w:r>
          </w:p>
        </w:tc>
        <w:tc>
          <w:tcPr>
            <w:tcW w:w="0" w:type="dxa"/>
            <w:vAlign w:val="bottom"/>
          </w:tcPr>
          <w:p>
            <w:pPr>
              <w:spacing w:after="0"/>
              <w:rPr>
                <w:sz w:val="1"/>
                <w:szCs w:val="1"/>
                <w:color w:val="auto"/>
              </w:rPr>
            </w:pPr>
          </w:p>
        </w:tc>
      </w:tr>
      <w:tr>
        <w:trPr>
          <w:trHeight w:val="200"/>
        </w:trPr>
        <w:tc>
          <w:tcPr>
            <w:tcW w:w="708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0" w:type="dxa"/>
            <w:vAlign w:val="bottom"/>
          </w:tcPr>
          <w:p>
            <w:pPr>
              <w:spacing w:after="0"/>
              <w:rPr>
                <w:sz w:val="1"/>
                <w:szCs w:val="1"/>
                <w:color w:val="auto"/>
              </w:rPr>
            </w:pPr>
          </w:p>
        </w:tc>
      </w:tr>
      <w:tr>
        <w:trPr>
          <w:trHeight w:val="193"/>
        </w:trPr>
        <w:tc>
          <w:tcPr>
            <w:tcW w:w="7080" w:type="dxa"/>
            <w:vAlign w:val="bottom"/>
          </w:tcPr>
          <w:p>
            <w:pPr>
              <w:spacing w:after="0"/>
              <w:rPr>
                <w:sz w:val="20"/>
                <w:szCs w:val="20"/>
                <w:color w:val="auto"/>
              </w:rPr>
            </w:pPr>
            <w:r>
              <w:rPr>
                <w:rFonts w:ascii="Arial" w:cs="Arial" w:eastAsia="Arial" w:hAnsi="Arial"/>
                <w:sz w:val="14"/>
                <w:szCs w:val="14"/>
                <w:color w:val="auto"/>
              </w:rPr>
              <w:t>Segment profit</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281</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46</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266</w:t>
            </w:r>
          </w:p>
        </w:tc>
        <w:tc>
          <w:tcPr>
            <w:tcW w:w="0" w:type="dxa"/>
            <w:vAlign w:val="bottom"/>
          </w:tcPr>
          <w:p>
            <w:pPr>
              <w:spacing w:after="0"/>
              <w:rPr>
                <w:sz w:val="1"/>
                <w:szCs w:val="1"/>
                <w:color w:val="auto"/>
              </w:rPr>
            </w:pP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Depreciation, depletion and amortization</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128</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127</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126</w:t>
            </w:r>
          </w:p>
        </w:tc>
        <w:tc>
          <w:tcPr>
            <w:tcW w:w="0" w:type="dxa"/>
            <w:vAlign w:val="bottom"/>
          </w:tcPr>
          <w:p>
            <w:pPr>
              <w:spacing w:after="0"/>
              <w:rPr>
                <w:sz w:val="1"/>
                <w:szCs w:val="1"/>
                <w:color w:val="auto"/>
              </w:rPr>
            </w:pP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Exploration expense</w:t>
            </w:r>
          </w:p>
        </w:tc>
        <w:tc>
          <w:tcPr>
            <w:tcW w:w="1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Accretion expense</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27</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29</w:t>
            </w:r>
          </w:p>
        </w:tc>
        <w:tc>
          <w:tcPr>
            <w:tcW w:w="0" w:type="dxa"/>
            <w:vAlign w:val="bottom"/>
          </w:tcPr>
          <w:p>
            <w:pPr>
              <w:spacing w:after="0"/>
              <w:rPr>
                <w:sz w:val="1"/>
                <w:szCs w:val="1"/>
                <w:color w:val="auto"/>
              </w:rPr>
            </w:pPr>
          </w:p>
        </w:tc>
      </w:tr>
      <w:tr>
        <w:trPr>
          <w:trHeight w:val="201"/>
        </w:trPr>
        <w:tc>
          <w:tcPr>
            <w:tcW w:w="7080" w:type="dxa"/>
            <w:vAlign w:val="bottom"/>
          </w:tcPr>
          <w:p>
            <w:pPr>
              <w:ind w:left="120"/>
              <w:spacing w:after="0" w:line="201" w:lineRule="exact"/>
              <w:rPr>
                <w:sz w:val="20"/>
                <w:szCs w:val="20"/>
                <w:color w:val="auto"/>
              </w:rPr>
            </w:pPr>
            <w:r>
              <w:rPr>
                <w:rFonts w:ascii="Arial" w:cs="Arial" w:eastAsia="Arial" w:hAnsi="Arial"/>
                <w:sz w:val="14"/>
                <w:szCs w:val="14"/>
                <w:color w:val="auto"/>
              </w:rPr>
              <w:t>Adjusted income items</w:t>
            </w:r>
            <w:r>
              <w:rPr>
                <w:rFonts w:ascii="Arial" w:cs="Arial" w:eastAsia="Arial" w:hAnsi="Arial"/>
                <w:sz w:val="18"/>
                <w:szCs w:val="18"/>
                <w:color w:val="auto"/>
                <w:vertAlign w:val="superscript"/>
              </w:rPr>
              <w:t>(1)</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93"/>
        </w:trPr>
        <w:tc>
          <w:tcPr>
            <w:tcW w:w="7080" w:type="dxa"/>
            <w:vAlign w:val="bottom"/>
          </w:tcPr>
          <w:p>
            <w:pPr>
              <w:spacing w:after="0"/>
              <w:rPr>
                <w:sz w:val="20"/>
                <w:szCs w:val="20"/>
                <w:color w:val="auto"/>
              </w:rPr>
            </w:pPr>
            <w:r>
              <w:rPr>
                <w:rFonts w:ascii="Arial" w:cs="Arial" w:eastAsia="Arial" w:hAnsi="Arial"/>
                <w:sz w:val="14"/>
                <w:szCs w:val="14"/>
                <w:b w:val="1"/>
                <w:bCs w:val="1"/>
                <w:color w:val="auto"/>
              </w:rPr>
              <w:t>Adjusted EBITDAX - Oil and Natural Gas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439</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269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422</w:t>
            </w:r>
          </w:p>
        </w:tc>
        <w:tc>
          <w:tcPr>
            <w:tcW w:w="0" w:type="dxa"/>
            <w:vAlign w:val="bottom"/>
          </w:tcPr>
          <w:p>
            <w:pPr>
              <w:spacing w:after="0"/>
              <w:rPr>
                <w:sz w:val="1"/>
                <w:szCs w:val="1"/>
                <w:color w:val="auto"/>
              </w:rPr>
            </w:pPr>
          </w:p>
        </w:tc>
      </w:tr>
      <w:tr>
        <w:trPr>
          <w:trHeight w:val="20"/>
        </w:trPr>
        <w:tc>
          <w:tcPr>
            <w:tcW w:w="7080" w:type="dxa"/>
            <w:vAlign w:val="bottom"/>
            <w:vMerge w:val="restart"/>
          </w:tcPr>
          <w:p>
            <w:pPr>
              <w:spacing w:after="0"/>
              <w:rPr>
                <w:sz w:val="20"/>
                <w:szCs w:val="20"/>
                <w:color w:val="auto"/>
              </w:rPr>
            </w:pPr>
            <w:r>
              <w:rPr>
                <w:rFonts w:ascii="Arial" w:cs="Arial" w:eastAsia="Arial" w:hAnsi="Arial"/>
                <w:sz w:val="14"/>
                <w:szCs w:val="14"/>
                <w:b w:val="1"/>
                <w:bCs w:val="1"/>
                <w:color w:val="auto"/>
              </w:rPr>
              <w:t>Carbon Management Segment</w:t>
            </w: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8"/>
        </w:trPr>
        <w:tc>
          <w:tcPr>
            <w:tcW w:w="708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0"/>
        </w:trPr>
        <w:tc>
          <w:tcPr>
            <w:tcW w:w="7080" w:type="dxa"/>
            <w:vAlign w:val="bottom"/>
          </w:tcPr>
          <w:p>
            <w:pPr>
              <w:spacing w:after="0"/>
              <w:rPr>
                <w:sz w:val="20"/>
                <w:szCs w:val="20"/>
                <w:color w:val="auto"/>
              </w:rPr>
            </w:pPr>
            <w:r>
              <w:rPr>
                <w:rFonts w:ascii="Arial" w:cs="Arial" w:eastAsia="Arial" w:hAnsi="Arial"/>
                <w:sz w:val="14"/>
                <w:szCs w:val="14"/>
                <w:color w:val="auto"/>
              </w:rPr>
              <w:t>Segment loss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(12)</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(20)</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(25)</w:t>
            </w:r>
          </w:p>
        </w:tc>
        <w:tc>
          <w:tcPr>
            <w:tcW w:w="0" w:type="dxa"/>
            <w:vAlign w:val="bottom"/>
          </w:tcPr>
          <w:p>
            <w:pPr>
              <w:spacing w:after="0"/>
              <w:rPr>
                <w:sz w:val="1"/>
                <w:szCs w:val="1"/>
                <w:color w:val="auto"/>
              </w:rPr>
            </w:pP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Interest on contingent liability (related to Carbon TerraVault JV)</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00"/>
        </w:trPr>
        <w:tc>
          <w:tcPr>
            <w:tcW w:w="7080" w:type="dxa"/>
            <w:vAlign w:val="bottom"/>
          </w:tcPr>
          <w:p>
            <w:pPr>
              <w:ind w:left="120"/>
              <w:spacing w:after="0"/>
              <w:rPr>
                <w:sz w:val="20"/>
                <w:szCs w:val="20"/>
                <w:color w:val="auto"/>
              </w:rPr>
            </w:pPr>
            <w:r>
              <w:rPr>
                <w:rFonts w:ascii="Arial" w:cs="Arial" w:eastAsia="Arial" w:hAnsi="Arial"/>
                <w:sz w:val="14"/>
                <w:szCs w:val="14"/>
                <w:color w:val="auto"/>
              </w:rPr>
              <w:t>Equity loss from unconsolidated subsidiary</w:t>
            </w:r>
          </w:p>
        </w:tc>
        <w:tc>
          <w:tcPr>
            <w:tcW w:w="180" w:type="dxa"/>
            <w:vAlign w:val="bottom"/>
          </w:tcPr>
          <w:p>
            <w:pPr>
              <w:spacing w:after="0"/>
              <w:rPr>
                <w:sz w:val="17"/>
                <w:szCs w:val="17"/>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201"/>
        </w:trPr>
        <w:tc>
          <w:tcPr>
            <w:tcW w:w="7080" w:type="dxa"/>
            <w:vAlign w:val="bottom"/>
          </w:tcPr>
          <w:p>
            <w:pPr>
              <w:ind w:left="120"/>
              <w:spacing w:after="0" w:line="201" w:lineRule="exact"/>
              <w:rPr>
                <w:sz w:val="20"/>
                <w:szCs w:val="20"/>
                <w:color w:val="auto"/>
              </w:rPr>
            </w:pPr>
            <w:r>
              <w:rPr>
                <w:rFonts w:ascii="Arial" w:cs="Arial" w:eastAsia="Arial" w:hAnsi="Arial"/>
                <w:sz w:val="14"/>
                <w:szCs w:val="14"/>
                <w:color w:val="auto"/>
              </w:rPr>
              <w:t>Adjusted income items</w:t>
            </w:r>
            <w:r>
              <w:rPr>
                <w:rFonts w:ascii="Arial" w:cs="Arial" w:eastAsia="Arial" w:hAnsi="Arial"/>
                <w:sz w:val="18"/>
                <w:szCs w:val="18"/>
                <w:color w:val="auto"/>
                <w:vertAlign w:val="superscript"/>
              </w:rPr>
              <w:t>(1)</w:t>
            </w:r>
          </w:p>
        </w:tc>
        <w:tc>
          <w:tcPr>
            <w:tcW w:w="180" w:type="dxa"/>
            <w:vAlign w:val="bottom"/>
          </w:tcPr>
          <w:p>
            <w:pPr>
              <w:spacing w:after="0"/>
              <w:rPr>
                <w:sz w:val="17"/>
                <w:szCs w:val="17"/>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200" w:type="dxa"/>
            <w:vAlign w:val="bottom"/>
          </w:tcPr>
          <w:p>
            <w:pPr>
              <w:spacing w:after="0"/>
              <w:rPr>
                <w:sz w:val="17"/>
                <w:szCs w:val="17"/>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0" w:type="dxa"/>
            <w:vAlign w:val="bottom"/>
          </w:tcPr>
          <w:p>
            <w:pPr>
              <w:spacing w:after="0"/>
              <w:rPr>
                <w:sz w:val="1"/>
                <w:szCs w:val="1"/>
                <w:color w:val="auto"/>
              </w:rPr>
            </w:pPr>
          </w:p>
        </w:tc>
      </w:tr>
      <w:tr>
        <w:trPr>
          <w:trHeight w:val="193"/>
        </w:trPr>
        <w:tc>
          <w:tcPr>
            <w:tcW w:w="7080" w:type="dxa"/>
            <w:vAlign w:val="bottom"/>
          </w:tcPr>
          <w:p>
            <w:pPr>
              <w:spacing w:after="0"/>
              <w:rPr>
                <w:sz w:val="20"/>
                <w:szCs w:val="20"/>
                <w:color w:val="auto"/>
              </w:rPr>
            </w:pPr>
            <w:r>
              <w:rPr>
                <w:rFonts w:ascii="Arial" w:cs="Arial" w:eastAsia="Arial" w:hAnsi="Arial"/>
                <w:sz w:val="14"/>
                <w:szCs w:val="14"/>
                <w:b w:val="1"/>
                <w:bCs w:val="1"/>
                <w:color w:val="auto"/>
              </w:rPr>
              <w:t>Adjusted EBITDAX - Carbon Management</w:t>
            </w:r>
          </w:p>
        </w:tc>
        <w:tc>
          <w:tcPr>
            <w:tcW w:w="18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w:t>
            </w:r>
          </w:p>
        </w:tc>
        <w:tc>
          <w:tcPr>
            <w:tcW w:w="100" w:type="dxa"/>
            <w:vAlign w:val="bottom"/>
          </w:tcPr>
          <w:p>
            <w:pPr>
              <w:spacing w:after="0"/>
              <w:rPr>
                <w:sz w:val="16"/>
                <w:szCs w:val="16"/>
                <w:color w:val="auto"/>
              </w:rPr>
            </w:pPr>
          </w:p>
        </w:tc>
        <w:tc>
          <w:tcPr>
            <w:tcW w:w="20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(21)</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9" w:lineRule="exact"/>
        <w:rPr>
          <w:sz w:val="20"/>
          <w:szCs w:val="20"/>
          <w:color w:val="auto"/>
        </w:rPr>
      </w:pPr>
    </w:p>
    <w:p>
      <w:pPr>
        <w:ind w:right="240" w:firstLine="4"/>
        <w:spacing w:after="0" w:line="254" w:lineRule="auto"/>
        <w:tabs>
          <w:tab w:leader="none" w:pos="186" w:val="left"/>
        </w:tabs>
        <w:numPr>
          <w:ilvl w:val="0"/>
          <w:numId w:val="38"/>
        </w:numPr>
        <w:rPr>
          <w:rFonts w:ascii="Arial" w:cs="Arial" w:eastAsia="Arial" w:hAnsi="Arial"/>
          <w:sz w:val="12"/>
          <w:szCs w:val="12"/>
          <w:color w:val="auto"/>
        </w:rPr>
      </w:pPr>
      <w:r>
        <w:rPr>
          <w:rFonts w:ascii="Arial" w:cs="Arial" w:eastAsia="Arial" w:hAnsi="Arial"/>
          <w:sz w:val="12"/>
          <w:szCs w:val="12"/>
          <w:color w:val="auto"/>
        </w:rPr>
        <w:t>Certain amounts previously reported in the Q4 2025 earnings release have been corrected. This correction relates to reporting of adjusted income items in Carbon Management in Q1 2025 and this amount was reclassified to Oil and Natural Gas in Q1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240665</wp:posOffset>
            </wp:positionV>
            <wp:extent cx="713422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266065</wp:posOffset>
            </wp:positionV>
            <wp:extent cx="713422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FREE CASH FLOW</w:t>
      </w:r>
    </w:p>
    <w:p>
      <w:pPr>
        <w:spacing w:after="0" w:line="132" w:lineRule="exact"/>
        <w:rPr>
          <w:sz w:val="20"/>
          <w:szCs w:val="20"/>
          <w:color w:val="auto"/>
        </w:rPr>
      </w:pPr>
    </w:p>
    <w:p>
      <w:pPr>
        <w:jc w:val="both"/>
        <w:ind w:right="20"/>
        <w:spacing w:after="0" w:line="239" w:lineRule="auto"/>
        <w:rPr>
          <w:sz w:val="20"/>
          <w:szCs w:val="20"/>
          <w:color w:val="auto"/>
        </w:rPr>
      </w:pPr>
      <w:r>
        <w:rPr>
          <w:rFonts w:ascii="Arial" w:cs="Arial" w:eastAsia="Arial" w:hAnsi="Arial"/>
          <w:sz w:val="14"/>
          <w:szCs w:val="14"/>
          <w:color w:val="auto"/>
        </w:rPr>
        <w:t>Management uses free cash flow, which is defined by CRC as net cash provided by operating activities less capital investments, as a measure of liquidity. The following table presents a reconciliation of CRC's net cash provided by operating activities to free cash flow.</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1st Quarter</w:t>
            </w:r>
          </w:p>
        </w:tc>
        <w:tc>
          <w:tcPr>
            <w:tcW w:w="20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6"/>
                <w:szCs w:val="16"/>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b w:val="1"/>
                <w:bCs w:val="1"/>
                <w:color w:val="auto"/>
              </w:rPr>
              <w:t>1st Quarter</w:t>
            </w:r>
          </w:p>
        </w:tc>
      </w:tr>
      <w:tr>
        <w:trPr>
          <w:trHeight w:val="201"/>
        </w:trPr>
        <w:tc>
          <w:tcPr>
            <w:tcW w:w="708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r>
      <w:tr>
        <w:trPr>
          <w:trHeight w:val="273"/>
        </w:trPr>
        <w:tc>
          <w:tcPr>
            <w:tcW w:w="708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80" w:type="dxa"/>
            <w:vAlign w:val="bottom"/>
          </w:tcPr>
          <w:p>
            <w:pPr>
              <w:spacing w:after="0"/>
              <w:rPr>
                <w:sz w:val="23"/>
                <w:szCs w:val="23"/>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23"/>
                <w:szCs w:val="23"/>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186</w:t>
            </w:r>
          </w:p>
        </w:tc>
      </w:tr>
      <w:tr>
        <w:trPr>
          <w:trHeight w:val="200"/>
        </w:trPr>
        <w:tc>
          <w:tcPr>
            <w:tcW w:w="7080" w:type="dxa"/>
            <w:vAlign w:val="bottom"/>
          </w:tcPr>
          <w:p>
            <w:pPr>
              <w:spacing w:after="0"/>
              <w:rPr>
                <w:sz w:val="20"/>
                <w:szCs w:val="20"/>
                <w:color w:val="auto"/>
              </w:rPr>
            </w:pPr>
            <w:r>
              <w:rPr>
                <w:rFonts w:ascii="Arial" w:cs="Arial" w:eastAsia="Arial" w:hAnsi="Arial"/>
                <w:sz w:val="14"/>
                <w:szCs w:val="14"/>
                <w:color w:val="auto"/>
              </w:rPr>
              <w:t>Capital investments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w:t>
            </w:r>
          </w:p>
        </w:tc>
      </w:tr>
      <w:tr>
        <w:trPr>
          <w:trHeight w:val="168"/>
        </w:trPr>
        <w:tc>
          <w:tcPr>
            <w:tcW w:w="7080" w:type="dxa"/>
            <w:vAlign w:val="bottom"/>
          </w:tcPr>
          <w:p>
            <w:pPr>
              <w:spacing w:after="0"/>
              <w:rPr>
                <w:sz w:val="20"/>
                <w:szCs w:val="20"/>
                <w:color w:val="auto"/>
              </w:rPr>
            </w:pPr>
            <w:r>
              <w:rPr>
                <w:rFonts w:ascii="Arial" w:cs="Arial" w:eastAsia="Arial" w:hAnsi="Arial"/>
                <w:sz w:val="14"/>
                <w:szCs w:val="14"/>
                <w:color w:val="auto"/>
              </w:rPr>
              <w:t>Free cash flow</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(32)</w:t>
            </w:r>
          </w:p>
        </w:tc>
        <w:tc>
          <w:tcPr>
            <w:tcW w:w="8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115</w:t>
            </w:r>
          </w:p>
        </w:tc>
        <w:tc>
          <w:tcPr>
            <w:tcW w:w="100" w:type="dxa"/>
            <w:vAlign w:val="bottom"/>
          </w:tcPr>
          <w:p>
            <w:pPr>
              <w:spacing w:after="0"/>
              <w:rPr>
                <w:sz w:val="14"/>
                <w:szCs w:val="14"/>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w:t>
            </w: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144145</wp:posOffset>
            </wp:positionV>
            <wp:extent cx="713422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169545</wp:posOffset>
            </wp:positionV>
            <wp:extent cx="7134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FREE CASH FLOW BEFORE NET CHANGES IN OPERATING ASSETS AND LIABILITIES</w:t>
      </w:r>
    </w:p>
    <w:p>
      <w:pPr>
        <w:spacing w:after="0" w:line="132" w:lineRule="exact"/>
        <w:rPr>
          <w:sz w:val="20"/>
          <w:szCs w:val="20"/>
          <w:color w:val="auto"/>
        </w:rPr>
      </w:pPr>
    </w:p>
    <w:p>
      <w:pPr>
        <w:jc w:val="both"/>
        <w:ind w:right="20"/>
        <w:spacing w:after="0" w:line="239" w:lineRule="auto"/>
        <w:rPr>
          <w:sz w:val="20"/>
          <w:szCs w:val="20"/>
          <w:color w:val="auto"/>
        </w:rPr>
      </w:pPr>
      <w:r>
        <w:rPr>
          <w:rFonts w:ascii="Arial" w:cs="Arial" w:eastAsia="Arial" w:hAnsi="Arial"/>
          <w:sz w:val="14"/>
          <w:szCs w:val="14"/>
          <w:color w:val="auto"/>
        </w:rPr>
        <w:t>Management uses free cash flow before changes in operating assets and liabilities, which is defined by CRC as net cash provided by operating activities less net changes in operating assets and liabilities and capital investments, as a measure of liquidity. The following table presents a reconciliation of CRC's net cash provided by operating activities to free cash flow before net changes in operating assets and liabilities.</w:t>
      </w:r>
    </w:p>
    <w:p>
      <w:pPr>
        <w:spacing w:after="0" w:line="145"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1st Quarter</w:t>
            </w:r>
          </w:p>
        </w:tc>
        <w:tc>
          <w:tcPr>
            <w:tcW w:w="20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6"/>
                <w:szCs w:val="16"/>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b w:val="1"/>
                <w:bCs w:val="1"/>
                <w:color w:val="auto"/>
              </w:rPr>
              <w:t>1st Quarter</w:t>
            </w:r>
          </w:p>
        </w:tc>
      </w:tr>
      <w:tr>
        <w:trPr>
          <w:trHeight w:val="201"/>
        </w:trPr>
        <w:tc>
          <w:tcPr>
            <w:tcW w:w="708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r>
      <w:tr>
        <w:trPr>
          <w:trHeight w:val="273"/>
        </w:trPr>
        <w:tc>
          <w:tcPr>
            <w:tcW w:w="7080" w:type="dxa"/>
            <w:vAlign w:val="bottom"/>
          </w:tcPr>
          <w:p>
            <w:pPr>
              <w:spacing w:after="0"/>
              <w:rPr>
                <w:sz w:val="20"/>
                <w:szCs w:val="20"/>
                <w:color w:val="auto"/>
              </w:rPr>
            </w:pPr>
            <w:r>
              <w:rPr>
                <w:rFonts w:ascii="Arial" w:cs="Arial" w:eastAsia="Arial" w:hAnsi="Arial"/>
                <w:sz w:val="14"/>
                <w:szCs w:val="14"/>
                <w:color w:val="auto"/>
              </w:rPr>
              <w:t>Net cash provided by operating activities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99</w:t>
            </w:r>
          </w:p>
        </w:tc>
        <w:tc>
          <w:tcPr>
            <w:tcW w:w="80" w:type="dxa"/>
            <w:vAlign w:val="bottom"/>
          </w:tcPr>
          <w:p>
            <w:pPr>
              <w:spacing w:after="0"/>
              <w:rPr>
                <w:sz w:val="23"/>
                <w:szCs w:val="23"/>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235</w:t>
            </w:r>
          </w:p>
        </w:tc>
        <w:tc>
          <w:tcPr>
            <w:tcW w:w="100" w:type="dxa"/>
            <w:vAlign w:val="bottom"/>
          </w:tcPr>
          <w:p>
            <w:pPr>
              <w:spacing w:after="0"/>
              <w:rPr>
                <w:sz w:val="23"/>
                <w:szCs w:val="23"/>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186</w:t>
            </w:r>
          </w:p>
        </w:tc>
      </w:tr>
      <w:tr>
        <w:trPr>
          <w:trHeight w:val="200"/>
        </w:trPr>
        <w:tc>
          <w:tcPr>
            <w:tcW w:w="7080" w:type="dxa"/>
            <w:vAlign w:val="bottom"/>
          </w:tcPr>
          <w:p>
            <w:pPr>
              <w:spacing w:after="0"/>
              <w:rPr>
                <w:sz w:val="20"/>
                <w:szCs w:val="20"/>
                <w:color w:val="auto"/>
              </w:rPr>
            </w:pPr>
            <w:r>
              <w:rPr>
                <w:rFonts w:ascii="Arial" w:cs="Arial" w:eastAsia="Arial" w:hAnsi="Arial"/>
                <w:sz w:val="14"/>
                <w:szCs w:val="14"/>
                <w:color w:val="auto"/>
              </w:rPr>
              <w:t>Net changes in operating assets and liabilities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148</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(24)</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r>
      <w:tr>
        <w:trPr>
          <w:trHeight w:val="193"/>
        </w:trPr>
        <w:tc>
          <w:tcPr>
            <w:tcW w:w="7080" w:type="dxa"/>
            <w:vAlign w:val="bottom"/>
          </w:tcPr>
          <w:p>
            <w:pPr>
              <w:spacing w:after="0"/>
              <w:rPr>
                <w:sz w:val="20"/>
                <w:szCs w:val="20"/>
                <w:color w:val="auto"/>
              </w:rPr>
            </w:pPr>
            <w:r>
              <w:rPr>
                <w:rFonts w:ascii="Arial" w:cs="Arial" w:eastAsia="Arial" w:hAnsi="Arial"/>
                <w:sz w:val="14"/>
                <w:szCs w:val="14"/>
                <w:color w:val="auto"/>
              </w:rPr>
              <w:t>Net cash provided by operating activities before net changes in operating assets and liabilities</w:t>
            </w:r>
          </w:p>
        </w:tc>
        <w:tc>
          <w:tcPr>
            <w:tcW w:w="18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247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211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252</w:t>
            </w:r>
          </w:p>
        </w:tc>
      </w:tr>
      <w:tr>
        <w:trPr>
          <w:trHeight w:val="201"/>
        </w:trPr>
        <w:tc>
          <w:tcPr>
            <w:tcW w:w="7080" w:type="dxa"/>
            <w:vAlign w:val="bottom"/>
          </w:tcPr>
          <w:p>
            <w:pPr>
              <w:spacing w:after="0"/>
              <w:rPr>
                <w:sz w:val="20"/>
                <w:szCs w:val="20"/>
                <w:color w:val="auto"/>
              </w:rPr>
            </w:pPr>
            <w:r>
              <w:rPr>
                <w:rFonts w:ascii="Arial" w:cs="Arial" w:eastAsia="Arial" w:hAnsi="Arial"/>
                <w:sz w:val="14"/>
                <w:szCs w:val="14"/>
                <w:color w:val="auto"/>
              </w:rPr>
              <w:t>Capital investments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(131)</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(120)</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(55)</w:t>
            </w:r>
          </w:p>
        </w:tc>
      </w:tr>
      <w:tr>
        <w:trPr>
          <w:trHeight w:val="194"/>
        </w:trPr>
        <w:tc>
          <w:tcPr>
            <w:tcW w:w="7080" w:type="dxa"/>
            <w:vAlign w:val="bottom"/>
          </w:tcPr>
          <w:p>
            <w:pPr>
              <w:spacing w:after="0"/>
              <w:rPr>
                <w:sz w:val="20"/>
                <w:szCs w:val="20"/>
                <w:color w:val="auto"/>
              </w:rPr>
            </w:pPr>
            <w:r>
              <w:rPr>
                <w:rFonts w:ascii="Arial" w:cs="Arial" w:eastAsia="Arial" w:hAnsi="Arial"/>
                <w:sz w:val="14"/>
                <w:szCs w:val="14"/>
                <w:color w:val="auto"/>
              </w:rPr>
              <w:t>Free cash flow before net changes in operating assets and liabilities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116</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91</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197</w:t>
            </w: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16</w:t>
      </w:r>
    </w:p>
    <w:p>
      <w:pPr>
        <w:sectPr>
          <w:pgSz w:w="11900" w:h="16838" w:orient="portrait"/>
          <w:cols w:equalWidth="0" w:num="1">
            <w:col w:w="11220"/>
          </w:cols>
          <w:pgMar w:left="340" w:top="1103" w:right="339" w:bottom="1440" w:gutter="0" w:footer="0" w:header="0"/>
        </w:sectPr>
      </w:pPr>
    </w:p>
    <w:bookmarkStart w:id="20" w:name="page21"/>
    <w:bookmarkEnd w:id="20"/>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207645</wp:posOffset>
            </wp:positionH>
            <wp:positionV relativeFrom="page">
              <wp:posOffset>664210</wp:posOffset>
            </wp:positionV>
            <wp:extent cx="7134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689610</wp:posOffset>
            </wp:positionV>
            <wp:extent cx="7134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4225" cy="8255"/>
                    </a:xfrm>
                    <a:prstGeom prst="rect">
                      <a:avLst/>
                    </a:prstGeom>
                    <a:noFill/>
                  </pic:spPr>
                </pic:pic>
              </a:graphicData>
            </a:graphic>
          </wp:anchor>
        </w:drawing>
        <w:t>ADJUSTED GENERAL &amp; ADMINISTRATIVE EXPENSES</w:t>
      </w:r>
    </w:p>
    <w:p>
      <w:pPr>
        <w:spacing w:after="0" w:line="132" w:lineRule="exact"/>
        <w:rPr>
          <w:sz w:val="20"/>
          <w:szCs w:val="20"/>
          <w:color w:val="auto"/>
        </w:rPr>
      </w:pPr>
    </w:p>
    <w:p>
      <w:pPr>
        <w:ind w:right="20"/>
        <w:spacing w:after="0" w:line="279" w:lineRule="auto"/>
        <w:rPr>
          <w:sz w:val="20"/>
          <w:szCs w:val="20"/>
          <w:color w:val="auto"/>
        </w:rPr>
      </w:pPr>
      <w:r>
        <w:rPr>
          <w:rFonts w:ascii="Arial" w:cs="Arial" w:eastAsia="Arial" w:hAnsi="Arial"/>
          <w:sz w:val="14"/>
          <w:szCs w:val="14"/>
          <w:color w:val="auto"/>
        </w:rPr>
        <w:t>Management uses a measure called adjusted general and administrative (G&amp;A) expenses and adjusted G&amp;A per BOE to provide useful information to investors interested in comparing CRC's costs between periods and performance to its peers.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1st Quarter</w:t>
            </w:r>
          </w:p>
        </w:tc>
        <w:tc>
          <w:tcPr>
            <w:tcW w:w="20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6"/>
                <w:szCs w:val="16"/>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b w:val="1"/>
                <w:bCs w:val="1"/>
                <w:color w:val="auto"/>
              </w:rPr>
              <w:t>1st Quarter</w:t>
            </w:r>
          </w:p>
        </w:tc>
      </w:tr>
      <w:tr>
        <w:trPr>
          <w:trHeight w:val="200"/>
        </w:trPr>
        <w:tc>
          <w:tcPr>
            <w:tcW w:w="708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r>
      <w:tr>
        <w:trPr>
          <w:trHeight w:val="193"/>
        </w:trPr>
        <w:tc>
          <w:tcPr>
            <w:tcW w:w="7080" w:type="dxa"/>
            <w:vAlign w:val="bottom"/>
          </w:tcPr>
          <w:p>
            <w:pPr>
              <w:spacing w:after="0"/>
              <w:rPr>
                <w:sz w:val="20"/>
                <w:szCs w:val="20"/>
                <w:color w:val="auto"/>
              </w:rPr>
            </w:pPr>
            <w:r>
              <w:rPr>
                <w:rFonts w:ascii="Arial" w:cs="Arial" w:eastAsia="Arial" w:hAnsi="Arial"/>
                <w:sz w:val="14"/>
                <w:szCs w:val="14"/>
                <w:color w:val="auto"/>
              </w:rPr>
              <w:t>General and administrative expenses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106</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72</w:t>
            </w:r>
          </w:p>
        </w:tc>
      </w:tr>
      <w:tr>
        <w:trPr>
          <w:trHeight w:val="201"/>
        </w:trPr>
        <w:tc>
          <w:tcPr>
            <w:tcW w:w="7080" w:type="dxa"/>
            <w:vAlign w:val="bottom"/>
          </w:tcPr>
          <w:p>
            <w:pPr>
              <w:spacing w:after="0"/>
              <w:rPr>
                <w:sz w:val="20"/>
                <w:szCs w:val="20"/>
                <w:color w:val="auto"/>
              </w:rPr>
            </w:pPr>
            <w:r>
              <w:rPr>
                <w:rFonts w:ascii="Arial" w:cs="Arial" w:eastAsia="Arial" w:hAnsi="Arial"/>
                <w:sz w:val="14"/>
                <w:szCs w:val="14"/>
                <w:color w:val="auto"/>
              </w:rPr>
              <w:t>Stock-based compensation</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r>
      <w:tr>
        <w:trPr>
          <w:trHeight w:val="194"/>
        </w:trPr>
        <w:tc>
          <w:tcPr>
            <w:tcW w:w="7080" w:type="dxa"/>
            <w:vAlign w:val="bottom"/>
          </w:tcPr>
          <w:p>
            <w:pPr>
              <w:spacing w:after="0"/>
              <w:rPr>
                <w:sz w:val="20"/>
                <w:szCs w:val="20"/>
                <w:color w:val="auto"/>
              </w:rPr>
            </w:pPr>
            <w:r>
              <w:rPr>
                <w:rFonts w:ascii="Arial" w:cs="Arial" w:eastAsia="Arial" w:hAnsi="Arial"/>
                <w:sz w:val="14"/>
                <w:szCs w:val="14"/>
                <w:color w:val="auto"/>
              </w:rPr>
              <w:t>Adjusted G&amp;A expenses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99</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89</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66</w:t>
            </w: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378"/>
        </w:trPr>
        <w:tc>
          <w:tcPr>
            <w:tcW w:w="7080" w:type="dxa"/>
            <w:vAlign w:val="bottom"/>
          </w:tcPr>
          <w:p>
            <w:pPr>
              <w:spacing w:after="0"/>
              <w:rPr>
                <w:sz w:val="20"/>
                <w:szCs w:val="20"/>
                <w:color w:val="auto"/>
              </w:rPr>
            </w:pPr>
            <w:r>
              <w:rPr>
                <w:rFonts w:ascii="Arial" w:cs="Arial" w:eastAsia="Arial" w:hAnsi="Arial"/>
                <w:sz w:val="14"/>
                <w:szCs w:val="14"/>
                <w:color w:val="auto"/>
              </w:rPr>
              <w:t>G&amp;A per BOE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7.63</w:t>
            </w:r>
          </w:p>
        </w:tc>
        <w:tc>
          <w:tcPr>
            <w:tcW w:w="8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7.51</w:t>
            </w:r>
          </w:p>
        </w:tc>
        <w:tc>
          <w:tcPr>
            <w:tcW w:w="100" w:type="dxa"/>
            <w:vAlign w:val="bottom"/>
          </w:tcPr>
          <w:p>
            <w:pPr>
              <w:spacing w:after="0"/>
              <w:rPr>
                <w:sz w:val="24"/>
                <w:szCs w:val="24"/>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5.69</w:t>
            </w:r>
          </w:p>
        </w:tc>
      </w:tr>
      <w:tr>
        <w:trPr>
          <w:trHeight w:val="200"/>
        </w:trPr>
        <w:tc>
          <w:tcPr>
            <w:tcW w:w="7080" w:type="dxa"/>
            <w:vAlign w:val="bottom"/>
          </w:tcPr>
          <w:p>
            <w:pPr>
              <w:spacing w:after="0"/>
              <w:rPr>
                <w:sz w:val="20"/>
                <w:szCs w:val="20"/>
                <w:color w:val="auto"/>
              </w:rPr>
            </w:pPr>
            <w:r>
              <w:rPr>
                <w:rFonts w:ascii="Arial" w:cs="Arial" w:eastAsia="Arial" w:hAnsi="Arial"/>
                <w:sz w:val="14"/>
                <w:szCs w:val="14"/>
                <w:color w:val="auto"/>
              </w:rPr>
              <w:t>Adjusted G&amp;A per BOE</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7.13</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7.04</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5.22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212090</wp:posOffset>
            </wp:positionV>
            <wp:extent cx="7134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237490</wp:posOffset>
            </wp:positionV>
            <wp:extent cx="713422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37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TOTAL OPERATING REVENUES BEFORE NET (LOSS) GAIN FROM COMMODITY DERIVATIVES</w:t>
      </w:r>
    </w:p>
    <w:p>
      <w:pPr>
        <w:spacing w:after="0" w:line="132" w:lineRule="exact"/>
        <w:rPr>
          <w:sz w:val="20"/>
          <w:szCs w:val="20"/>
          <w:color w:val="auto"/>
        </w:rPr>
      </w:pPr>
    </w:p>
    <w:p>
      <w:pPr>
        <w:jc w:val="both"/>
        <w:ind w:right="20"/>
        <w:spacing w:after="0" w:line="279" w:lineRule="auto"/>
        <w:rPr>
          <w:sz w:val="20"/>
          <w:szCs w:val="20"/>
          <w:color w:val="auto"/>
        </w:rPr>
      </w:pPr>
      <w:r>
        <w:rPr>
          <w:rFonts w:ascii="Arial" w:cs="Arial" w:eastAsia="Arial" w:hAnsi="Arial"/>
          <w:sz w:val="14"/>
          <w:szCs w:val="14"/>
          <w:color w:val="auto"/>
        </w:rPr>
        <w:t>Management uses a measure called total operating revenues before net (loss) gain from commodity derivatives, which is calculated as the difference between total operating revenues less net (loss) gain from commodity derivatives.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4"/>
                <w:szCs w:val="14"/>
                <w:b w:val="1"/>
                <w:bCs w:val="1"/>
                <w:color w:val="auto"/>
              </w:rPr>
              <w:t>1st Quarter</w:t>
            </w:r>
          </w:p>
        </w:tc>
        <w:tc>
          <w:tcPr>
            <w:tcW w:w="20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6"/>
                <w:szCs w:val="16"/>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b w:val="1"/>
                <w:bCs w:val="1"/>
                <w:color w:val="auto"/>
              </w:rPr>
              <w:t>1st Quarter</w:t>
            </w:r>
          </w:p>
        </w:tc>
      </w:tr>
      <w:tr>
        <w:trPr>
          <w:trHeight w:val="200"/>
        </w:trPr>
        <w:tc>
          <w:tcPr>
            <w:tcW w:w="708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2026</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r>
      <w:tr>
        <w:trPr>
          <w:trHeight w:val="193"/>
        </w:trPr>
        <w:tc>
          <w:tcPr>
            <w:tcW w:w="7080" w:type="dxa"/>
            <w:vAlign w:val="bottom"/>
          </w:tcPr>
          <w:p>
            <w:pPr>
              <w:spacing w:after="0"/>
              <w:rPr>
                <w:sz w:val="20"/>
                <w:szCs w:val="20"/>
                <w:color w:val="auto"/>
              </w:rPr>
            </w:pPr>
            <w:r>
              <w:rPr>
                <w:rFonts w:ascii="Arial" w:cs="Arial" w:eastAsia="Arial" w:hAnsi="Arial"/>
                <w:sz w:val="14"/>
                <w:szCs w:val="14"/>
                <w:color w:val="auto"/>
              </w:rPr>
              <w:t>Total operating revenues</w:t>
            </w:r>
          </w:p>
        </w:tc>
        <w:tc>
          <w:tcPr>
            <w:tcW w:w="180" w:type="dxa"/>
            <w:vAlign w:val="bottom"/>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Pr>
          <w:p>
            <w:pPr>
              <w:jc w:val="right"/>
              <w:spacing w:after="0"/>
              <w:rPr>
                <w:sz w:val="20"/>
                <w:szCs w:val="20"/>
                <w:color w:val="auto"/>
              </w:rPr>
            </w:pPr>
            <w:r>
              <w:rPr>
                <w:rFonts w:ascii="Arial" w:cs="Arial" w:eastAsia="Arial" w:hAnsi="Arial"/>
                <w:sz w:val="14"/>
                <w:szCs w:val="14"/>
                <w:b w:val="1"/>
                <w:bCs w:val="1"/>
                <w:color w:val="auto"/>
              </w:rPr>
              <w:t>119</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924</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912</w:t>
            </w:r>
          </w:p>
        </w:tc>
      </w:tr>
      <w:tr>
        <w:trPr>
          <w:trHeight w:val="201"/>
        </w:trPr>
        <w:tc>
          <w:tcPr>
            <w:tcW w:w="7080" w:type="dxa"/>
            <w:vAlign w:val="bottom"/>
          </w:tcPr>
          <w:p>
            <w:pPr>
              <w:spacing w:after="0"/>
              <w:rPr>
                <w:sz w:val="20"/>
                <w:szCs w:val="20"/>
                <w:color w:val="auto"/>
              </w:rPr>
            </w:pPr>
            <w:r>
              <w:rPr>
                <w:rFonts w:ascii="Arial" w:cs="Arial" w:eastAsia="Arial" w:hAnsi="Arial"/>
                <w:sz w:val="14"/>
                <w:szCs w:val="14"/>
                <w:color w:val="auto"/>
              </w:rPr>
              <w:t>Less: Net (loss) gain from commodity derivatives</w:t>
            </w:r>
          </w:p>
        </w:tc>
        <w:tc>
          <w:tcPr>
            <w:tcW w:w="18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(848)</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126</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r>
      <w:tr>
        <w:trPr>
          <w:trHeight w:val="194"/>
        </w:trPr>
        <w:tc>
          <w:tcPr>
            <w:tcW w:w="7080" w:type="dxa"/>
            <w:vAlign w:val="bottom"/>
          </w:tcPr>
          <w:p>
            <w:pPr>
              <w:spacing w:after="0"/>
              <w:rPr>
                <w:sz w:val="20"/>
                <w:szCs w:val="20"/>
                <w:color w:val="auto"/>
              </w:rPr>
            </w:pPr>
            <w:r>
              <w:rPr>
                <w:rFonts w:ascii="Arial" w:cs="Arial" w:eastAsia="Arial" w:hAnsi="Arial"/>
                <w:sz w:val="14"/>
                <w:szCs w:val="14"/>
                <w:color w:val="auto"/>
              </w:rPr>
              <w:t>Total operating revenues before net (loss) gain from commodity derivatives</w:t>
            </w: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967</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798</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906</w:t>
            </w:r>
          </w:p>
        </w:tc>
      </w:tr>
      <w:tr>
        <w:trPr>
          <w:trHeight w:val="20"/>
        </w:trPr>
        <w:tc>
          <w:tcPr>
            <w:tcW w:w="7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389255</wp:posOffset>
            </wp:positionV>
            <wp:extent cx="713422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414655</wp:posOffset>
            </wp:positionV>
            <wp:extent cx="713422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MARGIN FROM PURCHASED COMMODITIES</w:t>
      </w:r>
    </w:p>
    <w:p>
      <w:pPr>
        <w:spacing w:after="0" w:line="132" w:lineRule="exact"/>
        <w:rPr>
          <w:sz w:val="20"/>
          <w:szCs w:val="20"/>
          <w:color w:val="auto"/>
        </w:rPr>
      </w:pPr>
    </w:p>
    <w:p>
      <w:pPr>
        <w:jc w:val="both"/>
        <w:ind w:right="20"/>
        <w:spacing w:after="0" w:line="279" w:lineRule="auto"/>
        <w:rPr>
          <w:sz w:val="20"/>
          <w:szCs w:val="20"/>
          <w:color w:val="auto"/>
        </w:rPr>
      </w:pPr>
      <w:r>
        <w:rPr>
          <w:rFonts w:ascii="Arial" w:cs="Arial" w:eastAsia="Arial" w:hAnsi="Arial"/>
          <w:sz w:val="14"/>
          <w:szCs w:val="14"/>
          <w:color w:val="auto"/>
        </w:rPr>
        <w:t>Management uses a measure called margin from purchased commodities, which is calculated as the difference between revenue from purchased commodities and costs related to purchased commodities. This non-GAAP measure excludes transportation costs.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1st Quarter</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6"/>
                <w:szCs w:val="16"/>
                <w:color w:val="auto"/>
              </w:rPr>
            </w:pPr>
          </w:p>
        </w:tc>
        <w:tc>
          <w:tcPr>
            <w:tcW w:w="1120" w:type="dxa"/>
            <w:vAlign w:val="bottom"/>
          </w:tcPr>
          <w:p>
            <w:pPr>
              <w:jc w:val="center"/>
              <w:ind w:right="129"/>
              <w:spacing w:after="0"/>
              <w:rPr>
                <w:sz w:val="20"/>
                <w:szCs w:val="20"/>
                <w:color w:val="auto"/>
              </w:rPr>
            </w:pPr>
            <w:r>
              <w:rPr>
                <w:rFonts w:ascii="Arial" w:cs="Arial" w:eastAsia="Arial" w:hAnsi="Arial"/>
                <w:sz w:val="14"/>
                <w:szCs w:val="14"/>
                <w:b w:val="1"/>
                <w:bCs w:val="1"/>
                <w:color w:val="auto"/>
              </w:rPr>
              <w:t>1st Quarter</w:t>
            </w:r>
          </w:p>
        </w:tc>
      </w:tr>
      <w:tr>
        <w:trPr>
          <w:trHeight w:val="200"/>
        </w:trPr>
        <w:tc>
          <w:tcPr>
            <w:tcW w:w="708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0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2026</w:t>
            </w: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r>
      <w:tr>
        <w:trPr>
          <w:trHeight w:val="193"/>
        </w:trPr>
        <w:tc>
          <w:tcPr>
            <w:tcW w:w="7080" w:type="dxa"/>
            <w:vAlign w:val="bottom"/>
          </w:tcPr>
          <w:p>
            <w:pPr>
              <w:spacing w:after="0"/>
              <w:rPr>
                <w:sz w:val="20"/>
                <w:szCs w:val="20"/>
                <w:color w:val="auto"/>
              </w:rPr>
            </w:pPr>
            <w:r>
              <w:rPr>
                <w:rFonts w:ascii="Arial" w:cs="Arial" w:eastAsia="Arial" w:hAnsi="Arial"/>
                <w:sz w:val="14"/>
                <w:szCs w:val="14"/>
                <w:color w:val="auto"/>
              </w:rPr>
              <w:t>Revenue from purchased commodities</w:t>
            </w:r>
          </w:p>
        </w:tc>
        <w:tc>
          <w:tcPr>
            <w:tcW w:w="1040" w:type="dxa"/>
            <w:vAlign w:val="bottom"/>
          </w:tcPr>
          <w:p>
            <w:pPr>
              <w:jc w:val="right"/>
              <w:ind w:right="86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rPr>
              <w:t>41</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center"/>
              <w:ind w:left="769"/>
              <w:spacing w:after="0"/>
              <w:rPr>
                <w:sz w:val="20"/>
                <w:szCs w:val="20"/>
                <w:color w:val="auto"/>
              </w:rPr>
            </w:pPr>
            <w:r>
              <w:rPr>
                <w:rFonts w:ascii="Arial" w:cs="Arial" w:eastAsia="Arial" w:hAnsi="Arial"/>
                <w:sz w:val="14"/>
                <w:szCs w:val="14"/>
                <w:b w:val="1"/>
                <w:bCs w:val="1"/>
                <w:color w:val="auto"/>
              </w:rPr>
              <w:t>60</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center"/>
              <w:ind w:left="769"/>
              <w:spacing w:after="0"/>
              <w:rPr>
                <w:sz w:val="20"/>
                <w:szCs w:val="20"/>
                <w:color w:val="auto"/>
              </w:rPr>
            </w:pPr>
            <w:r>
              <w:rPr>
                <w:rFonts w:ascii="Arial" w:cs="Arial" w:eastAsia="Arial" w:hAnsi="Arial"/>
                <w:sz w:val="14"/>
                <w:szCs w:val="14"/>
                <w:b w:val="1"/>
                <w:bCs w:val="1"/>
                <w:color w:val="auto"/>
              </w:rPr>
              <w:t>64</w:t>
            </w:r>
          </w:p>
        </w:tc>
      </w:tr>
      <w:tr>
        <w:trPr>
          <w:trHeight w:val="201"/>
        </w:trPr>
        <w:tc>
          <w:tcPr>
            <w:tcW w:w="7080" w:type="dxa"/>
            <w:vAlign w:val="bottom"/>
          </w:tcPr>
          <w:p>
            <w:pPr>
              <w:spacing w:after="0"/>
              <w:rPr>
                <w:sz w:val="20"/>
                <w:szCs w:val="20"/>
                <w:color w:val="auto"/>
              </w:rPr>
            </w:pPr>
            <w:r>
              <w:rPr>
                <w:rFonts w:ascii="Arial" w:cs="Arial" w:eastAsia="Arial" w:hAnsi="Arial"/>
                <w:sz w:val="14"/>
                <w:szCs w:val="14"/>
                <w:color w:val="auto"/>
              </w:rPr>
              <w:t>Costs related to purchased commodities</w:t>
            </w:r>
          </w:p>
        </w:tc>
        <w:tc>
          <w:tcPr>
            <w:tcW w:w="104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(23)</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749"/>
              <w:spacing w:after="0"/>
              <w:rPr>
                <w:sz w:val="20"/>
                <w:szCs w:val="20"/>
                <w:color w:val="auto"/>
              </w:rPr>
            </w:pPr>
            <w:r>
              <w:rPr>
                <w:rFonts w:ascii="Arial" w:cs="Arial" w:eastAsia="Arial" w:hAnsi="Arial"/>
                <w:sz w:val="14"/>
                <w:szCs w:val="14"/>
                <w:b w:val="1"/>
                <w:bCs w:val="1"/>
                <w:color w:val="auto"/>
              </w:rPr>
              <w:t>(47)</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749"/>
              <w:spacing w:after="0"/>
              <w:rPr>
                <w:sz w:val="20"/>
                <w:szCs w:val="20"/>
                <w:color w:val="auto"/>
              </w:rPr>
            </w:pPr>
            <w:r>
              <w:rPr>
                <w:rFonts w:ascii="Arial" w:cs="Arial" w:eastAsia="Arial" w:hAnsi="Arial"/>
                <w:sz w:val="14"/>
                <w:szCs w:val="14"/>
                <w:b w:val="1"/>
                <w:bCs w:val="1"/>
                <w:color w:val="auto"/>
              </w:rPr>
              <w:t>(50)</w:t>
            </w:r>
          </w:p>
        </w:tc>
      </w:tr>
      <w:tr>
        <w:trPr>
          <w:trHeight w:val="194"/>
        </w:trPr>
        <w:tc>
          <w:tcPr>
            <w:tcW w:w="7080" w:type="dxa"/>
            <w:vAlign w:val="bottom"/>
          </w:tcPr>
          <w:p>
            <w:pPr>
              <w:spacing w:after="0"/>
              <w:rPr>
                <w:sz w:val="20"/>
                <w:szCs w:val="20"/>
                <w:color w:val="auto"/>
              </w:rPr>
            </w:pPr>
            <w:r>
              <w:rPr>
                <w:rFonts w:ascii="Arial" w:cs="Arial" w:eastAsia="Arial" w:hAnsi="Arial"/>
                <w:sz w:val="14"/>
                <w:szCs w:val="14"/>
                <w:color w:val="auto"/>
              </w:rPr>
              <w:t>Margin from purchased commodities</w:t>
            </w:r>
          </w:p>
        </w:tc>
        <w:tc>
          <w:tcPr>
            <w:tcW w:w="1040" w:type="dxa"/>
            <w:vAlign w:val="bottom"/>
            <w:tcBorders>
              <w:bottom w:val="single" w:sz="8" w:color="auto"/>
            </w:tcBorders>
          </w:tcPr>
          <w:p>
            <w:pPr>
              <w:jc w:val="right"/>
              <w:ind w:right="869"/>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18</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center"/>
              <w:ind w:left="769"/>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center"/>
              <w:ind w:left="769"/>
              <w:spacing w:after="0"/>
              <w:rPr>
                <w:sz w:val="20"/>
                <w:szCs w:val="20"/>
                <w:color w:val="auto"/>
              </w:rPr>
            </w:pPr>
            <w:r>
              <w:rPr>
                <w:rFonts w:ascii="Arial" w:cs="Arial" w:eastAsia="Arial" w:hAnsi="Arial"/>
                <w:sz w:val="14"/>
                <w:szCs w:val="14"/>
                <w:b w:val="1"/>
                <w:bCs w:val="1"/>
                <w:color w:val="auto"/>
              </w:rPr>
              <w:t>14</w:t>
            </w:r>
          </w:p>
        </w:tc>
      </w:tr>
      <w:tr>
        <w:trPr>
          <w:trHeight w:val="20"/>
        </w:trPr>
        <w:tc>
          <w:tcPr>
            <w:tcW w:w="7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549910</wp:posOffset>
            </wp:positionV>
            <wp:extent cx="713422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575310</wp:posOffset>
            </wp:positionV>
            <wp:extent cx="713422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422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ELECTRICITY REVENUE NET OF ELECTRICITY GENERATION EXPENSES</w:t>
      </w:r>
    </w:p>
    <w:p>
      <w:pPr>
        <w:spacing w:after="0" w:line="132" w:lineRule="exact"/>
        <w:rPr>
          <w:sz w:val="20"/>
          <w:szCs w:val="20"/>
          <w:color w:val="auto"/>
        </w:rPr>
      </w:pPr>
    </w:p>
    <w:p>
      <w:pPr>
        <w:jc w:val="both"/>
        <w:ind w:right="20"/>
        <w:spacing w:after="0" w:line="279" w:lineRule="auto"/>
        <w:rPr>
          <w:sz w:val="20"/>
          <w:szCs w:val="20"/>
          <w:color w:val="auto"/>
        </w:rPr>
      </w:pPr>
      <w:r>
        <w:rPr>
          <w:rFonts w:ascii="Arial" w:cs="Arial" w:eastAsia="Arial" w:hAnsi="Arial"/>
          <w:sz w:val="14"/>
          <w:szCs w:val="14"/>
          <w:color w:val="auto"/>
        </w:rPr>
        <w:t>Management uses a measure called electricity revenue net of electricity generation expenses, which is calculated as the difference between electricity revenue and electricity generation expenses.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rPr>
              <w:t>1st Quarter</w:t>
            </w: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6"/>
                <w:szCs w:val="16"/>
                <w:color w:val="auto"/>
              </w:rPr>
            </w:pPr>
          </w:p>
        </w:tc>
        <w:tc>
          <w:tcPr>
            <w:tcW w:w="1120" w:type="dxa"/>
            <w:vAlign w:val="bottom"/>
          </w:tcPr>
          <w:p>
            <w:pPr>
              <w:jc w:val="center"/>
              <w:ind w:right="129"/>
              <w:spacing w:after="0"/>
              <w:rPr>
                <w:sz w:val="20"/>
                <w:szCs w:val="20"/>
                <w:color w:val="auto"/>
              </w:rPr>
            </w:pPr>
            <w:r>
              <w:rPr>
                <w:rFonts w:ascii="Arial" w:cs="Arial" w:eastAsia="Arial" w:hAnsi="Arial"/>
                <w:sz w:val="14"/>
                <w:szCs w:val="14"/>
                <w:b w:val="1"/>
                <w:bCs w:val="1"/>
                <w:color w:val="auto"/>
              </w:rPr>
              <w:t>1st Quarter</w:t>
            </w:r>
          </w:p>
        </w:tc>
      </w:tr>
      <w:tr>
        <w:trPr>
          <w:trHeight w:val="200"/>
        </w:trPr>
        <w:tc>
          <w:tcPr>
            <w:tcW w:w="708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060" w:type="dxa"/>
            <w:vAlign w:val="bottom"/>
            <w:tcBorders>
              <w:bottom w:val="single" w:sz="8" w:color="auto"/>
            </w:tcBorders>
          </w:tcPr>
          <w:p>
            <w:pPr>
              <w:jc w:val="right"/>
              <w:ind w:right="169"/>
              <w:spacing w:after="0"/>
              <w:rPr>
                <w:sz w:val="20"/>
                <w:szCs w:val="20"/>
                <w:color w:val="auto"/>
              </w:rPr>
            </w:pPr>
            <w:r>
              <w:rPr>
                <w:rFonts w:ascii="Arial" w:cs="Arial" w:eastAsia="Arial" w:hAnsi="Arial"/>
                <w:sz w:val="14"/>
                <w:szCs w:val="14"/>
                <w:b w:val="1"/>
                <w:bCs w:val="1"/>
                <w:color w:val="auto"/>
              </w:rPr>
              <w:t>2026</w:t>
            </w:r>
          </w:p>
        </w:tc>
        <w:tc>
          <w:tcPr>
            <w:tcW w:w="26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r>
      <w:tr>
        <w:trPr>
          <w:trHeight w:val="193"/>
        </w:trPr>
        <w:tc>
          <w:tcPr>
            <w:tcW w:w="7080" w:type="dxa"/>
            <w:vAlign w:val="bottom"/>
          </w:tcPr>
          <w:p>
            <w:pPr>
              <w:spacing w:after="0"/>
              <w:rPr>
                <w:sz w:val="20"/>
                <w:szCs w:val="20"/>
                <w:color w:val="auto"/>
              </w:rPr>
            </w:pPr>
            <w:r>
              <w:rPr>
                <w:rFonts w:ascii="Arial" w:cs="Arial" w:eastAsia="Arial" w:hAnsi="Arial"/>
                <w:sz w:val="14"/>
                <w:szCs w:val="14"/>
                <w:color w:val="auto"/>
              </w:rPr>
              <w:t>Electricity revenue</w:t>
            </w:r>
          </w:p>
        </w:tc>
        <w:tc>
          <w:tcPr>
            <w:tcW w:w="1060" w:type="dxa"/>
            <w:vAlign w:val="bottom"/>
          </w:tcPr>
          <w:p>
            <w:pPr>
              <w:jc w:val="right"/>
              <w:ind w:right="889"/>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8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center"/>
              <w:ind w:left="769"/>
              <w:spacing w:after="0"/>
              <w:rPr>
                <w:sz w:val="20"/>
                <w:szCs w:val="20"/>
                <w:color w:val="auto"/>
              </w:rPr>
            </w:pPr>
            <w:r>
              <w:rPr>
                <w:rFonts w:ascii="Arial" w:cs="Arial" w:eastAsia="Arial" w:hAnsi="Arial"/>
                <w:sz w:val="14"/>
                <w:szCs w:val="14"/>
                <w:b w:val="1"/>
                <w:bCs w:val="1"/>
                <w:color w:val="auto"/>
              </w:rPr>
              <w:t>52</w:t>
            </w:r>
          </w:p>
        </w:tc>
        <w:tc>
          <w:tcPr>
            <w:tcW w:w="100" w:type="dxa"/>
            <w:vAlign w:val="bottom"/>
          </w:tcPr>
          <w:p>
            <w:pPr>
              <w:spacing w:after="0"/>
              <w:rPr>
                <w:sz w:val="16"/>
                <w:szCs w:val="16"/>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center"/>
              <w:ind w:left="769"/>
              <w:spacing w:after="0"/>
              <w:rPr>
                <w:sz w:val="20"/>
                <w:szCs w:val="20"/>
                <w:color w:val="auto"/>
              </w:rPr>
            </w:pPr>
            <w:r>
              <w:rPr>
                <w:rFonts w:ascii="Arial" w:cs="Arial" w:eastAsia="Arial" w:hAnsi="Arial"/>
                <w:sz w:val="14"/>
                <w:szCs w:val="14"/>
                <w:b w:val="1"/>
                <w:bCs w:val="1"/>
                <w:color w:val="auto"/>
              </w:rPr>
              <w:t>22</w:t>
            </w:r>
          </w:p>
        </w:tc>
      </w:tr>
      <w:tr>
        <w:trPr>
          <w:trHeight w:val="201"/>
        </w:trPr>
        <w:tc>
          <w:tcPr>
            <w:tcW w:w="7080" w:type="dxa"/>
            <w:vAlign w:val="bottom"/>
          </w:tcPr>
          <w:p>
            <w:pPr>
              <w:spacing w:after="0"/>
              <w:rPr>
                <w:sz w:val="20"/>
                <w:szCs w:val="20"/>
                <w:color w:val="auto"/>
              </w:rPr>
            </w:pPr>
            <w:r>
              <w:rPr>
                <w:rFonts w:ascii="Arial" w:cs="Arial" w:eastAsia="Arial" w:hAnsi="Arial"/>
                <w:sz w:val="14"/>
                <w:szCs w:val="14"/>
                <w:color w:val="auto"/>
              </w:rPr>
              <w:t>Electricity generation expenses</w:t>
            </w:r>
          </w:p>
        </w:tc>
        <w:tc>
          <w:tcPr>
            <w:tcW w:w="106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(5)</w:t>
            </w: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749"/>
              <w:spacing w:after="0"/>
              <w:rPr>
                <w:sz w:val="20"/>
                <w:szCs w:val="20"/>
                <w:color w:val="auto"/>
              </w:rPr>
            </w:pPr>
            <w:r>
              <w:rPr>
                <w:rFonts w:ascii="Arial" w:cs="Arial" w:eastAsia="Arial" w:hAnsi="Arial"/>
                <w:sz w:val="14"/>
                <w:szCs w:val="14"/>
                <w:b w:val="1"/>
                <w:bCs w:val="1"/>
                <w:color w:val="auto"/>
              </w:rPr>
              <w:t>(12)</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center"/>
              <w:ind w:left="749"/>
              <w:spacing w:after="0"/>
              <w:rPr>
                <w:sz w:val="20"/>
                <w:szCs w:val="20"/>
                <w:color w:val="auto"/>
              </w:rPr>
            </w:pPr>
            <w:r>
              <w:rPr>
                <w:rFonts w:ascii="Arial" w:cs="Arial" w:eastAsia="Arial" w:hAnsi="Arial"/>
                <w:sz w:val="14"/>
                <w:szCs w:val="14"/>
                <w:b w:val="1"/>
                <w:bCs w:val="1"/>
                <w:color w:val="auto"/>
              </w:rPr>
              <w:t>(10)</w:t>
            </w:r>
          </w:p>
        </w:tc>
      </w:tr>
      <w:tr>
        <w:trPr>
          <w:trHeight w:val="194"/>
        </w:trPr>
        <w:tc>
          <w:tcPr>
            <w:tcW w:w="7080" w:type="dxa"/>
            <w:vAlign w:val="bottom"/>
          </w:tcPr>
          <w:p>
            <w:pPr>
              <w:spacing w:after="0"/>
              <w:rPr>
                <w:sz w:val="20"/>
                <w:szCs w:val="20"/>
                <w:color w:val="auto"/>
              </w:rPr>
            </w:pPr>
            <w:r>
              <w:rPr>
                <w:rFonts w:ascii="Arial" w:cs="Arial" w:eastAsia="Arial" w:hAnsi="Arial"/>
                <w:sz w:val="14"/>
                <w:szCs w:val="14"/>
                <w:color w:val="auto"/>
              </w:rPr>
              <w:t>Electricity revenue net of electricity generation expenses</w:t>
            </w:r>
          </w:p>
        </w:tc>
        <w:tc>
          <w:tcPr>
            <w:tcW w:w="1060" w:type="dxa"/>
            <w:vAlign w:val="bottom"/>
            <w:tcBorders>
              <w:bottom w:val="single" w:sz="8" w:color="auto"/>
            </w:tcBorders>
          </w:tcPr>
          <w:p>
            <w:pPr>
              <w:jc w:val="right"/>
              <w:ind w:right="889"/>
              <w:spacing w:after="0"/>
              <w:rPr>
                <w:sz w:val="20"/>
                <w:szCs w:val="20"/>
                <w:color w:val="auto"/>
              </w:rPr>
            </w:pPr>
            <w:r>
              <w:rPr>
                <w:rFonts w:ascii="Arial" w:cs="Arial" w:eastAsia="Arial" w:hAnsi="Arial"/>
                <w:sz w:val="14"/>
                <w:szCs w:val="14"/>
                <w:b w:val="1"/>
                <w:bCs w:val="1"/>
                <w:color w:val="auto"/>
              </w:rPr>
              <w:t>$</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center"/>
              <w:ind w:left="769"/>
              <w:spacing w:after="0"/>
              <w:rPr>
                <w:sz w:val="20"/>
                <w:szCs w:val="20"/>
                <w:color w:val="auto"/>
              </w:rPr>
            </w:pPr>
            <w:r>
              <w:rPr>
                <w:rFonts w:ascii="Arial" w:cs="Arial" w:eastAsia="Arial" w:hAnsi="Arial"/>
                <w:sz w:val="14"/>
                <w:szCs w:val="14"/>
                <w:b w:val="1"/>
                <w:bCs w:val="1"/>
                <w:color w:val="auto"/>
              </w:rPr>
              <w:t>40</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center"/>
              <w:ind w:left="769"/>
              <w:spacing w:after="0"/>
              <w:rPr>
                <w:sz w:val="20"/>
                <w:szCs w:val="20"/>
                <w:color w:val="auto"/>
              </w:rPr>
            </w:pPr>
            <w:r>
              <w:rPr>
                <w:rFonts w:ascii="Arial" w:cs="Arial" w:eastAsia="Arial" w:hAnsi="Arial"/>
                <w:sz w:val="14"/>
                <w:szCs w:val="14"/>
                <w:b w:val="1"/>
                <w:bCs w:val="1"/>
                <w:color w:val="auto"/>
              </w:rPr>
              <w:t>12</w:t>
            </w:r>
          </w:p>
        </w:tc>
      </w:tr>
      <w:tr>
        <w:trPr>
          <w:trHeight w:val="20"/>
        </w:trPr>
        <w:tc>
          <w:tcPr>
            <w:tcW w:w="70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17</w:t>
      </w:r>
    </w:p>
    <w:p>
      <w:pPr>
        <w:sectPr>
          <w:pgSz w:w="11900" w:h="16838" w:orient="portrait"/>
          <w:cols w:equalWidth="0" w:num="1">
            <w:col w:w="11220"/>
          </w:cols>
          <w:pgMar w:left="340" w:top="1103"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207645</wp:posOffset>
            </wp:positionH>
            <wp:positionV relativeFrom="page">
              <wp:posOffset>664210</wp:posOffset>
            </wp:positionV>
            <wp:extent cx="713422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4225" cy="8255"/>
                    </a:xfrm>
                    <a:prstGeom prst="rect">
                      <a:avLst/>
                    </a:prstGeom>
                    <a:noFill/>
                  </pic:spPr>
                </pic:pic>
              </a:graphicData>
            </a:graphic>
          </wp:anchor>
        </w:drawing>
        <w:drawing>
          <wp:anchor simplePos="0" relativeHeight="251657728" behindDoc="1" locked="0" layoutInCell="0" allowOverlap="1">
            <wp:simplePos x="0" y="0"/>
            <wp:positionH relativeFrom="page">
              <wp:posOffset>207645</wp:posOffset>
            </wp:positionH>
            <wp:positionV relativeFrom="page">
              <wp:posOffset>689610</wp:posOffset>
            </wp:positionV>
            <wp:extent cx="713422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4225" cy="8255"/>
                    </a:xfrm>
                    <a:prstGeom prst="rect">
                      <a:avLst/>
                    </a:prstGeom>
                    <a:noFill/>
                  </pic:spPr>
                </pic:pic>
              </a:graphicData>
            </a:graphic>
          </wp:anchor>
        </w:drawing>
        <w:t>OTHER OPERATING EXPENSES NET OF OTHER REVENUE</w:t>
      </w:r>
    </w:p>
    <w:p>
      <w:pPr>
        <w:spacing w:after="0" w:line="132" w:lineRule="exact"/>
        <w:rPr>
          <w:sz w:val="20"/>
          <w:szCs w:val="20"/>
          <w:color w:val="auto"/>
        </w:rPr>
      </w:pPr>
    </w:p>
    <w:p>
      <w:pPr>
        <w:ind w:right="20"/>
        <w:spacing w:after="0" w:line="259" w:lineRule="auto"/>
        <w:rPr>
          <w:sz w:val="20"/>
          <w:szCs w:val="20"/>
          <w:color w:val="auto"/>
        </w:rPr>
      </w:pPr>
      <w:r>
        <w:rPr>
          <w:rFonts w:ascii="Arial" w:cs="Arial" w:eastAsia="Arial" w:hAnsi="Arial"/>
          <w:sz w:val="14"/>
          <w:szCs w:val="14"/>
          <w:color w:val="auto"/>
        </w:rPr>
        <w:t>Management uses a measure called other operating expenses net of other revenue, which is calculated as the difference between other operating expenses, net and other revenue.</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0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1st Quarter</w:t>
            </w: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2"/>
          </w:tcPr>
          <w:p>
            <w:pPr>
              <w:ind w:left="80"/>
              <w:spacing w:after="0"/>
              <w:rPr>
                <w:sz w:val="20"/>
                <w:szCs w:val="20"/>
                <w:color w:val="auto"/>
              </w:rPr>
            </w:pPr>
            <w:r>
              <w:rPr>
                <w:rFonts w:ascii="Arial" w:cs="Arial" w:eastAsia="Arial" w:hAnsi="Arial"/>
                <w:sz w:val="14"/>
                <w:szCs w:val="14"/>
                <w:b w:val="1"/>
                <w:bCs w:val="1"/>
                <w:color w:val="auto"/>
              </w:rPr>
              <w:t>4th Quarter</w:t>
            </w:r>
          </w:p>
        </w:tc>
        <w:tc>
          <w:tcPr>
            <w:tcW w:w="200" w:type="dxa"/>
            <w:vAlign w:val="bottom"/>
          </w:tcPr>
          <w:p>
            <w:pPr>
              <w:spacing w:after="0"/>
              <w:rPr>
                <w:sz w:val="16"/>
                <w:szCs w:val="16"/>
                <w:color w:val="auto"/>
              </w:rPr>
            </w:pPr>
          </w:p>
        </w:tc>
        <w:tc>
          <w:tcPr>
            <w:tcW w:w="1120" w:type="dxa"/>
            <w:vAlign w:val="bottom"/>
          </w:tcPr>
          <w:p>
            <w:pPr>
              <w:jc w:val="right"/>
              <w:ind w:right="209"/>
              <w:spacing w:after="0"/>
              <w:rPr>
                <w:sz w:val="20"/>
                <w:szCs w:val="20"/>
                <w:color w:val="auto"/>
              </w:rPr>
            </w:pPr>
            <w:r>
              <w:rPr>
                <w:rFonts w:ascii="Arial" w:cs="Arial" w:eastAsia="Arial" w:hAnsi="Arial"/>
                <w:sz w:val="14"/>
                <w:szCs w:val="14"/>
                <w:b w:val="1"/>
                <w:bCs w:val="1"/>
                <w:color w:val="auto"/>
              </w:rPr>
              <w:t>1st Quarter</w:t>
            </w:r>
          </w:p>
        </w:tc>
      </w:tr>
      <w:tr>
        <w:trPr>
          <w:trHeight w:val="200"/>
        </w:trPr>
        <w:tc>
          <w:tcPr>
            <w:tcW w:w="7080" w:type="dxa"/>
            <w:vAlign w:val="bottom"/>
          </w:tcPr>
          <w:p>
            <w:pPr>
              <w:spacing w:after="0"/>
              <w:rPr>
                <w:sz w:val="20"/>
                <w:szCs w:val="20"/>
                <w:color w:val="auto"/>
              </w:rPr>
            </w:pPr>
            <w:r>
              <w:rPr>
                <w:rFonts w:ascii="Arial" w:cs="Arial" w:eastAsia="Arial" w:hAnsi="Arial"/>
                <w:sz w:val="14"/>
                <w:szCs w:val="14"/>
                <w:i w:val="1"/>
                <w:iCs w:val="1"/>
                <w:color w:val="auto"/>
              </w:rPr>
              <w:t>($ millions)</w:t>
            </w:r>
          </w:p>
        </w:tc>
        <w:tc>
          <w:tcPr>
            <w:tcW w:w="104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b w:val="1"/>
                <w:bCs w:val="1"/>
                <w:color w:val="auto"/>
              </w:rPr>
              <w:t>2026</w:t>
            </w:r>
          </w:p>
        </w:tc>
        <w:tc>
          <w:tcPr>
            <w:tcW w:w="280" w:type="dxa"/>
            <w:vAlign w:val="bottom"/>
            <w:tcBorders>
              <w:bottom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2025</w:t>
            </w:r>
          </w:p>
        </w:tc>
      </w:tr>
      <w:tr>
        <w:trPr>
          <w:trHeight w:val="199"/>
        </w:trPr>
        <w:tc>
          <w:tcPr>
            <w:tcW w:w="7080" w:type="dxa"/>
            <w:vAlign w:val="bottom"/>
          </w:tcPr>
          <w:p>
            <w:pPr>
              <w:spacing w:after="0" w:line="199" w:lineRule="exact"/>
              <w:rPr>
                <w:sz w:val="20"/>
                <w:szCs w:val="20"/>
                <w:color w:val="auto"/>
              </w:rPr>
            </w:pPr>
            <w:r>
              <w:rPr>
                <w:rFonts w:ascii="Arial" w:cs="Arial" w:eastAsia="Arial" w:hAnsi="Arial"/>
                <w:sz w:val="14"/>
                <w:szCs w:val="14"/>
                <w:color w:val="auto"/>
              </w:rPr>
              <w:t>Other operating expenses, net</w:t>
            </w:r>
            <w:r>
              <w:rPr>
                <w:rFonts w:ascii="Arial" w:cs="Arial" w:eastAsia="Arial" w:hAnsi="Arial"/>
                <w:sz w:val="18"/>
                <w:szCs w:val="18"/>
                <w:color w:val="auto"/>
                <w:vertAlign w:val="superscript"/>
              </w:rPr>
              <w:t>(1)</w:t>
            </w:r>
          </w:p>
        </w:tc>
        <w:tc>
          <w:tcPr>
            <w:tcW w:w="1040" w:type="dxa"/>
            <w:vAlign w:val="bottom"/>
          </w:tcPr>
          <w:p>
            <w:pPr>
              <w:jc w:val="right"/>
              <w:ind w:right="869"/>
              <w:spacing w:after="0"/>
              <w:rPr>
                <w:sz w:val="20"/>
                <w:szCs w:val="20"/>
                <w:color w:val="auto"/>
              </w:rPr>
            </w:pPr>
            <w:r>
              <w:rPr>
                <w:rFonts w:ascii="Arial" w:cs="Arial" w:eastAsia="Arial" w:hAnsi="Arial"/>
                <w:sz w:val="14"/>
                <w:szCs w:val="14"/>
                <w:b w:val="1"/>
                <w:bCs w:val="1"/>
                <w:color w:val="auto"/>
              </w:rPr>
              <w:t>$</w:t>
            </w:r>
          </w:p>
        </w:tc>
        <w:tc>
          <w:tcPr>
            <w:tcW w:w="280" w:type="dxa"/>
            <w:vAlign w:val="bottom"/>
          </w:tcPr>
          <w:p>
            <w:pPr>
              <w:jc w:val="center"/>
              <w:spacing w:after="0"/>
              <w:rPr>
                <w:sz w:val="20"/>
                <w:szCs w:val="20"/>
                <w:color w:val="auto"/>
              </w:rPr>
            </w:pPr>
            <w:r>
              <w:rPr>
                <w:rFonts w:ascii="Arial" w:cs="Arial" w:eastAsia="Arial" w:hAnsi="Arial"/>
                <w:sz w:val="14"/>
                <w:szCs w:val="14"/>
                <w:b w:val="1"/>
                <w:bCs w:val="1"/>
                <w:color w:val="auto"/>
              </w:rPr>
              <w:t>54</w:t>
            </w:r>
          </w:p>
        </w:tc>
        <w:tc>
          <w:tcPr>
            <w:tcW w:w="8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100" w:type="dxa"/>
            <w:vAlign w:val="bottom"/>
          </w:tcPr>
          <w:p>
            <w:pPr>
              <w:spacing w:after="0"/>
              <w:rPr>
                <w:sz w:val="17"/>
                <w:szCs w:val="17"/>
                <w:color w:val="auto"/>
              </w:rPr>
            </w:pPr>
          </w:p>
        </w:tc>
        <w:tc>
          <w:tcPr>
            <w:tcW w:w="200" w:type="dxa"/>
            <w:vAlign w:val="bottom"/>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Pr>
          <w:p>
            <w:pPr>
              <w:jc w:val="right"/>
              <w:spacing w:after="0"/>
              <w:rPr>
                <w:sz w:val="20"/>
                <w:szCs w:val="20"/>
                <w:color w:val="auto"/>
              </w:rPr>
            </w:pPr>
            <w:r>
              <w:rPr>
                <w:rFonts w:ascii="Arial" w:cs="Arial" w:eastAsia="Arial" w:hAnsi="Arial"/>
                <w:sz w:val="14"/>
                <w:szCs w:val="14"/>
                <w:b w:val="1"/>
                <w:bCs w:val="1"/>
                <w:color w:val="auto"/>
              </w:rPr>
              <w:t>33</w:t>
            </w:r>
          </w:p>
        </w:tc>
      </w:tr>
      <w:tr>
        <w:trPr>
          <w:trHeight w:val="195"/>
        </w:trPr>
        <w:tc>
          <w:tcPr>
            <w:tcW w:w="7080" w:type="dxa"/>
            <w:vAlign w:val="bottom"/>
          </w:tcPr>
          <w:p>
            <w:pPr>
              <w:spacing w:after="0"/>
              <w:rPr>
                <w:sz w:val="20"/>
                <w:szCs w:val="20"/>
                <w:color w:val="auto"/>
              </w:rPr>
            </w:pPr>
            <w:r>
              <w:rPr>
                <w:rFonts w:ascii="Arial" w:cs="Arial" w:eastAsia="Arial" w:hAnsi="Arial"/>
                <w:sz w:val="14"/>
                <w:szCs w:val="14"/>
                <w:color w:val="auto"/>
              </w:rPr>
              <w:t>Other revenue</w:t>
            </w:r>
          </w:p>
        </w:tc>
        <w:tc>
          <w:tcPr>
            <w:tcW w:w="10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(10)</w:t>
            </w:r>
          </w:p>
        </w:tc>
        <w:tc>
          <w:tcPr>
            <w:tcW w:w="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w:t>
            </w:r>
          </w:p>
        </w:tc>
        <w:tc>
          <w:tcPr>
            <w:tcW w:w="10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w:t>
            </w:r>
          </w:p>
        </w:tc>
      </w:tr>
      <w:tr>
        <w:trPr>
          <w:trHeight w:val="194"/>
        </w:trPr>
        <w:tc>
          <w:tcPr>
            <w:tcW w:w="7080" w:type="dxa"/>
            <w:vAlign w:val="bottom"/>
          </w:tcPr>
          <w:p>
            <w:pPr>
              <w:spacing w:after="0"/>
              <w:rPr>
                <w:sz w:val="20"/>
                <w:szCs w:val="20"/>
                <w:color w:val="auto"/>
              </w:rPr>
            </w:pPr>
            <w:r>
              <w:rPr>
                <w:rFonts w:ascii="Arial" w:cs="Arial" w:eastAsia="Arial" w:hAnsi="Arial"/>
                <w:sz w:val="14"/>
                <w:szCs w:val="14"/>
                <w:color w:val="auto"/>
              </w:rPr>
              <w:t>Other operating expenses net of other revenue</w:t>
            </w:r>
          </w:p>
        </w:tc>
        <w:tc>
          <w:tcPr>
            <w:tcW w:w="1040" w:type="dxa"/>
            <w:vAlign w:val="bottom"/>
            <w:tcBorders>
              <w:bottom w:val="single" w:sz="8" w:color="auto"/>
            </w:tcBorders>
          </w:tcPr>
          <w:p>
            <w:pPr>
              <w:jc w:val="right"/>
              <w:ind w:right="869"/>
              <w:spacing w:after="0"/>
              <w:rPr>
                <w:sz w:val="20"/>
                <w:szCs w:val="20"/>
                <w:color w:val="auto"/>
              </w:rPr>
            </w:pPr>
            <w:r>
              <w:rPr>
                <w:rFonts w:ascii="Arial" w:cs="Arial" w:eastAsia="Arial" w:hAnsi="Arial"/>
                <w:sz w:val="14"/>
                <w:szCs w:val="14"/>
                <w:b w:val="1"/>
                <w:bCs w:val="1"/>
                <w:color w:val="auto"/>
              </w:rPr>
              <w:t>$</w:t>
            </w:r>
          </w:p>
        </w:tc>
        <w:tc>
          <w:tcPr>
            <w:tcW w:w="2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44</w:t>
            </w:r>
          </w:p>
        </w:tc>
        <w:tc>
          <w:tcPr>
            <w:tcW w:w="8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75</w:t>
            </w:r>
          </w:p>
        </w:tc>
        <w:tc>
          <w:tcPr>
            <w:tcW w:w="100" w:type="dxa"/>
            <w:vAlign w:val="bottom"/>
          </w:tcPr>
          <w:p>
            <w:pPr>
              <w:spacing w:after="0"/>
              <w:rPr>
                <w:sz w:val="16"/>
                <w:szCs w:val="16"/>
                <w:color w:val="auto"/>
              </w:rPr>
            </w:pPr>
          </w:p>
        </w:tc>
        <w:tc>
          <w:tcPr>
            <w:tcW w:w="2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27</w:t>
            </w:r>
          </w:p>
        </w:tc>
      </w:tr>
      <w:tr>
        <w:trPr>
          <w:trHeight w:val="20"/>
        </w:trPr>
        <w:tc>
          <w:tcPr>
            <w:tcW w:w="70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2"/>
          <w:szCs w:val="12"/>
          <w:color w:val="auto"/>
        </w:rPr>
        <w:t>(1) Other operating expenses, net includes carbon management expenses beginning in 2025.</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18</w:t>
      </w:r>
    </w:p>
    <w:p>
      <w:pPr>
        <w:sectPr>
          <w:pgSz w:w="11900" w:h="16838" w:orient="portrait"/>
          <w:cols w:equalWidth="0" w:num="1">
            <w:col w:w="11220"/>
          </w:cols>
          <w:pgMar w:left="340" w:top="1103"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195"/>
        </w:trPr>
        <w:tc>
          <w:tcPr>
            <w:tcW w:w="66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Attachment 4</w:t>
            </w:r>
          </w:p>
        </w:tc>
      </w:tr>
      <w:tr>
        <w:trPr>
          <w:trHeight w:val="21"/>
        </w:trPr>
        <w:tc>
          <w:tcPr>
            <w:tcW w:w="6780" w:type="dxa"/>
            <w:vAlign w:val="bottom"/>
            <w:tcBorders>
              <w:bottom w:val="single" w:sz="8" w:color="auto"/>
            </w:tcBorders>
            <w:gridSpan w:val="2"/>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2"/>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PRODUCTION STATISTICS</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53"/>
        </w:trPr>
        <w:tc>
          <w:tcPr>
            <w:tcW w:w="66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center"/>
              <w:ind w:left="249"/>
              <w:spacing w:after="0"/>
              <w:rPr>
                <w:sz w:val="20"/>
                <w:szCs w:val="20"/>
                <w:color w:val="auto"/>
              </w:rPr>
            </w:pPr>
            <w:r>
              <w:rPr>
                <w:rFonts w:ascii="Arial" w:cs="Arial" w:eastAsia="Arial" w:hAnsi="Arial"/>
                <w:sz w:val="14"/>
                <w:szCs w:val="14"/>
                <w:b w:val="1"/>
                <w:bCs w:val="1"/>
                <w:color w:val="auto"/>
                <w:w w:val="99"/>
              </w:rPr>
              <w:t>1st Quarter</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jc w:val="center"/>
              <w:ind w:left="249"/>
              <w:spacing w:after="0"/>
              <w:rPr>
                <w:sz w:val="20"/>
                <w:szCs w:val="20"/>
                <w:color w:val="auto"/>
              </w:rPr>
            </w:pPr>
            <w:r>
              <w:rPr>
                <w:rFonts w:ascii="Arial" w:cs="Arial" w:eastAsia="Arial" w:hAnsi="Arial"/>
                <w:sz w:val="14"/>
                <w:szCs w:val="14"/>
                <w:b w:val="1"/>
                <w:bCs w:val="1"/>
                <w:color w:val="auto"/>
              </w:rPr>
              <w:t>4th Quarter</w:t>
            </w:r>
          </w:p>
        </w:tc>
        <w:tc>
          <w:tcPr>
            <w:tcW w:w="3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1st Quarter</w:t>
            </w:r>
          </w:p>
        </w:tc>
      </w:tr>
      <w:tr>
        <w:trPr>
          <w:trHeight w:val="201"/>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Net Production Per Day</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ind w:left="249"/>
              <w:spacing w:after="0"/>
              <w:rPr>
                <w:sz w:val="20"/>
                <w:szCs w:val="20"/>
                <w:color w:val="auto"/>
              </w:rPr>
            </w:pPr>
            <w:r>
              <w:rPr>
                <w:rFonts w:ascii="Arial" w:cs="Arial" w:eastAsia="Arial" w:hAnsi="Arial"/>
                <w:sz w:val="14"/>
                <w:szCs w:val="14"/>
                <w:b w:val="1"/>
                <w:bCs w:val="1"/>
                <w:color w:val="auto"/>
                <w:w w:val="96"/>
              </w:rPr>
              <w:t>2026</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ind w:left="249"/>
              <w:spacing w:after="0"/>
              <w:rPr>
                <w:sz w:val="20"/>
                <w:szCs w:val="20"/>
                <w:color w:val="auto"/>
              </w:rPr>
            </w:pPr>
            <w:r>
              <w:rPr>
                <w:rFonts w:ascii="Arial" w:cs="Arial" w:eastAsia="Arial" w:hAnsi="Arial"/>
                <w:sz w:val="14"/>
                <w:szCs w:val="14"/>
                <w:b w:val="1"/>
                <w:bCs w:val="1"/>
                <w:color w:val="auto"/>
                <w:w w:val="96"/>
              </w:rPr>
              <w:t>2025</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2025</w:t>
            </w:r>
          </w:p>
        </w:tc>
      </w:tr>
      <w:tr>
        <w:trPr>
          <w:trHeight w:val="193"/>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(MBbl/d)</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96</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82</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84</w:t>
            </w: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17</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18</w:t>
            </w: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Uinta Basin</w:t>
            </w: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Other Basins</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r>
      <w:tr>
        <w:trPr>
          <w:trHeight w:val="193"/>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124</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109</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111</w:t>
            </w:r>
          </w:p>
        </w:tc>
      </w:tr>
      <w:tr>
        <w:trPr>
          <w:trHeight w:val="360"/>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r>
      <w:tr>
        <w:trPr>
          <w:trHeight w:val="193"/>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r>
        <w:trPr>
          <w:trHeight w:val="360"/>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95</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97</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101</w:t>
            </w: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w:t>
            </w: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Sacramento Basin</w:t>
            </w: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12</w:t>
            </w: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Uinta Basin</w:t>
            </w: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8</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Other Basins</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r>
      <w:tr>
        <w:trPr>
          <w:trHeight w:val="193"/>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117</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113</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117</w:t>
            </w:r>
          </w:p>
        </w:tc>
      </w:tr>
      <w:tr>
        <w:trPr>
          <w:trHeight w:val="161"/>
        </w:trPr>
        <w:tc>
          <w:tcPr>
            <w:tcW w:w="6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r>
      <w:tr>
        <w:trPr>
          <w:trHeight w:val="193"/>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Net Production (MBoe/d)</w:t>
            </w: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154</w:t>
            </w: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137</w:t>
            </w:r>
          </w:p>
        </w:tc>
        <w:tc>
          <w:tcPr>
            <w:tcW w:w="1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141</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645"/>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Gross Operated and Net Non-Operated</w:t>
            </w:r>
          </w:p>
        </w:tc>
        <w:tc>
          <w:tcPr>
            <w:tcW w:w="1100" w:type="dxa"/>
            <w:vAlign w:val="bottom"/>
          </w:tcPr>
          <w:p>
            <w:pPr>
              <w:jc w:val="center"/>
              <w:ind w:left="249"/>
              <w:spacing w:after="0"/>
              <w:rPr>
                <w:sz w:val="20"/>
                <w:szCs w:val="20"/>
                <w:color w:val="auto"/>
              </w:rPr>
            </w:pPr>
            <w:r>
              <w:rPr>
                <w:rFonts w:ascii="Arial" w:cs="Arial" w:eastAsia="Arial" w:hAnsi="Arial"/>
                <w:sz w:val="14"/>
                <w:szCs w:val="14"/>
                <w:b w:val="1"/>
                <w:bCs w:val="1"/>
                <w:color w:val="auto"/>
                <w:w w:val="99"/>
              </w:rPr>
              <w:t>1st Quarter</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left="249"/>
              <w:spacing w:after="0"/>
              <w:rPr>
                <w:sz w:val="20"/>
                <w:szCs w:val="20"/>
                <w:color w:val="auto"/>
              </w:rPr>
            </w:pPr>
            <w:r>
              <w:rPr>
                <w:rFonts w:ascii="Arial" w:cs="Arial" w:eastAsia="Arial" w:hAnsi="Arial"/>
                <w:sz w:val="14"/>
                <w:szCs w:val="14"/>
                <w:b w:val="1"/>
                <w:bCs w:val="1"/>
                <w:color w:val="auto"/>
              </w:rPr>
              <w:t>4th Quarter</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rPr>
              <w:t>1st Quarter</w:t>
            </w:r>
          </w:p>
        </w:tc>
      </w:tr>
      <w:tr>
        <w:trPr>
          <w:trHeight w:val="201"/>
        </w:trPr>
        <w:tc>
          <w:tcPr>
            <w:tcW w:w="6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Production Per Day</w:t>
            </w: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ind w:left="249"/>
              <w:spacing w:after="0"/>
              <w:rPr>
                <w:sz w:val="20"/>
                <w:szCs w:val="20"/>
                <w:color w:val="auto"/>
              </w:rPr>
            </w:pPr>
            <w:r>
              <w:rPr>
                <w:rFonts w:ascii="Arial" w:cs="Arial" w:eastAsia="Arial" w:hAnsi="Arial"/>
                <w:sz w:val="14"/>
                <w:szCs w:val="14"/>
                <w:b w:val="1"/>
                <w:bCs w:val="1"/>
                <w:color w:val="auto"/>
                <w:w w:val="96"/>
              </w:rPr>
              <w:t>2026</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Borders>
              <w:bottom w:val="single" w:sz="8" w:color="auto"/>
            </w:tcBorders>
          </w:tcPr>
          <w:p>
            <w:pPr>
              <w:jc w:val="center"/>
              <w:ind w:left="249"/>
              <w:spacing w:after="0"/>
              <w:rPr>
                <w:sz w:val="20"/>
                <w:szCs w:val="20"/>
                <w:color w:val="auto"/>
              </w:rPr>
            </w:pPr>
            <w:r>
              <w:rPr>
                <w:rFonts w:ascii="Arial" w:cs="Arial" w:eastAsia="Arial" w:hAnsi="Arial"/>
                <w:sz w:val="14"/>
                <w:szCs w:val="14"/>
                <w:b w:val="1"/>
                <w:bCs w:val="1"/>
                <w:color w:val="auto"/>
                <w:w w:val="96"/>
              </w:rPr>
              <w:t>2025</w:t>
            </w:r>
          </w:p>
        </w:tc>
        <w:tc>
          <w:tcPr>
            <w:tcW w:w="32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2025</w:t>
            </w:r>
          </w:p>
        </w:tc>
      </w:tr>
      <w:tr>
        <w:trPr>
          <w:trHeight w:val="193"/>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Oil (MBbl/d)</w:t>
            </w: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103</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88</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90</w:t>
            </w: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21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22</w:t>
            </w: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Uinta Basin</w:t>
            </w: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Other Basins</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9</w:t>
            </w: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r>
      <w:tr>
        <w:trPr>
          <w:trHeight w:val="193"/>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137</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120</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123</w:t>
            </w:r>
          </w:p>
        </w:tc>
      </w:tr>
      <w:tr>
        <w:trPr>
          <w:trHeight w:val="360"/>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NGLs (MBbl/d)</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10</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10</w:t>
            </w: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Other Basins</w:t>
            </w: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42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rPr>
              <w:t>—</w:t>
            </w: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193"/>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3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6"/>
                <w:szCs w:val="16"/>
                <w:color w:val="auto"/>
              </w:rPr>
            </w:pPr>
          </w:p>
        </w:tc>
        <w:tc>
          <w:tcPr>
            <w:tcW w:w="14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rPr>
              <w:t>10</w:t>
            </w:r>
          </w:p>
        </w:tc>
      </w:tr>
      <w:tr>
        <w:trPr>
          <w:trHeight w:val="360"/>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Natural Gas (MMcf/d)</w:t>
            </w: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San Joaquin Basin</w:t>
            </w: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127</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130</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134</w:t>
            </w: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Los Angeles Basin</w:t>
            </w: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6</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7</w:t>
            </w: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Sacramento Basin</w:t>
            </w: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13</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14</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15</w:t>
            </w: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Uinta Basin</w:t>
            </w: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11</w:t>
            </w:r>
          </w:p>
        </w:tc>
        <w:tc>
          <w:tcPr>
            <w:tcW w:w="10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w:t>
            </w:r>
          </w:p>
        </w:tc>
      </w:tr>
      <w:tr>
        <w:trPr>
          <w:trHeight w:val="200"/>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Other Basins</w:t>
            </w: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c>
          <w:tcPr>
            <w:tcW w:w="100" w:type="dxa"/>
            <w:vAlign w:val="bottom"/>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4</w:t>
            </w:r>
          </w:p>
        </w:tc>
        <w:tc>
          <w:tcPr>
            <w:tcW w:w="100" w:type="dxa"/>
            <w:vAlign w:val="bottom"/>
          </w:tcPr>
          <w:p>
            <w:pPr>
              <w:spacing w:after="0"/>
              <w:rPr>
                <w:sz w:val="17"/>
                <w:szCs w:val="17"/>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w:t>
            </w:r>
          </w:p>
        </w:tc>
      </w:tr>
      <w:tr>
        <w:trPr>
          <w:trHeight w:val="193"/>
        </w:trPr>
        <w:tc>
          <w:tcPr>
            <w:tcW w:w="6780" w:type="dxa"/>
            <w:vAlign w:val="bottom"/>
            <w:gridSpan w:val="2"/>
          </w:tcPr>
          <w:p>
            <w:pPr>
              <w:ind w:left="60"/>
              <w:spacing w:after="0"/>
              <w:rPr>
                <w:sz w:val="20"/>
                <w:szCs w:val="20"/>
                <w:color w:val="auto"/>
              </w:rPr>
            </w:pPr>
            <w:r>
              <w:rPr>
                <w:rFonts w:ascii="Arial" w:cs="Arial" w:eastAsia="Arial" w:hAnsi="Arial"/>
                <w:sz w:val="14"/>
                <w:szCs w:val="14"/>
                <w:color w:val="auto"/>
              </w:rPr>
              <w:t>Total</w:t>
            </w:r>
          </w:p>
        </w:tc>
        <w:tc>
          <w:tcPr>
            <w:tcW w:w="1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160</w:t>
            </w: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20" w:type="dxa"/>
            <w:vAlign w:val="bottom"/>
          </w:tcPr>
          <w:p>
            <w:pPr>
              <w:jc w:val="right"/>
              <w:spacing w:after="0"/>
              <w:rPr>
                <w:sz w:val="20"/>
                <w:szCs w:val="20"/>
                <w:color w:val="auto"/>
              </w:rPr>
            </w:pPr>
            <w:r>
              <w:rPr>
                <w:rFonts w:ascii="Arial" w:cs="Arial" w:eastAsia="Arial" w:hAnsi="Arial"/>
                <w:sz w:val="14"/>
                <w:szCs w:val="14"/>
                <w:b w:val="1"/>
                <w:bCs w:val="1"/>
                <w:color w:val="auto"/>
              </w:rPr>
              <w:t>155</w:t>
            </w:r>
          </w:p>
        </w:tc>
        <w:tc>
          <w:tcPr>
            <w:tcW w:w="10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4"/>
                <w:szCs w:val="14"/>
                <w:b w:val="1"/>
                <w:bCs w:val="1"/>
                <w:color w:val="auto"/>
              </w:rPr>
              <w:t>159</w:t>
            </w:r>
          </w:p>
        </w:tc>
      </w:tr>
      <w:tr>
        <w:trPr>
          <w:trHeight w:val="161"/>
        </w:trPr>
        <w:tc>
          <w:tcPr>
            <w:tcW w:w="6780" w:type="dxa"/>
            <w:vAlign w:val="bottom"/>
            <w:gridSpan w:val="2"/>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420" w:type="dxa"/>
            <w:vAlign w:val="bottom"/>
            <w:tcBorders>
              <w:bottom w:val="single" w:sz="8" w:color="auto"/>
            </w:tcBorders>
          </w:tcPr>
          <w:p>
            <w:pPr>
              <w:spacing w:after="0"/>
              <w:rPr>
                <w:sz w:val="14"/>
                <w:szCs w:val="14"/>
                <w:color w:val="auto"/>
              </w:rPr>
            </w:pPr>
          </w:p>
        </w:tc>
      </w:tr>
      <w:tr>
        <w:trPr>
          <w:trHeight w:val="193"/>
        </w:trPr>
        <w:tc>
          <w:tcPr>
            <w:tcW w:w="6780" w:type="dxa"/>
            <w:vAlign w:val="bottom"/>
            <w:gridSpan w:val="2"/>
          </w:tcPr>
          <w:p>
            <w:pPr>
              <w:ind w:left="20"/>
              <w:spacing w:after="0"/>
              <w:rPr>
                <w:sz w:val="20"/>
                <w:szCs w:val="20"/>
                <w:color w:val="auto"/>
              </w:rPr>
            </w:pPr>
            <w:r>
              <w:rPr>
                <w:rFonts w:ascii="Arial" w:cs="Arial" w:eastAsia="Arial" w:hAnsi="Arial"/>
                <w:sz w:val="14"/>
                <w:szCs w:val="14"/>
                <w:b w:val="1"/>
                <w:bCs w:val="1"/>
                <w:color w:val="auto"/>
              </w:rPr>
              <w:t>Total Gross Production (MBoe/d)</w:t>
            </w: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175</w:t>
            </w:r>
          </w:p>
        </w:tc>
        <w:tc>
          <w:tcPr>
            <w:tcW w:w="100" w:type="dxa"/>
            <w:vAlign w:val="bottom"/>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157</w:t>
            </w:r>
          </w:p>
        </w:tc>
        <w:tc>
          <w:tcPr>
            <w:tcW w:w="100" w:type="dxa"/>
            <w:vAlign w:val="bottom"/>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160</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19</w:t>
      </w:r>
    </w:p>
    <w:p>
      <w:pPr>
        <w:sectPr>
          <w:pgSz w:w="11900" w:h="16838" w:orient="portrait"/>
          <w:cols w:equalWidth="0" w:num="1">
            <w:col w:w="11240"/>
          </w:cols>
          <w:pgMar w:left="320" w:top="1050"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95"/>
        </w:trPr>
        <w:tc>
          <w:tcPr>
            <w:tcW w:w="65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ind w:left="340"/>
              <w:spacing w:after="0"/>
              <w:rPr>
                <w:sz w:val="20"/>
                <w:szCs w:val="20"/>
                <w:color w:val="auto"/>
              </w:rPr>
            </w:pPr>
            <w:r>
              <w:rPr>
                <w:rFonts w:ascii="Arial" w:cs="Arial" w:eastAsia="Arial" w:hAnsi="Arial"/>
                <w:sz w:val="14"/>
                <w:szCs w:val="14"/>
                <w:b w:val="1"/>
                <w:bCs w:val="1"/>
                <w:color w:val="auto"/>
              </w:rPr>
              <w:t>Attachment 5</w:t>
            </w:r>
          </w:p>
        </w:tc>
      </w:tr>
      <w:tr>
        <w:trPr>
          <w:trHeight w:val="21"/>
        </w:trPr>
        <w:tc>
          <w:tcPr>
            <w:tcW w:w="65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192"/>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PRICE STATISTICS</w:t>
            </w: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tcPr>
          <w:p>
            <w:pPr>
              <w:spacing w:after="0"/>
              <w:rPr>
                <w:sz w:val="16"/>
                <w:szCs w:val="16"/>
                <w:color w:val="auto"/>
              </w:rPr>
            </w:pPr>
          </w:p>
        </w:tc>
      </w:tr>
      <w:tr>
        <w:trPr>
          <w:trHeight w:val="200"/>
        </w:trPr>
        <w:tc>
          <w:tcPr>
            <w:tcW w:w="65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gridSpan w:val="2"/>
          </w:tcPr>
          <w:p>
            <w:pPr>
              <w:ind w:left="140"/>
              <w:spacing w:after="0"/>
              <w:rPr>
                <w:sz w:val="20"/>
                <w:szCs w:val="20"/>
                <w:color w:val="auto"/>
              </w:rPr>
            </w:pPr>
            <w:r>
              <w:rPr>
                <w:rFonts w:ascii="Arial" w:cs="Arial" w:eastAsia="Arial" w:hAnsi="Arial"/>
                <w:sz w:val="14"/>
                <w:szCs w:val="14"/>
                <w:b w:val="1"/>
                <w:bCs w:val="1"/>
                <w:color w:val="auto"/>
              </w:rPr>
              <w:t>1st Quarter</w:t>
            </w:r>
          </w:p>
        </w:tc>
        <w:tc>
          <w:tcPr>
            <w:tcW w:w="220" w:type="dxa"/>
            <w:vAlign w:val="bottom"/>
          </w:tcPr>
          <w:p>
            <w:pPr>
              <w:spacing w:after="0"/>
              <w:rPr>
                <w:sz w:val="17"/>
                <w:szCs w:val="17"/>
                <w:color w:val="auto"/>
              </w:rPr>
            </w:pPr>
          </w:p>
        </w:tc>
        <w:tc>
          <w:tcPr>
            <w:tcW w:w="1380" w:type="dxa"/>
            <w:vAlign w:val="bottom"/>
            <w:gridSpan w:val="2"/>
          </w:tcPr>
          <w:p>
            <w:pPr>
              <w:ind w:left="140"/>
              <w:spacing w:after="0"/>
              <w:rPr>
                <w:sz w:val="20"/>
                <w:szCs w:val="20"/>
                <w:color w:val="auto"/>
              </w:rPr>
            </w:pPr>
            <w:r>
              <w:rPr>
                <w:rFonts w:ascii="Arial" w:cs="Arial" w:eastAsia="Arial" w:hAnsi="Arial"/>
                <w:sz w:val="14"/>
                <w:szCs w:val="14"/>
                <w:b w:val="1"/>
                <w:bCs w:val="1"/>
                <w:color w:val="auto"/>
              </w:rPr>
              <w:t>4th Quarter</w:t>
            </w:r>
          </w:p>
        </w:tc>
        <w:tc>
          <w:tcPr>
            <w:tcW w:w="240" w:type="dxa"/>
            <w:vAlign w:val="bottom"/>
          </w:tcPr>
          <w:p>
            <w:pPr>
              <w:spacing w:after="0"/>
              <w:rPr>
                <w:sz w:val="17"/>
                <w:szCs w:val="17"/>
                <w:color w:val="auto"/>
              </w:rPr>
            </w:pPr>
          </w:p>
        </w:tc>
        <w:tc>
          <w:tcPr>
            <w:tcW w:w="1260" w:type="dxa"/>
            <w:vAlign w:val="bottom"/>
          </w:tcPr>
          <w:p>
            <w:pPr>
              <w:jc w:val="right"/>
              <w:ind w:right="309"/>
              <w:spacing w:after="0"/>
              <w:rPr>
                <w:sz w:val="20"/>
                <w:szCs w:val="20"/>
                <w:color w:val="auto"/>
              </w:rPr>
            </w:pPr>
            <w:r>
              <w:rPr>
                <w:rFonts w:ascii="Arial" w:cs="Arial" w:eastAsia="Arial" w:hAnsi="Arial"/>
                <w:sz w:val="14"/>
                <w:szCs w:val="14"/>
                <w:b w:val="1"/>
                <w:bCs w:val="1"/>
                <w:color w:val="auto"/>
              </w:rPr>
              <w:t>1st Quarter</w:t>
            </w:r>
          </w:p>
        </w:tc>
      </w:tr>
      <w:tr>
        <w:trPr>
          <w:trHeight w:val="200"/>
        </w:trPr>
        <w:tc>
          <w:tcPr>
            <w:tcW w:w="65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2026</w:t>
            </w:r>
          </w:p>
        </w:tc>
        <w:tc>
          <w:tcPr>
            <w:tcW w:w="1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28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2025</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6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2025</w:t>
            </w:r>
          </w:p>
        </w:tc>
      </w:tr>
      <w:tr>
        <w:trPr>
          <w:trHeight w:val="180"/>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Oil ($ per Bbl)</w:t>
            </w: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tcPr>
          <w:p>
            <w:pPr>
              <w:spacing w:after="0"/>
              <w:rPr>
                <w:sz w:val="15"/>
                <w:szCs w:val="15"/>
                <w:color w:val="auto"/>
              </w:rPr>
            </w:pPr>
          </w:p>
        </w:tc>
      </w:tr>
      <w:tr>
        <w:trPr>
          <w:trHeight w:val="200"/>
        </w:trPr>
        <w:tc>
          <w:tcPr>
            <w:tcW w:w="654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69.37</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64.27</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72.01</w:t>
            </w:r>
          </w:p>
        </w:tc>
      </w:tr>
      <w:tr>
        <w:trPr>
          <w:trHeight w:val="200"/>
        </w:trPr>
        <w:tc>
          <w:tcPr>
            <w:tcW w:w="654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74.53</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61.14</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73.57</w:t>
            </w:r>
          </w:p>
        </w:tc>
      </w:tr>
      <w:tr>
        <w:trPr>
          <w:trHeight w:val="253"/>
        </w:trPr>
        <w:tc>
          <w:tcPr>
            <w:tcW w:w="6540" w:type="dxa"/>
            <w:vAlign w:val="bottom"/>
          </w:tcPr>
          <w:p>
            <w:pPr>
              <w:ind w:left="20"/>
              <w:spacing w:after="0"/>
              <w:rPr>
                <w:sz w:val="20"/>
                <w:szCs w:val="20"/>
                <w:color w:val="auto"/>
              </w:rPr>
            </w:pPr>
            <w:r>
              <w:rPr>
                <w:rFonts w:ascii="Arial" w:cs="Arial" w:eastAsia="Arial" w:hAnsi="Arial"/>
                <w:sz w:val="14"/>
                <w:szCs w:val="14"/>
                <w:color w:val="auto"/>
              </w:rPr>
              <w:t>NGLs ($/Bbl)</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44.98</w:t>
            </w:r>
          </w:p>
        </w:tc>
        <w:tc>
          <w:tcPr>
            <w:tcW w:w="100" w:type="dxa"/>
            <w:vAlign w:val="bottom"/>
          </w:tcPr>
          <w:p>
            <w:pPr>
              <w:spacing w:after="0"/>
              <w:rPr>
                <w:sz w:val="22"/>
                <w:szCs w:val="22"/>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42.86</w:t>
            </w:r>
          </w:p>
        </w:tc>
        <w:tc>
          <w:tcPr>
            <w:tcW w:w="100" w:type="dxa"/>
            <w:vAlign w:val="bottom"/>
          </w:tcPr>
          <w:p>
            <w:pPr>
              <w:spacing w:after="0"/>
              <w:rPr>
                <w:sz w:val="22"/>
                <w:szCs w:val="22"/>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54.64</w:t>
            </w:r>
          </w:p>
        </w:tc>
      </w:tr>
      <w:tr>
        <w:trPr>
          <w:trHeight w:val="247"/>
        </w:trPr>
        <w:tc>
          <w:tcPr>
            <w:tcW w:w="6540" w:type="dxa"/>
            <w:vAlign w:val="bottom"/>
          </w:tcPr>
          <w:p>
            <w:pPr>
              <w:ind w:left="20"/>
              <w:spacing w:after="0"/>
              <w:rPr>
                <w:sz w:val="20"/>
                <w:szCs w:val="20"/>
                <w:color w:val="auto"/>
              </w:rPr>
            </w:pPr>
            <w:r>
              <w:rPr>
                <w:rFonts w:ascii="Arial" w:cs="Arial" w:eastAsia="Arial" w:hAnsi="Arial"/>
                <w:sz w:val="14"/>
                <w:szCs w:val="14"/>
                <w:color w:val="auto"/>
              </w:rPr>
              <w:t>Natural gas ($/Mcf)</w:t>
            </w: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06"/>
        </w:trPr>
        <w:tc>
          <w:tcPr>
            <w:tcW w:w="6540" w:type="dxa"/>
            <w:vAlign w:val="bottom"/>
          </w:tcPr>
          <w:p>
            <w:pPr>
              <w:ind w:left="20"/>
              <w:spacing w:after="0"/>
              <w:rPr>
                <w:sz w:val="20"/>
                <w:szCs w:val="20"/>
                <w:color w:val="auto"/>
              </w:rPr>
            </w:pPr>
            <w:r>
              <w:rPr>
                <w:rFonts w:ascii="Arial" w:cs="Arial" w:eastAsia="Arial" w:hAnsi="Arial"/>
                <w:sz w:val="14"/>
                <w:szCs w:val="14"/>
                <w:color w:val="auto"/>
              </w:rPr>
              <w:t>Realized price with derivative settlements</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3.56</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3.91</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4.12</w:t>
            </w:r>
          </w:p>
        </w:tc>
      </w:tr>
      <w:tr>
        <w:trPr>
          <w:trHeight w:val="200"/>
        </w:trPr>
        <w:tc>
          <w:tcPr>
            <w:tcW w:w="6540" w:type="dxa"/>
            <w:vAlign w:val="bottom"/>
          </w:tcPr>
          <w:p>
            <w:pPr>
              <w:ind w:left="20"/>
              <w:spacing w:after="0"/>
              <w:rPr>
                <w:sz w:val="20"/>
                <w:szCs w:val="20"/>
                <w:color w:val="auto"/>
              </w:rPr>
            </w:pPr>
            <w:r>
              <w:rPr>
                <w:rFonts w:ascii="Arial" w:cs="Arial" w:eastAsia="Arial" w:hAnsi="Arial"/>
                <w:sz w:val="14"/>
                <w:szCs w:val="14"/>
                <w:color w:val="auto"/>
              </w:rPr>
              <w:t>Realized price without derivative settlements</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3.56</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3.91</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4.12</w:t>
            </w:r>
          </w:p>
        </w:tc>
      </w:tr>
      <w:tr>
        <w:trPr>
          <w:trHeight w:val="413"/>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Index Prices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0"/>
        </w:trPr>
        <w:tc>
          <w:tcPr>
            <w:tcW w:w="6540" w:type="dxa"/>
            <w:vAlign w:val="bottom"/>
          </w:tcPr>
          <w:p>
            <w:pPr>
              <w:ind w:left="60"/>
              <w:spacing w:after="0"/>
              <w:rPr>
                <w:sz w:val="20"/>
                <w:szCs w:val="20"/>
                <w:color w:val="auto"/>
              </w:rPr>
            </w:pPr>
            <w:r>
              <w:rPr>
                <w:rFonts w:ascii="Arial" w:cs="Arial" w:eastAsia="Arial" w:hAnsi="Arial"/>
                <w:sz w:val="14"/>
                <w:szCs w:val="14"/>
                <w:color w:val="auto"/>
              </w:rPr>
              <w:t>Brent oil ($/Bbl)</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77.90</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63.08</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74.92</w:t>
            </w:r>
          </w:p>
        </w:tc>
      </w:tr>
      <w:tr>
        <w:trPr>
          <w:trHeight w:val="200"/>
        </w:trPr>
        <w:tc>
          <w:tcPr>
            <w:tcW w:w="6540" w:type="dxa"/>
            <w:vAlign w:val="bottom"/>
          </w:tcPr>
          <w:p>
            <w:pPr>
              <w:ind w:left="60"/>
              <w:spacing w:after="0"/>
              <w:rPr>
                <w:sz w:val="20"/>
                <w:szCs w:val="20"/>
                <w:color w:val="auto"/>
              </w:rPr>
            </w:pPr>
            <w:r>
              <w:rPr>
                <w:rFonts w:ascii="Arial" w:cs="Arial" w:eastAsia="Arial" w:hAnsi="Arial"/>
                <w:sz w:val="14"/>
                <w:szCs w:val="14"/>
                <w:color w:val="auto"/>
              </w:rPr>
              <w:t>WTI oil ($/Bbl)</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71.93</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59.14</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71.42</w:t>
            </w:r>
          </w:p>
        </w:tc>
      </w:tr>
      <w:tr>
        <w:trPr>
          <w:trHeight w:val="200"/>
        </w:trPr>
        <w:tc>
          <w:tcPr>
            <w:tcW w:w="6540" w:type="dxa"/>
            <w:vAlign w:val="bottom"/>
          </w:tcPr>
          <w:p>
            <w:pPr>
              <w:ind w:left="60"/>
              <w:spacing w:after="0"/>
              <w:rPr>
                <w:sz w:val="20"/>
                <w:szCs w:val="20"/>
                <w:color w:val="auto"/>
              </w:rPr>
            </w:pPr>
            <w:r>
              <w:rPr>
                <w:rFonts w:ascii="Arial" w:cs="Arial" w:eastAsia="Arial" w:hAnsi="Arial"/>
                <w:sz w:val="14"/>
                <w:szCs w:val="14"/>
                <w:color w:val="auto"/>
              </w:rPr>
              <w:t>NYMEX average monthly settled price ($/MMBtu)</w:t>
            </w: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5.04</w:t>
            </w:r>
          </w:p>
        </w:tc>
        <w:tc>
          <w:tcPr>
            <w:tcW w:w="100" w:type="dxa"/>
            <w:vAlign w:val="bottom"/>
          </w:tcPr>
          <w:p>
            <w:pPr>
              <w:spacing w:after="0"/>
              <w:rPr>
                <w:sz w:val="17"/>
                <w:szCs w:val="17"/>
                <w:color w:val="auto"/>
              </w:rPr>
            </w:pPr>
          </w:p>
        </w:tc>
        <w:tc>
          <w:tcPr>
            <w:tcW w:w="220" w:type="dxa"/>
            <w:vAlign w:val="bottom"/>
          </w:tcPr>
          <w:p>
            <w:pPr>
              <w:jc w:val="right"/>
              <w:ind w:right="49"/>
              <w:spacing w:after="0"/>
              <w:rPr>
                <w:sz w:val="20"/>
                <w:szCs w:val="20"/>
                <w:color w:val="auto"/>
              </w:rPr>
            </w:pPr>
            <w:r>
              <w:rPr>
                <w:rFonts w:ascii="Arial" w:cs="Arial" w:eastAsia="Arial" w:hAnsi="Arial"/>
                <w:sz w:val="14"/>
                <w:szCs w:val="14"/>
                <w:b w:val="1"/>
                <w:bCs w:val="1"/>
                <w:color w:val="auto"/>
              </w:rPr>
              <w:t>$</w:t>
            </w:r>
          </w:p>
        </w:tc>
        <w:tc>
          <w:tcPr>
            <w:tcW w:w="1280" w:type="dxa"/>
            <w:vAlign w:val="bottom"/>
          </w:tcPr>
          <w:p>
            <w:pPr>
              <w:jc w:val="right"/>
              <w:ind w:right="109"/>
              <w:spacing w:after="0"/>
              <w:rPr>
                <w:sz w:val="20"/>
                <w:szCs w:val="20"/>
                <w:color w:val="auto"/>
              </w:rPr>
            </w:pPr>
            <w:r>
              <w:rPr>
                <w:rFonts w:ascii="Arial" w:cs="Arial" w:eastAsia="Arial" w:hAnsi="Arial"/>
                <w:sz w:val="14"/>
                <w:szCs w:val="14"/>
                <w:b w:val="1"/>
                <w:bCs w:val="1"/>
                <w:color w:val="auto"/>
              </w:rPr>
              <w:t>3.55</w:t>
            </w:r>
          </w:p>
        </w:tc>
        <w:tc>
          <w:tcPr>
            <w:tcW w:w="100" w:type="dxa"/>
            <w:vAlign w:val="bottom"/>
          </w:tcPr>
          <w:p>
            <w:pPr>
              <w:spacing w:after="0"/>
              <w:rPr>
                <w:sz w:val="17"/>
                <w:szCs w:val="17"/>
                <w:color w:val="auto"/>
              </w:rPr>
            </w:pPr>
          </w:p>
        </w:tc>
        <w:tc>
          <w:tcPr>
            <w:tcW w:w="240" w:type="dxa"/>
            <w:vAlign w:val="bottom"/>
          </w:tcPr>
          <w:p>
            <w:pPr>
              <w:jc w:val="right"/>
              <w:ind w:right="69"/>
              <w:spacing w:after="0"/>
              <w:rPr>
                <w:sz w:val="20"/>
                <w:szCs w:val="20"/>
                <w:color w:val="auto"/>
              </w:rPr>
            </w:pPr>
            <w:r>
              <w:rPr>
                <w:rFonts w:ascii="Arial" w:cs="Arial" w:eastAsia="Arial" w:hAnsi="Arial"/>
                <w:sz w:val="14"/>
                <w:szCs w:val="14"/>
                <w:b w:val="1"/>
                <w:bCs w:val="1"/>
                <w:color w:val="auto"/>
              </w:rPr>
              <w:t>$</w:t>
            </w:r>
          </w:p>
        </w:tc>
        <w:tc>
          <w:tcPr>
            <w:tcW w:w="1260" w:type="dxa"/>
            <w:vAlign w:val="bottom"/>
          </w:tcPr>
          <w:p>
            <w:pPr>
              <w:jc w:val="right"/>
              <w:ind w:right="109"/>
              <w:spacing w:after="0"/>
              <w:rPr>
                <w:sz w:val="20"/>
                <w:szCs w:val="20"/>
                <w:color w:val="auto"/>
              </w:rPr>
            </w:pPr>
            <w:r>
              <w:rPr>
                <w:rFonts w:ascii="Arial" w:cs="Arial" w:eastAsia="Arial" w:hAnsi="Arial"/>
                <w:sz w:val="14"/>
                <w:szCs w:val="14"/>
                <w:b w:val="1"/>
                <w:bCs w:val="1"/>
                <w:color w:val="auto"/>
              </w:rPr>
              <w:t>3.65</w:t>
            </w:r>
          </w:p>
        </w:tc>
      </w:tr>
      <w:tr>
        <w:trPr>
          <w:trHeight w:val="413"/>
        </w:trPr>
        <w:tc>
          <w:tcPr>
            <w:tcW w:w="6540" w:type="dxa"/>
            <w:vAlign w:val="bottom"/>
          </w:tcPr>
          <w:p>
            <w:pPr>
              <w:ind w:left="20"/>
              <w:spacing w:after="0"/>
              <w:rPr>
                <w:sz w:val="20"/>
                <w:szCs w:val="20"/>
                <w:color w:val="auto"/>
              </w:rPr>
            </w:pPr>
            <w:r>
              <w:rPr>
                <w:rFonts w:ascii="Arial" w:cs="Arial" w:eastAsia="Arial" w:hAnsi="Arial"/>
                <w:sz w:val="14"/>
                <w:szCs w:val="14"/>
                <w:b w:val="1"/>
                <w:bCs w:val="1"/>
                <w:color w:val="auto"/>
              </w:rPr>
              <w:t>Realized Prices as Percentage of Index Prices</w:t>
            </w: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200"/>
        </w:trPr>
        <w:tc>
          <w:tcPr>
            <w:tcW w:w="6540" w:type="dxa"/>
            <w:vAlign w:val="bottom"/>
          </w:tcPr>
          <w:p>
            <w:pPr>
              <w:ind w:left="20"/>
              <w:spacing w:after="0"/>
              <w:rPr>
                <w:sz w:val="20"/>
                <w:szCs w:val="20"/>
                <w:color w:val="auto"/>
              </w:rPr>
            </w:pPr>
            <w:r>
              <w:rPr>
                <w:rFonts w:ascii="Arial" w:cs="Arial" w:eastAsia="Arial" w:hAnsi="Arial"/>
                <w:sz w:val="14"/>
                <w:szCs w:val="14"/>
                <w:color w:val="auto"/>
              </w:rPr>
              <w:t>Oil with derivative settlements as a percentage of Brent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89 %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102 %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96 %</w:t>
            </w:r>
          </w:p>
        </w:tc>
      </w:tr>
      <w:tr>
        <w:trPr>
          <w:trHeight w:val="200"/>
        </w:trPr>
        <w:tc>
          <w:tcPr>
            <w:tcW w:w="6540" w:type="dxa"/>
            <w:vAlign w:val="bottom"/>
          </w:tcPr>
          <w:p>
            <w:pPr>
              <w:ind w:left="20"/>
              <w:spacing w:after="0"/>
              <w:rPr>
                <w:sz w:val="20"/>
                <w:szCs w:val="20"/>
                <w:color w:val="auto"/>
              </w:rPr>
            </w:pPr>
            <w:r>
              <w:rPr>
                <w:rFonts w:ascii="Arial" w:cs="Arial" w:eastAsia="Arial" w:hAnsi="Arial"/>
                <w:sz w:val="14"/>
                <w:szCs w:val="14"/>
                <w:color w:val="auto"/>
              </w:rPr>
              <w:t>Oil without derivative settlements as a percentage of Brent</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96 %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97 %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98 %</w:t>
            </w:r>
          </w:p>
        </w:tc>
      </w:tr>
      <w:tr>
        <w:trPr>
          <w:trHeight w:val="253"/>
        </w:trPr>
        <w:tc>
          <w:tcPr>
            <w:tcW w:w="6540" w:type="dxa"/>
            <w:vAlign w:val="bottom"/>
          </w:tcPr>
          <w:p>
            <w:pPr>
              <w:ind w:left="20"/>
              <w:spacing w:after="0"/>
              <w:rPr>
                <w:sz w:val="20"/>
                <w:szCs w:val="20"/>
                <w:color w:val="auto"/>
              </w:rPr>
            </w:pPr>
            <w:r>
              <w:rPr>
                <w:rFonts w:ascii="Arial" w:cs="Arial" w:eastAsia="Arial" w:hAnsi="Arial"/>
                <w:sz w:val="14"/>
                <w:szCs w:val="14"/>
                <w:color w:val="auto"/>
              </w:rPr>
              <w:t>Oil with derivative settlements as a percentage of WTI</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96 %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109 %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101 %</w:t>
            </w:r>
          </w:p>
        </w:tc>
      </w:tr>
      <w:tr>
        <w:trPr>
          <w:trHeight w:val="200"/>
        </w:trPr>
        <w:tc>
          <w:tcPr>
            <w:tcW w:w="6540" w:type="dxa"/>
            <w:vAlign w:val="bottom"/>
          </w:tcPr>
          <w:p>
            <w:pPr>
              <w:ind w:left="20"/>
              <w:spacing w:after="0"/>
              <w:rPr>
                <w:sz w:val="20"/>
                <w:szCs w:val="20"/>
                <w:color w:val="auto"/>
              </w:rPr>
            </w:pPr>
            <w:r>
              <w:rPr>
                <w:rFonts w:ascii="Arial" w:cs="Arial" w:eastAsia="Arial" w:hAnsi="Arial"/>
                <w:sz w:val="14"/>
                <w:szCs w:val="14"/>
                <w:color w:val="auto"/>
              </w:rPr>
              <w:t>Oil without derivative settlements as a percentage of WTI</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104 %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103 %</w:t>
            </w:r>
          </w:p>
        </w:tc>
      </w:tr>
      <w:tr>
        <w:trPr>
          <w:trHeight w:val="253"/>
        </w:trPr>
        <w:tc>
          <w:tcPr>
            <w:tcW w:w="6540" w:type="dxa"/>
            <w:vAlign w:val="bottom"/>
          </w:tcPr>
          <w:p>
            <w:pPr>
              <w:ind w:left="20"/>
              <w:spacing w:after="0"/>
              <w:rPr>
                <w:sz w:val="20"/>
                <w:szCs w:val="20"/>
                <w:color w:val="auto"/>
              </w:rPr>
            </w:pPr>
            <w:r>
              <w:rPr>
                <w:rFonts w:ascii="Arial" w:cs="Arial" w:eastAsia="Arial" w:hAnsi="Arial"/>
                <w:sz w:val="14"/>
                <w:szCs w:val="14"/>
                <w:color w:val="auto"/>
              </w:rPr>
              <w:t>NGLs as a percentage of Brent</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58 %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68 %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73 %</w:t>
            </w:r>
          </w:p>
        </w:tc>
      </w:tr>
      <w:tr>
        <w:trPr>
          <w:trHeight w:val="200"/>
        </w:trPr>
        <w:tc>
          <w:tcPr>
            <w:tcW w:w="6540" w:type="dxa"/>
            <w:vAlign w:val="bottom"/>
          </w:tcPr>
          <w:p>
            <w:pPr>
              <w:ind w:left="20"/>
              <w:spacing w:after="0"/>
              <w:rPr>
                <w:sz w:val="20"/>
                <w:szCs w:val="20"/>
                <w:color w:val="auto"/>
              </w:rPr>
            </w:pPr>
            <w:r>
              <w:rPr>
                <w:rFonts w:ascii="Arial" w:cs="Arial" w:eastAsia="Arial" w:hAnsi="Arial"/>
                <w:sz w:val="14"/>
                <w:szCs w:val="14"/>
                <w:color w:val="auto"/>
              </w:rPr>
              <w:t>NGLs as a percentage of WTI</w:t>
            </w: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63 %</w:t>
            </w: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72 %</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77 %</w:t>
            </w:r>
          </w:p>
        </w:tc>
      </w:tr>
      <w:tr>
        <w:trPr>
          <w:trHeight w:val="253"/>
        </w:trPr>
        <w:tc>
          <w:tcPr>
            <w:tcW w:w="6540" w:type="dxa"/>
            <w:vAlign w:val="bottom"/>
          </w:tcPr>
          <w:p>
            <w:pPr>
              <w:ind w:left="20"/>
              <w:spacing w:after="0"/>
              <w:rPr>
                <w:sz w:val="20"/>
                <w:szCs w:val="20"/>
                <w:color w:val="auto"/>
              </w:rPr>
            </w:pPr>
            <w:r>
              <w:rPr>
                <w:rFonts w:ascii="Arial" w:cs="Arial" w:eastAsia="Arial" w:hAnsi="Arial"/>
                <w:sz w:val="14"/>
                <w:szCs w:val="14"/>
                <w:color w:val="auto"/>
              </w:rPr>
              <w:t>Natural gas with derivative settlements as a percentage of NYMEX contract month average</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71 %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110 %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113 %</w:t>
            </w:r>
          </w:p>
        </w:tc>
      </w:tr>
      <w:tr>
        <w:trPr>
          <w:trHeight w:val="253"/>
        </w:trPr>
        <w:tc>
          <w:tcPr>
            <w:tcW w:w="6540" w:type="dxa"/>
            <w:vAlign w:val="bottom"/>
          </w:tcPr>
          <w:p>
            <w:pPr>
              <w:ind w:left="20"/>
              <w:spacing w:after="0"/>
              <w:rPr>
                <w:sz w:val="20"/>
                <w:szCs w:val="20"/>
                <w:color w:val="auto"/>
              </w:rPr>
            </w:pPr>
            <w:r>
              <w:rPr>
                <w:rFonts w:ascii="Arial" w:cs="Arial" w:eastAsia="Arial" w:hAnsi="Arial"/>
                <w:sz w:val="14"/>
                <w:szCs w:val="14"/>
                <w:color w:val="auto"/>
              </w:rPr>
              <w:t>Natural gas without derivative settlements as a percentage of NYMEX contract month average</w:t>
            </w: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71 %</w:t>
            </w: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110 %</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4"/>
                <w:szCs w:val="14"/>
                <w:b w:val="1"/>
                <w:bCs w:val="1"/>
                <w:color w:val="auto"/>
              </w:rPr>
              <w:t>113 %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20</w:t>
      </w:r>
    </w:p>
    <w:p>
      <w:pPr>
        <w:sectPr>
          <w:pgSz w:w="11900" w:h="16838" w:orient="portrait"/>
          <w:cols w:equalWidth="0" w:num="1">
            <w:col w:w="11240"/>
          </w:cols>
          <w:pgMar w:left="320" w:top="1050" w:right="339" w:bottom="1440" w:gutter="0" w:footer="0" w:header="0"/>
        </w:sectPr>
      </w:pPr>
    </w:p>
    <w:bookmarkStart w:id="24" w:name="page25"/>
    <w:bookmarkEnd w:id="24"/>
    <w:tbl>
      <w:tblPr>
        <w:tblLayout w:type="fixed"/>
        <w:tblInd w:w="0" w:type="dxa"/>
        <w:tblCellMar>
          <w:top w:w="0" w:type="dxa"/>
          <w:left w:w="0" w:type="dxa"/>
          <w:bottom w:w="0" w:type="dxa"/>
          <w:right w:w="0" w:type="dxa"/>
        </w:tblCellMar>
      </w:tblPr>
      <w:tr>
        <w:trPr>
          <w:trHeight w:val="195"/>
        </w:trPr>
        <w:tc>
          <w:tcPr>
            <w:tcW w:w="4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ind w:left="400"/>
              <w:spacing w:after="0"/>
              <w:rPr>
                <w:sz w:val="20"/>
                <w:szCs w:val="20"/>
                <w:color w:val="auto"/>
              </w:rPr>
            </w:pPr>
            <w:r>
              <w:rPr>
                <w:rFonts w:ascii="Arial" w:cs="Arial" w:eastAsia="Arial" w:hAnsi="Arial"/>
                <w:sz w:val="14"/>
                <w:szCs w:val="14"/>
                <w:b w:val="1"/>
                <w:bCs w:val="1"/>
                <w:color w:val="auto"/>
              </w:rPr>
              <w:t>Attachment 6</w:t>
            </w:r>
          </w:p>
        </w:tc>
      </w:tr>
      <w:tr>
        <w:trPr>
          <w:trHeight w:val="21"/>
        </w:trPr>
        <w:tc>
          <w:tcPr>
            <w:tcW w:w="4200" w:type="dxa"/>
            <w:vAlign w:val="bottom"/>
            <w:tcBorders>
              <w:bottom w:val="single" w:sz="8" w:color="auto"/>
            </w:tcBorders>
            <w:gridSpan w:val="2"/>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192"/>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FIRST QUARTER 2026 DRILLING ACTIVITY</w:t>
            </w: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200"/>
        </w:trPr>
        <w:tc>
          <w:tcPr>
            <w:tcW w:w="4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rPr>
              <w:t>San Joaquin</w:t>
            </w:r>
          </w:p>
        </w:tc>
        <w:tc>
          <w:tcPr>
            <w:tcW w:w="14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Los Angeles</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Ventura</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Sacramento</w:t>
            </w:r>
          </w:p>
        </w:tc>
        <w:tc>
          <w:tcPr>
            <w:tcW w:w="1320" w:type="dxa"/>
            <w:vAlign w:val="bottom"/>
          </w:tcPr>
          <w:p>
            <w:pPr>
              <w:spacing w:after="0"/>
              <w:rPr>
                <w:sz w:val="17"/>
                <w:szCs w:val="17"/>
                <w:color w:val="auto"/>
              </w:rPr>
            </w:pPr>
          </w:p>
        </w:tc>
      </w:tr>
      <w:tr>
        <w:trPr>
          <w:trHeight w:val="201"/>
        </w:trPr>
        <w:tc>
          <w:tcPr>
            <w:tcW w:w="41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Wells Drilled</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Basin</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9"/>
              </w:rPr>
              <w:t>Basin</w:t>
            </w:r>
          </w:p>
        </w:tc>
        <w:tc>
          <w:tcPr>
            <w:tcW w:w="100" w:type="dxa"/>
            <w:vAlign w:val="bottom"/>
          </w:tcPr>
          <w:p>
            <w:pPr>
              <w:spacing w:after="0"/>
              <w:rPr>
                <w:sz w:val="17"/>
                <w:szCs w:val="17"/>
                <w:color w:val="auto"/>
              </w:rPr>
            </w:pPr>
          </w:p>
        </w:tc>
        <w:tc>
          <w:tcPr>
            <w:tcW w:w="1320" w:type="dxa"/>
            <w:vAlign w:val="bottom"/>
            <w:tcBorders>
              <w:bottom w:val="single" w:sz="8" w:color="auto"/>
            </w:tcBorders>
          </w:tcPr>
          <w:p>
            <w:pPr>
              <w:ind w:left="500"/>
              <w:spacing w:after="0"/>
              <w:rPr>
                <w:sz w:val="20"/>
                <w:szCs w:val="20"/>
                <w:color w:val="auto"/>
              </w:rPr>
            </w:pPr>
            <w:r>
              <w:rPr>
                <w:rFonts w:ascii="Arial" w:cs="Arial" w:eastAsia="Arial" w:hAnsi="Arial"/>
                <w:sz w:val="14"/>
                <w:szCs w:val="14"/>
                <w:b w:val="1"/>
                <w:bCs w:val="1"/>
                <w:color w:val="auto"/>
              </w:rPr>
              <w:t>Total</w:t>
            </w:r>
          </w:p>
        </w:tc>
      </w:tr>
      <w:tr>
        <w:trPr>
          <w:trHeight w:val="432"/>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Development Wells</w:t>
            </w: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94"/>
        </w:trPr>
        <w:tc>
          <w:tcPr>
            <w:tcW w:w="4200" w:type="dxa"/>
            <w:vAlign w:val="bottom"/>
            <w:gridSpan w:val="2"/>
          </w:tcPr>
          <w:p>
            <w:pPr>
              <w:ind w:left="120"/>
              <w:spacing w:after="0"/>
              <w:rPr>
                <w:sz w:val="20"/>
                <w:szCs w:val="20"/>
                <w:color w:val="auto"/>
              </w:rPr>
            </w:pPr>
            <w:r>
              <w:rPr>
                <w:rFonts w:ascii="Arial" w:cs="Arial" w:eastAsia="Arial" w:hAnsi="Arial"/>
                <w:sz w:val="14"/>
                <w:szCs w:val="14"/>
                <w:color w:val="auto"/>
              </w:rPr>
              <w:t>Primary</w:t>
            </w:r>
          </w:p>
        </w:tc>
        <w:tc>
          <w:tcPr>
            <w:tcW w:w="1320" w:type="dxa"/>
            <w:vAlign w:val="bottom"/>
          </w:tcPr>
          <w:p>
            <w:pPr>
              <w:jc w:val="center"/>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6"/>
                <w:szCs w:val="16"/>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1</w:t>
            </w:r>
          </w:p>
        </w:tc>
      </w:tr>
      <w:tr>
        <w:trPr>
          <w:trHeight w:val="200"/>
        </w:trPr>
        <w:tc>
          <w:tcPr>
            <w:tcW w:w="4200" w:type="dxa"/>
            <w:vAlign w:val="bottom"/>
            <w:gridSpan w:val="2"/>
          </w:tcPr>
          <w:p>
            <w:pPr>
              <w:ind w:left="120"/>
              <w:spacing w:after="0"/>
              <w:rPr>
                <w:sz w:val="20"/>
                <w:szCs w:val="20"/>
                <w:color w:val="auto"/>
              </w:rPr>
            </w:pPr>
            <w:r>
              <w:rPr>
                <w:rFonts w:ascii="Arial" w:cs="Arial" w:eastAsia="Arial" w:hAnsi="Arial"/>
                <w:sz w:val="14"/>
                <w:szCs w:val="14"/>
                <w:color w:val="auto"/>
              </w:rPr>
              <w:t>Waterflood</w:t>
            </w:r>
          </w:p>
        </w:tc>
        <w:tc>
          <w:tcPr>
            <w:tcW w:w="1320" w:type="dxa"/>
            <w:vAlign w:val="bottom"/>
          </w:tcPr>
          <w:p>
            <w:pPr>
              <w:jc w:val="center"/>
              <w:spacing w:after="0"/>
              <w:rPr>
                <w:sz w:val="20"/>
                <w:szCs w:val="20"/>
                <w:color w:val="auto"/>
              </w:rPr>
            </w:pPr>
            <w:r>
              <w:rPr>
                <w:rFonts w:ascii="Arial" w:cs="Arial" w:eastAsia="Arial" w:hAnsi="Arial"/>
                <w:sz w:val="14"/>
                <w:szCs w:val="14"/>
                <w:color w:val="auto"/>
              </w:rPr>
              <w:t>17</w:t>
            </w:r>
          </w:p>
        </w:tc>
        <w:tc>
          <w:tcPr>
            <w:tcW w:w="80" w:type="dxa"/>
            <w:vAlign w:val="bottom"/>
          </w:tcPr>
          <w:p>
            <w:pPr>
              <w:spacing w:after="0"/>
              <w:rPr>
                <w:sz w:val="17"/>
                <w:szCs w:val="17"/>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17</w:t>
            </w:r>
          </w:p>
        </w:tc>
      </w:tr>
      <w:tr>
        <w:trPr>
          <w:trHeight w:val="201"/>
        </w:trPr>
        <w:tc>
          <w:tcPr>
            <w:tcW w:w="4200" w:type="dxa"/>
            <w:vAlign w:val="bottom"/>
            <w:gridSpan w:val="2"/>
          </w:tcPr>
          <w:p>
            <w:pPr>
              <w:ind w:left="120"/>
              <w:spacing w:after="0"/>
              <w:rPr>
                <w:sz w:val="20"/>
                <w:szCs w:val="20"/>
                <w:color w:val="auto"/>
              </w:rPr>
            </w:pPr>
            <w:r>
              <w:rPr>
                <w:rFonts w:ascii="Arial" w:cs="Arial" w:eastAsia="Arial" w:hAnsi="Arial"/>
                <w:sz w:val="14"/>
                <w:szCs w:val="14"/>
                <w:color w:val="auto"/>
              </w:rPr>
              <w:t>Steamflood</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44</w:t>
            </w:r>
          </w:p>
        </w:tc>
        <w:tc>
          <w:tcPr>
            <w:tcW w:w="8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80" w:type="dxa"/>
            <w:vAlign w:val="bottom"/>
          </w:tcPr>
          <w:p>
            <w:pPr>
              <w:spacing w:after="0"/>
              <w:rPr>
                <w:sz w:val="17"/>
                <w:szCs w:val="17"/>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00" w:type="dxa"/>
            <w:vAlign w:val="bottom"/>
          </w:tcPr>
          <w:p>
            <w:pPr>
              <w:spacing w:after="0"/>
              <w:rPr>
                <w:sz w:val="17"/>
                <w:szCs w:val="17"/>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44</w:t>
            </w:r>
          </w:p>
        </w:tc>
      </w:tr>
      <w:tr>
        <w:trPr>
          <w:trHeight w:val="210"/>
        </w:trPr>
        <w:tc>
          <w:tcPr>
            <w:tcW w:w="4200" w:type="dxa"/>
            <w:vAlign w:val="bottom"/>
            <w:gridSpan w:val="2"/>
          </w:tcPr>
          <w:p>
            <w:pPr>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8"/>
                <w:szCs w:val="18"/>
                <w:b w:val="1"/>
                <w:bCs w:val="1"/>
                <w:color w:val="auto"/>
                <w:vertAlign w:val="superscript"/>
              </w:rPr>
              <w:t>(1)</w:t>
            </w:r>
          </w:p>
        </w:tc>
        <w:tc>
          <w:tcPr>
            <w:tcW w:w="1320" w:type="dxa"/>
            <w:vAlign w:val="bottom"/>
          </w:tcPr>
          <w:p>
            <w:pPr>
              <w:jc w:val="center"/>
              <w:spacing w:after="0"/>
              <w:rPr>
                <w:sz w:val="20"/>
                <w:szCs w:val="20"/>
                <w:color w:val="auto"/>
              </w:rPr>
            </w:pPr>
            <w:r>
              <w:rPr>
                <w:rFonts w:ascii="Arial" w:cs="Arial" w:eastAsia="Arial" w:hAnsi="Arial"/>
                <w:sz w:val="14"/>
                <w:szCs w:val="14"/>
                <w:color w:val="auto"/>
              </w:rPr>
              <w:t>62</w:t>
            </w:r>
          </w:p>
        </w:tc>
        <w:tc>
          <w:tcPr>
            <w:tcW w:w="80" w:type="dxa"/>
            <w:vAlign w:val="bottom"/>
          </w:tcPr>
          <w:p>
            <w:pPr>
              <w:spacing w:after="0"/>
              <w:rPr>
                <w:sz w:val="18"/>
                <w:szCs w:val="18"/>
                <w:color w:val="auto"/>
              </w:rPr>
            </w:pPr>
          </w:p>
        </w:tc>
        <w:tc>
          <w:tcPr>
            <w:tcW w:w="1420" w:type="dxa"/>
            <w:vAlign w:val="bottom"/>
            <w:gridSpan w:val="2"/>
          </w:tcPr>
          <w:p>
            <w:pPr>
              <w:jc w:val="center"/>
              <w:ind w:right="120"/>
              <w:spacing w:after="0"/>
              <w:rPr>
                <w:sz w:val="20"/>
                <w:szCs w:val="20"/>
                <w:color w:val="auto"/>
              </w:rPr>
            </w:pPr>
            <w:r>
              <w:rPr>
                <w:rFonts w:ascii="Arial" w:cs="Arial" w:eastAsia="Arial" w:hAnsi="Arial"/>
                <w:sz w:val="14"/>
                <w:szCs w:val="14"/>
                <w:color w:val="auto"/>
                <w:w w:val="99"/>
              </w:rPr>
              <w:t>—</w:t>
            </w:r>
          </w:p>
        </w:tc>
        <w:tc>
          <w:tcPr>
            <w:tcW w:w="140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440" w:type="dxa"/>
            <w:vAlign w:val="bottom"/>
            <w:gridSpan w:val="2"/>
          </w:tcPr>
          <w:p>
            <w:pPr>
              <w:jc w:val="center"/>
              <w:ind w:right="100"/>
              <w:spacing w:after="0"/>
              <w:rPr>
                <w:sz w:val="20"/>
                <w:szCs w:val="20"/>
                <w:color w:val="auto"/>
              </w:rPr>
            </w:pPr>
            <w:r>
              <w:rPr>
                <w:rFonts w:ascii="Arial" w:cs="Arial" w:eastAsia="Arial" w:hAnsi="Arial"/>
                <w:sz w:val="14"/>
                <w:szCs w:val="14"/>
                <w:color w:val="auto"/>
                <w:w w:val="99"/>
              </w:rPr>
              <w:t>—</w:t>
            </w:r>
          </w:p>
        </w:tc>
        <w:tc>
          <w:tcPr>
            <w:tcW w:w="1320" w:type="dxa"/>
            <w:vAlign w:val="bottom"/>
          </w:tcPr>
          <w:p>
            <w:pPr>
              <w:jc w:val="center"/>
              <w:spacing w:after="0"/>
              <w:rPr>
                <w:sz w:val="20"/>
                <w:szCs w:val="20"/>
                <w:color w:val="auto"/>
              </w:rPr>
            </w:pPr>
            <w:r>
              <w:rPr>
                <w:rFonts w:ascii="Arial" w:cs="Arial" w:eastAsia="Arial" w:hAnsi="Arial"/>
                <w:sz w:val="14"/>
                <w:szCs w:val="14"/>
                <w:color w:val="auto"/>
              </w:rPr>
              <w:t>62</w:t>
            </w:r>
          </w:p>
        </w:tc>
      </w:tr>
    </w:tbl>
    <w:p>
      <w:pPr>
        <w:ind w:left="160" w:hanging="156"/>
        <w:spacing w:after="0" w:line="212" w:lineRule="auto"/>
        <w:tabs>
          <w:tab w:leader="none" w:pos="16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Includes steam injectors and drilled but uncompleted wells, which are not included in the SEC definition of wells drilled.</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21</w:t>
      </w:r>
    </w:p>
    <w:sectPr>
      <w:pgSz w:w="11900" w:h="16838" w:orient="portrait"/>
      <w:cols w:equalWidth="0" w:num="1">
        <w:col w:w="11180"/>
      </w:cols>
      <w:pgMar w:left="360" w:top="1050"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BBD95A"/>
    <w:multiLevelType w:val="hybridMultilevel"/>
    <w:lvl w:ilvl="0">
      <w:lvlJc w:val="left"/>
      <w:lvlText w:val="☐"/>
      <w:numFmt w:val="bullet"/>
      <w:start w:val="1"/>
    </w:lvl>
  </w:abstractNum>
  <w:abstractNum w:abstractNumId="1">
    <w:nsid w:val="436C6125"/>
    <w:multiLevelType w:val="hybridMultilevel"/>
    <w:lvl w:ilvl="0">
      <w:lvlJc w:val="left"/>
      <w:lvlText w:val="(%1)"/>
      <w:numFmt w:val="lowerLetter"/>
      <w:start w:val="1"/>
    </w:lvl>
  </w:abstractNum>
  <w:abstractNum w:abstractNumId="2">
    <w:nsid w:val="628C895D"/>
    <w:multiLevelType w:val="hybridMultilevel"/>
    <w:lvl w:ilvl="0">
      <w:lvlJc w:val="left"/>
      <w:lvlText w:val="%1."/>
      <w:numFmt w:val="decimal"/>
      <w:start w:val="2"/>
    </w:lvl>
  </w:abstractNum>
  <w:abstractNum w:abstractNumId="3">
    <w:nsid w:val="333AB105"/>
    <w:multiLevelType w:val="hybridMultilevel"/>
    <w:lvl w:ilvl="0">
      <w:lvlJc w:val="left"/>
      <w:lvlText w:val="•"/>
      <w:numFmt w:val="bullet"/>
      <w:start w:val="1"/>
    </w:lvl>
  </w:abstractNum>
  <w:abstractNum w:abstractNumId="4">
    <w:nsid w:val="721DA317"/>
    <w:multiLevelType w:val="hybridMultilevel"/>
    <w:lvl w:ilvl="0">
      <w:lvlJc w:val="left"/>
      <w:lvlText w:val="•"/>
      <w:numFmt w:val="bullet"/>
      <w:start w:val="1"/>
    </w:lvl>
  </w:abstractNum>
  <w:abstractNum w:abstractNumId="5">
    <w:nsid w:val="2443A858"/>
    <w:multiLevelType w:val="hybridMultilevel"/>
    <w:lvl w:ilvl="0">
      <w:lvlJc w:val="left"/>
      <w:lvlText w:val="•"/>
      <w:numFmt w:val="bullet"/>
      <w:start w:val="1"/>
    </w:lvl>
  </w:abstractNum>
  <w:abstractNum w:abstractNumId="6">
    <w:nsid w:val="2D1D5AE9"/>
    <w:multiLevelType w:val="hybridMultilevel"/>
    <w:lvl w:ilvl="0">
      <w:lvlJc w:val="left"/>
      <w:lvlText w:val="•"/>
      <w:numFmt w:val="bullet"/>
      <w:start w:val="1"/>
    </w:lvl>
  </w:abstractNum>
  <w:abstractNum w:abstractNumId="7">
    <w:nsid w:val="6763845E"/>
    <w:multiLevelType w:val="hybridMultilevel"/>
    <w:lvl w:ilvl="0">
      <w:lvlJc w:val="left"/>
      <w:lvlText w:val="$"/>
      <w:numFmt w:val="bullet"/>
      <w:start w:val="1"/>
    </w:lvl>
  </w:abstractNum>
  <w:abstractNum w:abstractNumId="8">
    <w:nsid w:val="75A2A8D4"/>
    <w:multiLevelType w:val="hybridMultilevel"/>
    <w:lvl w:ilvl="0">
      <w:lvlJc w:val="left"/>
      <w:lvlText w:val="$"/>
      <w:numFmt w:val="bullet"/>
      <w:start w:val="1"/>
    </w:lvl>
  </w:abstractNum>
  <w:abstractNum w:abstractNumId="9">
    <w:nsid w:val="8EDBDAB"/>
    <w:multiLevelType w:val="hybridMultilevel"/>
    <w:lvl w:ilvl="0">
      <w:lvlJc w:val="left"/>
      <w:lvlText w:val="$"/>
      <w:numFmt w:val="bullet"/>
      <w:start w:val="1"/>
    </w:lvl>
  </w:abstractNum>
  <w:abstractNum w:abstractNumId="10">
    <w:nsid w:val="79838CB2"/>
    <w:multiLevelType w:val="hybridMultilevel"/>
    <w:lvl w:ilvl="0">
      <w:lvlJc w:val="left"/>
      <w:lvlText w:val="$"/>
      <w:numFmt w:val="bullet"/>
      <w:start w:val="1"/>
    </w:lvl>
  </w:abstractNum>
  <w:abstractNum w:abstractNumId="11">
    <w:nsid w:val="4353D0CD"/>
    <w:multiLevelType w:val="hybridMultilevel"/>
    <w:lvl w:ilvl="0">
      <w:lvlJc w:val="left"/>
      <w:lvlText w:val="$"/>
      <w:numFmt w:val="bullet"/>
      <w:start w:val="1"/>
    </w:lvl>
  </w:abstractNum>
  <w:abstractNum w:abstractNumId="12">
    <w:nsid w:val="B03E0C6"/>
    <w:multiLevelType w:val="hybridMultilevel"/>
    <w:lvl w:ilvl="0">
      <w:lvlJc w:val="left"/>
      <w:lvlText w:val="$"/>
      <w:numFmt w:val="bullet"/>
      <w:start w:val="1"/>
    </w:lvl>
  </w:abstractNum>
  <w:abstractNum w:abstractNumId="13">
    <w:nsid w:val="189A769B"/>
    <w:multiLevelType w:val="hybridMultilevel"/>
    <w:lvl w:ilvl="0">
      <w:lvlJc w:val="left"/>
      <w:lvlText w:val="$"/>
      <w:numFmt w:val="bullet"/>
      <w:start w:val="1"/>
    </w:lvl>
  </w:abstractNum>
  <w:abstractNum w:abstractNumId="14">
    <w:nsid w:val="54E49EB4"/>
    <w:multiLevelType w:val="hybridMultilevel"/>
    <w:lvl w:ilvl="0">
      <w:lvlJc w:val="left"/>
      <w:lvlText w:val="$"/>
      <w:numFmt w:val="bullet"/>
      <w:start w:val="1"/>
    </w:lvl>
  </w:abstractNum>
  <w:abstractNum w:abstractNumId="15">
    <w:nsid w:val="71F32454"/>
    <w:multiLevelType w:val="hybridMultilevel"/>
    <w:lvl w:ilvl="0">
      <w:lvlJc w:val="left"/>
      <w:lvlText w:val="$"/>
      <w:numFmt w:val="bullet"/>
      <w:start w:val="1"/>
    </w:lvl>
  </w:abstractNum>
  <w:abstractNum w:abstractNumId="16">
    <w:nsid w:val="2CA88611"/>
    <w:multiLevelType w:val="hybridMultilevel"/>
    <w:lvl w:ilvl="0">
      <w:lvlJc w:val="left"/>
      <w:lvlText w:val="$"/>
      <w:numFmt w:val="bullet"/>
      <w:start w:val="1"/>
    </w:lvl>
  </w:abstractNum>
  <w:abstractNum w:abstractNumId="17">
    <w:nsid w:val="836C40E"/>
    <w:multiLevelType w:val="hybridMultilevel"/>
    <w:lvl w:ilvl="0">
      <w:lvlJc w:val="left"/>
      <w:lvlText w:val="$"/>
      <w:numFmt w:val="bullet"/>
      <w:start w:val="1"/>
    </w:lvl>
  </w:abstractNum>
  <w:abstractNum w:abstractNumId="18">
    <w:nsid w:val="2901D82"/>
    <w:multiLevelType w:val="hybridMultilevel"/>
    <w:lvl w:ilvl="0">
      <w:lvlJc w:val="left"/>
      <w:lvlText w:val="$"/>
      <w:numFmt w:val="bullet"/>
      <w:start w:val="1"/>
    </w:lvl>
  </w:abstractNum>
  <w:abstractNum w:abstractNumId="19">
    <w:nsid w:val="3A95F874"/>
    <w:multiLevelType w:val="hybridMultilevel"/>
    <w:lvl w:ilvl="0">
      <w:lvlJc w:val="left"/>
      <w:lvlText w:val="$"/>
      <w:numFmt w:val="bullet"/>
      <w:start w:val="1"/>
    </w:lvl>
  </w:abstractNum>
  <w:abstractNum w:abstractNumId="20">
    <w:nsid w:val="8138641"/>
    <w:multiLevelType w:val="hybridMultilevel"/>
    <w:lvl w:ilvl="0">
      <w:lvlJc w:val="left"/>
      <w:lvlText w:val="$"/>
      <w:numFmt w:val="bullet"/>
      <w:start w:val="1"/>
    </w:lvl>
  </w:abstractNum>
  <w:abstractNum w:abstractNumId="21">
    <w:nsid w:val="1E7FF521"/>
    <w:multiLevelType w:val="hybridMultilevel"/>
    <w:lvl w:ilvl="0">
      <w:lvlJc w:val="left"/>
      <w:lvlText w:val="$"/>
      <w:numFmt w:val="bullet"/>
      <w:start w:val="1"/>
    </w:lvl>
  </w:abstractNum>
  <w:abstractNum w:abstractNumId="22">
    <w:nsid w:val="7C3DBD3D"/>
    <w:multiLevelType w:val="hybridMultilevel"/>
    <w:lvl w:ilvl="0">
      <w:lvlJc w:val="left"/>
      <w:lvlText w:val="$"/>
      <w:numFmt w:val="bullet"/>
      <w:start w:val="1"/>
    </w:lvl>
  </w:abstractNum>
  <w:abstractNum w:abstractNumId="23">
    <w:nsid w:val="737B8DDC"/>
    <w:multiLevelType w:val="hybridMultilevel"/>
    <w:lvl w:ilvl="0">
      <w:lvlJc w:val="left"/>
      <w:lvlText w:val="$"/>
      <w:numFmt w:val="bullet"/>
      <w:start w:val="1"/>
    </w:lvl>
  </w:abstractNum>
  <w:abstractNum w:abstractNumId="24">
    <w:nsid w:val="6CEAF087"/>
    <w:multiLevelType w:val="hybridMultilevel"/>
    <w:lvl w:ilvl="0">
      <w:lvlJc w:val="left"/>
      <w:lvlText w:val="$"/>
      <w:numFmt w:val="bullet"/>
      <w:start w:val="1"/>
    </w:lvl>
  </w:abstractNum>
  <w:abstractNum w:abstractNumId="25">
    <w:nsid w:val="22221A70"/>
    <w:multiLevelType w:val="hybridMultilevel"/>
    <w:lvl w:ilvl="0">
      <w:lvlJc w:val="left"/>
      <w:lvlText w:val="$"/>
      <w:numFmt w:val="bullet"/>
      <w:start w:val="1"/>
    </w:lvl>
  </w:abstractNum>
  <w:abstractNum w:abstractNumId="26">
    <w:nsid w:val="4516DDE9"/>
    <w:multiLevelType w:val="hybridMultilevel"/>
    <w:lvl w:ilvl="0">
      <w:lvlJc w:val="left"/>
      <w:lvlText w:val="$"/>
      <w:numFmt w:val="bullet"/>
      <w:start w:val="1"/>
    </w:lvl>
  </w:abstractNum>
  <w:abstractNum w:abstractNumId="27">
    <w:nsid w:val="3006C83E"/>
    <w:multiLevelType w:val="hybridMultilevel"/>
    <w:lvl w:ilvl="0">
      <w:lvlJc w:val="left"/>
      <w:lvlText w:val="$"/>
      <w:numFmt w:val="bullet"/>
      <w:start w:val="1"/>
    </w:lvl>
  </w:abstractNum>
  <w:abstractNum w:abstractNumId="28">
    <w:nsid w:val="614FD4A1"/>
    <w:multiLevelType w:val="hybridMultilevel"/>
    <w:lvl w:ilvl="0">
      <w:lvlJc w:val="left"/>
      <w:lvlText w:val="$"/>
      <w:numFmt w:val="bullet"/>
      <w:start w:val="1"/>
    </w:lvl>
  </w:abstractNum>
  <w:abstractNum w:abstractNumId="29">
    <w:nsid w:val="419AC241"/>
    <w:multiLevelType w:val="hybridMultilevel"/>
    <w:lvl w:ilvl="0">
      <w:lvlJc w:val="left"/>
      <w:lvlText w:val="$"/>
      <w:numFmt w:val="bullet"/>
      <w:start w:val="1"/>
    </w:lvl>
  </w:abstractNum>
  <w:abstractNum w:abstractNumId="30">
    <w:nsid w:val="5577F8E1"/>
    <w:multiLevelType w:val="hybridMultilevel"/>
    <w:lvl w:ilvl="0">
      <w:lvlJc w:val="left"/>
      <w:lvlText w:val="$"/>
      <w:numFmt w:val="bullet"/>
      <w:start w:val="1"/>
    </w:lvl>
  </w:abstractNum>
  <w:abstractNum w:abstractNumId="31">
    <w:nsid w:val="440BADFC"/>
    <w:multiLevelType w:val="hybridMultilevel"/>
    <w:lvl w:ilvl="0">
      <w:lvlJc w:val="left"/>
      <w:lvlText w:val="$"/>
      <w:numFmt w:val="bullet"/>
      <w:start w:val="1"/>
    </w:lvl>
  </w:abstractNum>
  <w:abstractNum w:abstractNumId="32">
    <w:nsid w:val="5072367"/>
    <w:multiLevelType w:val="hybridMultilevel"/>
    <w:lvl w:ilvl="0">
      <w:lvlJc w:val="left"/>
      <w:lvlText w:val="•"/>
      <w:numFmt w:val="bullet"/>
      <w:start w:val="1"/>
    </w:lvl>
  </w:abstractNum>
  <w:abstractNum w:abstractNumId="33">
    <w:nsid w:val="3804823E"/>
    <w:multiLevelType w:val="hybridMultilevel"/>
    <w:lvl w:ilvl="0">
      <w:lvlJc w:val="left"/>
      <w:lvlText w:val="1"/>
      <w:numFmt w:val="bullet"/>
      <w:start w:val="1"/>
    </w:lvl>
  </w:abstractNum>
  <w:abstractNum w:abstractNumId="34">
    <w:nsid w:val="77465F01"/>
    <w:multiLevelType w:val="hybridMultilevel"/>
    <w:lvl w:ilvl="0">
      <w:lvlJc w:val="left"/>
      <w:lvlText w:val="(%1)"/>
      <w:numFmt w:val="decimal"/>
      <w:start w:val="1"/>
    </w:lvl>
  </w:abstractNum>
  <w:abstractNum w:abstractNumId="35">
    <w:nsid w:val="7724C67E"/>
    <w:multiLevelType w:val="hybridMultilevel"/>
    <w:lvl w:ilvl="0">
      <w:lvlJc w:val="left"/>
      <w:lvlText w:val="(%1)"/>
      <w:numFmt w:val="decimal"/>
      <w:start w:val="1"/>
    </w:lvl>
  </w:abstractNum>
  <w:abstractNum w:abstractNumId="36">
    <w:nsid w:val="5C482A97"/>
    <w:multiLevelType w:val="hybridMultilevel"/>
    <w:lvl w:ilvl="0">
      <w:lvlJc w:val="left"/>
      <w:lvlText w:val="(%1)"/>
      <w:numFmt w:val="decimal"/>
      <w:start w:val="1"/>
    </w:lvl>
  </w:abstractNum>
  <w:abstractNum w:abstractNumId="37">
    <w:nsid w:val="2463B9EA"/>
    <w:multiLevelType w:val="hybridMultilevel"/>
    <w:lvl w:ilvl="0">
      <w:lvlJc w:val="left"/>
      <w:lvlText w:val="(%1)"/>
      <w:numFmt w:val="decimal"/>
      <w:start w:val="1"/>
    </w:lvl>
  </w:abstractNum>
  <w:abstractNum w:abstractNumId="38">
    <w:nsid w:val="5E884AD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2026-05-05T15:45:22Z</dcterms:created>
  <dcterms:modified xsi:type="dcterms:W3CDTF">2026-05-05T15:45:22Z</dcterms:modified>
</cp:coreProperties>
</file>