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3"/>
                <w:szCs w:val="13"/>
                <w:color w:val="auto"/>
              </w:rPr>
              <w:t>Line)</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90067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80"/>
              <w:spacing w:after="0"/>
              <w:rPr>
                <w:sz w:val="20"/>
                <w:szCs w:val="20"/>
                <w:color w:val="auto"/>
              </w:rPr>
            </w:pPr>
            <w:r>
              <w:rPr>
                <w:rFonts w:ascii="Arial" w:cs="Arial" w:eastAsia="Arial" w:hAnsi="Arial"/>
                <w:sz w:val="12"/>
                <w:szCs w:val="12"/>
                <w:b w:val="1"/>
                <w:bCs w:val="1"/>
                <w:color w:val="auto"/>
              </w:rPr>
              <w:t>Transaction</w:t>
            </w:r>
          </w:p>
        </w:tc>
        <w:tc>
          <w:tcPr>
            <w:tcW w:w="142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gridSpan w:val="3"/>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jc w:val="right"/>
              <w:ind w:right="29"/>
              <w:spacing w:after="0" w:line="133" w:lineRule="exact"/>
              <w:rPr>
                <w:sz w:val="20"/>
                <w:szCs w:val="20"/>
                <w:color w:val="auto"/>
              </w:rPr>
            </w:pPr>
            <w:r>
              <w:rPr>
                <w:rFonts w:ascii="Arial" w:cs="Arial" w:eastAsia="Arial" w:hAnsi="Arial"/>
                <w:sz w:val="12"/>
                <w:szCs w:val="12"/>
                <w:b w:val="1"/>
                <w:bCs w:val="1"/>
                <w:color w:val="auto"/>
              </w:rPr>
              <w:t>(A)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1"/>
                <w:szCs w:val="11"/>
                <w:color w:val="auto"/>
              </w:rPr>
            </w:pPr>
          </w:p>
        </w:tc>
        <w:tc>
          <w:tcPr>
            <w:tcW w:w="340" w:type="dxa"/>
            <w:vAlign w:val="bottom"/>
          </w:tcPr>
          <w:p>
            <w:pPr>
              <w:jc w:val="right"/>
              <w:ind w:right="89"/>
              <w:spacing w:after="0" w:line="133"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jc w:val="right"/>
              <w:ind w:right="29"/>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02/01/2022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42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4"/>
                <w:vertAlign w:val="subscript"/>
              </w:rPr>
              <w:t>150,000</w:t>
            </w:r>
            <w:r>
              <w:rPr>
                <w:rFonts w:ascii="Arial" w:cs="Arial" w:eastAsia="Arial" w:hAnsi="Arial"/>
                <w:sz w:val="11"/>
                <w:szCs w:val="11"/>
                <w:color w:val="008000"/>
                <w:w w:val="84"/>
              </w:rPr>
              <w:t>(1)(2)(3)(4)(5)(6)</w:t>
            </w:r>
          </w:p>
        </w:tc>
        <w:tc>
          <w:tcPr>
            <w:tcW w:w="340" w:type="dxa"/>
            <w:vAlign w:val="bottom"/>
          </w:tcPr>
          <w:p>
            <w:pPr>
              <w:jc w:val="right"/>
              <w:ind w:right="29"/>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44.4441</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8,967,002</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02/02/2022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42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4"/>
                <w:vertAlign w:val="subscript"/>
              </w:rPr>
              <w:t>150,000</w:t>
            </w:r>
            <w:r>
              <w:rPr>
                <w:rFonts w:ascii="Arial" w:cs="Arial" w:eastAsia="Arial" w:hAnsi="Arial"/>
                <w:sz w:val="11"/>
                <w:szCs w:val="11"/>
                <w:color w:val="008000"/>
                <w:w w:val="84"/>
              </w:rPr>
              <w:t>(1)(2)(3)(4)(5)(6)</w:t>
            </w:r>
          </w:p>
        </w:tc>
        <w:tc>
          <w:tcPr>
            <w:tcW w:w="340" w:type="dxa"/>
            <w:vAlign w:val="bottom"/>
          </w:tcPr>
          <w:p>
            <w:pPr>
              <w:jc w:val="right"/>
              <w:ind w:right="29"/>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45.3589</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8,817,002</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80" w:type="dxa"/>
            <w:vAlign w:val="bottom"/>
            <w:gridSpan w:val="16"/>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14"/>
                <w:szCs w:val="14"/>
                <w:color w:val="auto"/>
              </w:rPr>
            </w:pPr>
          </w:p>
        </w:tc>
        <w:tc>
          <w:tcPr>
            <w:tcW w:w="58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w w:val="99"/>
              </w:rPr>
            </w:pPr>
            <w:hyperlink r:id="rId14">
              <w:r>
                <w:rPr>
                  <w:rFonts w:ascii="Arial" w:cs="Arial" w:eastAsia="Arial" w:hAnsi="Arial"/>
                  <w:sz w:val="21"/>
                  <w:szCs w:val="21"/>
                  <w:color w:val="0000EE"/>
                  <w:w w:val="99"/>
                </w:rPr>
                <w:t>ACOF Investment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Ares Management Holdings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404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9404985"/>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4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firstLine="7"/>
        <w:spacing w:after="0" w:line="30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w:t>
      </w:r>
    </w:p>
    <w:p>
      <w:pPr>
        <w:sectPr>
          <w:pgSz w:w="11900" w:h="16838" w:orient="portrait"/>
          <w:cols w:equalWidth="0" w:num="1">
            <w:col w:w="10800"/>
          </w:cols>
          <w:pgMar w:left="480" w:top="179" w:right="619" w:bottom="0" w:gutter="0" w:footer="0" w:header="0"/>
        </w:sectPr>
      </w:pPr>
    </w:p>
    <w:bookmarkStart w:id="2" w:name="page3"/>
    <w:bookmarkEnd w:id="2"/>
    <w:p>
      <w:pPr>
        <w:ind w:right="360"/>
        <w:spacing w:after="0" w:line="266" w:lineRule="auto"/>
        <w:rPr>
          <w:sz w:val="20"/>
          <w:szCs w:val="20"/>
          <w:color w:val="auto"/>
        </w:rPr>
      </w:pPr>
      <w:r>
        <w:rPr>
          <w:rFonts w:ascii="Arial" w:cs="Arial" w:eastAsia="Arial" w:hAnsi="Arial"/>
          <w:sz w:val="13"/>
          <w:szCs w:val="13"/>
          <w:color w:val="008000"/>
        </w:rPr>
        <w:t>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15" w:lineRule="exact"/>
        <w:rPr>
          <w:sz w:val="20"/>
          <w:szCs w:val="20"/>
          <w:color w:val="auto"/>
        </w:rPr>
      </w:pPr>
    </w:p>
    <w:p>
      <w:pPr>
        <w:ind w:right="12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8,817,002 shares of Common Stock by reason of the direct or indirect beneficial ownership of such shares as follows: (i) ACOF AIV 1A directly holds 480,039 shares of Common Stock, (ii) ACOF AIV 1B directly holds 1,756,698 shares of Common Stock, (iii) ACOF AIV 2 directly holds 1,789,563 shares of Common Stock, (iv) AEOF AIV A-B directly holds 1,894,861 shares of Common Stock, (v) AEOF AIV C directly holds 804,524 shares of Common Stock and (vi) AF Energy Feeder, L.P. directly holds 2,091,317 shares of Common Stock.</w:t>
      </w:r>
    </w:p>
    <w:p>
      <w:pPr>
        <w:spacing w:after="0" w:line="29" w:lineRule="exact"/>
        <w:rPr>
          <w:rFonts w:ascii="Arial" w:cs="Arial" w:eastAsia="Arial" w:hAnsi="Arial"/>
          <w:sz w:val="13"/>
          <w:szCs w:val="13"/>
          <w:color w:val="008000"/>
        </w:rPr>
      </w:pPr>
    </w:p>
    <w:p>
      <w:pPr>
        <w:ind w:right="2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500" w:top="131" w:right="49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98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Sole Member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7"/>
          <w:szCs w:val="17"/>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98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6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02/03/2022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02/03/2022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02/03/2022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02/03/2022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02/03/2022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02/03/2022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02/03/2022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02/03/2022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80"/>
            <w:col w:w="2160"/>
          </w:cols>
          <w:pgMar w:left="500" w:top="131" w:right="49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536937" TargetMode="External"/><Relationship Id="rId18"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2022-02-03T15:10:23Z</dcterms:created>
  <dcterms:modified xsi:type="dcterms:W3CDTF">2022-02-03T15:10:23Z</dcterms:modified>
</cp:coreProperties>
</file>