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16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161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Kendall Christian 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 WORLD TRADE CENTER, SUITE 1500</w:t>
      </w:r>
    </w:p>
    <w:p>
      <w:pPr>
        <w:spacing w:after="0" w:line="35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LONG BEACH 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90831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California Resources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CRC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1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3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08/13/2024</w:t>
            </w: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40" w:type="dxa"/>
            <w:vAlign w:val="bottom"/>
            <w:tcBorders>
              <w:bottom w:val="single" w:sz="8" w:color="2C2C2C"/>
            </w:tcBorders>
          </w:tcPr>
          <w:p>
            <w:pPr>
              <w:spacing w:after="0"/>
              <w:rPr>
                <w:sz w:val="8"/>
                <w:szCs w:val="8"/>
                <w:color w:val="auto"/>
              </w:rPr>
            </w:pPr>
          </w:p>
        </w:tc>
        <w:tc>
          <w:tcPr>
            <w:tcW w:w="14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08/13/2024</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20,895</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47.968</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24,600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$47.86 to $48.185, inclusive. The reporting person undertakes to provide to CRC, any security holder of CRC, or the staff of the Securities and Exchange Commission, upon request, full information regarding the number of shares purchased at each separate price within the ranges set forth in footnote (1) to this Form 4.</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Ulrik Damborg,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871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8714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in-Fact for Christian S.</w:t>
      </w:r>
      <w:r>
        <w:rPr>
          <w:sz w:val="20"/>
          <w:szCs w:val="20"/>
          <w:color w:val="auto"/>
        </w:rPr>
        <w:tab/>
      </w:r>
      <w:r>
        <w:rPr>
          <w:rFonts w:ascii="Times New Roman" w:cs="Times New Roman" w:eastAsia="Times New Roman" w:hAnsi="Times New Roman"/>
          <w:sz w:val="17"/>
          <w:szCs w:val="17"/>
          <w:color w:val="0000FF"/>
        </w:rPr>
        <w:t>08/13/2024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Kendall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479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4798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23695" TargetMode="External"/><Relationship Id="rId13"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2024-08-13T17:51:17Z</dcterms:created>
  <dcterms:modified xsi:type="dcterms:W3CDTF">2024-08-13T17:51:17Z</dcterms:modified>
</cp:coreProperties>
</file>