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25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35" w:lineRule="exact"/>
        <w:rPr>
          <w:sz w:val="24"/>
          <w:szCs w:val="24"/>
          <w:color w:val="auto"/>
        </w:rPr>
      </w:pPr>
    </w:p>
    <w:p>
      <w:pPr>
        <w:ind w:left="180"/>
        <w:spacing w:after="0"/>
        <w:rPr>
          <w:sz w:val="20"/>
          <w:szCs w:val="20"/>
          <w:color w:val="auto"/>
        </w:rPr>
      </w:pPr>
      <w:r>
        <w:rPr>
          <w:rFonts w:ascii="Arial" w:cs="Arial" w:eastAsia="Arial" w:hAnsi="Arial"/>
          <w:sz w:val="16"/>
          <w:szCs w:val="16"/>
          <w:color w:val="auto"/>
        </w:rPr>
        <w:t>For the fiscal year ended December 31, 2025</w:t>
      </w:r>
    </w:p>
    <w:p>
      <w:pPr>
        <w:spacing w:after="0" w:line="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2" w:lineRule="exact"/>
        <w:rPr>
          <w:sz w:val="24"/>
          <w:szCs w:val="24"/>
          <w:color w:val="auto"/>
        </w:rPr>
      </w:pPr>
    </w:p>
    <w:p>
      <w:pPr>
        <w:ind w:left="180"/>
        <w:spacing w:after="0"/>
        <w:tabs>
          <w:tab w:leader="none" w:pos="266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4"/>
          <w:szCs w:val="14"/>
          <w:color w:val="auto"/>
        </w:rPr>
        <w:t>to</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001-36478</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California Resources Corporation</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003" w:right="339" w:bottom="1440" w:gutter="0" w:footer="0" w:header="0"/>
        </w:sectPr>
      </w:pPr>
    </w:p>
    <w:p>
      <w:pPr>
        <w:spacing w:after="0" w:line="119"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46-5670947</w:t>
      </w:r>
    </w:p>
    <w:p>
      <w:pPr>
        <w:spacing w:after="0" w:line="32" w:lineRule="exact"/>
        <w:rPr>
          <w:sz w:val="24"/>
          <w:szCs w:val="24"/>
          <w:color w:val="auto"/>
        </w:rPr>
      </w:pPr>
    </w:p>
    <w:p>
      <w:pPr>
        <w:sectPr>
          <w:pgSz w:w="11900" w:h="16838" w:orient="portrait"/>
          <w:cols w:equalWidth="0" w:num="2">
            <w:col w:w="7220" w:space="720"/>
            <w:col w:w="3300"/>
          </w:cols>
          <w:pgMar w:left="320" w:top="1003" w:right="33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(State or other jurisdiction of</w:t>
      </w:r>
    </w:p>
    <w:p>
      <w:pPr>
        <w:ind w:left="17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rPr>
          <w:sz w:val="20"/>
          <w:szCs w:val="20"/>
          <w:color w:val="auto"/>
        </w:rPr>
      </w:pPr>
      <w:r>
        <w:rPr>
          <w:rFonts w:ascii="Arial" w:cs="Arial" w:eastAsia="Arial" w:hAnsi="Arial"/>
          <w:sz w:val="16"/>
          <w:szCs w:val="16"/>
          <w:color w:val="auto"/>
        </w:rPr>
        <w:t>Identification No.)</w:t>
      </w:r>
    </w:p>
    <w:p>
      <w:pPr>
        <w:spacing w:after="0" w:line="92" w:lineRule="exact"/>
        <w:rPr>
          <w:sz w:val="24"/>
          <w:szCs w:val="24"/>
          <w:color w:val="auto"/>
        </w:rPr>
      </w:pPr>
    </w:p>
    <w:p>
      <w:pPr>
        <w:sectPr>
          <w:pgSz w:w="11900" w:h="16838" w:orient="portrait"/>
          <w:cols w:equalWidth="0" w:num="2">
            <w:col w:w="7080" w:space="720"/>
            <w:col w:w="3440"/>
          </w:cols>
          <w:pgMar w:left="320" w:top="1003" w:right="339" w:bottom="1440" w:gutter="0" w:footer="0" w:header="0"/>
          <w:type w:val="continuous"/>
        </w:sectPr>
      </w:pPr>
    </w:p>
    <w:p>
      <w:pPr>
        <w:ind w:left="4240"/>
        <w:spacing w:after="0"/>
        <w:rPr>
          <w:sz w:val="20"/>
          <w:szCs w:val="20"/>
          <w:color w:val="auto"/>
        </w:rPr>
      </w:pPr>
      <w:r>
        <w:rPr>
          <w:rFonts w:ascii="Arial" w:cs="Arial" w:eastAsia="Arial" w:hAnsi="Arial"/>
          <w:sz w:val="18"/>
          <w:szCs w:val="18"/>
          <w:b w:val="1"/>
          <w:bCs w:val="1"/>
          <w:color w:val="auto"/>
        </w:rPr>
        <w:t>1 World Trade Center, Suite 1500</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Long Beach, California 90831</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(888) 848-4754</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1003" w:right="339" w:bottom="1440" w:gutter="0" w:footer="0" w:header="0"/>
          <w:type w:val="continuous"/>
        </w:sectPr>
      </w:pPr>
    </w:p>
    <w:p>
      <w:pPr>
        <w:spacing w:after="0" w:line="24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1003" w:right="339" w:bottom="1440" w:gutter="0" w:footer="0" w:header="0"/>
          <w:type w:val="continuous"/>
        </w:sectPr>
      </w:pPr>
    </w:p>
    <w:p>
      <w:pPr>
        <w:spacing w:after="0" w:line="140" w:lineRule="exact"/>
        <w:rPr>
          <w:sz w:val="24"/>
          <w:szCs w:val="24"/>
          <w:color w:val="auto"/>
        </w:rPr>
      </w:pPr>
    </w:p>
    <w:p>
      <w:pPr>
        <w:ind w:left="16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39" w:lineRule="exact"/>
        <w:rPr>
          <w:sz w:val="24"/>
          <w:szCs w:val="24"/>
          <w:color w:val="auto"/>
        </w:rPr>
      </w:pPr>
    </w:p>
    <w:p>
      <w:pPr>
        <w:sectPr>
          <w:pgSz w:w="11900" w:h="16838" w:orient="portrait"/>
          <w:cols w:equalWidth="0" w:num="3">
            <w:col w:w="3460" w:space="720"/>
            <w:col w:w="1520" w:space="720"/>
            <w:col w:w="4820"/>
          </w:cols>
          <w:pgMar w:left="320" w:top="1003" w:right="339" w:bottom="1440" w:gutter="0" w:footer="0" w:header="0"/>
          <w:type w:val="continuous"/>
        </w:sectPr>
      </w:pPr>
    </w:p>
    <w:p>
      <w:pPr>
        <w:jc w:val="center"/>
        <w:ind w:left="64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CRC</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000" w:space="720"/>
            <w:col w:w="1800" w:space="720"/>
            <w:col w:w="4000"/>
          </w:cols>
          <w:pgMar w:left="320" w:top="1003" w:right="339" w:bottom="1440" w:gutter="0" w:footer="0" w:header="0"/>
          <w:type w:val="continuous"/>
        </w:sectPr>
      </w:pPr>
    </w:p>
    <w:p>
      <w:pPr>
        <w:spacing w:after="0" w:line="133"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12(g) of the Act: None</w:t>
      </w:r>
    </w:p>
    <w:p>
      <w:pPr>
        <w:spacing w:after="0" w:line="35" w:lineRule="exact"/>
        <w:rPr>
          <w:sz w:val="24"/>
          <w:szCs w:val="24"/>
          <w:color w:val="auto"/>
        </w:rPr>
      </w:pPr>
    </w:p>
    <w:p>
      <w:pPr>
        <w:ind w:right="2220"/>
        <w:spacing w:after="0" w:line="251"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jc w:val="both"/>
        <w:spacing w:after="0" w:line="196"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jc w:val="both"/>
        <w:ind w:right="20"/>
        <w:spacing w:after="0" w:line="19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such shorter period as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jc w:val="both"/>
        <w:spacing w:after="0" w:line="27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03" w:right="339" w:bottom="1440" w:gutter="0" w:footer="0" w:header="0"/>
          <w:type w:val="continuous"/>
        </w:sectPr>
      </w:pPr>
    </w:p>
    <w:p>
      <w:pPr>
        <w:spacing w:after="0" w:line="100" w:lineRule="exact"/>
        <w:rPr>
          <w:sz w:val="24"/>
          <w:szCs w:val="24"/>
          <w:color w:val="auto"/>
        </w:rPr>
      </w:pPr>
    </w:p>
    <w:p>
      <w:pPr>
        <w:ind w:left="1320"/>
        <w:spacing w:after="0" w:line="339" w:lineRule="auto"/>
        <w:rPr>
          <w:sz w:val="20"/>
          <w:szCs w:val="20"/>
          <w:color w:val="auto"/>
        </w:rPr>
      </w:pPr>
      <w:r>
        <w:rPr>
          <w:rFonts w:ascii="Arial" w:cs="Arial" w:eastAsia="Arial" w:hAnsi="Arial"/>
          <w:sz w:val="15"/>
          <w:szCs w:val="15"/>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02" w:lineRule="exact"/>
        <w:rPr>
          <w:sz w:val="24"/>
          <w:szCs w:val="24"/>
          <w:color w:val="auto"/>
        </w:rPr>
      </w:pPr>
    </w:p>
    <w:p>
      <w:pPr>
        <w:sectPr>
          <w:pgSz w:w="11900" w:h="16838" w:orient="portrait"/>
          <w:cols w:equalWidth="0" w:num="6">
            <w:col w:w="3240" w:space="180"/>
            <w:col w:w="300" w:space="720"/>
            <w:col w:w="1900" w:space="160"/>
            <w:col w:w="300" w:space="720"/>
            <w:col w:w="1480" w:space="180"/>
            <w:col w:w="2060"/>
          </w:cols>
          <w:pgMar w:left="320" w:top="1003" w:right="339" w:bottom="1440" w:gutter="0" w:footer="0" w:header="0"/>
          <w:type w:val="continuous"/>
        </w:sectPr>
      </w:pPr>
    </w:p>
    <w:p>
      <w:pPr>
        <w:spacing w:after="0" w:line="55" w:lineRule="exact"/>
        <w:rPr>
          <w:sz w:val="24"/>
          <w:szCs w:val="24"/>
          <w:color w:val="auto"/>
        </w:rPr>
      </w:pPr>
    </w:p>
    <w:p>
      <w:pPr>
        <w:ind w:right="220"/>
        <w:spacing w:after="0" w:line="206"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8" w:lineRule="exact"/>
        <w:rPr>
          <w:sz w:val="24"/>
          <w:szCs w:val="24"/>
          <w:color w:val="auto"/>
        </w:rPr>
      </w:pPr>
    </w:p>
    <w:p>
      <w:pPr>
        <w:spacing w:after="0" w:line="260"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4"/>
          <w:szCs w:val="24"/>
          <w:color w:val="auto"/>
        </w:rPr>
      </w:pPr>
    </w:p>
    <w:p>
      <w:pPr>
        <w:spacing w:after="0" w:line="173" w:lineRule="exact"/>
        <w:tabs>
          <w:tab w:leader="none" w:pos="1500" w:val="left"/>
        </w:tabs>
        <w:rPr>
          <w:sz w:val="20"/>
          <w:szCs w:val="20"/>
          <w:color w:val="auto"/>
        </w:rPr>
      </w:pPr>
      <w:r>
        <w:rPr>
          <w:rFonts w:ascii="Arial" w:cs="Arial" w:eastAsia="Arial" w:hAnsi="Arial"/>
          <w:sz w:val="15"/>
          <w:szCs w:val="15"/>
          <w:color w:val="auto"/>
        </w:rPr>
        <w:t>report.</w:t>
      </w:r>
      <w:r>
        <w:rPr>
          <w:sz w:val="20"/>
          <w:szCs w:val="20"/>
          <w:color w:val="auto"/>
        </w:rPr>
        <w:tab/>
      </w:r>
      <w:r>
        <w:rPr>
          <w:rFonts w:ascii="MS PGothic" w:cs="MS PGothic" w:eastAsia="MS PGothic" w:hAnsi="MS PGothic"/>
          <w:sz w:val="15"/>
          <w:szCs w:val="15"/>
          <w:color w:val="auto"/>
        </w:rPr>
        <w:t>☑</w:t>
      </w:r>
    </w:p>
    <w:p>
      <w:pPr>
        <w:spacing w:after="0" w:line="87" w:lineRule="exact"/>
        <w:rPr>
          <w:sz w:val="24"/>
          <w:szCs w:val="24"/>
          <w:color w:val="auto"/>
        </w:rPr>
      </w:pPr>
    </w:p>
    <w:p>
      <w:pPr>
        <w:spacing w:after="0" w:line="240"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61" w:lineRule="exact"/>
        <w:rPr>
          <w:sz w:val="24"/>
          <w:szCs w:val="24"/>
          <w:color w:val="auto"/>
        </w:rPr>
      </w:pPr>
    </w:p>
    <w:p>
      <w:pPr>
        <w:spacing w:after="0" w:line="233"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27" w:lineRule="exact"/>
        <w:rPr>
          <w:sz w:val="24"/>
          <w:szCs w:val="24"/>
          <w:color w:val="auto"/>
        </w:rPr>
      </w:pPr>
    </w:p>
    <w:p>
      <w:pPr>
        <w:spacing w:after="0" w:line="173" w:lineRule="exact"/>
        <w:tabs>
          <w:tab w:leader="none" w:pos="7120" w:val="left"/>
          <w:tab w:leader="none" w:pos="76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295" w:lineRule="exact"/>
        <w:rPr>
          <w:sz w:val="24"/>
          <w:szCs w:val="24"/>
          <w:color w:val="auto"/>
        </w:rPr>
      </w:pPr>
    </w:p>
    <w:p>
      <w:pPr>
        <w:ind w:right="20"/>
        <w:spacing w:after="0" w:line="281" w:lineRule="auto"/>
        <w:rPr>
          <w:sz w:val="20"/>
          <w:szCs w:val="20"/>
          <w:color w:val="auto"/>
        </w:rPr>
      </w:pPr>
      <w:r>
        <w:rPr>
          <w:rFonts w:ascii="Arial" w:cs="Arial" w:eastAsia="Arial" w:hAnsi="Arial"/>
          <w:sz w:val="15"/>
          <w:szCs w:val="15"/>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w:t>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Common Stock aggregate market value held by non-affiliates as of June 30, 2025: $3,803,313,982.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At January 31, 2026, there were 88,597,474 shares of Common Stock outstanding.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DOCUMENTS INCORPORATED BY REFERENCE</w:t>
      </w:r>
    </w:p>
    <w:p>
      <w:pPr>
        <w:spacing w:after="0" w:line="71" w:lineRule="exact"/>
        <w:rPr>
          <w:sz w:val="20"/>
          <w:szCs w:val="20"/>
          <w:color w:val="auto"/>
        </w:rPr>
      </w:pPr>
    </w:p>
    <w:p>
      <w:pPr>
        <w:ind w:firstLine="162"/>
        <w:spacing w:after="0" w:line="283" w:lineRule="auto"/>
        <w:rPr>
          <w:sz w:val="20"/>
          <w:szCs w:val="20"/>
          <w:color w:val="auto"/>
        </w:rPr>
      </w:pPr>
      <w:r>
        <w:rPr>
          <w:rFonts w:ascii="Arial" w:cs="Arial" w:eastAsia="Arial" w:hAnsi="Arial"/>
          <w:sz w:val="15"/>
          <w:szCs w:val="15"/>
          <w:color w:val="auto"/>
        </w:rPr>
        <w:t>Portions of the Definitive Proxy Statement to be filed within 120 days after December 31, 2025 with the Securities and Exchange Commission in connection with the registrant's 2025 Annual Meeting of Stockholders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940" w:type="dxa"/>
            <w:vAlign w:val="bottom"/>
          </w:tcPr>
          <w:p>
            <w:pPr>
              <w:spacing w:after="0"/>
              <w:rPr>
                <w:sz w:val="21"/>
                <w:szCs w:val="21"/>
                <w:color w:val="auto"/>
              </w:rPr>
            </w:pPr>
          </w:p>
        </w:tc>
        <w:tc>
          <w:tcPr>
            <w:tcW w:w="7700" w:type="dxa"/>
            <w:vAlign w:val="bottom"/>
          </w:tcPr>
          <w:p>
            <w:pPr>
              <w:ind w:left="27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1"/>
        </w:trPr>
        <w:tc>
          <w:tcPr>
            <w:tcW w:w="9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7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 xml:space="preserve">Items 1 &amp; 2  </w:t>
            </w:r>
            <w:r>
              <w:rPr>
                <w:rFonts w:ascii="Arial" w:cs="Arial" w:eastAsia="Arial" w:hAnsi="Arial"/>
                <w:sz w:val="16"/>
                <w:szCs w:val="16"/>
                <w:color w:val="auto"/>
              </w:rPr>
              <w:t>BUSINESS AND PROPERTIES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Business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Business Strategy</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Oil and Natural Gas Segment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Mineral Acreage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640"/>
              <w:spacing w:after="0"/>
              <w:rPr>
                <w:sz w:val="20"/>
                <w:szCs w:val="20"/>
                <w:color w:val="auto"/>
              </w:rPr>
            </w:pPr>
            <w:r>
              <w:rPr>
                <w:rFonts w:ascii="Arial" w:cs="Arial" w:eastAsia="Arial" w:hAnsi="Arial"/>
                <w:sz w:val="16"/>
                <w:szCs w:val="16"/>
                <w:color w:val="auto"/>
              </w:rPr>
              <w:t>Production, Price and Cost History</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Estimated Proved Reserves and Future Net Cash Flows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640"/>
              <w:spacing w:after="0"/>
              <w:rPr>
                <w:sz w:val="20"/>
                <w:szCs w:val="20"/>
                <w:color w:val="auto"/>
              </w:rPr>
            </w:pPr>
            <w:r>
              <w:rPr>
                <w:rFonts w:ascii="Arial" w:cs="Arial" w:eastAsia="Arial" w:hAnsi="Arial"/>
                <w:sz w:val="16"/>
                <w:szCs w:val="16"/>
                <w:color w:val="auto"/>
              </w:rPr>
              <w:t>Drilling Statistics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Productive Wells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640"/>
              <w:spacing w:after="0"/>
              <w:rPr>
                <w:sz w:val="20"/>
                <w:szCs w:val="20"/>
                <w:color w:val="auto"/>
              </w:rPr>
            </w:pPr>
            <w:r>
              <w:rPr>
                <w:rFonts w:ascii="Arial" w:cs="Arial" w:eastAsia="Arial" w:hAnsi="Arial"/>
                <w:sz w:val="16"/>
                <w:szCs w:val="16"/>
                <w:color w:val="auto"/>
              </w:rPr>
              <w:t>Exploration Inventory</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Marketing Arrangements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640"/>
              <w:spacing w:after="0"/>
              <w:rPr>
                <w:sz w:val="20"/>
                <w:szCs w:val="20"/>
                <w:color w:val="auto"/>
              </w:rPr>
            </w:pPr>
            <w:r>
              <w:rPr>
                <w:rFonts w:ascii="Arial" w:cs="Arial" w:eastAsia="Arial" w:hAnsi="Arial"/>
                <w:sz w:val="16"/>
                <w:szCs w:val="16"/>
                <w:color w:val="auto"/>
              </w:rPr>
              <w:t>Competition</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Carbon Management Segment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6"/>
                <w:szCs w:val="16"/>
                <w:color w:val="auto"/>
              </w:rPr>
              <w:t>Responsible Net Zero Goal</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Infrastructure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Human Capital Management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Seasonality</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Regulation of the Industries in Which We Operate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Available Information</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w:t>
            </w: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1A</w:t>
            </w:r>
          </w:p>
        </w:tc>
        <w:tc>
          <w:tcPr>
            <w:tcW w:w="7700" w:type="dxa"/>
            <w:vAlign w:val="bottom"/>
          </w:tcPr>
          <w:p>
            <w:pPr>
              <w:ind w:left="200"/>
              <w:spacing w:after="0"/>
              <w:rPr>
                <w:sz w:val="20"/>
                <w:szCs w:val="20"/>
                <w:color w:val="auto"/>
              </w:rPr>
            </w:pPr>
            <w:r>
              <w:rPr>
                <w:rFonts w:ascii="Arial" w:cs="Arial" w:eastAsia="Arial" w:hAnsi="Arial"/>
                <w:sz w:val="16"/>
                <w:szCs w:val="16"/>
                <w:color w:val="auto"/>
              </w:rPr>
              <w:t>RISK FACTORS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1B</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UNRESOLVED STAFF COMMENTS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w:t>
            </w: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1C</w:t>
            </w:r>
          </w:p>
        </w:tc>
        <w:tc>
          <w:tcPr>
            <w:tcW w:w="7700" w:type="dxa"/>
            <w:vAlign w:val="bottom"/>
          </w:tcPr>
          <w:p>
            <w:pPr>
              <w:ind w:left="200"/>
              <w:spacing w:after="0"/>
              <w:rPr>
                <w:sz w:val="20"/>
                <w:szCs w:val="20"/>
                <w:color w:val="auto"/>
              </w:rPr>
            </w:pPr>
            <w:r>
              <w:rPr>
                <w:rFonts w:ascii="Arial" w:cs="Arial" w:eastAsia="Arial" w:hAnsi="Arial"/>
                <w:sz w:val="16"/>
                <w:szCs w:val="16"/>
                <w:color w:val="auto"/>
              </w:rPr>
              <w:t>CYBERSECURITY</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55</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3</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LEGAL PROCEEDINGS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w:t>
            </w: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4</w:t>
            </w:r>
          </w:p>
        </w:tc>
        <w:tc>
          <w:tcPr>
            <w:tcW w:w="7700" w:type="dxa"/>
            <w:vAlign w:val="bottom"/>
          </w:tcPr>
          <w:p>
            <w:pPr>
              <w:ind w:left="200"/>
              <w:spacing w:after="0"/>
              <w:rPr>
                <w:sz w:val="20"/>
                <w:szCs w:val="20"/>
                <w:color w:val="auto"/>
              </w:rPr>
            </w:pPr>
            <w:r>
              <w:rPr>
                <w:rFonts w:ascii="Arial" w:cs="Arial" w:eastAsia="Arial" w:hAnsi="Arial"/>
                <w:sz w:val="16"/>
                <w:szCs w:val="16"/>
                <w:color w:val="auto"/>
              </w:rPr>
              <w:t>MINE SAFETY DISCLOSURES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56</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Part II</w:t>
            </w:r>
          </w:p>
        </w:tc>
        <w:tc>
          <w:tcPr>
            <w:tcW w:w="7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5</w:t>
            </w:r>
          </w:p>
        </w:tc>
        <w:tc>
          <w:tcPr>
            <w:tcW w:w="7700" w:type="dxa"/>
            <w:vAlign w:val="bottom"/>
          </w:tcPr>
          <w:p>
            <w:pPr>
              <w:ind w:left="200"/>
              <w:spacing w:after="0"/>
              <w:rPr>
                <w:sz w:val="20"/>
                <w:szCs w:val="20"/>
                <w:color w:val="auto"/>
              </w:rPr>
            </w:pPr>
            <w:r>
              <w:rPr>
                <w:rFonts w:ascii="Arial" w:cs="Arial" w:eastAsia="Arial" w:hAnsi="Arial"/>
                <w:sz w:val="16"/>
                <w:szCs w:val="16"/>
                <w:color w:val="auto"/>
              </w:rPr>
              <w:t>MARKET FOR REGISTRANT'S COMMON EQUITY, RELATED STOCKHOLDER MATTERS AND</w:t>
            </w: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57</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ISSUER PURCHASES OF EQUITY SECURITIES</w:t>
            </w: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6</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RESERVED</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w:t>
            </w:r>
          </w:p>
        </w:tc>
        <w:tc>
          <w:tcPr>
            <w:tcW w:w="0" w:type="dxa"/>
            <w:vAlign w:val="bottom"/>
          </w:tcPr>
          <w:p>
            <w:pPr>
              <w:spacing w:after="0"/>
              <w:rPr>
                <w:sz w:val="1"/>
                <w:szCs w:val="1"/>
                <w:color w:val="auto"/>
              </w:rPr>
            </w:pPr>
          </w:p>
        </w:tc>
      </w:tr>
      <w:tr>
        <w:trPr>
          <w:trHeight w:val="162"/>
        </w:trPr>
        <w:tc>
          <w:tcPr>
            <w:tcW w:w="940" w:type="dxa"/>
            <w:vAlign w:val="bottom"/>
          </w:tcPr>
          <w:p>
            <w:pPr>
              <w:ind w:left="140"/>
              <w:spacing w:after="0" w:line="162" w:lineRule="exact"/>
              <w:rPr>
                <w:sz w:val="20"/>
                <w:szCs w:val="20"/>
                <w:color w:val="auto"/>
              </w:rPr>
            </w:pPr>
            <w:r>
              <w:rPr>
                <w:rFonts w:ascii="Arial" w:cs="Arial" w:eastAsia="Arial" w:hAnsi="Arial"/>
                <w:sz w:val="16"/>
                <w:szCs w:val="16"/>
                <w:b w:val="1"/>
                <w:bCs w:val="1"/>
                <w:color w:val="auto"/>
              </w:rPr>
              <w:t>Item 7</w:t>
            </w:r>
          </w:p>
        </w:tc>
        <w:tc>
          <w:tcPr>
            <w:tcW w:w="7700" w:type="dxa"/>
            <w:vAlign w:val="bottom"/>
          </w:tcPr>
          <w:p>
            <w:pPr>
              <w:ind w:left="200"/>
              <w:spacing w:after="0" w:line="162" w:lineRule="exact"/>
              <w:rPr>
                <w:sz w:val="20"/>
                <w:szCs w:val="20"/>
                <w:color w:val="auto"/>
              </w:rPr>
            </w:pPr>
            <w:r>
              <w:rPr>
                <w:rFonts w:ascii="Arial" w:cs="Arial" w:eastAsia="Arial" w:hAnsi="Arial"/>
                <w:sz w:val="16"/>
                <w:szCs w:val="16"/>
                <w:color w:val="auto"/>
              </w:rPr>
              <w:t>MANAGEMENT'S DISCUSSION AND ANALYSIS OF FINANCIAL CONDITION AND RESULTS OF</w:t>
            </w: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OPERATIONS</w:t>
            </w: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Basis of Presentation</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Statement of Operations Analysis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61</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Segment Results of Oil and Natural Gas Operations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Results of Our Carbon Management Segment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Liquidity and Capital Resources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Transactions Related to Our Common Stock</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71</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Uses of Cash</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Divestitures and Acquisitions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Lawsuits, Claims, Commitments and Contingencies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Critical Accounting Estimates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Forward-Looking Statements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w:t>
            </w: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7A</w:t>
            </w:r>
          </w:p>
        </w:tc>
        <w:tc>
          <w:tcPr>
            <w:tcW w:w="7700" w:type="dxa"/>
            <w:vAlign w:val="bottom"/>
          </w:tcPr>
          <w:p>
            <w:pPr>
              <w:ind w:left="200"/>
              <w:spacing w:after="0"/>
              <w:rPr>
                <w:sz w:val="20"/>
                <w:szCs w:val="20"/>
                <w:color w:val="auto"/>
              </w:rPr>
            </w:pPr>
            <w:r>
              <w:rPr>
                <w:rFonts w:ascii="Arial" w:cs="Arial" w:eastAsia="Arial" w:hAnsi="Arial"/>
                <w:sz w:val="16"/>
                <w:szCs w:val="16"/>
                <w:color w:val="auto"/>
              </w:rPr>
              <w:t>QUANTITATIVE AND QUALITATIVE DISCLOSURES ABOUT MARKET RISK</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81</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8</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FINANCIAL STATEMENTS AND SUPPLEMENTARY DATA</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Report of Independent Registered Public Accounting Firm</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Consolidated Balance Sheets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00"/>
          </w:cols>
          <w:pgMar w:left="1340" w:top="1039" w:right="1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7"/>
        </w:trPr>
        <w:tc>
          <w:tcPr>
            <w:tcW w:w="9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Page</w:t>
            </w:r>
          </w:p>
        </w:tc>
      </w:tr>
      <w:tr>
        <w:trPr>
          <w:trHeight w:val="209"/>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Consolidated Statements of Operations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86</w:t>
            </w: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Consolidated Statements of Comprehensive Income (Loss)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w:t>
            </w: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Consolidated Statements of Changes in Stockholders' Equity (Deficit)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88</w:t>
            </w: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Consolidated Statements of Cash Flows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w:t>
            </w: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Notes to Consolidated Financial Statements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90</w:t>
            </w: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Supplemental Oil and Gas Information (Unaudited)</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146</w:t>
            </w:r>
          </w:p>
        </w:tc>
      </w:tr>
      <w:tr>
        <w:trPr>
          <w:trHeight w:val="162"/>
        </w:trPr>
        <w:tc>
          <w:tcPr>
            <w:tcW w:w="940" w:type="dxa"/>
            <w:vAlign w:val="bottom"/>
          </w:tcPr>
          <w:p>
            <w:pPr>
              <w:ind w:left="140"/>
              <w:spacing w:after="0" w:line="162" w:lineRule="exact"/>
              <w:rPr>
                <w:sz w:val="20"/>
                <w:szCs w:val="20"/>
                <w:color w:val="auto"/>
              </w:rPr>
            </w:pPr>
            <w:r>
              <w:rPr>
                <w:rFonts w:ascii="Arial" w:cs="Arial" w:eastAsia="Arial" w:hAnsi="Arial"/>
                <w:sz w:val="16"/>
                <w:szCs w:val="16"/>
                <w:b w:val="1"/>
                <w:bCs w:val="1"/>
                <w:color w:val="auto"/>
              </w:rPr>
              <w:t>Item 9</w:t>
            </w:r>
          </w:p>
        </w:tc>
        <w:tc>
          <w:tcPr>
            <w:tcW w:w="7700" w:type="dxa"/>
            <w:vAlign w:val="bottom"/>
          </w:tcPr>
          <w:p>
            <w:pPr>
              <w:ind w:left="200"/>
              <w:spacing w:after="0" w:line="162" w:lineRule="exact"/>
              <w:rPr>
                <w:sz w:val="20"/>
                <w:szCs w:val="20"/>
                <w:color w:val="auto"/>
              </w:rPr>
            </w:pPr>
            <w:r>
              <w:rPr>
                <w:rFonts w:ascii="Arial" w:cs="Arial" w:eastAsia="Arial" w:hAnsi="Arial"/>
                <w:sz w:val="16"/>
                <w:szCs w:val="16"/>
                <w:color w:val="auto"/>
              </w:rPr>
              <w:t>CHANGES IN AND DISAGREEMENTS WITH ACCOUNTANTS ON ACCOUNTING AND FINANCIAL</w:t>
            </w:r>
          </w:p>
        </w:tc>
        <w:tc>
          <w:tcPr>
            <w:tcW w:w="560" w:type="dxa"/>
            <w:vAlign w:val="bottom"/>
          </w:tcPr>
          <w:p>
            <w:pPr>
              <w:spacing w:after="0"/>
              <w:rPr>
                <w:sz w:val="14"/>
                <w:szCs w:val="14"/>
                <w:color w:val="auto"/>
              </w:rPr>
            </w:pPr>
          </w:p>
        </w:tc>
      </w:tr>
      <w:tr>
        <w:trPr>
          <w:trHeight w:val="257"/>
        </w:trPr>
        <w:tc>
          <w:tcPr>
            <w:tcW w:w="940" w:type="dxa"/>
            <w:vAlign w:val="bottom"/>
          </w:tcPr>
          <w:p>
            <w:pPr>
              <w:spacing w:after="0"/>
              <w:rPr>
                <w:sz w:val="22"/>
                <w:szCs w:val="22"/>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DISCLOSURE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147</w:t>
            </w:r>
          </w:p>
        </w:tc>
      </w:tr>
      <w:tr>
        <w:trPr>
          <w:trHeight w:val="216"/>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9A</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CONTROLS AND PROCEDURES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147</w:t>
            </w: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9B</w:t>
            </w:r>
          </w:p>
        </w:tc>
        <w:tc>
          <w:tcPr>
            <w:tcW w:w="7700" w:type="dxa"/>
            <w:vAlign w:val="bottom"/>
          </w:tcPr>
          <w:p>
            <w:pPr>
              <w:ind w:left="200"/>
              <w:spacing w:after="0"/>
              <w:rPr>
                <w:sz w:val="20"/>
                <w:szCs w:val="20"/>
                <w:color w:val="auto"/>
              </w:rPr>
            </w:pPr>
            <w:r>
              <w:rPr>
                <w:rFonts w:ascii="Arial" w:cs="Arial" w:eastAsia="Arial" w:hAnsi="Arial"/>
                <w:sz w:val="16"/>
                <w:szCs w:val="16"/>
                <w:color w:val="auto"/>
              </w:rPr>
              <w:t>OTHER INFORMATION</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148</w:t>
            </w:r>
          </w:p>
        </w:tc>
      </w:tr>
      <w:tr>
        <w:trPr>
          <w:trHeight w:val="216"/>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9C</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DISCLOSURE REGARDING FOREIGN JURISDICTIONS THAT PREVENT INSPECTIONS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148</w:t>
            </w:r>
          </w:p>
        </w:tc>
      </w:tr>
      <w:tr>
        <w:trPr>
          <w:trHeight w:val="216"/>
        </w:trPr>
        <w:tc>
          <w:tcPr>
            <w:tcW w:w="940" w:type="dxa"/>
            <w:vAlign w:val="bottom"/>
          </w:tcPr>
          <w:p>
            <w:pPr>
              <w:ind w:left="20"/>
              <w:spacing w:after="0"/>
              <w:rPr>
                <w:sz w:val="20"/>
                <w:szCs w:val="20"/>
                <w:color w:val="auto"/>
              </w:rPr>
            </w:pPr>
            <w:r>
              <w:rPr>
                <w:rFonts w:ascii="Arial" w:cs="Arial" w:eastAsia="Arial" w:hAnsi="Arial"/>
                <w:sz w:val="16"/>
                <w:szCs w:val="16"/>
                <w:b w:val="1"/>
                <w:bCs w:val="1"/>
                <w:color w:val="auto"/>
              </w:rPr>
              <w:t>Part III</w:t>
            </w:r>
          </w:p>
        </w:tc>
        <w:tc>
          <w:tcPr>
            <w:tcW w:w="77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10</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DIRECTORS, EXECUTIVE OFFICERS AND CORPORATE GOVERNANCE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w:t>
            </w:r>
          </w:p>
        </w:tc>
      </w:tr>
      <w:tr>
        <w:trPr>
          <w:trHeight w:val="216"/>
        </w:trPr>
        <w:tc>
          <w:tcPr>
            <w:tcW w:w="94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EXECUTIVE OFFICERS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149</w:t>
            </w:r>
          </w:p>
        </w:tc>
      </w:tr>
      <w:tr>
        <w:trPr>
          <w:trHeight w:val="216"/>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11</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EXECUTIVE COMPENSATION</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w:t>
            </w:r>
          </w:p>
        </w:tc>
      </w:tr>
      <w:tr>
        <w:trPr>
          <w:trHeight w:val="162"/>
        </w:trPr>
        <w:tc>
          <w:tcPr>
            <w:tcW w:w="940" w:type="dxa"/>
            <w:vAlign w:val="bottom"/>
          </w:tcPr>
          <w:p>
            <w:pPr>
              <w:ind w:left="140"/>
              <w:spacing w:after="0" w:line="162" w:lineRule="exact"/>
              <w:rPr>
                <w:sz w:val="20"/>
                <w:szCs w:val="20"/>
                <w:color w:val="auto"/>
              </w:rPr>
            </w:pPr>
            <w:r>
              <w:rPr>
                <w:rFonts w:ascii="Arial" w:cs="Arial" w:eastAsia="Arial" w:hAnsi="Arial"/>
                <w:sz w:val="16"/>
                <w:szCs w:val="16"/>
                <w:b w:val="1"/>
                <w:bCs w:val="1"/>
                <w:color w:val="auto"/>
              </w:rPr>
              <w:t>Item 12</w:t>
            </w:r>
          </w:p>
        </w:tc>
        <w:tc>
          <w:tcPr>
            <w:tcW w:w="7700" w:type="dxa"/>
            <w:vAlign w:val="bottom"/>
          </w:tcPr>
          <w:p>
            <w:pPr>
              <w:ind w:left="200"/>
              <w:spacing w:after="0" w:line="162" w:lineRule="exact"/>
              <w:rPr>
                <w:sz w:val="20"/>
                <w:szCs w:val="20"/>
                <w:color w:val="auto"/>
              </w:rPr>
            </w:pPr>
            <w:r>
              <w:rPr>
                <w:rFonts w:ascii="Arial" w:cs="Arial" w:eastAsia="Arial" w:hAnsi="Arial"/>
                <w:sz w:val="16"/>
                <w:szCs w:val="16"/>
                <w:color w:val="auto"/>
              </w:rPr>
              <w:t>SECURITY OWNERSHIP OF CERTAIN BENEFICIAL OWNERS AND MANAGEMENT AND RELATED</w:t>
            </w:r>
          </w:p>
        </w:tc>
        <w:tc>
          <w:tcPr>
            <w:tcW w:w="5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150</w:t>
            </w:r>
          </w:p>
        </w:tc>
      </w:tr>
      <w:tr>
        <w:trPr>
          <w:trHeight w:val="215"/>
        </w:trPr>
        <w:tc>
          <w:tcPr>
            <w:tcW w:w="94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STOCKHOLDER MATTERS</w:t>
            </w:r>
          </w:p>
        </w:tc>
        <w:tc>
          <w:tcPr>
            <w:tcW w:w="560" w:type="dxa"/>
            <w:vAlign w:val="bottom"/>
          </w:tcPr>
          <w:p>
            <w:pPr>
              <w:spacing w:after="0"/>
              <w:rPr>
                <w:sz w:val="18"/>
                <w:szCs w:val="18"/>
                <w:color w:val="auto"/>
              </w:rPr>
            </w:pPr>
          </w:p>
        </w:tc>
      </w:tr>
      <w:tr>
        <w:trPr>
          <w:trHeight w:val="217"/>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13</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w:t>
            </w: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14</w:t>
            </w:r>
          </w:p>
        </w:tc>
        <w:tc>
          <w:tcPr>
            <w:tcW w:w="7700" w:type="dxa"/>
            <w:vAlign w:val="bottom"/>
          </w:tcPr>
          <w:p>
            <w:pPr>
              <w:ind w:left="200"/>
              <w:spacing w:after="0"/>
              <w:rPr>
                <w:sz w:val="20"/>
                <w:szCs w:val="20"/>
                <w:color w:val="auto"/>
              </w:rPr>
            </w:pPr>
            <w:r>
              <w:rPr>
                <w:rFonts w:ascii="Arial" w:cs="Arial" w:eastAsia="Arial" w:hAnsi="Arial"/>
                <w:sz w:val="16"/>
                <w:szCs w:val="16"/>
                <w:color w:val="auto"/>
              </w:rPr>
              <w:t>PRINCIPAL ACCOUNTANT FEES AND SERVICES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150</w:t>
            </w:r>
          </w:p>
        </w:tc>
      </w:tr>
      <w:tr>
        <w:trPr>
          <w:trHeight w:val="216"/>
        </w:trPr>
        <w:tc>
          <w:tcPr>
            <w:tcW w:w="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Part IV</w:t>
            </w:r>
          </w:p>
        </w:tc>
        <w:tc>
          <w:tcPr>
            <w:tcW w:w="7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3"/>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15</w:t>
            </w:r>
          </w:p>
        </w:tc>
        <w:tc>
          <w:tcPr>
            <w:tcW w:w="7700" w:type="dxa"/>
            <w:vAlign w:val="bottom"/>
          </w:tcPr>
          <w:p>
            <w:pPr>
              <w:ind w:left="200"/>
              <w:spacing w:after="0"/>
              <w:rPr>
                <w:sz w:val="20"/>
                <w:szCs w:val="20"/>
                <w:color w:val="auto"/>
              </w:rPr>
            </w:pPr>
            <w:r>
              <w:rPr>
                <w:rFonts w:ascii="Arial" w:cs="Arial" w:eastAsia="Arial" w:hAnsi="Arial"/>
                <w:sz w:val="16"/>
                <w:szCs w:val="16"/>
                <w:color w:val="auto"/>
              </w:rPr>
              <w:t>EXHIBITS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00"/>
          </w:cols>
          <w:pgMar w:left="1340" w:top="1165" w:right="1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GLOSSARY AND SELECTED ABBREVIATIONS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abbreviations and definitions of certain terms used within this Form 10-K:</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 </w:t>
      </w:r>
      <w:r>
        <w:rPr>
          <w:rFonts w:ascii="Arial" w:cs="Arial" w:eastAsia="Arial" w:hAnsi="Arial"/>
          <w:sz w:val="18"/>
          <w:szCs w:val="18"/>
          <w:color w:val="auto"/>
        </w:rPr>
        <w:t>- Assembly Bill</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ABR </w:t>
      </w:r>
      <w:r>
        <w:rPr>
          <w:rFonts w:ascii="Arial" w:cs="Arial" w:eastAsia="Arial" w:hAnsi="Arial"/>
          <w:sz w:val="18"/>
          <w:szCs w:val="18"/>
          <w:color w:val="auto"/>
        </w:rPr>
        <w:t>- Alternate base rate.</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Aera </w:t>
      </w:r>
      <w:r>
        <w:rPr>
          <w:rFonts w:ascii="Arial" w:cs="Arial" w:eastAsia="Arial" w:hAnsi="Arial"/>
          <w:sz w:val="18"/>
          <w:szCs w:val="18"/>
          <w:color w:val="auto"/>
        </w:rPr>
        <w:t>- Aera Energy LLC.</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Aera Merger </w:t>
      </w:r>
      <w:r>
        <w:rPr>
          <w:rFonts w:ascii="Arial" w:cs="Arial" w:eastAsia="Arial" w:hAnsi="Arial"/>
          <w:sz w:val="18"/>
          <w:szCs w:val="18"/>
          <w:color w:val="auto"/>
        </w:rPr>
        <w:t>- The transactions contemplated by the definitive agreement and plan of merger entered into on February 7, 2024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obtain all the ownership interests in Aera in an all-stock transaction.</w:t>
      </w: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ASC </w:t>
      </w:r>
      <w:r>
        <w:rPr>
          <w:rFonts w:ascii="Arial" w:cs="Arial" w:eastAsia="Arial" w:hAnsi="Arial"/>
          <w:sz w:val="18"/>
          <w:szCs w:val="18"/>
          <w:color w:val="auto"/>
        </w:rPr>
        <w:t>- Accounting Standards Codification.</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ARO </w:t>
      </w:r>
      <w:r>
        <w:rPr>
          <w:rFonts w:ascii="Arial" w:cs="Arial" w:eastAsia="Arial" w:hAnsi="Arial"/>
          <w:sz w:val="18"/>
          <w:szCs w:val="18"/>
          <w:color w:val="auto"/>
        </w:rPr>
        <w:t>- Asset retirement obligation.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 </w:t>
      </w:r>
      <w:r>
        <w:rPr>
          <w:rFonts w:ascii="Arial" w:cs="Arial" w:eastAsia="Arial" w:hAnsi="Arial"/>
          <w:sz w:val="18"/>
          <w:szCs w:val="18"/>
          <w:color w:val="auto"/>
        </w:rPr>
        <w:t>-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Bbl/d </w:t>
      </w:r>
      <w:r>
        <w:rPr>
          <w:rFonts w:ascii="Arial" w:cs="Arial" w:eastAsia="Arial" w:hAnsi="Arial"/>
          <w:sz w:val="18"/>
          <w:szCs w:val="18"/>
          <w:color w:val="auto"/>
        </w:rPr>
        <w:t>- Barrels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Bcf </w:t>
      </w:r>
      <w:r>
        <w:rPr>
          <w:rFonts w:ascii="Arial" w:cs="Arial" w:eastAsia="Arial" w:hAnsi="Arial"/>
          <w:sz w:val="18"/>
          <w:szCs w:val="18"/>
          <w:color w:val="auto"/>
        </w:rPr>
        <w:t>- Billion cubic feet.</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Bcfe </w:t>
      </w:r>
      <w:r>
        <w:rPr>
          <w:rFonts w:ascii="Arial" w:cs="Arial" w:eastAsia="Arial" w:hAnsi="Arial"/>
          <w:sz w:val="18"/>
          <w:szCs w:val="18"/>
          <w:color w:val="auto"/>
        </w:rPr>
        <w:t>- Billion cubic feet of natural gas equivalent using the ratio of one barrel of oil, condensate, or NGLs converted to six thousand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cubic feet of natural gas.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Berry </w:t>
      </w:r>
      <w:r>
        <w:rPr>
          <w:rFonts w:ascii="Arial" w:cs="Arial" w:eastAsia="Arial" w:hAnsi="Arial"/>
          <w:sz w:val="18"/>
          <w:szCs w:val="18"/>
          <w:color w:val="auto"/>
        </w:rPr>
        <w:t>- Berry Corporation (bry).</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Berry Merger </w:t>
      </w:r>
      <w:r>
        <w:rPr>
          <w:rFonts w:ascii="Arial" w:cs="Arial" w:eastAsia="Arial" w:hAnsi="Arial"/>
          <w:sz w:val="18"/>
          <w:szCs w:val="18"/>
          <w:color w:val="auto"/>
        </w:rPr>
        <w:t>- The transactions contemplated by the definitive agreement and plan of merger entered into on September 14, 2025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combine with Berry in an all-stock transaction.</w:t>
      </w:r>
    </w:p>
    <w:p>
      <w:pPr>
        <w:ind w:left="660" w:right="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 </w:t>
      </w:r>
      <w:r>
        <w:rPr>
          <w:rFonts w:ascii="Arial" w:cs="Arial" w:eastAsia="Arial" w:hAnsi="Arial"/>
          <w:sz w:val="18"/>
          <w:szCs w:val="18"/>
          <w:color w:val="auto"/>
        </w:rPr>
        <w:t>- We convert natural gas volumes to crude oil equivalents using a ratio of six thousand cubic feet (Mcf) to one barrel of crude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 based on energy content. This is a widely used conversion method in the oil and natural gas industry.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Boe/d </w:t>
      </w:r>
      <w:r>
        <w:rPr>
          <w:rFonts w:ascii="Arial" w:cs="Arial" w:eastAsia="Arial" w:hAnsi="Arial"/>
          <w:sz w:val="18"/>
          <w:szCs w:val="18"/>
          <w:color w:val="auto"/>
        </w:rPr>
        <w:t>- Barrel of oil equivalent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Brookfield </w:t>
      </w:r>
      <w:r>
        <w:rPr>
          <w:rFonts w:ascii="Arial" w:cs="Arial" w:eastAsia="Arial" w:hAnsi="Arial"/>
          <w:sz w:val="18"/>
          <w:szCs w:val="18"/>
          <w:color w:val="auto"/>
        </w:rPr>
        <w:t>- BGTF Sierra Aggregator LLC.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Btu </w:t>
      </w:r>
      <w:r>
        <w:rPr>
          <w:rFonts w:ascii="Arial" w:cs="Arial" w:eastAsia="Arial" w:hAnsi="Arial"/>
          <w:sz w:val="18"/>
          <w:szCs w:val="18"/>
          <w:color w:val="auto"/>
        </w:rPr>
        <w:t>- British thermal unit.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CalGEM </w:t>
      </w:r>
      <w:r>
        <w:rPr>
          <w:rFonts w:ascii="Arial" w:cs="Arial" w:eastAsia="Arial" w:hAnsi="Arial"/>
          <w:sz w:val="18"/>
          <w:szCs w:val="18"/>
          <w:color w:val="auto"/>
        </w:rPr>
        <w:t>- California Geologic Energy Management Division.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CAISO </w:t>
      </w:r>
      <w:r>
        <w:rPr>
          <w:rFonts w:ascii="Arial" w:cs="Arial" w:eastAsia="Arial" w:hAnsi="Arial"/>
          <w:sz w:val="18"/>
          <w:szCs w:val="18"/>
          <w:color w:val="auto"/>
        </w:rPr>
        <w:t>- California Independent System Operator.</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Carbon TerraVault JV </w:t>
      </w:r>
      <w:r>
        <w:rPr>
          <w:rFonts w:ascii="Arial" w:cs="Arial" w:eastAsia="Arial" w:hAnsi="Arial"/>
          <w:sz w:val="18"/>
          <w:szCs w:val="18"/>
          <w:color w:val="auto"/>
        </w:rPr>
        <w:t>- A joint venture between our wholly-owned subsidiary Carbon TerraVault I, LLC with Brookfield for the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a carbon management business in California.</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CCS </w:t>
      </w:r>
      <w:r>
        <w:rPr>
          <w:rFonts w:ascii="Arial" w:cs="Arial" w:eastAsia="Arial" w:hAnsi="Arial"/>
          <w:sz w:val="18"/>
          <w:szCs w:val="18"/>
          <w:color w:val="auto"/>
        </w:rPr>
        <w:t>- Carbon capture and storage.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CDMA </w:t>
      </w:r>
      <w:r>
        <w:rPr>
          <w:rFonts w:ascii="Arial" w:cs="Arial" w:eastAsia="Arial" w:hAnsi="Arial"/>
          <w:sz w:val="18"/>
          <w:szCs w:val="18"/>
          <w:color w:val="auto"/>
        </w:rPr>
        <w:t>- Carbon Dioxide Management Agreement.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CEQA </w:t>
      </w:r>
      <w:r>
        <w:rPr>
          <w:rFonts w:ascii="Arial" w:cs="Arial" w:eastAsia="Arial" w:hAnsi="Arial"/>
          <w:sz w:val="18"/>
          <w:szCs w:val="18"/>
          <w:color w:val="auto"/>
        </w:rPr>
        <w:t>- California Environmental Quality Act.</w:t>
      </w:r>
    </w:p>
    <w:p>
      <w:pPr>
        <w:spacing w:after="0" w:line="9" w:lineRule="exact"/>
        <w:rPr>
          <w:rFonts w:ascii="Arial" w:cs="Arial" w:eastAsia="Arial" w:hAnsi="Arial"/>
          <w:sz w:val="18"/>
          <w:szCs w:val="18"/>
          <w:color w:val="auto"/>
        </w:rPr>
      </w:pPr>
    </w:p>
    <w:p>
      <w:pPr>
        <w:ind w:left="660" w:hanging="328"/>
        <w:spacing w:after="0" w:line="19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w:t>
      </w:r>
      <w:r>
        <w:rPr>
          <w:rFonts w:ascii="Arial" w:cs="Arial" w:eastAsia="Arial" w:hAnsi="Arial"/>
          <w:sz w:val="23"/>
          <w:szCs w:val="23"/>
          <w:b w:val="1"/>
          <w:bCs w:val="1"/>
          <w:i w:val="1"/>
          <w:iCs w:val="1"/>
          <w:color w:val="auto"/>
          <w:vertAlign w:val="subscript"/>
        </w:rPr>
        <w:t>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Carbon dioxide.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DAC </w:t>
      </w:r>
      <w:r>
        <w:rPr>
          <w:rFonts w:ascii="Arial" w:cs="Arial" w:eastAsia="Arial" w:hAnsi="Arial"/>
          <w:sz w:val="18"/>
          <w:szCs w:val="18"/>
          <w:color w:val="auto"/>
        </w:rPr>
        <w:t>- Direct air capture.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DD&amp;A </w:t>
      </w:r>
      <w:r>
        <w:rPr>
          <w:rFonts w:ascii="Arial" w:cs="Arial" w:eastAsia="Arial" w:hAnsi="Arial"/>
          <w:sz w:val="18"/>
          <w:szCs w:val="18"/>
          <w:color w:val="auto"/>
        </w:rPr>
        <w:t>- Depletion, depreciation, and amortization.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EOR </w:t>
      </w:r>
      <w:r>
        <w:rPr>
          <w:rFonts w:ascii="Arial" w:cs="Arial" w:eastAsia="Arial" w:hAnsi="Arial"/>
          <w:sz w:val="18"/>
          <w:szCs w:val="18"/>
          <w:color w:val="auto"/>
        </w:rPr>
        <w:t>- Enhanced oil recovery.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EPA </w:t>
      </w:r>
      <w:r>
        <w:rPr>
          <w:rFonts w:ascii="Arial" w:cs="Arial" w:eastAsia="Arial" w:hAnsi="Arial"/>
          <w:sz w:val="18"/>
          <w:szCs w:val="18"/>
          <w:color w:val="auto"/>
        </w:rPr>
        <w:t>- United States Environmental Protection Agency.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ESG </w:t>
      </w:r>
      <w:r>
        <w:rPr>
          <w:rFonts w:ascii="Arial" w:cs="Arial" w:eastAsia="Arial" w:hAnsi="Arial"/>
          <w:sz w:val="18"/>
          <w:szCs w:val="18"/>
          <w:color w:val="auto"/>
        </w:rPr>
        <w:t>- Environmental, social and governance.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E&amp;P </w:t>
      </w:r>
      <w:r>
        <w:rPr>
          <w:rFonts w:ascii="Arial" w:cs="Arial" w:eastAsia="Arial" w:hAnsi="Arial"/>
          <w:sz w:val="18"/>
          <w:szCs w:val="18"/>
          <w:color w:val="auto"/>
        </w:rPr>
        <w:t>- Exploration and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GAAP </w:t>
      </w:r>
      <w:r>
        <w:rPr>
          <w:rFonts w:ascii="Arial" w:cs="Arial" w:eastAsia="Arial" w:hAnsi="Arial"/>
          <w:sz w:val="18"/>
          <w:szCs w:val="18"/>
          <w:color w:val="auto"/>
        </w:rPr>
        <w:t>- United States Generally Accepted Accounting Principles.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G&amp;A </w:t>
      </w:r>
      <w:r>
        <w:rPr>
          <w:rFonts w:ascii="Arial" w:cs="Arial" w:eastAsia="Arial" w:hAnsi="Arial"/>
          <w:sz w:val="18"/>
          <w:szCs w:val="18"/>
          <w:color w:val="auto"/>
        </w:rPr>
        <w:t>- General and administrative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GHG </w:t>
      </w:r>
      <w:r>
        <w:rPr>
          <w:rFonts w:ascii="Arial" w:cs="Arial" w:eastAsia="Arial" w:hAnsi="Arial"/>
          <w:sz w:val="18"/>
          <w:szCs w:val="18"/>
          <w:color w:val="auto"/>
        </w:rPr>
        <w:t>- Greenhouse gases.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JV </w:t>
      </w:r>
      <w:r>
        <w:rPr>
          <w:rFonts w:ascii="Arial" w:cs="Arial" w:eastAsia="Arial" w:hAnsi="Arial"/>
          <w:sz w:val="18"/>
          <w:szCs w:val="18"/>
          <w:color w:val="auto"/>
        </w:rPr>
        <w:t>- Joint venture.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KMTPA </w:t>
      </w:r>
      <w:r>
        <w:rPr>
          <w:rFonts w:ascii="Arial" w:cs="Arial" w:eastAsia="Arial" w:hAnsi="Arial"/>
          <w:sz w:val="18"/>
          <w:szCs w:val="18"/>
          <w:color w:val="auto"/>
        </w:rPr>
        <w:t>- Thousand metric tons per annum.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LCFS </w:t>
      </w:r>
      <w:r>
        <w:rPr>
          <w:rFonts w:ascii="Arial" w:cs="Arial" w:eastAsia="Arial" w:hAnsi="Arial"/>
          <w:sz w:val="18"/>
          <w:szCs w:val="18"/>
          <w:color w:val="auto"/>
        </w:rPr>
        <w:t>- Low Carbon Fuel Standard.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MBbl </w:t>
      </w:r>
      <w:r>
        <w:rPr>
          <w:rFonts w:ascii="Arial" w:cs="Arial" w:eastAsia="Arial" w:hAnsi="Arial"/>
          <w:sz w:val="18"/>
          <w:szCs w:val="18"/>
          <w:color w:val="auto"/>
        </w:rPr>
        <w:t>- One thousand barrels of crude oil, condensate or NGLs.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MBbl/d </w:t>
      </w:r>
      <w:r>
        <w:rPr>
          <w:rFonts w:ascii="Arial" w:cs="Arial" w:eastAsia="Arial" w:hAnsi="Arial"/>
          <w:sz w:val="18"/>
          <w:szCs w:val="18"/>
          <w:color w:val="auto"/>
        </w:rPr>
        <w:t>- One thousand barrels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MBoe/d </w:t>
      </w:r>
      <w:r>
        <w:rPr>
          <w:rFonts w:ascii="Arial" w:cs="Arial" w:eastAsia="Arial" w:hAnsi="Arial"/>
          <w:sz w:val="18"/>
          <w:szCs w:val="18"/>
          <w:color w:val="auto"/>
        </w:rPr>
        <w:t>- One thousand barrels of oil equivalent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MBw/d </w:t>
      </w:r>
      <w:r>
        <w:rPr>
          <w:rFonts w:ascii="Arial" w:cs="Arial" w:eastAsia="Arial" w:hAnsi="Arial"/>
          <w:sz w:val="18"/>
          <w:szCs w:val="18"/>
          <w:color w:val="auto"/>
        </w:rPr>
        <w:t>- One thousand barrels of water per day</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Mcf </w:t>
      </w:r>
      <w:r>
        <w:rPr>
          <w:rFonts w:ascii="Arial" w:cs="Arial" w:eastAsia="Arial" w:hAnsi="Arial"/>
          <w:sz w:val="18"/>
          <w:szCs w:val="18"/>
          <w:color w:val="auto"/>
        </w:rPr>
        <w:t>- One thousand cubic feet of natural gas equivalent, with liquids converted to an equivalent volume of natural gas using the ratio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one barrel of oil to six thousand cubic feet of natural gas.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MHp </w:t>
      </w:r>
      <w:r>
        <w:rPr>
          <w:rFonts w:ascii="Arial" w:cs="Arial" w:eastAsia="Arial" w:hAnsi="Arial"/>
          <w:sz w:val="18"/>
          <w:szCs w:val="18"/>
          <w:color w:val="auto"/>
        </w:rPr>
        <w:t>- One thousand horsepower.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MMBbl </w:t>
      </w:r>
      <w:r>
        <w:rPr>
          <w:rFonts w:ascii="Arial" w:cs="Arial" w:eastAsia="Arial" w:hAnsi="Arial"/>
          <w:sz w:val="18"/>
          <w:szCs w:val="18"/>
          <w:color w:val="auto"/>
        </w:rPr>
        <w:t>- One million barrels of crude oil, condensate or NGLs.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MMBoe </w:t>
      </w:r>
      <w:r>
        <w:rPr>
          <w:rFonts w:ascii="Arial" w:cs="Arial" w:eastAsia="Arial" w:hAnsi="Arial"/>
          <w:sz w:val="18"/>
          <w:szCs w:val="18"/>
          <w:color w:val="auto"/>
        </w:rPr>
        <w:t>- One million barrels of oil equivalent.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MMBtu </w:t>
      </w:r>
      <w:r>
        <w:rPr>
          <w:rFonts w:ascii="Arial" w:cs="Arial" w:eastAsia="Arial" w:hAnsi="Arial"/>
          <w:sz w:val="18"/>
          <w:szCs w:val="18"/>
          <w:color w:val="auto"/>
        </w:rPr>
        <w:t>- One million British thermal units.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MMcf/d </w:t>
      </w:r>
      <w:r>
        <w:rPr>
          <w:rFonts w:ascii="Arial" w:cs="Arial" w:eastAsia="Arial" w:hAnsi="Arial"/>
          <w:sz w:val="18"/>
          <w:szCs w:val="18"/>
          <w:color w:val="auto"/>
        </w:rPr>
        <w:t>- One million cubic feet of natural gas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MMT </w:t>
      </w:r>
      <w:r>
        <w:rPr>
          <w:rFonts w:ascii="Arial" w:cs="Arial" w:eastAsia="Arial" w:hAnsi="Arial"/>
          <w:sz w:val="18"/>
          <w:szCs w:val="18"/>
          <w:color w:val="auto"/>
        </w:rPr>
        <w:t>- Million metric tons.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MMTPA </w:t>
      </w:r>
      <w:r>
        <w:rPr>
          <w:rFonts w:ascii="Arial" w:cs="Arial" w:eastAsia="Arial" w:hAnsi="Arial"/>
          <w:sz w:val="18"/>
          <w:szCs w:val="18"/>
          <w:color w:val="auto"/>
        </w:rPr>
        <w:t>- Million metric tons per annum.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MW </w:t>
      </w:r>
      <w:r>
        <w:rPr>
          <w:rFonts w:ascii="Arial" w:cs="Arial" w:eastAsia="Arial" w:hAnsi="Arial"/>
          <w:sz w:val="18"/>
          <w:szCs w:val="18"/>
          <w:color w:val="auto"/>
        </w:rPr>
        <w:t>- Megawatts of power.</w:t>
      </w:r>
    </w:p>
    <w:p>
      <w:pPr>
        <w:sectPr>
          <w:pgSz w:w="11900" w:h="16838" w:orient="portrait"/>
          <w:cols w:equalWidth="0" w:num="1">
            <w:col w:w="11200"/>
          </w:cols>
          <w:pgMar w:left="320" w:top="890" w:right="37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type w:val="continuous"/>
        </w:sectPr>
      </w:pPr>
    </w:p>
    <w:bookmarkStart w:id="5" w:name="page6"/>
    <w:bookmarkEnd w:id="5"/>
    <w:p>
      <w:pPr>
        <w:ind w:left="328" w:right="280" w:hanging="328"/>
        <w:spacing w:after="0" w:line="26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NGLs </w:t>
      </w:r>
      <w:r>
        <w:rPr>
          <w:rFonts w:ascii="Arial" w:cs="Arial" w:eastAsia="Arial" w:hAnsi="Arial"/>
          <w:sz w:val="18"/>
          <w:szCs w:val="18"/>
          <w:color w:val="auto"/>
        </w:rPr>
        <w:t>- Natural gas liquids. Hydrocarbons found in natural gas that may be extracted as purity products such as ethane, propane,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isobutane and normal butane, and natural gasoline.</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NYMEX </w:t>
      </w:r>
      <w:r>
        <w:rPr>
          <w:rFonts w:ascii="Arial" w:cs="Arial" w:eastAsia="Arial" w:hAnsi="Arial"/>
          <w:sz w:val="18"/>
          <w:szCs w:val="18"/>
          <w:color w:val="auto"/>
        </w:rPr>
        <w:t>- The New York Mercantile Exchange.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OCTG </w:t>
      </w:r>
      <w:r>
        <w:rPr>
          <w:rFonts w:ascii="Arial" w:cs="Arial" w:eastAsia="Arial" w:hAnsi="Arial"/>
          <w:sz w:val="18"/>
          <w:szCs w:val="18"/>
          <w:color w:val="auto"/>
        </w:rPr>
        <w:t>- Oil country tubular goods.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Oil spill prevention rate </w:t>
      </w:r>
      <w:r>
        <w:rPr>
          <w:rFonts w:ascii="Arial" w:cs="Arial" w:eastAsia="Arial" w:hAnsi="Arial"/>
          <w:sz w:val="18"/>
          <w:szCs w:val="18"/>
          <w:color w:val="auto"/>
        </w:rPr>
        <w:t>- Calculated as total Boe less net barrels lost divided by total Boe.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 Organization of the Petroleum Exporting Countries.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 OPEC together with Russia and certain other producing countries.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PHMSA </w:t>
      </w:r>
      <w:r>
        <w:rPr>
          <w:rFonts w:ascii="Arial" w:cs="Arial" w:eastAsia="Arial" w:hAnsi="Arial"/>
          <w:sz w:val="18"/>
          <w:szCs w:val="18"/>
          <w:color w:val="auto"/>
        </w:rPr>
        <w:t>- Pipeline and Hazardous Materials Safety Administration.</w:t>
      </w:r>
    </w:p>
    <w:p>
      <w:pPr>
        <w:spacing w:after="0" w:line="9" w:lineRule="exact"/>
        <w:rPr>
          <w:rFonts w:ascii="Arial" w:cs="Arial" w:eastAsia="Arial" w:hAnsi="Arial"/>
          <w:sz w:val="18"/>
          <w:szCs w:val="18"/>
          <w:color w:val="auto"/>
        </w:rPr>
      </w:pPr>
    </w:p>
    <w:p>
      <w:pPr>
        <w:ind w:left="328" w:right="2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Proved developed reserves </w:t>
      </w:r>
      <w:r>
        <w:rPr>
          <w:rFonts w:ascii="Arial" w:cs="Arial" w:eastAsia="Arial" w:hAnsi="Arial"/>
          <w:sz w:val="18"/>
          <w:szCs w:val="18"/>
          <w:color w:val="auto"/>
        </w:rPr>
        <w:t>- Reserves that can be expected to be recovered through existing wells with existing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methods.</w:t>
      </w:r>
    </w:p>
    <w:p>
      <w:pPr>
        <w:ind w:left="328" w:right="3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Proved reserves </w:t>
      </w:r>
      <w:r>
        <w:rPr>
          <w:rFonts w:ascii="Arial" w:cs="Arial" w:eastAsia="Arial" w:hAnsi="Arial"/>
          <w:sz w:val="18"/>
          <w:szCs w:val="18"/>
          <w:color w:val="auto"/>
        </w:rPr>
        <w:t>- The estimated quantities of natural gas, NGLs, and oil that geological and engineering data demonstrate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certainty to be commercially recoverable in future years from known reservoirs under existing economic conditions, operating methods and government regulations.</w:t>
      </w:r>
    </w:p>
    <w:p>
      <w:pPr>
        <w:spacing w:after="0" w:line="1" w:lineRule="exact"/>
        <w:rPr>
          <w:rFonts w:ascii="Arial" w:cs="Arial" w:eastAsia="Arial" w:hAnsi="Arial"/>
          <w:sz w:val="18"/>
          <w:szCs w:val="18"/>
          <w:color w:val="auto"/>
        </w:rPr>
      </w:pPr>
    </w:p>
    <w:p>
      <w:pPr>
        <w:ind w:left="328" w:right="60" w:hanging="328"/>
        <w:spacing w:after="0" w:line="265"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Proved undeveloped reserves </w:t>
      </w:r>
      <w:r>
        <w:rPr>
          <w:rFonts w:ascii="Arial" w:cs="Arial" w:eastAsia="Arial" w:hAnsi="Arial"/>
          <w:sz w:val="17"/>
          <w:szCs w:val="17"/>
          <w:color w:val="auto"/>
        </w:rPr>
        <w:t>- Proved reserves that are expected to be recovered from new wells on undrilled acreage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reasonably certain of production when drilled or from existing wells where a relatively major expenditure is required for recompletion.</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PSCs </w:t>
      </w:r>
      <w:r>
        <w:rPr>
          <w:rFonts w:ascii="Arial" w:cs="Arial" w:eastAsia="Arial" w:hAnsi="Arial"/>
          <w:sz w:val="18"/>
          <w:szCs w:val="18"/>
          <w:color w:val="auto"/>
        </w:rPr>
        <w:t>- Production-sharing contracts.</w:t>
      </w:r>
    </w:p>
    <w:p>
      <w:pPr>
        <w:spacing w:after="0" w:line="9" w:lineRule="exact"/>
        <w:rPr>
          <w:rFonts w:ascii="Arial" w:cs="Arial" w:eastAsia="Arial" w:hAnsi="Arial"/>
          <w:sz w:val="18"/>
          <w:szCs w:val="18"/>
          <w:color w:val="auto"/>
        </w:rPr>
      </w:pPr>
    </w:p>
    <w:p>
      <w:pPr>
        <w:ind w:left="328" w:right="12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PV-10 </w:t>
      </w:r>
      <w:r>
        <w:rPr>
          <w:rFonts w:ascii="Arial" w:cs="Arial" w:eastAsia="Arial" w:hAnsi="Arial"/>
          <w:sz w:val="18"/>
          <w:szCs w:val="18"/>
          <w:color w:val="auto"/>
        </w:rPr>
        <w:t>- Non-GAAP financial measure and represents the year-end present value of estimated future cash flows from proved oil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reserves, less future development and operating costs, discounted at 10% per annum and using SEC Prices. PV-10 facilitates the comparisons to other companies as it is not dependent on the tax-paying status of the entity.</w:t>
      </w:r>
    </w:p>
    <w:p>
      <w:pPr>
        <w:spacing w:after="0" w:line="1" w:lineRule="exact"/>
        <w:rPr>
          <w:rFonts w:ascii="Arial" w:cs="Arial" w:eastAsia="Arial" w:hAnsi="Arial"/>
          <w:sz w:val="18"/>
          <w:szCs w:val="18"/>
          <w:color w:val="auto"/>
        </w:rPr>
      </w:pPr>
    </w:p>
    <w:p>
      <w:pPr>
        <w:ind w:left="328" w:right="62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Responsible Net Zero </w:t>
      </w:r>
      <w:r>
        <w:rPr>
          <w:rFonts w:ascii="Arial" w:cs="Arial" w:eastAsia="Arial" w:hAnsi="Arial"/>
          <w:sz w:val="18"/>
          <w:szCs w:val="18"/>
          <w:color w:val="auto"/>
        </w:rPr>
        <w:t>- Refers to our net zero emissions goal adopted by our Board of Directors in May 2025 consisting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achieving at least an 80% reduction of absolute Scope 1 and 2 GHG emissions and neutralizing the remaining Scope 1 and 2 emissions to achieve Net Zero by 2045.</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SB </w:t>
      </w:r>
      <w:r>
        <w:rPr>
          <w:rFonts w:ascii="Arial" w:cs="Arial" w:eastAsia="Arial" w:hAnsi="Arial"/>
          <w:sz w:val="18"/>
          <w:szCs w:val="18"/>
          <w:color w:val="auto"/>
        </w:rPr>
        <w:t>- Senate Bill</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Scope 1 emissions </w:t>
      </w:r>
      <w:r>
        <w:rPr>
          <w:rFonts w:ascii="Arial" w:cs="Arial" w:eastAsia="Arial" w:hAnsi="Arial"/>
          <w:sz w:val="18"/>
          <w:szCs w:val="18"/>
          <w:color w:val="auto"/>
        </w:rPr>
        <w:t>- Our direct emissions.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Scope 2 emissions </w:t>
      </w:r>
      <w:r>
        <w:rPr>
          <w:rFonts w:ascii="Arial" w:cs="Arial" w:eastAsia="Arial" w:hAnsi="Arial"/>
          <w:sz w:val="18"/>
          <w:szCs w:val="18"/>
          <w:color w:val="auto"/>
        </w:rPr>
        <w:t>- Indirect emissions from energy that we use (</w:t>
      </w:r>
      <w:r>
        <w:rPr>
          <w:rFonts w:ascii="Arial" w:cs="Arial" w:eastAsia="Arial" w:hAnsi="Arial"/>
          <w:sz w:val="18"/>
          <w:szCs w:val="18"/>
          <w:i w:val="1"/>
          <w:iCs w:val="1"/>
          <w:color w:val="auto"/>
        </w:rPr>
        <w:t>e.g.</w:t>
      </w:r>
      <w:r>
        <w:rPr>
          <w:rFonts w:ascii="Arial" w:cs="Arial" w:eastAsia="Arial" w:hAnsi="Arial"/>
          <w:sz w:val="18"/>
          <w:szCs w:val="18"/>
          <w:color w:val="auto"/>
        </w:rPr>
        <w:t>, electricity, heat, steam, cooling) that is produced by others.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Scope 3 emissions </w:t>
      </w:r>
      <w:r>
        <w:rPr>
          <w:rFonts w:ascii="Arial" w:cs="Arial" w:eastAsia="Arial" w:hAnsi="Arial"/>
          <w:sz w:val="18"/>
          <w:szCs w:val="18"/>
          <w:color w:val="auto"/>
        </w:rPr>
        <w:t>- Indirect emissions from upstream and downstream processing and use of our products.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SDWA </w:t>
      </w:r>
      <w:r>
        <w:rPr>
          <w:rFonts w:ascii="Arial" w:cs="Arial" w:eastAsia="Arial" w:hAnsi="Arial"/>
          <w:sz w:val="18"/>
          <w:szCs w:val="18"/>
          <w:color w:val="auto"/>
        </w:rPr>
        <w:t>- Safe Drinking Water Act.</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 </w:t>
      </w:r>
      <w:r>
        <w:rPr>
          <w:rFonts w:ascii="Arial" w:cs="Arial" w:eastAsia="Arial" w:hAnsi="Arial"/>
          <w:sz w:val="18"/>
          <w:szCs w:val="18"/>
          <w:color w:val="auto"/>
        </w:rPr>
        <w:t>- United States Securities and Exchange Commission.</w:t>
      </w:r>
    </w:p>
    <w:p>
      <w:pPr>
        <w:spacing w:after="0" w:line="9"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 Prices </w:t>
      </w:r>
      <w:r>
        <w:rPr>
          <w:rFonts w:ascii="Arial" w:cs="Arial" w:eastAsia="Arial" w:hAnsi="Arial"/>
          <w:sz w:val="18"/>
          <w:szCs w:val="18"/>
          <w:color w:val="auto"/>
        </w:rPr>
        <w:t>- The unweighted arithmetic average of the first day-of-the-month price for each month within the year used to determine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volumes and cash flows for our proved reserves.</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SOFR </w:t>
      </w:r>
      <w:r>
        <w:rPr>
          <w:rFonts w:ascii="Arial" w:cs="Arial" w:eastAsia="Arial" w:hAnsi="Arial"/>
          <w:sz w:val="18"/>
          <w:szCs w:val="18"/>
          <w:color w:val="auto"/>
        </w:rPr>
        <w:t>- Secured overnight financing rate as administered by the Federal Reserve Bank of New York.</w:t>
      </w:r>
    </w:p>
    <w:p>
      <w:pPr>
        <w:spacing w:after="0" w:line="9" w:lineRule="exact"/>
        <w:rPr>
          <w:rFonts w:ascii="Arial" w:cs="Arial" w:eastAsia="Arial" w:hAnsi="Arial"/>
          <w:sz w:val="18"/>
          <w:szCs w:val="18"/>
          <w:color w:val="auto"/>
        </w:rPr>
      </w:pPr>
    </w:p>
    <w:p>
      <w:pPr>
        <w:ind w:left="328" w:right="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Standardized measure </w:t>
      </w:r>
      <w:r>
        <w:rPr>
          <w:rFonts w:ascii="Arial" w:cs="Arial" w:eastAsia="Arial" w:hAnsi="Arial"/>
          <w:sz w:val="18"/>
          <w:szCs w:val="18"/>
          <w:color w:val="auto"/>
        </w:rPr>
        <w:t>- The year-end present value of after-tax estimated future cash flows from proved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reserves, less future development and operating costs, discounted at 10% per annum and using SEC Prices. Standardized measure is prescribed by the SEC as an industry standard asset value measure to compare reserves with consistent pricing, costs and discount assumptions.</w:t>
      </w:r>
    </w:p>
    <w:p>
      <w:pPr>
        <w:spacing w:after="0" w:line="1" w:lineRule="exact"/>
        <w:rPr>
          <w:rFonts w:ascii="Arial" w:cs="Arial" w:eastAsia="Arial" w:hAnsi="Arial"/>
          <w:sz w:val="18"/>
          <w:szCs w:val="18"/>
          <w:color w:val="auto"/>
        </w:rPr>
      </w:pPr>
    </w:p>
    <w:p>
      <w:pPr>
        <w:ind w:left="328" w:right="78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TRIR </w:t>
      </w:r>
      <w:r>
        <w:rPr>
          <w:rFonts w:ascii="Arial" w:cs="Arial" w:eastAsia="Arial" w:hAnsi="Arial"/>
          <w:sz w:val="18"/>
          <w:szCs w:val="18"/>
          <w:color w:val="auto"/>
        </w:rPr>
        <w:t>- Total Recordable Incident Rate calculated as recordable incidents per 200,000 hours for all workers (employees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contractors).</w:t>
      </w:r>
    </w:p>
    <w:p>
      <w:pPr>
        <w:ind w:left="328" w:right="70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Working interest </w:t>
      </w:r>
      <w:r>
        <w:rPr>
          <w:rFonts w:ascii="Arial" w:cs="Arial" w:eastAsia="Arial" w:hAnsi="Arial"/>
          <w:sz w:val="18"/>
          <w:szCs w:val="18"/>
          <w:color w:val="auto"/>
        </w:rPr>
        <w:t>- The right granted to a lessee of a property to explore for and to produce and own oil, natural gas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minerals in-place. A working interest owner bears the cost of development and operations of the property.</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WTI </w:t>
      </w:r>
      <w:r>
        <w:rPr>
          <w:rFonts w:ascii="Arial" w:cs="Arial" w:eastAsia="Arial" w:hAnsi="Arial"/>
          <w:sz w:val="18"/>
          <w:szCs w:val="18"/>
          <w:color w:val="auto"/>
        </w:rPr>
        <w:t>- West Texas Intermediate.</w:t>
      </w:r>
    </w:p>
    <w:p>
      <w:pPr>
        <w:spacing w:after="0" w:line="200" w:lineRule="exact"/>
        <w:rPr>
          <w:sz w:val="20"/>
          <w:szCs w:val="20"/>
          <w:color w:val="auto"/>
        </w:rPr>
      </w:pPr>
    </w:p>
    <w:p>
      <w:pPr>
        <w:spacing w:after="0" w:line="34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9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ITEMS 1 &amp; 2</w:t>
      </w:r>
      <w:r>
        <w:rPr>
          <w:sz w:val="20"/>
          <w:szCs w:val="20"/>
          <w:color w:val="auto"/>
        </w:rPr>
        <w:tab/>
      </w:r>
      <w:r>
        <w:rPr>
          <w:rFonts w:ascii="Arial" w:cs="Arial" w:eastAsia="Arial" w:hAnsi="Arial"/>
          <w:sz w:val="17"/>
          <w:szCs w:val="17"/>
          <w:b w:val="1"/>
          <w:bCs w:val="1"/>
          <w:color w:val="auto"/>
        </w:rPr>
        <w:t>BUSINESS AND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2"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We are an independent energy and carbon management company advancing the energy transition. We are committed to environmental stewardship while safely providing local, responsibly sourced energy. We are also focused on maximizing the value of our land, mineral ownership, and energy expertise for decarbonization by developing carbon capture and storage (CCS) and other emissions reducing projects.</w:t>
      </w:r>
    </w:p>
    <w:p>
      <w:pPr>
        <w:spacing w:after="0" w:line="20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business is organized into two reporting segments: oil and natural gas and carbon management. Our oil and natural gas segment explores for, develops and produces crude oil and condensate, natural gas liquids and natural gas in major producing basins located in California and Utah. As of December 31, 2025, our proved reserves totaled an estimated 654 MMBoe, of which 541 MMBbl were crude oil and condensate reserves, 37 MMBbl were NGL reserves and 455 Bcf, or 76 MMBoe, were natural gas reserves. As of December 31, 2025, we held approximately 2 million net mineral acres. Our operated asset base spans 68 distinct fields with approximately 22,000 net operated wells. We had average net production of approximately 138 MBoe/d (79% oil) for the year ended December 31, 2025.</w:t>
      </w:r>
    </w:p>
    <w:p>
      <w:pPr>
        <w:spacing w:after="0" w:line="20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7"/>
          <w:szCs w:val="17"/>
          <w:color w:val="auto"/>
        </w:rPr>
        <w:t>Our carbon management segment, which we refer to as Carbon TerraVault, is focused on building, installing, operating and maintaining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capture equipment, transportation assets and underground storage facilities. Our carbon management segment also owns an investment in the Carbon TerraVault JV. For more information on our segments, refer to </w:t>
      </w:r>
      <w:r>
        <w:rPr>
          <w:rFonts w:ascii="Arial" w:cs="Arial" w:eastAsia="Arial" w:hAnsi="Arial"/>
          <w:sz w:val="17"/>
          <w:szCs w:val="17"/>
          <w:i w:val="1"/>
          <w:iCs w:val="1"/>
          <w:color w:val="auto"/>
        </w:rPr>
        <w:t>Part II, Item 7 – 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 of Financial Condition and Results of Operations, Segment Results of Oil and Natural Gas Operations and Results of our Carbon Management Segment, and Part II, Item 8 – Financial Statements and Supplementary Data, Note 16 Segment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Berry Merger</w:t>
      </w:r>
    </w:p>
    <w:p>
      <w:pPr>
        <w:spacing w:after="0" w:line="25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September 14, 2025, we entered into an agreement to combine with Berry in an all-stock transaction. Berry was an independent energy company that owned oil-weighted, mostly conventional oil and natural gas fields in California and oil and natural gas fields in Utah that have the potential for unconventional development. The Berry fields in California are adjacent to or within the areas in which we operate. Through the Berry Merger, we added 56 MMBoe of proved developed reserves as well as C&amp;J Well Services, one of the largest upstream well servicing and abandonment services businesses in California.</w:t>
      </w:r>
    </w:p>
    <w:p>
      <w:pPr>
        <w:spacing w:after="0" w:line="20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 xml:space="preserve">The Berry Merger closed on December 18, 2025 and we issued 5,572,115 shares of our common stock, which represented 0.0718 shares of our common stock for each outstanding share of Berry stock as of December 17, 2025. Immediately following the closing of the Berry Merger, the former Berry stockholders owned approximately 6% of CRC. In connection with the closing, Berry's outstanding debt was repaid and the underlying credit agreements were terminated. We repaid a significant portion of this indebtedness with proceeds from the issuance of our 2034 Senior Notes, which closed in October 2025. For more information on the Berry Merger, refer to </w:t>
      </w:r>
      <w:r>
        <w:rPr>
          <w:rFonts w:ascii="Arial" w:cs="Arial" w:eastAsia="Arial" w:hAnsi="Arial"/>
          <w:sz w:val="18"/>
          <w:szCs w:val="18"/>
          <w:i w:val="1"/>
          <w:iCs w:val="1"/>
          <w:color w:val="auto"/>
        </w:rPr>
        <w:t>Part II, Item 8 –</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and Supplementary Data, Note 2 Business Combinations</w:t>
      </w:r>
      <w:r>
        <w:rPr>
          <w:rFonts w:ascii="Arial" w:cs="Arial" w:eastAsia="Arial" w:hAnsi="Arial"/>
          <w:sz w:val="18"/>
          <w:szCs w:val="18"/>
          <w:color w:val="auto"/>
        </w:rPr>
        <w:t>.</w:t>
      </w:r>
    </w:p>
    <w:p>
      <w:pPr>
        <w:spacing w:after="0" w:line="209"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consolidated subsidiaries as of the date presented.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Business Strategy</w:t>
      </w:r>
    </w:p>
    <w:p>
      <w:pPr>
        <w:spacing w:after="0" w:line="252" w:lineRule="exact"/>
        <w:rPr>
          <w:sz w:val="20"/>
          <w:szCs w:val="20"/>
          <w:color w:val="auto"/>
        </w:rPr>
      </w:pPr>
    </w:p>
    <w:p>
      <w:pPr>
        <w:ind w:left="660" w:right="8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Focus on integrating merger assets to capture synergies and continue reducing costs across our combined business</w:t>
      </w:r>
      <w:r>
        <w:rPr>
          <w:rFonts w:ascii="Arial" w:cs="Arial" w:eastAsia="Arial" w:hAnsi="Arial"/>
          <w:sz w:val="18"/>
          <w:szCs w:val="18"/>
          <w:color w:val="auto"/>
        </w:rPr>
        <w:t>. We</w:t>
      </w:r>
      <w:r>
        <w:rPr>
          <w:rFonts w:ascii="Arial" w:cs="Arial" w:eastAsia="Arial" w:hAnsi="Arial"/>
          <w:sz w:val="18"/>
          <w:szCs w:val="18"/>
          <w:b w:val="1"/>
          <w:bCs w:val="1"/>
          <w:color w:val="auto"/>
        </w:rPr>
        <w:t xml:space="preserve"> </w:t>
      </w:r>
      <w:r>
        <w:rPr>
          <w:rFonts w:ascii="Arial" w:cs="Arial" w:eastAsia="Arial" w:hAnsi="Arial"/>
          <w:sz w:val="18"/>
          <w:szCs w:val="18"/>
          <w:color w:val="auto"/>
        </w:rPr>
        <w:t>are focused on reducing costs and improving operating efficiencies as a result of the Berry Merger. We are targeting annual run-rate synergies in the range of $80 million to $90 million within twelve months of the closing of the Berry Merger. We expect these synergies will come primarily from lower operating costs, general and administrative expenses and financing costs for the combined companies. In addition, we are pursuing other cost reduction efforts as part of our normal business processes.</w:t>
      </w:r>
    </w:p>
    <w:p>
      <w:pPr>
        <w:spacing w:after="0" w:line="206"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Maintain high standards of operational performance that create sustainable cash flows</w:t>
      </w:r>
      <w:r>
        <w:rPr>
          <w:rFonts w:ascii="Arial" w:cs="Arial" w:eastAsia="Arial" w:hAnsi="Arial"/>
          <w:sz w:val="18"/>
          <w:szCs w:val="18"/>
          <w:color w:val="auto"/>
        </w:rPr>
        <w:t>. We seek to maintain the highest</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of safety and operational integrity in the management of our assets, with the objective of sustaining long-term value and reliable cash flow generation. We believe that the strength and quality of our underlying assets, together with disciplined operational practices, position us to deliver durable financial results. For the year ended December 31, 2025, we generated $363 million of net income and $865 million of net cash provided by operating activities. We intend to continue prioritizing operational improvements in a safe, compliant, and environmentally responsible manner, recognizing that consistent execution is fundamental to financial performance.</w:t>
      </w:r>
    </w:p>
    <w:p>
      <w:pPr>
        <w:spacing w:after="0" w:line="209" w:lineRule="exact"/>
        <w:rPr>
          <w:rFonts w:ascii="Arial" w:cs="Arial" w:eastAsia="Arial" w:hAnsi="Arial"/>
          <w:sz w:val="18"/>
          <w:szCs w:val="18"/>
          <w:color w:val="auto"/>
        </w:rPr>
      </w:pPr>
    </w:p>
    <w:p>
      <w:pPr>
        <w:ind w:left="660" w:right="6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Focus on core E&amp;P assets and pursue new opportunities</w:t>
      </w:r>
      <w:r>
        <w:rPr>
          <w:rFonts w:ascii="Arial" w:cs="Arial" w:eastAsia="Arial" w:hAnsi="Arial"/>
          <w:sz w:val="18"/>
          <w:szCs w:val="18"/>
          <w:color w:val="auto"/>
        </w:rPr>
        <w:t>. We are the largest operator in California and currently operate all of</w:t>
      </w:r>
      <w:r>
        <w:rPr>
          <w:rFonts w:ascii="Arial" w:cs="Arial" w:eastAsia="Arial" w:hAnsi="Arial"/>
          <w:sz w:val="18"/>
          <w:szCs w:val="18"/>
          <w:b w:val="1"/>
          <w:bCs w:val="1"/>
          <w:color w:val="auto"/>
        </w:rPr>
        <w:t xml:space="preserve"> </w:t>
      </w:r>
      <w:r>
        <w:rPr>
          <w:rFonts w:ascii="Arial" w:cs="Arial" w:eastAsia="Arial" w:hAnsi="Arial"/>
          <w:sz w:val="18"/>
          <w:szCs w:val="18"/>
          <w:color w:val="auto"/>
        </w:rPr>
        <w:t>our core oil and gas fields. We intend to leverage this position and prioritize our strongest assets to simplify our operational structure and lower costs. We may have the opportunity to acquire additional producing assets at attractive valuations and could pursue other acquisitions that meet our financial, operational and regulatory criteria. In addition, we expect that the resumption of new well permitting in early 2026 will enhance our ability to develop our core assets in Kern County, which we believe will further strengthen our cash flows and position as the largest operator in California. Finally, we will continue to review non-core assets for potential divestment or alternative development opportunities where such actions are consistent with our strategic and capital allocation objectives.</w:t>
      </w:r>
    </w:p>
    <w:p>
      <w:pPr>
        <w:spacing w:after="0" w:line="211" w:lineRule="exact"/>
        <w:rPr>
          <w:rFonts w:ascii="Arial" w:cs="Arial" w:eastAsia="Arial" w:hAnsi="Arial"/>
          <w:sz w:val="18"/>
          <w:szCs w:val="18"/>
          <w:color w:val="auto"/>
        </w:rPr>
      </w:pPr>
    </w:p>
    <w:p>
      <w:pPr>
        <w:ind w:left="660" w:right="200" w:hanging="328"/>
        <w:spacing w:after="0" w:line="25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Maintain a disciplined and flexible capital program</w:t>
      </w:r>
      <w:r>
        <w:rPr>
          <w:rFonts w:ascii="Arial" w:cs="Arial" w:eastAsia="Arial" w:hAnsi="Arial"/>
          <w:sz w:val="18"/>
          <w:szCs w:val="18"/>
          <w:color w:val="auto"/>
        </w:rPr>
        <w:t>. We intend to maintain a disciplined and flexible capital program, allocating</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amongst our assets to maximize value in light of evolving regulatory and market conditions. Following the resumption of permitting for new wells in January of this year, we expanded our drilling program to include new well development in Kern County. We plan to pursue the development of new wells with attractive return profiles and payback periods of approximately three years across our portfolio. We expect to fund our capital program primarily from operating cash flows and maintain a flexible approach to adapt to fluctuations in commodity prices, permitting activity and broader regulatory developments.</w:t>
      </w:r>
    </w:p>
    <w:p>
      <w:pPr>
        <w:spacing w:after="0" w:line="209" w:lineRule="exact"/>
        <w:rPr>
          <w:rFonts w:ascii="Arial" w:cs="Arial" w:eastAsia="Arial" w:hAnsi="Arial"/>
          <w:sz w:val="18"/>
          <w:szCs w:val="18"/>
          <w:color w:val="auto"/>
        </w:rPr>
      </w:pPr>
    </w:p>
    <w:p>
      <w:pPr>
        <w:ind w:left="660" w:right="20" w:hanging="328"/>
        <w:spacing w:after="0" w:line="25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Preserve balance sheet strength and increase shareholder returns over time</w:t>
      </w:r>
      <w:r>
        <w:rPr>
          <w:rFonts w:ascii="Arial" w:cs="Arial" w:eastAsia="Arial" w:hAnsi="Arial"/>
          <w:sz w:val="18"/>
          <w:szCs w:val="18"/>
          <w:color w:val="auto"/>
        </w:rPr>
        <w:t>. We maintain a strong balance sheet and low</w:t>
      </w:r>
      <w:r>
        <w:rPr>
          <w:rFonts w:ascii="Arial" w:cs="Arial" w:eastAsia="Arial" w:hAnsi="Arial"/>
          <w:sz w:val="18"/>
          <w:szCs w:val="18"/>
          <w:b w:val="1"/>
          <w:bCs w:val="1"/>
          <w:color w:val="auto"/>
        </w:rPr>
        <w:t xml:space="preserve"> </w:t>
      </w:r>
      <w:r>
        <w:rPr>
          <w:rFonts w:ascii="Arial" w:cs="Arial" w:eastAsia="Arial" w:hAnsi="Arial"/>
          <w:sz w:val="18"/>
          <w:szCs w:val="18"/>
          <w:color w:val="auto"/>
        </w:rPr>
        <w:t>leverage and continue to prioritize balance sheet protection. As of December 31, 2025, we had $1,401 million of liquidity, consisting of $1,284 million available for borrowing under the Revolving Credit Facility (after taking into account $176 million of outstanding letters of credit) and $117 million in available cash on hand. We had $1,300 million of long-term indebtedness as of the same date. By maintaining low leverage and ample liquidity, we believe we will be able to ensure a strong financial foundation that we expect will allow us to grow shareholder returns over time.</w:t>
      </w:r>
    </w:p>
    <w:p>
      <w:pPr>
        <w:spacing w:after="0" w:line="209" w:lineRule="exact"/>
        <w:rPr>
          <w:rFonts w:ascii="Arial" w:cs="Arial" w:eastAsia="Arial" w:hAnsi="Arial"/>
          <w:sz w:val="18"/>
          <w:szCs w:val="18"/>
          <w:color w:val="auto"/>
        </w:rPr>
      </w:pPr>
    </w:p>
    <w:p>
      <w:pPr>
        <w:ind w:left="660" w:right="100" w:hanging="328"/>
        <w:spacing w:after="0" w:line="24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Advance our carbon management solutions to lead the energy transition in California</w:t>
      </w:r>
      <w:r>
        <w:rPr>
          <w:rFonts w:ascii="Arial" w:cs="Arial" w:eastAsia="Arial" w:hAnsi="Arial"/>
          <w:sz w:val="18"/>
          <w:szCs w:val="18"/>
          <w:color w:val="auto"/>
        </w:rPr>
        <w:t>. We are focused on maximizing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our land, mineral and technical resources for decarbonization by developing CCS and other emissions reducing projects. In early 2026, we expect to capture emissions at our cryogenic gas plant at Elk Hills field for permanent sequestration. We are well positioned to provide industrial scale projects to help California meet its decarbonization goals and leverage our Carbon TerraVault JV with Brookfield to reduce our capital investments to develop these projects.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8" w:name="page9"/>
    <w:bookmarkEnd w:id="8"/>
    <w:p>
      <w:pPr>
        <w:ind w:left="660" w:right="220" w:hanging="328"/>
        <w:spacing w:after="0" w:line="24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Maintain our commitment to safety and environmental stewardship</w:t>
      </w:r>
      <w:r>
        <w:rPr>
          <w:rFonts w:ascii="Arial" w:cs="Arial" w:eastAsia="Arial" w:hAnsi="Arial"/>
          <w:sz w:val="18"/>
          <w:szCs w:val="18"/>
          <w:color w:val="auto"/>
        </w:rPr>
        <w:t>. Our commitment to health, safety and the environment</w:t>
      </w:r>
      <w:r>
        <w:rPr>
          <w:rFonts w:ascii="Arial" w:cs="Arial" w:eastAsia="Arial" w:hAnsi="Arial"/>
          <w:sz w:val="18"/>
          <w:szCs w:val="18"/>
          <w:b w:val="1"/>
          <w:bCs w:val="1"/>
          <w:color w:val="auto"/>
        </w:rPr>
        <w:t xml:space="preserve"> </w:t>
      </w:r>
      <w:r>
        <w:rPr>
          <w:rFonts w:ascii="Arial" w:cs="Arial" w:eastAsia="Arial" w:hAnsi="Arial"/>
          <w:sz w:val="18"/>
          <w:szCs w:val="18"/>
          <w:color w:val="auto"/>
        </w:rPr>
        <w:t>(HSE) defines how we operate our business. We prepare our workforce to work safely through comprehensive training, safe work practices, technology and rigorous maintenance and asset integrity programs. In addition, we intend to continue efforts to reduce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and methane emissions in our operations, proactively manage our idle wells and reduce our consumption of freshwater in our operations. We previously received MiQ’s certification of methane emissions for certain fields and expect to continue to seek third party certifications of our results and disclosure practices. Our commitment to these efforts is reflected in our management compensation metrics that include safety and environmental targets.</w:t>
      </w:r>
    </w:p>
    <w:p>
      <w:pPr>
        <w:spacing w:after="0" w:line="217" w:lineRule="exact"/>
        <w:rPr>
          <w:rFonts w:ascii="Arial" w:cs="Arial" w:eastAsia="Arial" w:hAnsi="Arial"/>
          <w:sz w:val="18"/>
          <w:szCs w:val="18"/>
          <w:color w:val="auto"/>
        </w:rPr>
      </w:pPr>
    </w:p>
    <w:p>
      <w:pPr>
        <w:ind w:left="660" w:hanging="328"/>
        <w:spacing w:after="0" w:line="259" w:lineRule="auto"/>
        <w:tabs>
          <w:tab w:leader="none" w:pos="628"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Proactively engage with our legislators, regulators and the communities in which we operate</w:t>
      </w:r>
      <w:r>
        <w:rPr>
          <w:rFonts w:ascii="Arial" w:cs="Arial" w:eastAsia="Arial" w:hAnsi="Arial"/>
          <w:sz w:val="18"/>
          <w:szCs w:val="18"/>
          <w:color w:val="auto"/>
        </w:rPr>
        <w:t>. We seek to communicate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effectively with legislators, regulators and state and local government and community leaders to ensure they understand the potential impacts of new legislation and regulations on our business and the state’s energy affordability, reliability and transition objectives. We strive to produce energy in a safe and responsible manner to help support and enhance the quality of life in the communities in which we operate.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Segment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key information about our oil and natural gas segment as of and for the year ended December 31, 2025:</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San Joaquin</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Los Angeles</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Sacramento</w:t>
            </w:r>
          </w:p>
        </w:tc>
        <w:tc>
          <w:tcPr>
            <w:tcW w:w="12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Uinta Basin</w:t>
            </w:r>
          </w:p>
        </w:tc>
        <w:tc>
          <w:tcPr>
            <w:tcW w:w="12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Other Basins</w:t>
            </w:r>
          </w:p>
        </w:tc>
        <w:tc>
          <w:tcPr>
            <w:tcW w:w="128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4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Mineral Acreage</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Basin</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Basin</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Basin</w:t>
            </w:r>
          </w:p>
        </w:tc>
        <w:tc>
          <w:tcPr>
            <w:tcW w:w="126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Operations</w:t>
            </w:r>
          </w:p>
        </w:tc>
        <w:tc>
          <w:tcPr>
            <w:tcW w:w="0" w:type="dxa"/>
            <w:vAlign w:val="bottom"/>
          </w:tcPr>
          <w:p>
            <w:pPr>
              <w:spacing w:after="0"/>
              <w:rPr>
                <w:sz w:val="1"/>
                <w:szCs w:val="1"/>
                <w:color w:val="auto"/>
              </w:rPr>
            </w:pPr>
          </w:p>
        </w:tc>
      </w:tr>
      <w:tr>
        <w:trPr>
          <w:trHeight w:val="196"/>
        </w:trPr>
        <w:tc>
          <w:tcPr>
            <w:tcW w:w="3400" w:type="dxa"/>
            <w:vAlign w:val="bottom"/>
            <w:vMerge w:val="continue"/>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mineral acreage (thousands)</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1,304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1,986</w:t>
            </w:r>
          </w:p>
        </w:tc>
        <w:tc>
          <w:tcPr>
            <w:tcW w:w="0" w:type="dxa"/>
            <w:vAlign w:val="bottom"/>
          </w:tcPr>
          <w:p>
            <w:pPr>
              <w:spacing w:after="0"/>
              <w:rPr>
                <w:sz w:val="1"/>
                <w:szCs w:val="1"/>
                <w:color w:val="auto"/>
              </w:rPr>
            </w:pPr>
          </w:p>
        </w:tc>
      </w:tr>
      <w:tr>
        <w:trPr>
          <w:trHeight w:val="215"/>
        </w:trPr>
        <w:tc>
          <w:tcPr>
            <w:tcW w:w="3400" w:type="dxa"/>
            <w:vAlign w:val="bottom"/>
          </w:tcPr>
          <w:p>
            <w:pPr>
              <w:ind w:left="20"/>
              <w:spacing w:after="0"/>
              <w:rPr>
                <w:sz w:val="20"/>
                <w:szCs w:val="20"/>
                <w:color w:val="auto"/>
              </w:rPr>
            </w:pPr>
            <w:r>
              <w:rPr>
                <w:rFonts w:ascii="Arial" w:cs="Arial" w:eastAsia="Arial" w:hAnsi="Arial"/>
                <w:sz w:val="16"/>
                <w:szCs w:val="16"/>
                <w:color w:val="auto"/>
              </w:rPr>
              <w:t>Average net mineral acreage held in fee (%)</w:t>
            </w:r>
          </w:p>
        </w:tc>
        <w:tc>
          <w:tcPr>
            <w:tcW w:w="1180" w:type="dxa"/>
            <w:vAlign w:val="bottom"/>
          </w:tcPr>
          <w:p>
            <w:pPr>
              <w:jc w:val="right"/>
              <w:spacing w:after="0"/>
              <w:rPr>
                <w:sz w:val="20"/>
                <w:szCs w:val="20"/>
                <w:color w:val="auto"/>
              </w:rPr>
            </w:pPr>
            <w:r>
              <w:rPr>
                <w:rFonts w:ascii="Arial" w:cs="Arial" w:eastAsia="Arial" w:hAnsi="Arial"/>
                <w:sz w:val="16"/>
                <w:szCs w:val="16"/>
                <w:color w:val="auto"/>
              </w:rPr>
              <w:t>88 %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18"/>
                <w:szCs w:val="18"/>
                <w:color w:val="auto"/>
              </w:rPr>
            </w:pPr>
          </w:p>
        </w:tc>
        <w:tc>
          <w:tcPr>
            <w:tcW w:w="1260" w:type="dxa"/>
            <w:vAlign w:val="bottom"/>
            <w:gridSpan w:val="2"/>
          </w:tcPr>
          <w:p>
            <w:pPr>
              <w:ind w:left="780"/>
              <w:spacing w:after="0"/>
              <w:rPr>
                <w:sz w:val="20"/>
                <w:szCs w:val="20"/>
                <w:color w:val="auto"/>
              </w:rPr>
            </w:pPr>
            <w:r>
              <w:rPr>
                <w:rFonts w:ascii="Arial" w:cs="Arial" w:eastAsia="Arial" w:hAnsi="Arial"/>
                <w:sz w:val="16"/>
                <w:szCs w:val="16"/>
                <w:color w:val="auto"/>
              </w:rPr>
              <w:t>— %</w:t>
            </w:r>
          </w:p>
        </w:tc>
        <w:tc>
          <w:tcPr>
            <w:tcW w:w="1120" w:type="dxa"/>
            <w:vAlign w:val="bottom"/>
          </w:tcPr>
          <w:p>
            <w:pPr>
              <w:jc w:val="right"/>
              <w:spacing w:after="0"/>
              <w:rPr>
                <w:sz w:val="20"/>
                <w:szCs w:val="20"/>
                <w:color w:val="auto"/>
              </w:rPr>
            </w:pPr>
            <w:r>
              <w:rPr>
                <w:rFonts w:ascii="Arial" w:cs="Arial" w:eastAsia="Arial" w:hAnsi="Arial"/>
                <w:sz w:val="16"/>
                <w:szCs w:val="16"/>
                <w:color w:val="auto"/>
              </w:rPr>
              <w:t>89 %</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71"/>
        </w:trPr>
        <w:tc>
          <w:tcPr>
            <w:tcW w:w="34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Number of producing fields we operate</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drilling rigs</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Net wells drilled and completed</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70"/>
        </w:trPr>
        <w:tc>
          <w:tcPr>
            <w:tcW w:w="34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Proved reserves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(MMBbl)</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15"/>
        </w:trPr>
        <w:tc>
          <w:tcPr>
            <w:tcW w:w="3400" w:type="dxa"/>
            <w:vAlign w:val="bottom"/>
          </w:tcPr>
          <w:p>
            <w:pPr>
              <w:ind w:left="20"/>
              <w:spacing w:after="0"/>
              <w:rPr>
                <w:sz w:val="20"/>
                <w:szCs w:val="20"/>
                <w:color w:val="auto"/>
              </w:rPr>
            </w:pPr>
            <w:r>
              <w:rPr>
                <w:rFonts w:ascii="Arial" w:cs="Arial" w:eastAsia="Arial" w:hAnsi="Arial"/>
                <w:sz w:val="16"/>
                <w:szCs w:val="16"/>
                <w:color w:val="auto"/>
              </w:rPr>
              <w:t>NGLs (MMBbl)</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Natural gas (Bcf)</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10"/>
        </w:trPr>
        <w:tc>
          <w:tcPr>
            <w:tcW w:w="3400" w:type="dxa"/>
            <w:vAlign w:val="bottom"/>
          </w:tcPr>
          <w:p>
            <w:pPr>
              <w:ind w:left="20"/>
              <w:spacing w:after="0"/>
              <w:rPr>
                <w:sz w:val="20"/>
                <w:szCs w:val="20"/>
                <w:color w:val="auto"/>
              </w:rPr>
            </w:pPr>
            <w:r>
              <w:rPr>
                <w:rFonts w:ascii="Arial" w:cs="Arial" w:eastAsia="Arial" w:hAnsi="Arial"/>
                <w:sz w:val="16"/>
                <w:szCs w:val="16"/>
                <w:color w:val="auto"/>
              </w:rPr>
              <w:t>Total (MMBoe)</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percentage of proved reserves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81 %</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Production</w:t>
            </w:r>
            <w:r>
              <w:rPr>
                <w:rFonts w:ascii="Arial" w:cs="Arial" w:eastAsia="Arial" w:hAnsi="Arial"/>
                <w:sz w:val="21"/>
                <w:szCs w:val="21"/>
                <w:b w:val="1"/>
                <w:bCs w:val="1"/>
                <w:color w:val="auto"/>
                <w:vertAlign w:val="superscript"/>
              </w:rPr>
              <w:t>(a)</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00" w:type="dxa"/>
            <w:vAlign w:val="bottom"/>
          </w:tcPr>
          <w:p>
            <w:pPr>
              <w:ind w:left="20"/>
              <w:spacing w:after="0"/>
              <w:rPr>
                <w:sz w:val="20"/>
                <w:szCs w:val="20"/>
                <w:color w:val="auto"/>
              </w:rPr>
            </w:pPr>
            <w:r>
              <w:rPr>
                <w:rFonts w:ascii="Arial" w:cs="Arial" w:eastAsia="Arial" w:hAnsi="Arial"/>
                <w:sz w:val="16"/>
                <w:szCs w:val="16"/>
                <w:color w:val="auto"/>
              </w:rPr>
              <w:t>Total net production (MMBoe)</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daily net production (MBoe/d)</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4"/>
          <w:szCs w:val="14"/>
          <w:color w:val="auto"/>
        </w:rPr>
        <w:t>(a)</w:t>
        <w:tab/>
        <w:t>Our production includes oil, natural gas and NGL sales from fields added in the Berry Merger, which closed on December 18, 2025.</w:t>
      </w:r>
    </w:p>
    <w:p>
      <w:pPr>
        <w:spacing w:after="0" w:line="248" w:lineRule="exact"/>
        <w:rPr>
          <w:sz w:val="20"/>
          <w:szCs w:val="20"/>
          <w:color w:val="auto"/>
        </w:rPr>
      </w:pPr>
    </w:p>
    <w:p>
      <w:pPr>
        <w:jc w:val="both"/>
        <w:ind w:right="40" w:firstLine="324"/>
        <w:spacing w:after="0" w:line="287" w:lineRule="auto"/>
        <w:rPr>
          <w:sz w:val="20"/>
          <w:szCs w:val="20"/>
          <w:color w:val="auto"/>
        </w:rPr>
      </w:pPr>
      <w:r>
        <w:rPr>
          <w:rFonts w:ascii="Arial" w:cs="Arial" w:eastAsia="Arial" w:hAnsi="Arial"/>
          <w:sz w:val="18"/>
          <w:szCs w:val="18"/>
          <w:color w:val="auto"/>
        </w:rPr>
        <w:t xml:space="preserve">For a discussion of the regulatory issues affecting the development of our oil and natural gas properties, see </w:t>
      </w:r>
      <w:r>
        <w:rPr>
          <w:rFonts w:ascii="Arial" w:cs="Arial" w:eastAsia="Arial" w:hAnsi="Arial"/>
          <w:sz w:val="18"/>
          <w:szCs w:val="18"/>
          <w:i w:val="1"/>
          <w:iCs w:val="1"/>
          <w:color w:val="auto"/>
        </w:rPr>
        <w:t>Regulation of the Industries</w:t>
      </w:r>
      <w:r>
        <w:rPr>
          <w:rFonts w:ascii="Arial" w:cs="Arial" w:eastAsia="Arial" w:hAnsi="Arial"/>
          <w:sz w:val="18"/>
          <w:szCs w:val="18"/>
          <w:color w:val="auto"/>
        </w:rPr>
        <w:t xml:space="preserve"> </w:t>
      </w:r>
      <w:r>
        <w:rPr>
          <w:rFonts w:ascii="Arial" w:cs="Arial" w:eastAsia="Arial" w:hAnsi="Arial"/>
          <w:sz w:val="18"/>
          <w:szCs w:val="18"/>
          <w:i w:val="1"/>
          <w:iCs w:val="1"/>
          <w:color w:val="auto"/>
        </w:rPr>
        <w:t>in Which We Operate, Regulation of Exploration and Production Activities.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Basins in Which We Operate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San Joaquin Basin</w:t>
      </w:r>
    </w:p>
    <w:p>
      <w:pPr>
        <w:spacing w:after="0" w:line="25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Commercial petroleum development in the San Joaquin basin began in the 1800s. This resource rich basin in California contains multiple stacked formations throughout its areal extent, and we believe that this basin provides appealing opportunities for re-development of existing wells, as well as new discoveries and unconventional play potential. The geology of the San Joaquin basin continues to yield stratigraphic and structural trap discoveries.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9" w:name="page10"/>
    <w:bookmarkEnd w:id="9"/>
    <w:p>
      <w:pPr>
        <w:ind w:right="580" w:firstLine="324"/>
        <w:spacing w:after="0" w:line="268" w:lineRule="auto"/>
        <w:rPr>
          <w:sz w:val="20"/>
          <w:szCs w:val="20"/>
          <w:color w:val="auto"/>
        </w:rPr>
      </w:pPr>
      <w:r>
        <w:rPr>
          <w:rFonts w:ascii="Arial" w:cs="Arial" w:eastAsia="Arial" w:hAnsi="Arial"/>
          <w:sz w:val="18"/>
          <w:szCs w:val="18"/>
          <w:color w:val="auto"/>
        </w:rPr>
        <w:t>The California oil fields added through the Berry Merger are located in the San Joaquin basin, including extensions of our existing Midway-Sunset, South Belridge and McKittrick fields, as well as additions adjacent to existing operations in Poso Creek and Round Mountain. Our largest fields in the San Joaquin basin include the Belridge and Elk Hills fields.</w:t>
      </w:r>
    </w:p>
    <w:p>
      <w:pPr>
        <w:spacing w:after="0" w:line="198"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i w:val="1"/>
          <w:iCs w:val="1"/>
          <w:color w:val="auto"/>
        </w:rPr>
        <w:t>Belridge field</w:t>
      </w:r>
      <w:r>
        <w:rPr>
          <w:rFonts w:ascii="Arial" w:cs="Arial" w:eastAsia="Arial" w:hAnsi="Arial"/>
          <w:sz w:val="18"/>
          <w:szCs w:val="18"/>
          <w:color w:val="auto"/>
        </w:rPr>
        <w:t>: We operate and hold substantially all of the working, surface and mineral interests in the Belridge field, which consists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North Belridge and South Belridge fields. The Belridge field consists of waterflood and steamflood operations. For the steamflood operations, we utilize natural gas that is both purchased from third parties and produced from our other fields. Our operations at Belridge include a central control facility with remote automation control on over 95% of the producing wells.</w:t>
      </w:r>
    </w:p>
    <w:p>
      <w:pPr>
        <w:spacing w:after="0" w:line="20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Elk Hills field</w:t>
      </w:r>
      <w:r>
        <w:rPr>
          <w:rFonts w:ascii="Arial" w:cs="Arial" w:eastAsia="Arial" w:hAnsi="Arial"/>
          <w:sz w:val="18"/>
          <w:szCs w:val="18"/>
          <w:color w:val="auto"/>
        </w:rPr>
        <w:t>: We operate and hold substantially all the working, surface and mineral interests in the Elk Hills field. Infrastructure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efficient natural gas processing facilities, including a cryogenic gas plant, with a combined gas processing capacity of 330 MMcf/d, and a 550 MW cogeneration power plant that generates electricity to power our oil and gas operations at Elk Hills and other nearby producing fields. Our operations at Elk Hills also include a central control facility and remote automation control on over 95% of the producing wells.</w:t>
      </w:r>
    </w:p>
    <w:p>
      <w:pPr>
        <w:spacing w:after="0" w:line="190"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i w:val="1"/>
          <w:iCs w:val="1"/>
          <w:color w:val="auto"/>
        </w:rPr>
        <w:t>Midway-Sunset field</w:t>
      </w:r>
      <w:r>
        <w:rPr>
          <w:rFonts w:ascii="Arial" w:cs="Arial" w:eastAsia="Arial" w:hAnsi="Arial"/>
          <w:sz w:val="18"/>
          <w:szCs w:val="18"/>
          <w:color w:val="auto"/>
        </w:rPr>
        <w:t>: We are a major operator and hold a significant portion of the working, surface and mineral interests in the Midway-Sunset field. The Midway-Sunset field consists of steamflood operations, in which we utilize natural gas that is both purchased from third parties and produced from our other fields.</w:t>
      </w:r>
    </w:p>
    <w:p>
      <w:pPr>
        <w:spacing w:after="0" w:line="209" w:lineRule="exact"/>
        <w:rPr>
          <w:sz w:val="20"/>
          <w:szCs w:val="20"/>
          <w:color w:val="auto"/>
        </w:rPr>
      </w:pPr>
    </w:p>
    <w:p>
      <w:pPr>
        <w:ind w:right="580" w:firstLine="324"/>
        <w:spacing w:after="0" w:line="287" w:lineRule="auto"/>
        <w:rPr>
          <w:sz w:val="20"/>
          <w:szCs w:val="20"/>
          <w:color w:val="auto"/>
        </w:rPr>
      </w:pPr>
      <w:r>
        <w:rPr>
          <w:rFonts w:ascii="Arial" w:cs="Arial" w:eastAsia="Arial" w:hAnsi="Arial"/>
          <w:sz w:val="18"/>
          <w:szCs w:val="18"/>
          <w:color w:val="auto"/>
        </w:rPr>
        <w:t>We believe our extensive 3D seismic library, which covers over 900,000 acres in the San Joaquin basin, or over 60% of our gross mineral acreage in this basin, gives us a competitive advantage in field development.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 Angeles Basin</w:t>
      </w:r>
    </w:p>
    <w:p>
      <w:pPr>
        <w:spacing w:after="0" w:line="250"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This basin is a northwest-trending plain about 50 miles long and 20 miles wide located in California. Most of the significant discoveries in the Los Angeles basin date back to the 1920s. The Los Angeles basin has one of the highest concentrations per acre of crude oil in the world. We have significant operations in the Wilmington field, which is a large active oil field in this basin.</w:t>
      </w:r>
    </w:p>
    <w:p>
      <w:pPr>
        <w:spacing w:after="0" w:line="19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Most of our Wilmington production is subject to a set of contracts similar to production-sharing contracts (PSCs)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certain capital and operating costs that we incur, (ii) for our share of contractually defined base production where applicable,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 These PSCs represented 3% of our total production for the year ended December 31, 2025.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Sacramento Basin</w:t>
      </w:r>
    </w:p>
    <w:p>
      <w:pPr>
        <w:spacing w:after="0" w:line="250"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color w:val="auto"/>
        </w:rPr>
        <w:t>California's Sacramento basin is a deep, thick sequence of sedimentary deposits of natural gas within an elongated northwest-trending structural feature covering about 7.7 million acres. Exploration and development in the basin began in 1918.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Uinta Basin</w:t>
      </w:r>
    </w:p>
    <w:p>
      <w:pPr>
        <w:spacing w:after="0" w:line="250" w:lineRule="exact"/>
        <w:rPr>
          <w:sz w:val="20"/>
          <w:szCs w:val="20"/>
          <w:color w:val="auto"/>
        </w:rPr>
      </w:pPr>
    </w:p>
    <w:p>
      <w:pPr>
        <w:ind w:right="260" w:firstLine="324"/>
        <w:spacing w:after="0" w:line="291" w:lineRule="auto"/>
        <w:rPr>
          <w:sz w:val="20"/>
          <w:szCs w:val="20"/>
          <w:color w:val="auto"/>
        </w:rPr>
      </w:pPr>
      <w:r>
        <w:rPr>
          <w:rFonts w:ascii="Arial" w:cs="Arial" w:eastAsia="Arial" w:hAnsi="Arial"/>
          <w:sz w:val="17"/>
          <w:szCs w:val="17"/>
          <w:color w:val="auto"/>
        </w:rPr>
        <w:t>The Uinta basin consists mostly of mature light oil and natural gas fields covering more than 15,000 square miles with significant undeveloped resources. Exploration efforts immediately after the Second World War led to the first commercial oil discoveries in the Uinta basin. The application of improved hydraulic stimulation techniques in the mid-2000s greatly increased production from the Uinta basin.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10" w:name="page11"/>
    <w:bookmarkEnd w:id="10"/>
    <w:p>
      <w:pPr>
        <w:ind w:firstLine="324"/>
        <w:spacing w:after="0" w:line="259" w:lineRule="auto"/>
        <w:rPr>
          <w:sz w:val="20"/>
          <w:szCs w:val="20"/>
          <w:color w:val="auto"/>
        </w:rPr>
      </w:pPr>
      <w:r>
        <w:rPr>
          <w:rFonts w:ascii="Arial" w:cs="Arial" w:eastAsia="Arial" w:hAnsi="Arial"/>
          <w:sz w:val="18"/>
          <w:szCs w:val="18"/>
          <w:color w:val="auto"/>
        </w:rPr>
        <w:t>We obtained approximately 100,000 net mineral acres in the Uinta basin in connection with the Berry Merger. We have an average working interest greater than 95% in these assets, and operations in the Brundage Canyon, Ashley Forest, Lake Canyon and Antelope Creek areas. A majority of our Utah acreage is on tribal lands and substantially all of it is held by production. The Uinta basin assets include both conventional and unconventional reserves. In addition to vertical well development, Berry completed four horizontal wells in 2025 and we are considering additional unconventional development.</w:t>
      </w:r>
    </w:p>
    <w:p>
      <w:pPr>
        <w:spacing w:after="0" w:line="206"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We also have extensive gas infrastructure and available takeaway capacity in place to support additional development along with existing gas transportation contracts. We have natural gas gathering systems consisting of approximately 500 miles of pipeline and associated compression and metering facilities that connect to numerous sales outlets in the area. We also own a natural gas processing plant in the Brundage Canyon area located in Duchesne County, Utah with processing capacity of approximately 25 mmcf/d.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Basins</w:t>
      </w:r>
    </w:p>
    <w:p>
      <w:pPr>
        <w:spacing w:after="0" w:line="250" w:lineRule="exact"/>
        <w:rPr>
          <w:sz w:val="20"/>
          <w:szCs w:val="20"/>
          <w:color w:val="auto"/>
        </w:rPr>
      </w:pPr>
    </w:p>
    <w:p>
      <w:pPr>
        <w:jc w:val="both"/>
        <w:ind w:right="400" w:firstLine="324"/>
        <w:spacing w:after="0" w:line="268" w:lineRule="auto"/>
        <w:rPr>
          <w:sz w:val="20"/>
          <w:szCs w:val="20"/>
          <w:color w:val="auto"/>
        </w:rPr>
      </w:pPr>
      <w:r>
        <w:rPr>
          <w:rFonts w:ascii="Arial" w:cs="Arial" w:eastAsia="Arial" w:hAnsi="Arial"/>
          <w:sz w:val="18"/>
          <w:szCs w:val="18"/>
          <w:color w:val="auto"/>
        </w:rPr>
        <w:t>We have oil and natural gas operations in other basins in California, including the Ventura and Salinas basins. We also have mineral interests in undeveloped acreage throughout California, including the Santa Maria basin which is located in San Luis Obispo County and Santa Barbara County.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Mineral Acreage</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gross and net developed and undeveloped mineral acreage as of December 31,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San Joaquin Basin</w:t>
            </w:r>
          </w:p>
        </w:tc>
        <w:tc>
          <w:tcPr>
            <w:tcW w:w="120" w:type="dxa"/>
            <w:vAlign w:val="bottom"/>
            <w:vMerge w:val="restart"/>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Los Angeles Basin</w:t>
            </w:r>
          </w:p>
        </w:tc>
        <w:tc>
          <w:tcPr>
            <w:tcW w:w="120" w:type="dxa"/>
            <w:vAlign w:val="bottom"/>
            <w:vMerge w:val="restart"/>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Sacramento Basin</w:t>
            </w:r>
          </w:p>
        </w:tc>
        <w:tc>
          <w:tcPr>
            <w:tcW w:w="120" w:type="dxa"/>
            <w:vAlign w:val="bottom"/>
            <w:vMerge w:val="restart"/>
          </w:tcPr>
          <w:p>
            <w:pPr>
              <w:spacing w:after="0"/>
              <w:rPr>
                <w:sz w:val="16"/>
                <w:szCs w:val="16"/>
                <w:color w:val="auto"/>
              </w:rPr>
            </w:pPr>
          </w:p>
        </w:tc>
        <w:tc>
          <w:tcPr>
            <w:tcW w:w="460" w:type="dxa"/>
            <w:vAlign w:val="bottom"/>
            <w:vMerge w:val="restart"/>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rPr>
              <w:t>Uinta</w:t>
            </w:r>
          </w:p>
        </w:tc>
        <w:tc>
          <w:tcPr>
            <w:tcW w:w="1620" w:type="dxa"/>
            <w:vAlign w:val="bottom"/>
            <w:gridSpan w:val="2"/>
          </w:tcPr>
          <w:p>
            <w:pPr>
              <w:ind w:left="540"/>
              <w:spacing w:after="0"/>
              <w:rPr>
                <w:sz w:val="20"/>
                <w:szCs w:val="20"/>
                <w:color w:val="auto"/>
              </w:rPr>
            </w:pPr>
            <w:r>
              <w:rPr>
                <w:rFonts w:ascii="Arial" w:cs="Arial" w:eastAsia="Arial" w:hAnsi="Arial"/>
                <w:sz w:val="16"/>
                <w:szCs w:val="16"/>
                <w:b w:val="1"/>
                <w:bCs w:val="1"/>
                <w:color w:val="auto"/>
              </w:rPr>
              <w:t>Other</w:t>
            </w:r>
          </w:p>
        </w:tc>
        <w:tc>
          <w:tcPr>
            <w:tcW w:w="1520" w:type="dxa"/>
            <w:vAlign w:val="bottom"/>
            <w:vMerge w:val="restart"/>
          </w:tcPr>
          <w:p>
            <w:pPr>
              <w:jc w:val="right"/>
              <w:ind w:right="4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Basin</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Basins</w:t>
            </w:r>
          </w:p>
        </w:tc>
        <w:tc>
          <w:tcPr>
            <w:tcW w:w="100" w:type="dxa"/>
            <w:vAlign w:val="bottom"/>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3"/>
          </w:tcPr>
          <w:p>
            <w:pPr>
              <w:ind w:left="1100"/>
              <w:spacing w:after="0"/>
              <w:rPr>
                <w:sz w:val="20"/>
                <w:szCs w:val="20"/>
                <w:color w:val="auto"/>
              </w:rPr>
            </w:pPr>
            <w:r>
              <w:rPr>
                <w:rFonts w:ascii="Arial" w:cs="Arial" w:eastAsia="Arial" w:hAnsi="Arial"/>
                <w:sz w:val="14"/>
                <w:szCs w:val="14"/>
                <w:color w:val="auto"/>
              </w:rPr>
              <w:t>(in thousands)</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620" w:type="dxa"/>
            <w:vAlign w:val="bottom"/>
          </w:tcPr>
          <w:p>
            <w:pPr>
              <w:ind w:left="20"/>
              <w:spacing w:after="0" w:line="237" w:lineRule="exact"/>
              <w:rPr>
                <w:sz w:val="20"/>
                <w:szCs w:val="20"/>
                <w:color w:val="auto"/>
              </w:rPr>
            </w:pPr>
            <w:r>
              <w:rPr>
                <w:rFonts w:ascii="Arial" w:cs="Arial" w:eastAsia="Arial" w:hAnsi="Arial"/>
                <w:sz w:val="18"/>
                <w:szCs w:val="18"/>
                <w:color w:val="auto"/>
              </w:rPr>
              <w:t>Developed</w:t>
            </w:r>
            <w:r>
              <w:rPr>
                <w:rFonts w:ascii="Arial" w:cs="Arial" w:eastAsia="Arial" w:hAnsi="Arial"/>
                <w:sz w:val="23"/>
                <w:szCs w:val="23"/>
                <w:color w:val="auto"/>
                <w:vertAlign w:val="superscript"/>
              </w:rPr>
              <w:t>(a)</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Gross</w:t>
            </w:r>
            <w:r>
              <w:rPr>
                <w:rFonts w:ascii="Arial" w:cs="Arial" w:eastAsia="Arial" w:hAnsi="Arial"/>
                <w:sz w:val="23"/>
                <w:szCs w:val="23"/>
                <w:color w:val="auto"/>
                <w:vertAlign w:val="superscript"/>
              </w:rPr>
              <w:t>(b)</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30"/>
        </w:trPr>
        <w:tc>
          <w:tcPr>
            <w:tcW w:w="1620" w:type="dxa"/>
            <w:vAlign w:val="bottom"/>
          </w:tcPr>
          <w:p>
            <w:pPr>
              <w:ind w:left="140"/>
              <w:spacing w:after="0" w:line="230" w:lineRule="exact"/>
              <w:rPr>
                <w:sz w:val="20"/>
                <w:szCs w:val="20"/>
                <w:color w:val="auto"/>
              </w:rPr>
            </w:pPr>
            <w:r>
              <w:rPr>
                <w:rFonts w:ascii="Arial" w:cs="Arial" w:eastAsia="Arial" w:hAnsi="Arial"/>
                <w:sz w:val="26"/>
                <w:szCs w:val="26"/>
                <w:color w:val="auto"/>
                <w:vertAlign w:val="subscript"/>
              </w:rPr>
              <w:t>Net</w:t>
            </w:r>
            <w:r>
              <w:rPr>
                <w:rFonts w:ascii="Arial" w:cs="Arial" w:eastAsia="Arial" w:hAnsi="Arial"/>
                <w:sz w:val="10"/>
                <w:szCs w:val="10"/>
                <w:color w:val="auto"/>
              </w:rPr>
              <w:t>(c)</w:t>
            </w:r>
          </w:p>
        </w:tc>
        <w:tc>
          <w:tcPr>
            <w:tcW w:w="150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Undeveloped</w:t>
            </w:r>
            <w:r>
              <w:rPr>
                <w:rFonts w:ascii="Arial" w:cs="Arial" w:eastAsia="Arial" w:hAnsi="Arial"/>
                <w:sz w:val="23"/>
                <w:szCs w:val="23"/>
                <w:color w:val="auto"/>
                <w:vertAlign w:val="superscript"/>
              </w:rPr>
              <w:t>(d)</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140"/>
              <w:spacing w:after="0" w:line="230" w:lineRule="exact"/>
              <w:rPr>
                <w:sz w:val="20"/>
                <w:szCs w:val="20"/>
                <w:color w:val="auto"/>
              </w:rPr>
            </w:pPr>
            <w:r>
              <w:rPr>
                <w:rFonts w:ascii="Arial" w:cs="Arial" w:eastAsia="Arial" w:hAnsi="Arial"/>
                <w:sz w:val="18"/>
                <w:szCs w:val="18"/>
                <w:color w:val="auto"/>
              </w:rPr>
              <w:t>Gross</w:t>
            </w:r>
            <w:r>
              <w:rPr>
                <w:rFonts w:ascii="Arial" w:cs="Arial" w:eastAsia="Arial" w:hAnsi="Arial"/>
                <w:sz w:val="23"/>
                <w:szCs w:val="23"/>
                <w:color w:val="auto"/>
                <w:vertAlign w:val="superscript"/>
              </w:rPr>
              <w:t>(b)</w:t>
            </w:r>
          </w:p>
        </w:tc>
        <w:tc>
          <w:tcPr>
            <w:tcW w:w="1500" w:type="dxa"/>
            <w:vAlign w:val="bottom"/>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Net</w:t>
            </w:r>
            <w:r>
              <w:rPr>
                <w:rFonts w:ascii="Arial" w:cs="Arial" w:eastAsia="Arial" w:hAnsi="Arial"/>
                <w:sz w:val="23"/>
                <w:szCs w:val="23"/>
                <w:color w:val="auto"/>
                <w:vertAlign w:val="superscript"/>
              </w:rPr>
              <w:t>(c)</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30"/>
        </w:trPr>
        <w:tc>
          <w:tcPr>
            <w:tcW w:w="1620" w:type="dxa"/>
            <w:vAlign w:val="bottom"/>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Gross</w:t>
            </w:r>
            <w:r>
              <w:rPr>
                <w:rFonts w:ascii="Arial" w:cs="Arial" w:eastAsia="Arial" w:hAnsi="Arial"/>
                <w:sz w:val="23"/>
                <w:szCs w:val="23"/>
                <w:color w:val="auto"/>
                <w:vertAlign w:val="superscript"/>
              </w:rPr>
              <w:t>(b)</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311"/>
        </w:trPr>
        <w:tc>
          <w:tcPr>
            <w:tcW w:w="1620" w:type="dxa"/>
            <w:vAlign w:val="bottom"/>
          </w:tcPr>
          <w:p>
            <w:pPr>
              <w:ind w:left="140"/>
              <w:spacing w:after="0"/>
              <w:rPr>
                <w:sz w:val="20"/>
                <w:szCs w:val="20"/>
                <w:color w:val="auto"/>
              </w:rPr>
            </w:pPr>
            <w:r>
              <w:rPr>
                <w:rFonts w:ascii="Arial" w:cs="Arial" w:eastAsia="Arial" w:hAnsi="Arial"/>
                <w:sz w:val="18"/>
                <w:szCs w:val="18"/>
                <w:color w:val="auto"/>
              </w:rPr>
              <w:t>Net</w:t>
            </w:r>
            <w:r>
              <w:rPr>
                <w:rFonts w:ascii="Arial" w:cs="Arial" w:eastAsia="Arial" w:hAnsi="Arial"/>
                <w:sz w:val="23"/>
                <w:szCs w:val="23"/>
                <w:color w:val="auto"/>
                <w:vertAlign w:val="superscript"/>
              </w:rPr>
              <w:t>(c)</w:t>
            </w:r>
          </w:p>
        </w:tc>
        <w:tc>
          <w:tcPr>
            <w:tcW w:w="1500" w:type="dxa"/>
            <w:vAlign w:val="bottom"/>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bl>
    <w:p>
      <w:pPr>
        <w:ind w:left="480" w:hanging="310"/>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Mineral acres spaced or assigned to productive wells.</w:t>
      </w:r>
    </w:p>
    <w:p>
      <w:pPr>
        <w:spacing w:after="0" w:line="19" w:lineRule="exact"/>
        <w:rPr>
          <w:rFonts w:ascii="Arial" w:cs="Arial" w:eastAsia="Arial" w:hAnsi="Arial"/>
          <w:sz w:val="14"/>
          <w:szCs w:val="14"/>
          <w:color w:val="auto"/>
        </w:rPr>
      </w:pPr>
    </w:p>
    <w:p>
      <w:pPr>
        <w:ind w:left="480" w:hanging="310"/>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Total number of mineral acres in which interests are owned.</w:t>
      </w:r>
    </w:p>
    <w:p>
      <w:pPr>
        <w:spacing w:after="0" w:line="14" w:lineRule="exact"/>
        <w:rPr>
          <w:rFonts w:ascii="Arial" w:cs="Arial" w:eastAsia="Arial" w:hAnsi="Arial"/>
          <w:sz w:val="14"/>
          <w:szCs w:val="14"/>
          <w:color w:val="auto"/>
        </w:rPr>
      </w:pPr>
    </w:p>
    <w:p>
      <w:pPr>
        <w:ind w:left="480" w:hanging="310"/>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mineral acreage includes acreage reduced to our fractional ownership interest and interests under our PSCs.</w:t>
      </w:r>
    </w:p>
    <w:p>
      <w:pPr>
        <w:spacing w:after="0" w:line="14" w:lineRule="exact"/>
        <w:rPr>
          <w:rFonts w:ascii="Arial" w:cs="Arial" w:eastAsia="Arial" w:hAnsi="Arial"/>
          <w:sz w:val="14"/>
          <w:szCs w:val="14"/>
          <w:color w:val="auto"/>
        </w:rPr>
      </w:pPr>
    </w:p>
    <w:p>
      <w:pPr>
        <w:ind w:left="500" w:right="80" w:hanging="330"/>
        <w:spacing w:after="0" w:line="284" w:lineRule="auto"/>
        <w:tabs>
          <w:tab w:leader="none" w:pos="487" w:val="left"/>
        </w:tabs>
        <w:numPr>
          <w:ilvl w:val="0"/>
          <w:numId w:val="7"/>
        </w:numPr>
        <w:rPr>
          <w:rFonts w:ascii="Arial" w:cs="Arial" w:eastAsia="Arial" w:hAnsi="Arial"/>
          <w:sz w:val="14"/>
          <w:szCs w:val="14"/>
          <w:color w:val="auto"/>
        </w:rPr>
      </w:pPr>
      <w:r>
        <w:rPr>
          <w:rFonts w:ascii="Arial" w:cs="Arial" w:eastAsia="Arial" w:hAnsi="Arial"/>
          <w:sz w:val="14"/>
          <w:szCs w:val="14"/>
          <w:color w:val="auto"/>
        </w:rPr>
        <w:t>Mineral acres on which wells have not been drilled or completed to a point that would permit the production of commercial quantities of oil and natural gas, regardless of whether the mineral acreage contains proved reserves.</w:t>
      </w:r>
    </w:p>
    <w:p>
      <w:pPr>
        <w:spacing w:after="0" w:line="17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At December 31, 2025, 75% of our total net mineral interest position was held in fee and the remainder was leased. Of our leased acreage, approximately 77% is held by production and the remainder is subject to lease expiration if initial wells are not drilled within a specified period of time. The primary terms of our leases range from one to twenty years. The terms of these leases are typically extended upon achieving commercial production for so long as such production is maintained. Work programs are designed to ensure that the economic potential of any leased property is evaluated before expiration. In some instances, we may relinquish leased acreage in advance of the contractual expiration date if the evaluation process is complete and there is no longer a commercial reason for retaining the lease. In cases where we determine we want to take the additional time required to fully evaluate undeveloped acreage, we have generally been successful in obtaining extensions.</w:t>
      </w:r>
    </w:p>
    <w:p>
      <w:pPr>
        <w:spacing w:after="0" w:line="21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If we are not able to establish production or otherwise extend lease terms, approximately 6,000 net mineral acres will expire in 2026, 7,000 net mineral acres will expire in 2027 and 11,000 net mineral acres will expire in 2028. These leases represent 2% of our total net undeveloped acreage and 1% of our total net acreage as of December 31, 2025 and these expirations, should they occur, would not have a material adverse effect on us. Historically, we have not dedicated any significant portion of our capital program to prevent lease expirations and do not expect to do so in the future.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auto"/>
        </w:rPr>
        <w:t>Title to Properties</w:t>
      </w:r>
    </w:p>
    <w:p>
      <w:pPr>
        <w:spacing w:after="0" w:line="25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As is customary in the oil and natural gas industry for acquired properties, we initially conduct a high-level review of the title to our properties at the time of acquisition. Individual properties may be subject to ordinary course burdens that we believe do not materially interfere with the use or affect the value of such properties. Burdens on properties may include customary royalty or net profits interests, liens incident to operating agreements and tax obligations or duties under applicable laws, or development and abandonment obligations, among other items. Prior to the commencement of drilling operations on those properties, we typically conduct a more thorough title examination and may perform curative work with respect to significant defects. We generally will not commence drilling operations on a property until we have cured known title defects that are material to the project. For additional information on properties that secure our debt, see </w:t>
      </w:r>
      <w:r>
        <w:rPr>
          <w:rFonts w:ascii="Arial" w:cs="Arial" w:eastAsia="Arial" w:hAnsi="Arial"/>
          <w:sz w:val="18"/>
          <w:szCs w:val="18"/>
          <w:i w:val="1"/>
          <w:iCs w:val="1"/>
          <w:color w:val="auto"/>
        </w:rPr>
        <w:t>Part II, Item 8 –</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and Supplementary Data, Note 5 Debt.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Price and Cost History</w:t>
      </w:r>
    </w:p>
    <w:p>
      <w:pPr>
        <w:spacing w:after="0" w:line="25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The following table sets forth information regarding our production volumes, average realized and benchmark prices and operating costs per Boe (presented before and after hedges) for the periods presented. See </w:t>
      </w:r>
      <w:r>
        <w:rPr>
          <w:rFonts w:ascii="Arial" w:cs="Arial" w:eastAsia="Arial" w:hAnsi="Arial"/>
          <w:sz w:val="18"/>
          <w:szCs w:val="18"/>
          <w:i w:val="1"/>
          <w:iCs w:val="1"/>
          <w:color w:val="auto"/>
        </w:rPr>
        <w:t>Part II, Item 7 –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for more information on our production and commodity prices. The Berry Merger and Aera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Merger affect comparability of our production results between periods. For more information on the Berry Merger and the Aera Merger, see </w:t>
      </w:r>
      <w:r>
        <w:rPr>
          <w:rFonts w:ascii="Arial" w:cs="Arial" w:eastAsia="Arial" w:hAnsi="Arial"/>
          <w:sz w:val="18"/>
          <w:szCs w:val="18"/>
          <w:i w:val="1"/>
          <w:iCs w:val="1"/>
          <w:color w:val="auto"/>
        </w:rPr>
        <w:t>Part II, Item 8 – Financial Statements and Supplementary Data, Note 2 Business Combinations.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Average daily net production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9"/>
        </w:trPr>
        <w:tc>
          <w:tcPr>
            <w:tcW w:w="58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(MBbl/d)</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NGLs (MBbl/d)</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(MMcf/d)</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Total daily net production (MBoe/d)</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Total production (MMBoe)</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Average realized prices</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with derivative settlements ($/Bbl)</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Oil without derivative settlements ($/Bbl)</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66.52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76.92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80.41</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NGLs ($/Bbl)</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Natural gas ($/Mcf)</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Average benchmark prices</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Brent oil ($/Bbl)</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WTI oil ($/Bbl)</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64.81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75.72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77.62</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NYMEX gas ($/MMBtu)</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per Boe</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Operating costs</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25.42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 after hedges on purchased natural gas</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2" w:name="page13"/>
    <w:bookmarkEnd w:id="12"/>
    <w:p>
      <w:pPr>
        <w:ind w:right="400" w:firstLine="324"/>
        <w:spacing w:after="0" w:line="287" w:lineRule="auto"/>
        <w:rPr>
          <w:sz w:val="20"/>
          <w:szCs w:val="20"/>
          <w:color w:val="auto"/>
        </w:rPr>
      </w:pPr>
      <w:r>
        <w:rPr>
          <w:rFonts w:ascii="Arial" w:cs="Arial" w:eastAsia="Arial" w:hAnsi="Arial"/>
          <w:sz w:val="18"/>
          <w:szCs w:val="18"/>
          <w:color w:val="auto"/>
        </w:rPr>
        <w:t>Oil, natural gas and NGL production for our two largest fields for the years ended December 31, 2025 and 2024 are presented in the table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Belridge</w:t>
            </w:r>
          </w:p>
        </w:tc>
        <w:tc>
          <w:tcPr>
            <w:tcW w:w="11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Borders>
              <w:bottom w:val="single" w:sz="8" w:color="auto"/>
            </w:tcBorders>
            <w:gridSpan w:val="3"/>
          </w:tcPr>
          <w:p>
            <w:pPr>
              <w:ind w:left="1360"/>
              <w:spacing w:after="0"/>
              <w:rPr>
                <w:sz w:val="20"/>
                <w:szCs w:val="20"/>
                <w:color w:val="auto"/>
              </w:rPr>
            </w:pPr>
            <w:r>
              <w:rPr>
                <w:rFonts w:ascii="Arial" w:cs="Arial" w:eastAsia="Arial" w:hAnsi="Arial"/>
                <w:sz w:val="16"/>
                <w:szCs w:val="16"/>
                <w:b w:val="1"/>
                <w:bCs w:val="1"/>
                <w:color w:val="auto"/>
              </w:rPr>
              <w:t>Elk Hills</w:t>
            </w:r>
          </w:p>
        </w:tc>
        <w:tc>
          <w:tcPr>
            <w:tcW w:w="1180" w:type="dxa"/>
            <w:vAlign w:val="bottom"/>
            <w:tcBorders>
              <w:bottom w:val="single" w:sz="8" w:color="auto"/>
            </w:tcBorders>
          </w:tcPr>
          <w:p>
            <w:pPr>
              <w:spacing w:after="0"/>
              <w:rPr>
                <w:sz w:val="18"/>
                <w:szCs w:val="18"/>
                <w:color w:val="auto"/>
              </w:rPr>
            </w:pPr>
          </w:p>
        </w:tc>
      </w:tr>
      <w:tr>
        <w:trPr>
          <w:trHeight w:val="210"/>
        </w:trPr>
        <w:tc>
          <w:tcPr>
            <w:tcW w:w="4480" w:type="dxa"/>
            <w:vAlign w:val="bottom"/>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6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r>
      <w:tr>
        <w:trPr>
          <w:trHeight w:val="209"/>
        </w:trPr>
        <w:tc>
          <w:tcPr>
            <w:tcW w:w="4480" w:type="dxa"/>
            <w:vAlign w:val="bottom"/>
          </w:tcPr>
          <w:p>
            <w:pPr>
              <w:ind w:left="20"/>
              <w:spacing w:after="0"/>
              <w:rPr>
                <w:sz w:val="20"/>
                <w:szCs w:val="20"/>
                <w:color w:val="auto"/>
              </w:rPr>
            </w:pPr>
            <w:r>
              <w:rPr>
                <w:rFonts w:ascii="Arial" w:cs="Arial" w:eastAsia="Arial" w:hAnsi="Arial"/>
                <w:sz w:val="16"/>
                <w:szCs w:val="16"/>
                <w:b w:val="1"/>
                <w:bCs w:val="1"/>
                <w:color w:val="auto"/>
              </w:rPr>
              <w:t>Average daily net production</w:t>
            </w: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Oil (MBbl/d)</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5"/>
        </w:trPr>
        <w:tc>
          <w:tcPr>
            <w:tcW w:w="5640" w:type="dxa"/>
            <w:vAlign w:val="bottom"/>
            <w:gridSpan w:val="2"/>
          </w:tcPr>
          <w:p>
            <w:pPr>
              <w:ind w:left="140"/>
              <w:spacing w:after="0"/>
              <w:rPr>
                <w:sz w:val="20"/>
                <w:szCs w:val="20"/>
                <w:color w:val="auto"/>
              </w:rPr>
            </w:pPr>
            <w:r>
              <w:rPr>
                <w:rFonts w:ascii="Arial" w:cs="Arial" w:eastAsia="Arial" w:hAnsi="Arial"/>
                <w:sz w:val="16"/>
                <w:szCs w:val="16"/>
                <w:color w:val="auto"/>
              </w:rPr>
              <w:t>NGLs (MBbl/d)</w:t>
            </w:r>
          </w:p>
        </w:tc>
        <w:tc>
          <w:tcPr>
            <w:tcW w:w="100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Natural gas (MMcf/d)</w:t>
            </w:r>
          </w:p>
        </w:tc>
        <w:tc>
          <w:tcPr>
            <w:tcW w:w="1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0"/>
        </w:trPr>
        <w:tc>
          <w:tcPr>
            <w:tcW w:w="5640" w:type="dxa"/>
            <w:vAlign w:val="bottom"/>
            <w:gridSpan w:val="2"/>
          </w:tcPr>
          <w:p>
            <w:pPr>
              <w:ind w:left="140"/>
              <w:spacing w:after="0"/>
              <w:rPr>
                <w:sz w:val="20"/>
                <w:szCs w:val="20"/>
                <w:color w:val="auto"/>
              </w:rPr>
            </w:pPr>
            <w:r>
              <w:rPr>
                <w:rFonts w:ascii="Arial" w:cs="Arial" w:eastAsia="Arial" w:hAnsi="Arial"/>
                <w:sz w:val="16"/>
                <w:szCs w:val="16"/>
                <w:color w:val="auto"/>
              </w:rPr>
              <w:t>Total daily net production (MBoe/d)</w:t>
            </w:r>
          </w:p>
        </w:tc>
        <w:tc>
          <w:tcPr>
            <w:tcW w:w="4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
        </w:trPr>
        <w:tc>
          <w:tcPr>
            <w:tcW w:w="44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Oil, natural gas and NGL production for our two largest fields for the year ended December 31, 2023 is presented in the table below:</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80" w:type="dxa"/>
            <w:vAlign w:val="bottom"/>
          </w:tcPr>
          <w:p>
            <w:pPr>
              <w:spacing w:after="0"/>
              <w:rPr>
                <w:sz w:val="18"/>
                <w:szCs w:val="18"/>
                <w:color w:val="auto"/>
              </w:rPr>
            </w:pPr>
          </w:p>
        </w:tc>
        <w:tc>
          <w:tcPr>
            <w:tcW w:w="124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b w:val="1"/>
                <w:bCs w:val="1"/>
                <w:color w:val="auto"/>
                <w:w w:val="99"/>
              </w:rPr>
              <w:t>Elk Hills</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Wilmington</w:t>
            </w:r>
          </w:p>
        </w:tc>
        <w:tc>
          <w:tcPr>
            <w:tcW w:w="0" w:type="dxa"/>
            <w:vAlign w:val="bottom"/>
          </w:tcPr>
          <w:p>
            <w:pPr>
              <w:spacing w:after="0"/>
              <w:rPr>
                <w:sz w:val="1"/>
                <w:szCs w:val="1"/>
                <w:color w:val="auto"/>
              </w:rPr>
            </w:pPr>
          </w:p>
        </w:tc>
      </w:tr>
      <w:tr>
        <w:trPr>
          <w:trHeight w:val="210"/>
        </w:trPr>
        <w:tc>
          <w:tcPr>
            <w:tcW w:w="78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Average daily net production</w:t>
            </w: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788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Oil (MBbl/d)</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5"/>
        </w:trPr>
        <w:tc>
          <w:tcPr>
            <w:tcW w:w="9120" w:type="dxa"/>
            <w:vAlign w:val="bottom"/>
            <w:gridSpan w:val="2"/>
          </w:tcPr>
          <w:p>
            <w:pPr>
              <w:ind w:left="140"/>
              <w:spacing w:after="0"/>
              <w:rPr>
                <w:sz w:val="20"/>
                <w:szCs w:val="20"/>
                <w:color w:val="auto"/>
              </w:rPr>
            </w:pPr>
            <w:r>
              <w:rPr>
                <w:rFonts w:ascii="Arial" w:cs="Arial" w:eastAsia="Arial" w:hAnsi="Arial"/>
                <w:sz w:val="16"/>
                <w:szCs w:val="16"/>
                <w:color w:val="auto"/>
              </w:rPr>
              <w:t>NGLs (MBbl/d)</w:t>
            </w:r>
          </w:p>
        </w:tc>
        <w:tc>
          <w:tcPr>
            <w:tcW w:w="3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Natural gas (MMcf/d)</w:t>
            </w:r>
          </w:p>
        </w:tc>
        <w:tc>
          <w:tcPr>
            <w:tcW w:w="12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9120" w:type="dxa"/>
            <w:vAlign w:val="bottom"/>
            <w:gridSpan w:val="2"/>
          </w:tcPr>
          <w:p>
            <w:pPr>
              <w:ind w:left="140"/>
              <w:spacing w:after="0"/>
              <w:rPr>
                <w:sz w:val="20"/>
                <w:szCs w:val="20"/>
                <w:color w:val="auto"/>
              </w:rPr>
            </w:pPr>
            <w:r>
              <w:rPr>
                <w:rFonts w:ascii="Arial" w:cs="Arial" w:eastAsia="Arial" w:hAnsi="Arial"/>
                <w:sz w:val="16"/>
                <w:szCs w:val="16"/>
                <w:color w:val="auto"/>
              </w:rPr>
              <w:t>Total daily net production (MBoe/d)</w:t>
            </w:r>
          </w:p>
        </w:tc>
        <w:tc>
          <w:tcPr>
            <w:tcW w:w="3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
        </w:trPr>
        <w:tc>
          <w:tcPr>
            <w:tcW w:w="78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operating costs include (1) variable costs that fluctuate with production levels and (2) fixed costs that typically do not vary with changes in production levels or well counts, especially in the short term. The substantial majority of our near-term fixed costs become variable over the longer term because we manage them based on the field’s stage of life and operating characteristics. For example, portions of labor and material costs, energy, workovers and maintenance expenditures correlate to well count, production and activity levels. Portions of these same costs can be relatively fixed over the near term; however, they are managed down as fields mature in a manner that correlates to production and commodity price levels. A certain amount of costs for facilities, surface support, surveillance and related maintenance can be regarded as fixed in the early phases of a program. However, as the production from a certain area matures, well count increases and daily per well production drops, such support costs can be reduced and consolidated over a larger number of wells, reducing costs per operating well. Further, many of our other costs, such as property taxes and oilfield services, are variable and will respond to activity levels and tend to correlate with commodity prices. We can quickly scale our operating costs in response to prevailing market conditions. We believe that a significant portion of our operating costs is variable over the lifecycle of our fields.</w:t>
      </w:r>
    </w:p>
    <w:p>
      <w:pPr>
        <w:spacing w:after="0" w:line="20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line with industry practice for reporting PSCs, we report 100% of operating costs under such contracts in operating costs on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PSCs. This difference in reporting full operating costs but only our net share of production equally inflates our revenue and operating costs per barrel and has no effect on our net results.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operating costs after adjustment for excess costs attributable to PSCs for the periods presented: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b w:val="1"/>
                <w:bCs w:val="1"/>
                <w:color w:val="auto"/>
              </w:rPr>
              <w:t>Year ended December 31,</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23"/>
        </w:trPr>
        <w:tc>
          <w:tcPr>
            <w:tcW w:w="4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2025</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2024</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r>
      <w:tr>
        <w:trPr>
          <w:trHeight w:val="233"/>
        </w:trPr>
        <w:tc>
          <w:tcPr>
            <w:tcW w:w="4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0"/>
                <w:szCs w:val="20"/>
                <w:color w:val="auto"/>
              </w:rPr>
            </w:pPr>
          </w:p>
        </w:tc>
        <w:tc>
          <w:tcPr>
            <w:tcW w:w="880" w:type="dxa"/>
            <w:vAlign w:val="bottom"/>
          </w:tcPr>
          <w:p>
            <w:pPr>
              <w:jc w:val="right"/>
              <w:ind w:right="75"/>
              <w:spacing w:after="0"/>
              <w:rPr>
                <w:sz w:val="20"/>
                <w:szCs w:val="20"/>
                <w:color w:val="auto"/>
              </w:rPr>
            </w:pPr>
            <w:r>
              <w:rPr>
                <w:rFonts w:ascii="Arial" w:cs="Arial" w:eastAsia="Arial" w:hAnsi="Arial"/>
                <w:sz w:val="14"/>
                <w:szCs w:val="14"/>
                <w:color w:val="auto"/>
                <w:w w:val="99"/>
              </w:rPr>
              <w:t>($ per Boe)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4"/>
                <w:szCs w:val="14"/>
                <w:color w:val="auto"/>
              </w:rPr>
              <w:t>($ per Boe)</w:t>
            </w:r>
          </w:p>
        </w:tc>
        <w:tc>
          <w:tcPr>
            <w:tcW w:w="14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5"/>
              <w:spacing w:after="0"/>
              <w:rPr>
                <w:sz w:val="20"/>
                <w:szCs w:val="20"/>
                <w:color w:val="auto"/>
              </w:rPr>
            </w:pPr>
            <w:r>
              <w:rPr>
                <w:rFonts w:ascii="Arial" w:cs="Arial" w:eastAsia="Arial" w:hAnsi="Arial"/>
                <w:sz w:val="14"/>
                <w:szCs w:val="14"/>
                <w:color w:val="auto"/>
              </w:rPr>
              <w:t>per Boe)</w:t>
            </w:r>
          </w:p>
        </w:tc>
      </w:tr>
      <w:tr>
        <w:trPr>
          <w:trHeight w:val="234"/>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Excess costs attributable to PSCs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48"/>
        </w:trPr>
        <w:tc>
          <w:tcPr>
            <w:tcW w:w="45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Operating costs, excluding effects of PSCs</w:t>
            </w:r>
            <w:r>
              <w:rPr>
                <w:rFonts w:ascii="Arial" w:cs="Arial" w:eastAsia="Arial" w:hAnsi="Arial"/>
                <w:sz w:val="23"/>
                <w:szCs w:val="23"/>
                <w:color w:val="auto"/>
                <w:vertAlign w:val="superscript"/>
              </w:rPr>
              <w:t>(a)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right="40" w:hanging="332"/>
        <w:spacing w:after="0" w:line="273"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Operating costs, excluding effects of PSCs is a non-GAAP measure. As described above, the reporting of our PSCs creates a difference between reported operating costs, which are for the full field, and reported volumes, which are only our net share, inflating the per barrel operating costs. These amounts represent our operating costs after adjusting for this difference.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Estimated Proved Reserves and Future Net Cash Flows</w:t>
      </w:r>
    </w:p>
    <w:p>
      <w:pPr>
        <w:spacing w:after="0" w:line="250"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following tables summarize our estimated proved oil (including condensate), NGLs and natural gas reserves and PV-10 as of December 31, 2025. Our estimated volumes and cash flows were calculated using the unweighted arithmetic average of the first-day-of-the-month price for each month within the year (SEC Prices), unless prices were defined by contractual arrangements. For oil volumes, the average Brent spot price of $ 69.38 per barrel and WTI price of $65.34 per barrel were adjusted for gravity, quality and transportation costs. For natural gas volumes, the average NYMEX gas price of $ 3.39 per MMBtu was adjusted for energy content, transportation fees and market differentials. All prices are held constant throughout the lives of the properties. The average realized prices for estimating our proved reserves as of December 31, 2025 were $67.21 per barrel for oil, $45.81 per barrel for NGLs and $3.44 per Mcf for natural gas.</w:t>
      </w:r>
    </w:p>
    <w:p>
      <w:pPr>
        <w:spacing w:after="0" w:line="210" w:lineRule="exact"/>
        <w:rPr>
          <w:sz w:val="20"/>
          <w:szCs w:val="20"/>
          <w:color w:val="auto"/>
        </w:rPr>
      </w:pPr>
    </w:p>
    <w:p>
      <w:pPr>
        <w:ind w:right="340" w:firstLine="324"/>
        <w:spacing w:after="0" w:line="271" w:lineRule="auto"/>
        <w:rPr>
          <w:sz w:val="20"/>
          <w:szCs w:val="20"/>
          <w:color w:val="auto"/>
        </w:rPr>
      </w:pPr>
      <w:r>
        <w:rPr>
          <w:rFonts w:ascii="Arial" w:cs="Arial" w:eastAsia="Arial" w:hAnsi="Arial"/>
          <w:sz w:val="18"/>
          <w:szCs w:val="18"/>
          <w:color w:val="auto"/>
        </w:rPr>
        <w:t xml:space="preserve">Estimated reserves include our economic interests under PSCs in our Long Beach operations in the Wilmington field. Refer to </w:t>
      </w:r>
      <w:r>
        <w:rPr>
          <w:rFonts w:ascii="Arial" w:cs="Arial" w:eastAsia="Arial" w:hAnsi="Arial"/>
          <w:sz w:val="18"/>
          <w:szCs w:val="18"/>
          <w:i w:val="1"/>
          <w:iCs w:val="1"/>
          <w:color w:val="auto"/>
        </w:rPr>
        <w:t>Part II,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Item 8 – Financial Statements, Supplemental Oil and Gas Information </w:t>
      </w:r>
      <w:r>
        <w:rPr>
          <w:rFonts w:ascii="Arial" w:cs="Arial" w:eastAsia="Arial" w:hAnsi="Arial"/>
          <w:sz w:val="18"/>
          <w:szCs w:val="18"/>
          <w:color w:val="auto"/>
        </w:rPr>
        <w:t>for additional information on our proved reserves.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ind w:left="260"/>
              <w:spacing w:after="0"/>
              <w:rPr>
                <w:sz w:val="20"/>
                <w:szCs w:val="20"/>
                <w:color w:val="auto"/>
              </w:rPr>
            </w:pPr>
            <w:r>
              <w:rPr>
                <w:rFonts w:ascii="Arial" w:cs="Arial" w:eastAsia="Arial" w:hAnsi="Arial"/>
                <w:sz w:val="16"/>
                <w:szCs w:val="16"/>
                <w:b w:val="1"/>
                <w:bCs w:val="1"/>
                <w:color w:val="auto"/>
              </w:rPr>
              <w:t>As of December 31, 2025</w:t>
            </w: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2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San Joaquin</w:t>
            </w:r>
          </w:p>
        </w:tc>
        <w:tc>
          <w:tcPr>
            <w:tcW w:w="12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Los Angeles</w:t>
            </w:r>
          </w:p>
        </w:tc>
        <w:tc>
          <w:tcPr>
            <w:tcW w:w="12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Sacramento</w:t>
            </w:r>
          </w:p>
        </w:tc>
        <w:tc>
          <w:tcPr>
            <w:tcW w:w="1260" w:type="dxa"/>
            <w:vAlign w:val="bottom"/>
            <w:gridSpan w:val="2"/>
          </w:tcPr>
          <w:p>
            <w:pPr>
              <w:ind w:left="400"/>
              <w:spacing w:after="0" w:line="142" w:lineRule="exact"/>
              <w:rPr>
                <w:sz w:val="20"/>
                <w:szCs w:val="20"/>
                <w:color w:val="auto"/>
              </w:rPr>
            </w:pPr>
            <w:r>
              <w:rPr>
                <w:rFonts w:ascii="Arial" w:cs="Arial" w:eastAsia="Arial" w:hAnsi="Arial"/>
                <w:sz w:val="14"/>
                <w:szCs w:val="14"/>
                <w:b w:val="1"/>
                <w:bCs w:val="1"/>
                <w:color w:val="auto"/>
              </w:rPr>
              <w:t>Uinta</w:t>
            </w:r>
          </w:p>
        </w:tc>
        <w:tc>
          <w:tcPr>
            <w:tcW w:w="126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rPr>
              <w:t>Other</w:t>
            </w:r>
          </w:p>
        </w:tc>
        <w:tc>
          <w:tcPr>
            <w:tcW w:w="116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260" w:type="dxa"/>
            <w:vAlign w:val="bottom"/>
            <w:gridSpan w:val="2"/>
          </w:tcPr>
          <w:p>
            <w:pPr>
              <w:ind w:left="400"/>
              <w:spacing w:after="0"/>
              <w:rPr>
                <w:sz w:val="20"/>
                <w:szCs w:val="20"/>
                <w:color w:val="auto"/>
              </w:rPr>
            </w:pPr>
            <w:r>
              <w:rPr>
                <w:rFonts w:ascii="Arial" w:cs="Arial" w:eastAsia="Arial" w:hAnsi="Arial"/>
                <w:sz w:val="14"/>
                <w:szCs w:val="14"/>
                <w:b w:val="1"/>
                <w:bCs w:val="1"/>
                <w:color w:val="auto"/>
              </w:rPr>
              <w:t>Basin</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Basins</w:t>
            </w: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Proved developed reserves</w:t>
            </w: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Oil (MMBbl)</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15"/>
        </w:trPr>
        <w:tc>
          <w:tcPr>
            <w:tcW w:w="3740" w:type="dxa"/>
            <w:vAlign w:val="bottom"/>
          </w:tcPr>
          <w:p>
            <w:pPr>
              <w:ind w:left="140"/>
              <w:spacing w:after="0"/>
              <w:rPr>
                <w:sz w:val="20"/>
                <w:szCs w:val="20"/>
                <w:color w:val="auto"/>
              </w:rPr>
            </w:pPr>
            <w:r>
              <w:rPr>
                <w:rFonts w:ascii="Arial" w:cs="Arial" w:eastAsia="Arial" w:hAnsi="Arial"/>
                <w:sz w:val="16"/>
                <w:szCs w:val="16"/>
                <w:color w:val="auto"/>
              </w:rPr>
              <w:t>NGLs (MMBbl)</w:t>
            </w:r>
          </w:p>
        </w:tc>
        <w:tc>
          <w:tcPr>
            <w:tcW w:w="11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Natural Gas (Bcf)</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CCEEFF"/>
            </w:tcBorders>
          </w:tcPr>
          <w:p>
            <w:pPr>
              <w:ind w:left="360"/>
              <w:spacing w:after="0" w:line="210" w:lineRule="exact"/>
              <w:rPr>
                <w:sz w:val="20"/>
                <w:szCs w:val="20"/>
                <w:color w:val="auto"/>
              </w:rPr>
            </w:pPr>
            <w:r>
              <w:rPr>
                <w:rFonts w:ascii="Arial" w:cs="Arial" w:eastAsia="Arial" w:hAnsi="Arial"/>
                <w:sz w:val="16"/>
                <w:szCs w:val="16"/>
                <w:color w:val="auto"/>
              </w:rPr>
              <w:t>Total (MMBoe)</w:t>
            </w:r>
            <w:r>
              <w:rPr>
                <w:rFonts w:ascii="Arial" w:cs="Arial" w:eastAsia="Arial" w:hAnsi="Arial"/>
                <w:sz w:val="21"/>
                <w:szCs w:val="21"/>
                <w:color w:val="auto"/>
                <w:vertAlign w:val="superscript"/>
              </w:rPr>
              <w:t>(a)</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196"/>
        </w:trPr>
        <w:tc>
          <w:tcPr>
            <w:tcW w:w="37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Proved undeveloped reserves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Oil (MMBbl)</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5"/>
        </w:trPr>
        <w:tc>
          <w:tcPr>
            <w:tcW w:w="3740" w:type="dxa"/>
            <w:vAlign w:val="bottom"/>
          </w:tcPr>
          <w:p>
            <w:pPr>
              <w:ind w:left="140"/>
              <w:spacing w:after="0"/>
              <w:rPr>
                <w:sz w:val="20"/>
                <w:szCs w:val="20"/>
                <w:color w:val="auto"/>
              </w:rPr>
            </w:pPr>
            <w:r>
              <w:rPr>
                <w:rFonts w:ascii="Arial" w:cs="Arial" w:eastAsia="Arial" w:hAnsi="Arial"/>
                <w:sz w:val="16"/>
                <w:szCs w:val="16"/>
                <w:color w:val="auto"/>
              </w:rPr>
              <w:t>NGLs (MMBbl)</w:t>
            </w: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Natural Gas (Bcf)</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(MMBoe)</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97"/>
        </w:trPr>
        <w:tc>
          <w:tcPr>
            <w:tcW w:w="37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Total proved reserves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Oil (MMBbl)</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15"/>
        </w:trPr>
        <w:tc>
          <w:tcPr>
            <w:tcW w:w="3740" w:type="dxa"/>
            <w:vAlign w:val="bottom"/>
          </w:tcPr>
          <w:p>
            <w:pPr>
              <w:ind w:left="140"/>
              <w:spacing w:after="0"/>
              <w:rPr>
                <w:sz w:val="20"/>
                <w:szCs w:val="20"/>
                <w:color w:val="auto"/>
              </w:rPr>
            </w:pPr>
            <w:r>
              <w:rPr>
                <w:rFonts w:ascii="Arial" w:cs="Arial" w:eastAsia="Arial" w:hAnsi="Arial"/>
                <w:sz w:val="16"/>
                <w:szCs w:val="16"/>
                <w:color w:val="auto"/>
              </w:rPr>
              <w:t>NGLs (MMBbl)</w:t>
            </w:r>
          </w:p>
        </w:tc>
        <w:tc>
          <w:tcPr>
            <w:tcW w:w="116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Natural Gas (Bcf)</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10"/>
        </w:trPr>
        <w:tc>
          <w:tcPr>
            <w:tcW w:w="3740" w:type="dxa"/>
            <w:vAlign w:val="bottom"/>
          </w:tcPr>
          <w:p>
            <w:pPr>
              <w:ind w:left="360"/>
              <w:spacing w:after="0"/>
              <w:rPr>
                <w:sz w:val="20"/>
                <w:szCs w:val="20"/>
                <w:color w:val="auto"/>
              </w:rPr>
            </w:pPr>
            <w:r>
              <w:rPr>
                <w:rFonts w:ascii="Arial" w:cs="Arial" w:eastAsia="Arial" w:hAnsi="Arial"/>
                <w:sz w:val="16"/>
                <w:szCs w:val="16"/>
                <w:color w:val="auto"/>
              </w:rPr>
              <w:t>Total (MMBoe)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500" w:right="100" w:hanging="330"/>
        <w:spacing w:after="0" w:line="283" w:lineRule="auto"/>
        <w:tabs>
          <w:tab w:leader="none" w:pos="487"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December 31, 2025, approximately 10% of proved developed oil reserves, 6% of proved developed NGLs reserves, 7% of proved developed natural gas reserves and, overall, 10% of total proved developed reserves are non-producing. A majority of our non-producing reserves relate to steamfloods and waterfloods where full production response has not yet occurred due to the nature of such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auto"/>
        </w:rPr>
        <w:t>Changes to Proved Reserves</w:t>
      </w:r>
    </w:p>
    <w:p>
      <w:pPr>
        <w:spacing w:after="0" w:line="250"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We added 93 MMBoe of proved reserves through the Berry Merger in 2025, including locations in the San Joaquin and Uinta basins. The components of the changes to our proved reserves during the year ended December 31, 2025 were as follows:</w:t>
      </w:r>
    </w:p>
    <w:p>
      <w:pPr>
        <w:spacing w:after="0" w:line="4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San Joaquin</w:t>
            </w: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Los Angeles</w:t>
            </w: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Sacramento</w:t>
            </w:r>
          </w:p>
        </w:tc>
        <w:tc>
          <w:tcPr>
            <w:tcW w:w="120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Uinta Basin</w:t>
            </w:r>
          </w:p>
        </w:tc>
        <w:tc>
          <w:tcPr>
            <w:tcW w:w="80" w:type="dxa"/>
            <w:vAlign w:val="bottom"/>
            <w:vMerge w:val="restart"/>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Other Basins</w:t>
            </w:r>
          </w:p>
        </w:tc>
        <w:tc>
          <w:tcPr>
            <w:tcW w:w="100" w:type="dxa"/>
            <w:vAlign w:val="bottom"/>
            <w:vMerge w:val="restart"/>
          </w:tcPr>
          <w:p>
            <w:pPr>
              <w:spacing w:after="0"/>
              <w:rPr>
                <w:sz w:val="17"/>
                <w:szCs w:val="17"/>
                <w:color w:val="auto"/>
              </w:rPr>
            </w:pPr>
          </w:p>
        </w:tc>
        <w:tc>
          <w:tcPr>
            <w:tcW w:w="1180" w:type="dxa"/>
            <w:vAlign w:val="bottom"/>
            <w:vMerge w:val="restart"/>
          </w:tcPr>
          <w:p>
            <w:pPr>
              <w:jc w:val="right"/>
              <w:ind w:right="318"/>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120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b w:val="1"/>
                <w:bCs w:val="1"/>
                <w:color w:val="auto"/>
              </w:rPr>
              <w:t>Basin</w:t>
            </w:r>
          </w:p>
        </w:tc>
        <w:tc>
          <w:tcPr>
            <w:tcW w:w="80" w:type="dxa"/>
            <w:vAlign w:val="bottom"/>
          </w:tcPr>
          <w:p>
            <w:pPr>
              <w:spacing w:after="0"/>
              <w:rPr>
                <w:sz w:val="21"/>
                <w:szCs w:val="21"/>
                <w:color w:val="auto"/>
              </w:rPr>
            </w:pPr>
          </w:p>
        </w:tc>
        <w:tc>
          <w:tcPr>
            <w:tcW w:w="1200" w:type="dxa"/>
            <w:vAlign w:val="bottom"/>
            <w:tcBorders>
              <w:bottom w:val="single" w:sz="8" w:color="auto"/>
            </w:tcBorders>
          </w:tcPr>
          <w:p>
            <w:pPr>
              <w:jc w:val="right"/>
              <w:ind w:right="217"/>
              <w:spacing w:after="0" w:line="243" w:lineRule="exact"/>
              <w:rPr>
                <w:sz w:val="20"/>
                <w:szCs w:val="20"/>
                <w:color w:val="auto"/>
              </w:rPr>
            </w:pPr>
            <w:r>
              <w:rPr>
                <w:rFonts w:ascii="Arial" w:cs="Arial" w:eastAsia="Arial" w:hAnsi="Arial"/>
                <w:sz w:val="18"/>
                <w:szCs w:val="18"/>
                <w:b w:val="1"/>
                <w:bCs w:val="1"/>
                <w:color w:val="auto"/>
              </w:rPr>
              <w:t>Basin</w:t>
            </w:r>
            <w:r>
              <w:rPr>
                <w:rFonts w:ascii="Arial" w:cs="Arial" w:eastAsia="Arial" w:hAnsi="Arial"/>
                <w:sz w:val="23"/>
                <w:szCs w:val="23"/>
                <w:b w:val="1"/>
                <w:bCs w:val="1"/>
                <w:color w:val="auto"/>
                <w:vertAlign w:val="superscript"/>
              </w:rPr>
              <w:t>(a)</w:t>
            </w:r>
          </w:p>
        </w:tc>
        <w:tc>
          <w:tcPr>
            <w:tcW w:w="80" w:type="dxa"/>
            <w:vAlign w:val="bottom"/>
          </w:tcPr>
          <w:p>
            <w:pPr>
              <w:spacing w:after="0"/>
              <w:rPr>
                <w:sz w:val="21"/>
                <w:szCs w:val="21"/>
                <w:color w:val="auto"/>
              </w:rPr>
            </w:pPr>
          </w:p>
        </w:tc>
        <w:tc>
          <w:tcPr>
            <w:tcW w:w="1420" w:type="dxa"/>
            <w:vAlign w:val="bottom"/>
            <w:tcBorders>
              <w:bottom w:val="single" w:sz="8" w:color="auto"/>
            </w:tcBorders>
          </w:tcPr>
          <w:p>
            <w:pPr>
              <w:jc w:val="right"/>
              <w:ind w:right="398"/>
              <w:spacing w:after="0"/>
              <w:rPr>
                <w:sz w:val="20"/>
                <w:szCs w:val="20"/>
                <w:color w:val="auto"/>
              </w:rPr>
            </w:pPr>
            <w:r>
              <w:rPr>
                <w:rFonts w:ascii="Arial" w:cs="Arial" w:eastAsia="Arial" w:hAnsi="Arial"/>
                <w:sz w:val="18"/>
                <w:szCs w:val="18"/>
                <w:b w:val="1"/>
                <w:bCs w:val="1"/>
                <w:color w:val="auto"/>
              </w:rPr>
              <w:t>Basin</w:t>
            </w:r>
          </w:p>
        </w:tc>
        <w:tc>
          <w:tcPr>
            <w:tcW w:w="80" w:type="dxa"/>
            <w:vAlign w:val="bottom"/>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80" w:type="dxa"/>
            <w:vAlign w:val="bottom"/>
            <w:gridSpan w:val="4"/>
          </w:tcPr>
          <w:p>
            <w:pPr>
              <w:ind w:left="1040"/>
              <w:spacing w:after="0"/>
              <w:rPr>
                <w:sz w:val="20"/>
                <w:szCs w:val="20"/>
                <w:color w:val="auto"/>
              </w:rPr>
            </w:pPr>
            <w:r>
              <w:rPr>
                <w:rFonts w:ascii="Arial" w:cs="Arial" w:eastAsia="Arial" w:hAnsi="Arial"/>
                <w:sz w:val="14"/>
                <w:szCs w:val="14"/>
                <w:color w:val="auto"/>
              </w:rPr>
              <w:t>(MMBoe)</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Arial" w:cs="Arial" w:eastAsia="Arial" w:hAnsi="Arial"/>
                <w:sz w:val="18"/>
                <w:szCs w:val="18"/>
                <w:color w:val="auto"/>
              </w:rPr>
              <w:t>Revisions related to price</w:t>
            </w: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Revisions related to performance</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Arial" w:cs="Arial" w:eastAsia="Arial" w:hAnsi="Arial"/>
                <w:sz w:val="18"/>
                <w:szCs w:val="18"/>
                <w:color w:val="auto"/>
              </w:rPr>
              <w:t>Extensions and discoveries</w:t>
            </w: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Improved recovery</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Arial" w:cs="Arial" w:eastAsia="Arial" w:hAnsi="Arial"/>
                <w:sz w:val="18"/>
                <w:szCs w:val="18"/>
                <w:color w:val="auto"/>
              </w:rPr>
              <w:t>Acquisitions and divestitures</w:t>
            </w:r>
          </w:p>
        </w:tc>
        <w:tc>
          <w:tcPr>
            <w:tcW w:w="1200" w:type="dxa"/>
            <w:vAlign w:val="bottom"/>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Production</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2025</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Includes proved reserves related to PSCs of 51 MMBoe and 62 MMBoe at December 31, 2025 and 2024, respectively.</w:t>
      </w:r>
    </w:p>
    <w:p>
      <w:pPr>
        <w:spacing w:after="0" w:line="248"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i w:val="1"/>
          <w:iCs w:val="1"/>
          <w:color w:val="auto"/>
        </w:rPr>
        <w:t xml:space="preserve">Revisions related to price </w:t>
      </w:r>
      <w:r>
        <w:rPr>
          <w:rFonts w:ascii="Arial" w:cs="Arial" w:eastAsia="Arial" w:hAnsi="Arial"/>
          <w:sz w:val="18"/>
          <w:szCs w:val="18"/>
          <w:color w:val="auto"/>
        </w:rPr>
        <w:t>– We had net negative price-related revisions of 25 MMBoe. Included in these revisions are negative price-related revisions of 37 MMboe, which were partially offset by 23 MMBoe of positive revisions. These negative revisions are primarily a result of lower average realized SEC Prices in 2025 as compared to 2024, including lower natural gas realizations in certain areas. These negative revisions were partially offset by positive revisions primarily from lower operating costs related to steamflood management.</w:t>
      </w:r>
    </w:p>
    <w:p>
      <w:pPr>
        <w:spacing w:after="0" w:line="203" w:lineRule="exact"/>
        <w:rPr>
          <w:sz w:val="20"/>
          <w:szCs w:val="20"/>
          <w:color w:val="auto"/>
        </w:rPr>
      </w:pPr>
    </w:p>
    <w:p>
      <w:pPr>
        <w:jc w:val="both"/>
        <w:ind w:right="340" w:firstLine="324"/>
        <w:spacing w:after="0" w:line="268" w:lineRule="auto"/>
        <w:rPr>
          <w:sz w:val="20"/>
          <w:szCs w:val="20"/>
          <w:color w:val="auto"/>
        </w:rPr>
      </w:pPr>
      <w:r>
        <w:rPr>
          <w:rFonts w:ascii="Arial" w:cs="Arial" w:eastAsia="Arial" w:hAnsi="Arial"/>
          <w:sz w:val="18"/>
          <w:szCs w:val="18"/>
          <w:color w:val="auto"/>
        </w:rPr>
        <w:t xml:space="preserve">Also included in the net negative price-related revisions are negative revisions of 12 MMBoe offset by 1 MMBoe of positive revisions, which were due the extension of the cap-and-invest program. The majority of these revisions were located in the San Joaquin basin. See </w:t>
      </w:r>
      <w:r>
        <w:rPr>
          <w:rFonts w:ascii="Arial" w:cs="Arial" w:eastAsia="Arial" w:hAnsi="Arial"/>
          <w:sz w:val="18"/>
          <w:szCs w:val="18"/>
          <w:i w:val="1"/>
          <w:iCs w:val="1"/>
          <w:color w:val="auto"/>
        </w:rPr>
        <w:t>Regulation of the Industries in Which We Operate, Regulation of Exploration and Production Activities</w:t>
      </w:r>
      <w:r>
        <w:rPr>
          <w:rFonts w:ascii="Arial" w:cs="Arial" w:eastAsia="Arial" w:hAnsi="Arial"/>
          <w:sz w:val="18"/>
          <w:szCs w:val="18"/>
          <w:color w:val="auto"/>
        </w:rPr>
        <w:t>.</w:t>
      </w:r>
    </w:p>
    <w:p>
      <w:pPr>
        <w:spacing w:after="0" w:line="19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i w:val="1"/>
          <w:iCs w:val="1"/>
          <w:color w:val="auto"/>
        </w:rPr>
        <w:t xml:space="preserve">Revisions related to performance </w:t>
      </w:r>
      <w:r>
        <w:rPr>
          <w:rFonts w:ascii="Arial" w:cs="Arial" w:eastAsia="Arial" w:hAnsi="Arial"/>
          <w:sz w:val="18"/>
          <w:szCs w:val="18"/>
          <w:color w:val="auto"/>
        </w:rPr>
        <w:t>– We had 61 MMBoe of net positive performance-related revisions which included positive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performance-related revisions of 80 MMBoe and negative performance-related revisions of 19 MMBoe. Our positive performance-related revisions primarily related to additional drilling activity in the San Joaquin basin, maintaining higher than forecasted base production, and extension of field life through steam management. Our negative performance-related revisions primarily were due to lower overall expected recovery from certain projects in the San Joaquin basin.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We added 3 MMBoe related to drilling in the San Joaquin basin.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Improved recovery </w:t>
      </w:r>
      <w:r>
        <w:rPr>
          <w:rFonts w:ascii="Arial" w:cs="Arial" w:eastAsia="Arial" w:hAnsi="Arial"/>
          <w:sz w:val="18"/>
          <w:szCs w:val="18"/>
          <w:color w:val="auto"/>
        </w:rPr>
        <w:t>– We added 27 MMBoe related to increased drilling activity associated with steamfloods in the San Joaquin basin.</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Acquisitions and divestitures </w:t>
      </w:r>
      <w:r>
        <w:rPr>
          <w:rFonts w:ascii="Arial" w:cs="Arial" w:eastAsia="Arial" w:hAnsi="Arial"/>
          <w:sz w:val="18"/>
          <w:szCs w:val="18"/>
          <w:color w:val="auto"/>
        </w:rPr>
        <w:t>– We added 93 MMBoe related to the Berry Merger in the San Joaquin and Uinta basins.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620" w:type="dxa"/>
            <w:vAlign w:val="bottom"/>
            <w:gridSpan w:val="4"/>
          </w:tcPr>
          <w:p>
            <w:pPr>
              <w:spacing w:after="0"/>
              <w:rPr>
                <w:sz w:val="20"/>
                <w:szCs w:val="20"/>
                <w:color w:val="auto"/>
              </w:rPr>
            </w:pPr>
            <w:r>
              <w:rPr>
                <w:rFonts w:ascii="Arial" w:cs="Arial" w:eastAsia="Arial" w:hAnsi="Arial"/>
                <w:sz w:val="18"/>
                <w:szCs w:val="18"/>
                <w:i w:val="1"/>
                <w:iCs w:val="1"/>
                <w:color w:val="auto"/>
              </w:rPr>
              <w:t>Changes to Proved Undeveloped Reserves</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gridSpan w:val="2"/>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10040" w:type="dxa"/>
            <w:vAlign w:val="bottom"/>
            <w:gridSpan w:val="13"/>
          </w:tcPr>
          <w:p>
            <w:pPr>
              <w:ind w:left="340"/>
              <w:spacing w:after="0"/>
              <w:rPr>
                <w:sz w:val="20"/>
                <w:szCs w:val="20"/>
                <w:color w:val="auto"/>
              </w:rPr>
            </w:pPr>
            <w:r>
              <w:rPr>
                <w:rFonts w:ascii="Arial" w:cs="Arial" w:eastAsia="Arial" w:hAnsi="Arial"/>
                <w:sz w:val="18"/>
                <w:szCs w:val="18"/>
                <w:color w:val="auto"/>
              </w:rPr>
              <w:t>The total changes to our proved undeveloped reserves during the year ended December 31, 2025 were as follows:</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3320" w:type="dxa"/>
            <w:vAlign w:val="bottom"/>
          </w:tcPr>
          <w:p>
            <w:pPr>
              <w:spacing w:after="0"/>
              <w:rPr>
                <w:sz w:val="24"/>
                <w:szCs w:val="24"/>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San Joaquin</w:t>
            </w: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Los Angeles</w:t>
            </w:r>
          </w:p>
        </w:tc>
        <w:tc>
          <w:tcPr>
            <w:tcW w:w="1780" w:type="dxa"/>
            <w:vAlign w:val="bottom"/>
            <w:gridSpan w:val="3"/>
          </w:tcPr>
          <w:p>
            <w:pPr>
              <w:ind w:left="200"/>
              <w:spacing w:after="0"/>
              <w:rPr>
                <w:sz w:val="20"/>
                <w:szCs w:val="20"/>
                <w:color w:val="auto"/>
              </w:rPr>
            </w:pPr>
            <w:r>
              <w:rPr>
                <w:rFonts w:ascii="Arial" w:cs="Arial" w:eastAsia="Arial" w:hAnsi="Arial"/>
                <w:sz w:val="18"/>
                <w:szCs w:val="18"/>
                <w:b w:val="1"/>
                <w:bCs w:val="1"/>
                <w:color w:val="auto"/>
              </w:rPr>
              <w:t>Sacramento</w:t>
            </w: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Uinta</w:t>
            </w: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Other Basins</w:t>
            </w:r>
          </w:p>
        </w:tc>
        <w:tc>
          <w:tcPr>
            <w:tcW w:w="100" w:type="dxa"/>
            <w:vAlign w:val="bottom"/>
            <w:vMerge w:val="restart"/>
          </w:tcPr>
          <w:p>
            <w:pPr>
              <w:spacing w:after="0"/>
              <w:rPr>
                <w:sz w:val="24"/>
                <w:szCs w:val="24"/>
                <w:color w:val="auto"/>
              </w:rPr>
            </w:pPr>
          </w:p>
        </w:tc>
        <w:tc>
          <w:tcPr>
            <w:tcW w:w="1200" w:type="dxa"/>
            <w:vAlign w:val="bottom"/>
            <w:vMerge w:val="restart"/>
          </w:tcPr>
          <w:p>
            <w:pPr>
              <w:jc w:val="right"/>
              <w:ind w:right="318"/>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Basin</w:t>
            </w:r>
          </w:p>
        </w:tc>
        <w:tc>
          <w:tcPr>
            <w:tcW w:w="80" w:type="dxa"/>
            <w:vAlign w:val="bottom"/>
          </w:tcPr>
          <w:p>
            <w:pPr>
              <w:spacing w:after="0"/>
              <w:rPr>
                <w:sz w:val="21"/>
                <w:szCs w:val="21"/>
                <w:color w:val="auto"/>
              </w:rPr>
            </w:pPr>
          </w:p>
        </w:tc>
        <w:tc>
          <w:tcPr>
            <w:tcW w:w="120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b w:val="1"/>
                <w:bCs w:val="1"/>
                <w:color w:val="auto"/>
              </w:rPr>
              <w:t>Basin</w:t>
            </w:r>
          </w:p>
        </w:tc>
        <w:tc>
          <w:tcPr>
            <w:tcW w:w="100" w:type="dxa"/>
            <w:vAlign w:val="bottom"/>
          </w:tcPr>
          <w:p>
            <w:pPr>
              <w:spacing w:after="0"/>
              <w:rPr>
                <w:sz w:val="21"/>
                <w:szCs w:val="21"/>
                <w:color w:val="auto"/>
              </w:rPr>
            </w:pP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Basin</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b w:val="1"/>
                <w:bCs w:val="1"/>
                <w:color w:val="auto"/>
              </w:rPr>
              <w:t>Basin</w:t>
            </w:r>
          </w:p>
        </w:tc>
        <w:tc>
          <w:tcPr>
            <w:tcW w:w="100" w:type="dxa"/>
            <w:vAlign w:val="bottom"/>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3"/>
          </w:tcPr>
          <w:p>
            <w:pPr>
              <w:ind w:left="1060"/>
              <w:spacing w:after="0"/>
              <w:rPr>
                <w:sz w:val="20"/>
                <w:szCs w:val="20"/>
                <w:color w:val="auto"/>
              </w:rPr>
            </w:pPr>
            <w:r>
              <w:rPr>
                <w:rFonts w:ascii="Arial" w:cs="Arial" w:eastAsia="Arial" w:hAnsi="Arial"/>
                <w:sz w:val="14"/>
                <w:szCs w:val="14"/>
                <w:color w:val="auto"/>
              </w:rPr>
              <w:t>(MMBoe)</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80" w:type="dxa"/>
            <w:vAlign w:val="bottom"/>
            <w:gridSpan w:val="3"/>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Arial" w:cs="Arial" w:eastAsia="Arial" w:hAnsi="Arial"/>
                <w:sz w:val="18"/>
                <w:szCs w:val="18"/>
                <w:color w:val="auto"/>
              </w:rPr>
              <w:t>Revisions related to price</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80" w:type="dxa"/>
            <w:vAlign w:val="bottom"/>
            <w:gridSpan w:val="3"/>
          </w:tcPr>
          <w:p>
            <w:pPr>
              <w:ind w:left="1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Revisions related to performance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Arial" w:cs="Arial" w:eastAsia="Arial" w:hAnsi="Arial"/>
                <w:sz w:val="18"/>
                <w:szCs w:val="18"/>
                <w:color w:val="auto"/>
              </w:rPr>
              <w:t>Improved recovery</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80" w:type="dxa"/>
            <w:vAlign w:val="bottom"/>
            <w:gridSpan w:val="3"/>
          </w:tcPr>
          <w:p>
            <w:pPr>
              <w:ind w:left="1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80" w:type="dxa"/>
            <w:vAlign w:val="bottom"/>
            <w:gridSpan w:val="3"/>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76"/>
        </w:trPr>
        <w:tc>
          <w:tcPr>
            <w:tcW w:w="3320" w:type="dxa"/>
            <w:vAlign w:val="bottom"/>
          </w:tcPr>
          <w:p>
            <w:pPr>
              <w:ind w:left="140"/>
              <w:spacing w:after="0" w:line="176" w:lineRule="exact"/>
              <w:rPr>
                <w:sz w:val="20"/>
                <w:szCs w:val="20"/>
                <w:color w:val="auto"/>
              </w:rPr>
            </w:pPr>
            <w:r>
              <w:rPr>
                <w:rFonts w:ascii="Arial" w:cs="Arial" w:eastAsia="Arial" w:hAnsi="Arial"/>
                <w:sz w:val="18"/>
                <w:szCs w:val="18"/>
                <w:color w:val="auto"/>
              </w:rPr>
              <w:t>Transfers to proved developed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320" w:type="dxa"/>
            <w:vAlign w:val="bottom"/>
          </w:tcPr>
          <w:p>
            <w:pPr>
              <w:ind w:left="140"/>
              <w:spacing w:after="0"/>
              <w:rPr>
                <w:sz w:val="20"/>
                <w:szCs w:val="20"/>
                <w:color w:val="auto"/>
              </w:rPr>
            </w:pPr>
            <w:r>
              <w:rPr>
                <w:rFonts w:ascii="Arial" w:cs="Arial" w:eastAsia="Arial" w:hAnsi="Arial"/>
                <w:sz w:val="18"/>
                <w:szCs w:val="18"/>
                <w:color w:val="auto"/>
              </w:rPr>
              <w:t>reserves</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80" w:type="dxa"/>
            <w:vAlign w:val="bottom"/>
            <w:gridSpan w:val="3"/>
          </w:tcPr>
          <w:p>
            <w:pPr>
              <w:ind w:left="1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6"/>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2025</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gridSpan w:val="3"/>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right="60" w:firstLine="324"/>
        <w:spacing w:after="0" w:line="268" w:lineRule="auto"/>
        <w:rPr>
          <w:sz w:val="20"/>
          <w:szCs w:val="20"/>
          <w:color w:val="auto"/>
        </w:rPr>
      </w:pPr>
      <w:r>
        <w:rPr>
          <w:rFonts w:ascii="Arial" w:cs="Arial" w:eastAsia="Arial" w:hAnsi="Arial"/>
          <w:sz w:val="18"/>
          <w:szCs w:val="18"/>
          <w:i w:val="1"/>
          <w:iCs w:val="1"/>
          <w:color w:val="auto"/>
        </w:rPr>
        <w:t xml:space="preserve">Revisions related to price </w:t>
      </w:r>
      <w:r>
        <w:rPr>
          <w:rFonts w:ascii="Arial" w:cs="Arial" w:eastAsia="Arial" w:hAnsi="Arial"/>
          <w:sz w:val="18"/>
          <w:szCs w:val="18"/>
          <w:color w:val="auto"/>
        </w:rPr>
        <w:t>– We had 1 MMBoe of net negative price-related revisions primarily resulting from lower average realized SEC</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2025 as compared to 2024, including lower natural gas realizations in certain areas. Our negative price revisions of 2 MMBoe were partially offset by 1 MMBoe of positive revisions from lower operating costs.</w:t>
      </w:r>
    </w:p>
    <w:p>
      <w:pPr>
        <w:spacing w:after="0" w:line="198" w:lineRule="exact"/>
        <w:rPr>
          <w:sz w:val="20"/>
          <w:szCs w:val="20"/>
          <w:color w:val="auto"/>
        </w:rPr>
      </w:pPr>
    </w:p>
    <w:p>
      <w:pPr>
        <w:jc w:val="both"/>
        <w:ind w:right="140" w:firstLine="324"/>
        <w:spacing w:after="0" w:line="268" w:lineRule="auto"/>
        <w:rPr>
          <w:sz w:val="20"/>
          <w:szCs w:val="20"/>
          <w:color w:val="auto"/>
        </w:rPr>
      </w:pPr>
      <w:r>
        <w:rPr>
          <w:rFonts w:ascii="Arial" w:cs="Arial" w:eastAsia="Arial" w:hAnsi="Arial"/>
          <w:sz w:val="18"/>
          <w:szCs w:val="18"/>
          <w:i w:val="1"/>
          <w:iCs w:val="1"/>
          <w:color w:val="auto"/>
        </w:rPr>
        <w:t xml:space="preserve">Revisions related to performance </w:t>
      </w:r>
      <w:r>
        <w:rPr>
          <w:rFonts w:ascii="Arial" w:cs="Arial" w:eastAsia="Arial" w:hAnsi="Arial"/>
          <w:sz w:val="18"/>
          <w:szCs w:val="18"/>
          <w:color w:val="auto"/>
        </w:rPr>
        <w:t>– We had 16 MMBoe of net positive performance-related revisions primarily in the San Joaquin basin.</w:t>
      </w:r>
      <w:r>
        <w:rPr>
          <w:rFonts w:ascii="Arial" w:cs="Arial" w:eastAsia="Arial" w:hAnsi="Arial"/>
          <w:sz w:val="18"/>
          <w:szCs w:val="18"/>
          <w:i w:val="1"/>
          <w:iCs w:val="1"/>
          <w:color w:val="auto"/>
        </w:rPr>
        <w:t xml:space="preserve"> </w:t>
      </w:r>
      <w:r>
        <w:rPr>
          <w:rFonts w:ascii="Arial" w:cs="Arial" w:eastAsia="Arial" w:hAnsi="Arial"/>
          <w:sz w:val="18"/>
          <w:szCs w:val="18"/>
          <w:color w:val="auto"/>
        </w:rPr>
        <w:t>Positive performance-revisions of 26 MMBoe were partially offset by 10 MMBoe negative revisions related to well performance and proved undeveloped reserves which were removed from our five year development plan in 2025.</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Improved recovery </w:t>
      </w:r>
      <w:r>
        <w:rPr>
          <w:rFonts w:ascii="Arial" w:cs="Arial" w:eastAsia="Arial" w:hAnsi="Arial"/>
          <w:sz w:val="18"/>
          <w:szCs w:val="18"/>
          <w:color w:val="auto"/>
        </w:rPr>
        <w:t>– We added 27 MMBoe related to new projects associated with steamfloods in the San Joaquin basin.</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Acquisition </w:t>
      </w:r>
      <w:r>
        <w:rPr>
          <w:rFonts w:ascii="Arial" w:cs="Arial" w:eastAsia="Arial" w:hAnsi="Arial"/>
          <w:sz w:val="18"/>
          <w:szCs w:val="18"/>
          <w:color w:val="auto"/>
        </w:rPr>
        <w:t>– We added 37 MMBoe in connection with the Berry Merger in the San Joaquin and Uinta basins.</w:t>
      </w:r>
    </w:p>
    <w:p>
      <w:pPr>
        <w:spacing w:after="0" w:line="252"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i w:val="1"/>
          <w:iCs w:val="1"/>
          <w:color w:val="auto"/>
        </w:rPr>
        <w:t xml:space="preserve">Transfers to proved developed reserves </w:t>
      </w:r>
      <w:r>
        <w:rPr>
          <w:rFonts w:ascii="Arial" w:cs="Arial" w:eastAsia="Arial" w:hAnsi="Arial"/>
          <w:sz w:val="18"/>
          <w:szCs w:val="18"/>
          <w:color w:val="auto"/>
        </w:rPr>
        <w:t>– We converted 5 MMBoe of proved undeveloped reserves to proved developed reserves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San Joaquin basin. This resulted in a conversion rate of 13% of our beginning-of-year proved undeveloped reserves, with an investment of $45 million in drilling and completion capital.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PV-10 and Standardized Measure</w:t>
      </w:r>
    </w:p>
    <w:p>
      <w:pPr>
        <w:spacing w:after="0" w:line="25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PV-10 of cash flows is a non-GAAP financial measure and represents the year-end present value of estimated future cash inflows from proved oil and natural gas reserves, less future development and operating costs, discounted at 10% per annum to reflect the timing of future cash flows and using SEC Prices. Calculation of PV-10 does not give effect to derivative transactions. Our PV-10 is computed on the same basis as our standardized measure of future net cash flows, the most comparable measure under GAAP, but does not include the effects of future income taxes on future net cash flows. Neither PV-10 nor Standardized Measure should be construed as the fair value of our oil and natural gas reserves. Standardized Measure is prescribed by the SEC as an industry standard asset value measure to compare reserves with consistent pricing, costs and discount assumptions. PV-10 facilitates the comparisons to other companies as it is not dependent on the tax-paying status of the entity.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As of December 31, 2025</w:t>
            </w:r>
          </w:p>
        </w:tc>
      </w:tr>
      <w:tr>
        <w:trPr>
          <w:trHeight w:val="232"/>
        </w:trPr>
        <w:tc>
          <w:tcPr>
            <w:tcW w:w="8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20" w:type="dxa"/>
            <w:vAlign w:val="bottom"/>
          </w:tcPr>
          <w:p>
            <w:pPr>
              <w:jc w:val="right"/>
              <w:ind w:right="974"/>
              <w:spacing w:after="0"/>
              <w:rPr>
                <w:sz w:val="20"/>
                <w:szCs w:val="20"/>
                <w:color w:val="auto"/>
              </w:rPr>
            </w:pPr>
            <w:r>
              <w:rPr>
                <w:rFonts w:ascii="Arial" w:cs="Arial" w:eastAsia="Arial" w:hAnsi="Arial"/>
                <w:sz w:val="14"/>
                <w:szCs w:val="14"/>
                <w:color w:val="auto"/>
              </w:rPr>
              <w:t>(in millions)</w:t>
            </w:r>
          </w:p>
        </w:tc>
      </w:tr>
      <w:tr>
        <w:trPr>
          <w:trHeight w:val="234"/>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Standardized measure of discounted future net cash flows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w:t>
            </w:r>
          </w:p>
        </w:tc>
      </w:tr>
      <w:tr>
        <w:trPr>
          <w:trHeight w:val="230"/>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Present value of future income taxes discounted at 10%</w:t>
            </w: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w:t>
            </w: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PV-10 of cash flows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Reserves Evaluation and Review Process</w:t>
      </w:r>
    </w:p>
    <w:p>
      <w:pPr>
        <w:spacing w:after="0" w:line="25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Our estimates of proved reserves and related discounted future net cash flows as of December 31, 2025 were made by our technical personnel, comprised of reservoir engineers and geoscientists, with the assistance of operational and financial personnel and are the responsibility of management. The estimation of proved reserves is based on the requirement of reasonable certainty of economic producibility and management's funding commitments to develop the reserves. Reserves volumes are estimated by forecasts of production rates, operating costs and capital investments. Price differentials between specified benchmark prices and realized prices and specifics of each operating agreement are then applied against the SEC Price to estimate the net reserves. Operating and capital costs are forecast using the current cost environment applied to expectations of future operating and development activities related to the proved reserves. See </w:t>
      </w:r>
      <w:r>
        <w:rPr>
          <w:rFonts w:ascii="Arial" w:cs="Arial" w:eastAsia="Arial" w:hAnsi="Arial"/>
          <w:sz w:val="18"/>
          <w:szCs w:val="18"/>
          <w:i w:val="1"/>
          <w:iCs w:val="1"/>
          <w:color w:val="auto"/>
        </w:rPr>
        <w:t xml:space="preserve">Part II, Item 7 – Management's Discussion and Analysis of Financial Condition and Results of Operations, Critical Accounting Estimates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discussion of uncertainties inherent in the reserve estimates.</w:t>
      </w:r>
    </w:p>
    <w:p>
      <w:pPr>
        <w:spacing w:after="0" w:line="208"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Proved developed reserves are those volumes that are expected to be recovered through existing wells with existing equipment and operating methods, for which the incremental cost of any additional required investment is relatively minor. Proved undeveloped reserves are those volumes that are expected to be recovered from new wells on undrilled acreage, or from existing wells where a relatively major expenditure is required.</w:t>
      </w:r>
    </w:p>
    <w:p>
      <w:pPr>
        <w:spacing w:after="0" w:line="203"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Our Director of Reserves is the technical person who is primarily responsible for overseeing the preparation of our reserves estimates in compliance with the SEC rules and regulations. He has over 16 years of experience in the upstream oil and gas industry, with projects ranging from appraisal of primary production reservoirs to enhanced oil recovery methods. He holds a Bachelor of Science degree in Petroleum Engineering from the Colorado School of Mines.</w:t>
      </w:r>
    </w:p>
    <w:p>
      <w:pPr>
        <w:spacing w:after="0" w:line="203"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color w:val="auto"/>
        </w:rPr>
        <w:t>We have an Oil and Gas Reserves Review Committee (Reserves Committee), consisting of senior corporate officers, to review and approve our oil and natural gas reserves for 2025. The Reserves Committee annually reports its findings to the Audit Committee.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Audits of Reserves Estimates</w:t>
      </w:r>
    </w:p>
    <w:p>
      <w:pPr>
        <w:spacing w:after="0" w:line="250"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color w:val="auto"/>
        </w:rPr>
        <w:t>Netherland, Sewell &amp; Associates, Inc. (NSAI) was engaged to provide an independent audit of our reserves estimates for our fields located in California. For the year ended December 31, 2025, NSAI audited 81% of our total proved reserves.</w:t>
      </w:r>
    </w:p>
    <w:p>
      <w:pPr>
        <w:spacing w:after="0" w:line="180"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color w:val="auto"/>
        </w:rPr>
        <w:t>DeGolyer and MacNaughton was engaged to provide an independent audit of our reserves estimates for the Uinta basin. For the year ended December 31, 2025, DeGolyer and MacNaughton audited 5% of our total proved reserves in the Uinta basin.</w:t>
      </w:r>
    </w:p>
    <w:p>
      <w:pPr>
        <w:spacing w:after="0" w:line="1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independent reserve engineers examined the assumptions underlying our reserves estimates, adequacy and quality of our work product and estimates of future production rates. They also examined the appropriateness of the methodologies employed to estimate our reserves as well as their categorization, using the definitions set forth by the SEC, and found them to be appropriate. As part of their process, they developed their own independent estimates of reserves for those fields that they audited. When compared on a field-by-field basis, some of our estimates were greater and some were less than the estimates of our independent reserve engineers. Given the inherent uncertainties and judgments in estimating proved reserves, differences between our estimates and those of our independent reserve engineers are to be expected. The aggregate difference between our estimates and those of the independent reserve engineers was less than 10%, which was within the Society of Petroleum Engineers (SPE) acceptable tolerance.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17" w:name="page18"/>
    <w:bookmarkEnd w:id="17"/>
    <w:p>
      <w:pPr>
        <w:ind w:right="80" w:firstLine="324"/>
        <w:spacing w:after="0" w:line="254" w:lineRule="auto"/>
        <w:rPr>
          <w:sz w:val="20"/>
          <w:szCs w:val="20"/>
          <w:color w:val="auto"/>
        </w:rPr>
      </w:pPr>
      <w:r>
        <w:rPr>
          <w:rFonts w:ascii="Arial" w:cs="Arial" w:eastAsia="Arial" w:hAnsi="Arial"/>
          <w:sz w:val="18"/>
          <w:szCs w:val="18"/>
          <w:color w:val="auto"/>
        </w:rPr>
        <w:t>In the conduct of the reserves audits, our independent reserve engineers did not independently verify the accuracy and completeness of information and data furnished by us with respect to ownership interests, crude oil and natural gas production, well test data, historical costs of operation and development, product prices, or any agreements relating to current and future operations of the fields and sales of production. However, if anything came to the attention of our independent auditors that brought into question the validity or sufficiency of any such information or data, they would not rely on such information or data until they had resolved their questions relating thereto or had independently verified such information or data. Our independent reserve engineers determined that our estimates of reserves have been prepared in accordance with the definitions and regulations of the SEC as well as the Standards Pertaining to the Estimating and Auditing of Oil and Gas Reserves Information promulgated by the SPE, including the criteria of “reasonable certainty,” as it pertains to expectations about the recoverability of reserves in future years, under existing economic and operating conditions. Our independent reserve engineers each issued an unqualified audit opinion on the applicable portions of our proved reserves as of December 31, 2025, which are attached as Exhibit 99.1 and Exhibit 99.2 to this Form 10-K and incorporated herein by reference.</w:t>
      </w:r>
    </w:p>
    <w:p>
      <w:pPr>
        <w:spacing w:after="0" w:line="209"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i w:val="1"/>
          <w:iCs w:val="1"/>
          <w:color w:val="auto"/>
        </w:rPr>
        <w:t xml:space="preserve">NSAI qualifications </w:t>
      </w:r>
      <w:r>
        <w:rPr>
          <w:rFonts w:ascii="Arial" w:cs="Arial" w:eastAsia="Arial" w:hAnsi="Arial"/>
          <w:sz w:val="18"/>
          <w:szCs w:val="18"/>
          <w:color w:val="auto"/>
        </w:rPr>
        <w:t>– The primary technical engineer responsible for our audit is a Licensed Professional Engineer in the State of Texas,</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practicing consulting petroleum engineering at NSAI since 2006 and has over 6 years of prior industry experience. The primary geologist for our audit is a Licensed Professional Geoscientist in the State of Texas, has been practicing consulting petroleum geoscience at NSAI since 2008 and has over 12 years of prior industry experience.</w:t>
      </w:r>
    </w:p>
    <w:p>
      <w:pPr>
        <w:spacing w:after="0" w:line="20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i w:val="1"/>
          <w:iCs w:val="1"/>
          <w:color w:val="auto"/>
        </w:rPr>
        <w:t xml:space="preserve">DeGolyer and MacNaughton </w:t>
      </w:r>
      <w:r>
        <w:rPr>
          <w:rFonts w:ascii="Arial" w:cs="Arial" w:eastAsia="Arial" w:hAnsi="Arial"/>
          <w:sz w:val="18"/>
          <w:szCs w:val="18"/>
          <w:color w:val="auto"/>
        </w:rPr>
        <w:t>– The primary technical engineer responsible for our audit is a Licensed Professional Engineer in the State</w:t>
      </w:r>
      <w:r>
        <w:rPr>
          <w:rFonts w:ascii="Arial" w:cs="Arial" w:eastAsia="Arial" w:hAnsi="Arial"/>
          <w:sz w:val="18"/>
          <w:szCs w:val="18"/>
          <w:i w:val="1"/>
          <w:iCs w:val="1"/>
          <w:color w:val="auto"/>
        </w:rPr>
        <w:t xml:space="preserve"> </w:t>
      </w:r>
      <w:r>
        <w:rPr>
          <w:rFonts w:ascii="Arial" w:cs="Arial" w:eastAsia="Arial" w:hAnsi="Arial"/>
          <w:sz w:val="18"/>
          <w:szCs w:val="18"/>
          <w:color w:val="auto"/>
        </w:rPr>
        <w:t>of Texas, has Master of Science and Doctor of Philosophy degrees in Petroleum Engineering and has more than 10 years of experience in oil and gas reservoir studies and reserves evaluation.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Drilling Statistics</w:t>
      </w:r>
    </w:p>
    <w:p>
      <w:pPr>
        <w:spacing w:after="0" w:line="250"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 xml:space="preserve">The following table sets forth information on our net exploration and development wells drilled and completed during the periods indicated, regardless of when drilling was initiated. The information should not be considered indicative of future performance, nor should it be assumed that there is necessarily any correlation among the number of productive wells drilled, quantities of reserves found or economic value. We refer to gross wells as the total number of wells in which interests are owned, including outside operated wells. Net wells represent wells reduced to our fractional interest. For information on our 2026 capital program, see </w:t>
      </w:r>
      <w:r>
        <w:rPr>
          <w:rFonts w:ascii="Arial" w:cs="Arial" w:eastAsia="Arial" w:hAnsi="Arial"/>
          <w:sz w:val="18"/>
          <w:szCs w:val="18"/>
          <w:i w:val="1"/>
          <w:iCs w:val="1"/>
          <w:color w:val="auto"/>
        </w:rPr>
        <w:t>Part II, Item 7 – 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Uses of Cash </w:t>
      </w:r>
      <w:r>
        <w:rPr>
          <w:rFonts w:ascii="Arial" w:cs="Arial" w:eastAsia="Arial" w:hAnsi="Arial"/>
          <w:sz w:val="18"/>
          <w:szCs w:val="18"/>
          <w:color w:val="auto"/>
        </w:rPr>
        <w:t>and for information on the California regulatory environment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ability to obtain permits, see </w:t>
      </w:r>
      <w:r>
        <w:rPr>
          <w:rFonts w:ascii="Arial" w:cs="Arial" w:eastAsia="Arial" w:hAnsi="Arial"/>
          <w:sz w:val="18"/>
          <w:szCs w:val="18"/>
          <w:i w:val="1"/>
          <w:iCs w:val="1"/>
          <w:color w:val="auto"/>
        </w:rPr>
        <w:t>Regulation of the Industries in Which We Operate</w:t>
      </w:r>
      <w:r>
        <w:rPr>
          <w:rFonts w:ascii="Arial" w:cs="Arial" w:eastAsia="Arial" w:hAnsi="Arial"/>
          <w:sz w:val="18"/>
          <w:szCs w:val="18"/>
          <w:color w:val="auto"/>
        </w:rPr>
        <w: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San Joaquin</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Los Angeles</w:t>
            </w:r>
          </w:p>
        </w:tc>
        <w:tc>
          <w:tcPr>
            <w:tcW w:w="1420" w:type="dxa"/>
            <w:vAlign w:val="bottom"/>
            <w:gridSpan w:val="2"/>
          </w:tcPr>
          <w:p>
            <w:pPr>
              <w:ind w:left="180"/>
              <w:spacing w:after="0"/>
              <w:rPr>
                <w:sz w:val="20"/>
                <w:szCs w:val="20"/>
                <w:color w:val="auto"/>
              </w:rPr>
            </w:pPr>
            <w:r>
              <w:rPr>
                <w:rFonts w:ascii="Arial" w:cs="Arial" w:eastAsia="Arial" w:hAnsi="Arial"/>
                <w:sz w:val="16"/>
                <w:szCs w:val="16"/>
                <w:b w:val="1"/>
                <w:bCs w:val="1"/>
                <w:color w:val="auto"/>
              </w:rPr>
              <w:t>Sacramento</w:t>
            </w:r>
          </w:p>
        </w:tc>
        <w:tc>
          <w:tcPr>
            <w:tcW w:w="1400" w:type="dxa"/>
            <w:vAlign w:val="bottom"/>
            <w:gridSpan w:val="2"/>
          </w:tcPr>
          <w:p>
            <w:pPr>
              <w:ind w:left="440"/>
              <w:spacing w:after="0"/>
              <w:rPr>
                <w:sz w:val="20"/>
                <w:szCs w:val="20"/>
                <w:color w:val="auto"/>
              </w:rPr>
            </w:pPr>
            <w:r>
              <w:rPr>
                <w:rFonts w:ascii="Arial" w:cs="Arial" w:eastAsia="Arial" w:hAnsi="Arial"/>
                <w:sz w:val="16"/>
                <w:szCs w:val="16"/>
                <w:b w:val="1"/>
                <w:bCs w:val="1"/>
                <w:color w:val="auto"/>
              </w:rPr>
              <w:t>Uinta</w:t>
            </w:r>
          </w:p>
        </w:tc>
        <w:tc>
          <w:tcPr>
            <w:tcW w:w="14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Other Basins</w:t>
            </w: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Net Wells</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Basin</w:t>
            </w:r>
          </w:p>
        </w:tc>
        <w:tc>
          <w:tcPr>
            <w:tcW w:w="14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Basin</w:t>
            </w:r>
          </w:p>
        </w:tc>
        <w:tc>
          <w:tcPr>
            <w:tcW w:w="1420" w:type="dxa"/>
            <w:vAlign w:val="bottom"/>
            <w:gridSpan w:val="2"/>
          </w:tcPr>
          <w:p>
            <w:pPr>
              <w:ind w:left="440"/>
              <w:spacing w:after="0"/>
              <w:rPr>
                <w:sz w:val="20"/>
                <w:szCs w:val="20"/>
                <w:color w:val="auto"/>
              </w:rPr>
            </w:pPr>
            <w:r>
              <w:rPr>
                <w:rFonts w:ascii="Arial" w:cs="Arial" w:eastAsia="Arial" w:hAnsi="Arial"/>
                <w:sz w:val="16"/>
                <w:szCs w:val="16"/>
                <w:b w:val="1"/>
                <w:bCs w:val="1"/>
                <w:color w:val="auto"/>
              </w:rPr>
              <w:t>Basin</w:t>
            </w:r>
          </w:p>
        </w:tc>
        <w:tc>
          <w:tcPr>
            <w:tcW w:w="1400" w:type="dxa"/>
            <w:vAlign w:val="bottom"/>
            <w:gridSpan w:val="2"/>
          </w:tcPr>
          <w:p>
            <w:pPr>
              <w:ind w:left="420"/>
              <w:spacing w:after="0"/>
              <w:rPr>
                <w:sz w:val="20"/>
                <w:szCs w:val="20"/>
                <w:color w:val="auto"/>
              </w:rPr>
            </w:pPr>
            <w:r>
              <w:rPr>
                <w:rFonts w:ascii="Arial" w:cs="Arial" w:eastAsia="Arial" w:hAnsi="Arial"/>
                <w:sz w:val="16"/>
                <w:szCs w:val="16"/>
                <w:b w:val="1"/>
                <w:bCs w:val="1"/>
                <w:color w:val="auto"/>
              </w:rPr>
              <w:t>Basin</w:t>
            </w:r>
          </w:p>
        </w:tc>
        <w:tc>
          <w:tcPr>
            <w:tcW w:w="1420" w:type="dxa"/>
            <w:vAlign w:val="bottom"/>
            <w:gridSpan w:val="2"/>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2025</w:t>
            </w: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Productive</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Exploratory</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Dry</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Exploratory</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140"/>
              <w:spacing w:after="0"/>
              <w:rPr>
                <w:sz w:val="20"/>
                <w:szCs w:val="20"/>
                <w:color w:val="auto"/>
              </w:rPr>
            </w:pPr>
            <w:r>
              <w:rPr>
                <w:rFonts w:ascii="Arial" w:cs="Arial" w:eastAsia="Arial" w:hAnsi="Arial"/>
                <w:sz w:val="18"/>
                <w:szCs w:val="18"/>
                <w:color w:val="auto"/>
              </w:rPr>
              <w:t>Development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2024</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Productive</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140"/>
              <w:spacing w:after="0"/>
              <w:rPr>
                <w:sz w:val="20"/>
                <w:szCs w:val="20"/>
                <w:color w:val="auto"/>
              </w:rPr>
            </w:pPr>
            <w:r>
              <w:rPr>
                <w:rFonts w:ascii="Arial" w:cs="Arial" w:eastAsia="Arial" w:hAnsi="Arial"/>
                <w:sz w:val="18"/>
                <w:szCs w:val="18"/>
                <w:color w:val="auto"/>
              </w:rPr>
              <w:t>Exploratory</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Dry</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Exploratory</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140"/>
              <w:spacing w:after="0"/>
              <w:rPr>
                <w:sz w:val="20"/>
                <w:szCs w:val="20"/>
                <w:color w:val="auto"/>
              </w:rPr>
            </w:pPr>
            <w:r>
              <w:rPr>
                <w:rFonts w:ascii="Arial" w:cs="Arial" w:eastAsia="Arial" w:hAnsi="Arial"/>
                <w:sz w:val="18"/>
                <w:szCs w:val="18"/>
                <w:color w:val="auto"/>
              </w:rPr>
              <w:t>Development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2023</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Productive</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Exploratory</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Dry</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Exploratory</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860" w:type="dxa"/>
            <w:vAlign w:val="bottom"/>
          </w:tcPr>
          <w:p>
            <w:pPr>
              <w:ind w:left="140"/>
              <w:spacing w:after="0"/>
              <w:rPr>
                <w:sz w:val="20"/>
                <w:szCs w:val="20"/>
                <w:color w:val="auto"/>
              </w:rPr>
            </w:pPr>
            <w:r>
              <w:rPr>
                <w:rFonts w:ascii="Arial" w:cs="Arial" w:eastAsia="Arial" w:hAnsi="Arial"/>
                <w:sz w:val="18"/>
                <w:szCs w:val="18"/>
                <w:color w:val="auto"/>
              </w:rPr>
              <w:t>Development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color w:val="auto"/>
        </w:rPr>
        <w:t>The following table sets forth information on our exploratory and development wells where drilling was either in progress or pending completion as of December 31, 2025.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San Joaquin</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Los Angeles</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Sacramento</w:t>
            </w:r>
          </w:p>
        </w:tc>
        <w:tc>
          <w:tcPr>
            <w:tcW w:w="1420" w:type="dxa"/>
            <w:vAlign w:val="bottom"/>
            <w:gridSpan w:val="2"/>
          </w:tcPr>
          <w:p>
            <w:pPr>
              <w:ind w:left="460"/>
              <w:spacing w:after="0"/>
              <w:rPr>
                <w:sz w:val="20"/>
                <w:szCs w:val="20"/>
                <w:color w:val="auto"/>
              </w:rPr>
            </w:pPr>
            <w:r>
              <w:rPr>
                <w:rFonts w:ascii="Arial" w:cs="Arial" w:eastAsia="Arial" w:hAnsi="Arial"/>
                <w:sz w:val="16"/>
                <w:szCs w:val="16"/>
                <w:b w:val="1"/>
                <w:bCs w:val="1"/>
                <w:color w:val="auto"/>
              </w:rPr>
              <w:t>Uinta</w:t>
            </w:r>
          </w:p>
        </w:tc>
        <w:tc>
          <w:tcPr>
            <w:tcW w:w="14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Other Basins</w:t>
            </w: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Net Wells</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Basin</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Basin</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Basin</w:t>
            </w:r>
          </w:p>
        </w:tc>
        <w:tc>
          <w:tcPr>
            <w:tcW w:w="1420" w:type="dxa"/>
            <w:vAlign w:val="bottom"/>
            <w:gridSpan w:val="2"/>
          </w:tcPr>
          <w:p>
            <w:pPr>
              <w:ind w:left="440"/>
              <w:spacing w:after="0"/>
              <w:rPr>
                <w:sz w:val="20"/>
                <w:szCs w:val="20"/>
                <w:color w:val="auto"/>
              </w:rPr>
            </w:pPr>
            <w:r>
              <w:rPr>
                <w:rFonts w:ascii="Arial" w:cs="Arial" w:eastAsia="Arial" w:hAnsi="Arial"/>
                <w:sz w:val="16"/>
                <w:szCs w:val="16"/>
                <w:b w:val="1"/>
                <w:bCs w:val="1"/>
                <w:color w:val="auto"/>
              </w:rPr>
              <w:t>Basin</w:t>
            </w:r>
          </w:p>
        </w:tc>
        <w:tc>
          <w:tcPr>
            <w:tcW w:w="1420" w:type="dxa"/>
            <w:vAlign w:val="bottom"/>
            <w:gridSpan w:val="2"/>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9"/>
        </w:trPr>
        <w:tc>
          <w:tcPr>
            <w:tcW w:w="2860" w:type="dxa"/>
            <w:vAlign w:val="bottom"/>
          </w:tcPr>
          <w:p>
            <w:pPr>
              <w:ind w:left="140"/>
              <w:spacing w:after="0"/>
              <w:rPr>
                <w:sz w:val="20"/>
                <w:szCs w:val="20"/>
                <w:color w:val="auto"/>
              </w:rPr>
            </w:pPr>
            <w:r>
              <w:rPr>
                <w:rFonts w:ascii="Arial" w:cs="Arial" w:eastAsia="Arial" w:hAnsi="Arial"/>
                <w:sz w:val="18"/>
                <w:szCs w:val="18"/>
                <w:color w:val="auto"/>
              </w:rPr>
              <w:t>Net</w:t>
            </w:r>
          </w:p>
        </w:tc>
        <w:tc>
          <w:tcPr>
            <w:tcW w:w="13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Productive Wells</w:t>
      </w:r>
    </w:p>
    <w:p>
      <w:pPr>
        <w:spacing w:after="0" w:line="250"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Productive wells are those that produce, or are capable of producing, commercial quantities of hydrocarbons, regardless of whether they produce at a reasonable rate of return. Our average working interest in our producing wells was 98% as of December 31, 2025. Wells are categorized based on the primary product they produce.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9" w:name="page20"/>
    <w:bookmarkEnd w:id="19"/>
    <w:p>
      <w:pPr>
        <w:ind w:left="340"/>
        <w:spacing w:after="0"/>
        <w:rPr>
          <w:sz w:val="20"/>
          <w:szCs w:val="20"/>
          <w:color w:val="auto"/>
        </w:rPr>
      </w:pPr>
      <w:r>
        <w:rPr>
          <w:rFonts w:ascii="Arial" w:cs="Arial" w:eastAsia="Arial" w:hAnsi="Arial"/>
          <w:sz w:val="18"/>
          <w:szCs w:val="18"/>
          <w:color w:val="auto"/>
        </w:rPr>
        <w:t>The following table sets forth our productive oil and natural gas wells (both producing and mechanically capable of production)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excluding wells that have been idle for more than five years: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4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As of December 31, 2025</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840" w:type="dxa"/>
            <w:vAlign w:val="bottom"/>
          </w:tcPr>
          <w:p>
            <w:pPr>
              <w:spacing w:after="0"/>
              <w:rPr>
                <w:sz w:val="14"/>
                <w:szCs w:val="14"/>
                <w:color w:val="auto"/>
              </w:rPr>
            </w:pPr>
          </w:p>
        </w:tc>
        <w:tc>
          <w:tcPr>
            <w:tcW w:w="2760" w:type="dxa"/>
            <w:vAlign w:val="bottom"/>
            <w:gridSpan w:val="5"/>
          </w:tcPr>
          <w:p>
            <w:pPr>
              <w:ind w:left="680"/>
              <w:spacing w:after="0" w:line="169" w:lineRule="exact"/>
              <w:rPr>
                <w:sz w:val="20"/>
                <w:szCs w:val="20"/>
                <w:color w:val="auto"/>
              </w:rPr>
            </w:pPr>
            <w:r>
              <w:rPr>
                <w:rFonts w:ascii="Arial" w:cs="Arial" w:eastAsia="Arial" w:hAnsi="Arial"/>
                <w:sz w:val="18"/>
                <w:szCs w:val="18"/>
                <w:b w:val="1"/>
                <w:bCs w:val="1"/>
                <w:color w:val="auto"/>
              </w:rPr>
              <w:t>Productive Oil</w:t>
            </w:r>
          </w:p>
        </w:tc>
        <w:tc>
          <w:tcPr>
            <w:tcW w:w="26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Productive Natural Gas Wells</w:t>
            </w: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1"/>
                <w:szCs w:val="21"/>
                <w:color w:val="auto"/>
              </w:rPr>
            </w:pPr>
          </w:p>
        </w:tc>
        <w:tc>
          <w:tcPr>
            <w:tcW w:w="1600" w:type="dxa"/>
            <w:vAlign w:val="bottom"/>
            <w:tcBorders>
              <w:bottom w:val="single" w:sz="8" w:color="auto"/>
            </w:tcBorders>
            <w:gridSpan w:val="3"/>
          </w:tcPr>
          <w:p>
            <w:pPr>
              <w:ind w:left="1080"/>
              <w:spacing w:after="0"/>
              <w:rPr>
                <w:sz w:val="20"/>
                <w:szCs w:val="20"/>
                <w:color w:val="auto"/>
              </w:rPr>
            </w:pPr>
            <w:r>
              <w:rPr>
                <w:rFonts w:ascii="Arial" w:cs="Arial" w:eastAsia="Arial" w:hAnsi="Arial"/>
                <w:sz w:val="18"/>
                <w:szCs w:val="18"/>
                <w:b w:val="1"/>
                <w:bCs w:val="1"/>
                <w:color w:val="auto"/>
              </w:rPr>
              <w:t>Wells</w:t>
            </w:r>
          </w:p>
        </w:tc>
        <w:tc>
          <w:tcPr>
            <w:tcW w:w="10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1600" w:type="dxa"/>
            <w:vAlign w:val="bottom"/>
            <w:gridSpan w:val="3"/>
          </w:tcPr>
          <w:p>
            <w:pPr>
              <w:ind w:left="300"/>
              <w:spacing w:after="0" w:line="223" w:lineRule="exact"/>
              <w:rPr>
                <w:sz w:val="20"/>
                <w:szCs w:val="20"/>
                <w:color w:val="auto"/>
              </w:rPr>
            </w:pPr>
            <w:r>
              <w:rPr>
                <w:rFonts w:ascii="Arial" w:cs="Arial" w:eastAsia="Arial" w:hAnsi="Arial"/>
                <w:sz w:val="18"/>
                <w:szCs w:val="18"/>
                <w:b w:val="1"/>
                <w:bCs w:val="1"/>
                <w:color w:val="auto"/>
              </w:rPr>
              <w:t>Gross</w:t>
            </w:r>
            <w:r>
              <w:rPr>
                <w:rFonts w:ascii="Arial" w:cs="Arial" w:eastAsia="Arial" w:hAnsi="Arial"/>
                <w:sz w:val="23"/>
                <w:szCs w:val="23"/>
                <w:b w:val="1"/>
                <w:bCs w:val="1"/>
                <w:color w:val="auto"/>
                <w:vertAlign w:val="superscript"/>
              </w:rPr>
              <w:t>(a)</w:t>
            </w:r>
          </w:p>
        </w:tc>
        <w:tc>
          <w:tcPr>
            <w:tcW w:w="1040" w:type="dxa"/>
            <w:vAlign w:val="bottom"/>
          </w:tcPr>
          <w:p>
            <w:pPr>
              <w:jc w:val="right"/>
              <w:ind w:right="310"/>
              <w:spacing w:after="0" w:line="223" w:lineRule="exact"/>
              <w:rPr>
                <w:sz w:val="20"/>
                <w:szCs w:val="20"/>
                <w:color w:val="auto"/>
              </w:rPr>
            </w:pPr>
            <w:r>
              <w:rPr>
                <w:rFonts w:ascii="Arial" w:cs="Arial" w:eastAsia="Arial" w:hAnsi="Arial"/>
                <w:sz w:val="18"/>
                <w:szCs w:val="18"/>
                <w:b w:val="1"/>
                <w:bCs w:val="1"/>
                <w:color w:val="auto"/>
              </w:rPr>
              <w:t>Net</w:t>
            </w:r>
            <w:r>
              <w:rPr>
                <w:rFonts w:ascii="Arial" w:cs="Arial" w:eastAsia="Arial" w:hAnsi="Arial"/>
                <w:sz w:val="23"/>
                <w:szCs w:val="23"/>
                <w:b w:val="1"/>
                <w:bCs w:val="1"/>
                <w:color w:val="auto"/>
                <w:vertAlign w:val="superscript"/>
              </w:rPr>
              <w:t>(b)</w:t>
            </w:r>
          </w:p>
        </w:tc>
        <w:tc>
          <w:tcPr>
            <w:tcW w:w="120" w:type="dxa"/>
            <w:vAlign w:val="bottom"/>
          </w:tcPr>
          <w:p>
            <w:pPr>
              <w:spacing w:after="0"/>
              <w:rPr>
                <w:sz w:val="19"/>
                <w:szCs w:val="19"/>
                <w:color w:val="auto"/>
              </w:rPr>
            </w:pPr>
          </w:p>
        </w:tc>
        <w:tc>
          <w:tcPr>
            <w:tcW w:w="1380" w:type="dxa"/>
            <w:vAlign w:val="bottom"/>
            <w:gridSpan w:val="2"/>
          </w:tcPr>
          <w:p>
            <w:pPr>
              <w:ind w:left="300"/>
              <w:spacing w:after="0" w:line="223" w:lineRule="exact"/>
              <w:rPr>
                <w:sz w:val="20"/>
                <w:szCs w:val="20"/>
                <w:color w:val="auto"/>
              </w:rPr>
            </w:pPr>
            <w:r>
              <w:rPr>
                <w:rFonts w:ascii="Arial" w:cs="Arial" w:eastAsia="Arial" w:hAnsi="Arial"/>
                <w:sz w:val="18"/>
                <w:szCs w:val="18"/>
                <w:b w:val="1"/>
                <w:bCs w:val="1"/>
                <w:color w:val="auto"/>
              </w:rPr>
              <w:t>Gross</w:t>
            </w:r>
            <w:r>
              <w:rPr>
                <w:rFonts w:ascii="Arial" w:cs="Arial" w:eastAsia="Arial" w:hAnsi="Arial"/>
                <w:sz w:val="23"/>
                <w:szCs w:val="23"/>
                <w:b w:val="1"/>
                <w:bCs w:val="1"/>
                <w:color w:val="auto"/>
                <w:vertAlign w:val="superscript"/>
              </w:rPr>
              <w:t>(a)</w:t>
            </w:r>
          </w:p>
        </w:tc>
        <w:tc>
          <w:tcPr>
            <w:tcW w:w="1260" w:type="dxa"/>
            <w:vAlign w:val="bottom"/>
          </w:tcPr>
          <w:p>
            <w:pPr>
              <w:jc w:val="right"/>
              <w:ind w:right="330"/>
              <w:spacing w:after="0" w:line="223" w:lineRule="exact"/>
              <w:rPr>
                <w:sz w:val="20"/>
                <w:szCs w:val="20"/>
                <w:color w:val="auto"/>
              </w:rPr>
            </w:pPr>
            <w:r>
              <w:rPr>
                <w:rFonts w:ascii="Arial" w:cs="Arial" w:eastAsia="Arial" w:hAnsi="Arial"/>
                <w:sz w:val="18"/>
                <w:szCs w:val="18"/>
                <w:b w:val="1"/>
                <w:bCs w:val="1"/>
                <w:color w:val="auto"/>
              </w:rPr>
              <w:t>Net</w:t>
            </w:r>
            <w:r>
              <w:rPr>
                <w:rFonts w:ascii="Arial" w:cs="Arial" w:eastAsia="Arial" w:hAnsi="Arial"/>
                <w:sz w:val="23"/>
                <w:szCs w:val="23"/>
                <w:b w:val="1"/>
                <w:bCs w:val="1"/>
                <w:color w:val="auto"/>
                <w:vertAlign w:val="superscript"/>
              </w:rPr>
              <w:t>(b)</w:t>
            </w: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San Joaquin Basin</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18,077</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Los Angeles Basin</w:t>
            </w:r>
          </w:p>
        </w:tc>
        <w:tc>
          <w:tcPr>
            <w:tcW w:w="1260" w:type="dxa"/>
            <w:vAlign w:val="bottom"/>
          </w:tcPr>
          <w:p>
            <w:pPr>
              <w:jc w:val="right"/>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1,598</w:t>
            </w: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Sacramento Basin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Uinta Basin</w:t>
            </w:r>
          </w:p>
        </w:tc>
        <w:tc>
          <w:tcPr>
            <w:tcW w:w="126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Basins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21,533</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Multiple completion wells included in the total above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80" w:hanging="310"/>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total number of wells in which interests are owned.</w:t>
      </w:r>
    </w:p>
    <w:p>
      <w:pPr>
        <w:spacing w:after="0" w:line="28" w:lineRule="exact"/>
        <w:rPr>
          <w:rFonts w:ascii="Arial" w:cs="Arial" w:eastAsia="Arial" w:hAnsi="Arial"/>
          <w:sz w:val="14"/>
          <w:szCs w:val="14"/>
          <w:color w:val="auto"/>
        </w:rPr>
      </w:pPr>
    </w:p>
    <w:p>
      <w:pPr>
        <w:ind w:left="480" w:hanging="310"/>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Net wells include wells reduced to our fractional interest.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Inventory</w:t>
      </w:r>
    </w:p>
    <w:p>
      <w:pPr>
        <w:spacing w:after="0" w:line="250"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We maintain a portfolio of exploration prospects in the San Joaquin basin, supported by an extensive library of 3D and 2D seismic data used to identify, evaluate and refine exploration opportunities. From time to time, we select exploration projects for investment when our business outlook and the prospect’s potential to advance our strategic objectives justify the associated risks.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Arrangements</w:t>
      </w:r>
    </w:p>
    <w:p>
      <w:pPr>
        <w:spacing w:after="0" w:line="250"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color w:val="auto"/>
        </w:rPr>
        <w:t xml:space="preserve">Sales of our oil, natural gas and NGLs we produce are shown in the table below for the years ended December 31, 2025, 2024 and 2023. For more information on our revenues, see </w:t>
      </w:r>
      <w:r>
        <w:rPr>
          <w:rFonts w:ascii="Arial" w:cs="Arial" w:eastAsia="Arial" w:hAnsi="Arial"/>
          <w:sz w:val="18"/>
          <w:szCs w:val="18"/>
          <w:i w:val="1"/>
          <w:iCs w:val="1"/>
          <w:color w:val="auto"/>
        </w:rPr>
        <w:t>Part II, Item 8 – Financial Statements and Supplementary Data, Note 15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center"/>
              <w:ind w:left="70"/>
              <w:spacing w:after="0"/>
              <w:rPr>
                <w:sz w:val="20"/>
                <w:szCs w:val="20"/>
                <w:color w:val="auto"/>
              </w:rPr>
            </w:pPr>
            <w:r>
              <w:rPr>
                <w:rFonts w:ascii="Arial" w:cs="Arial" w:eastAsia="Arial" w:hAnsi="Arial"/>
                <w:sz w:val="18"/>
                <w:szCs w:val="18"/>
                <w:b w:val="1"/>
                <w:bCs w:val="1"/>
                <w:color w:val="auto"/>
                <w:w w:val="99"/>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3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93"/>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r>
      <w:tr>
        <w:trPr>
          <w:trHeight w:val="233"/>
        </w:trPr>
        <w:tc>
          <w:tcPr>
            <w:tcW w:w="6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4"/>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2,647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r>
      <w:tr>
        <w:trPr>
          <w:trHeight w:val="229"/>
        </w:trPr>
        <w:tc>
          <w:tcPr>
            <w:tcW w:w="6340" w:type="dxa"/>
            <w:vAlign w:val="bottom"/>
          </w:tcPr>
          <w:p>
            <w:pPr>
              <w:ind w:left="40"/>
              <w:spacing w:after="0"/>
              <w:rPr>
                <w:sz w:val="20"/>
                <w:szCs w:val="20"/>
                <w:color w:val="auto"/>
              </w:rPr>
            </w:pPr>
            <w:r>
              <w:rPr>
                <w:rFonts w:ascii="Arial" w:cs="Arial" w:eastAsia="Arial" w:hAnsi="Arial"/>
                <w:sz w:val="18"/>
                <w:szCs w:val="18"/>
                <w:color w:val="auto"/>
              </w:rPr>
              <w:t>NGLs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23"/>
        </w:trPr>
        <w:tc>
          <w:tcPr>
            <w:tcW w:w="6340" w:type="dxa"/>
            <w:vAlign w:val="bottom"/>
          </w:tcPr>
          <w:p>
            <w:pPr>
              <w:ind w:left="180"/>
              <w:spacing w:after="0"/>
              <w:rPr>
                <w:sz w:val="20"/>
                <w:szCs w:val="20"/>
                <w:color w:val="auto"/>
              </w:rPr>
            </w:pPr>
            <w:r>
              <w:rPr>
                <w:rFonts w:ascii="Arial" w:cs="Arial" w:eastAsia="Arial" w:hAnsi="Arial"/>
                <w:sz w:val="18"/>
                <w:szCs w:val="18"/>
                <w:color w:val="auto"/>
              </w:rPr>
              <w:t>Oil, natural gas and NGL sales</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2,910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r>
      <w:tr>
        <w:trPr>
          <w:trHeight w:val="21"/>
        </w:trPr>
        <w:tc>
          <w:tcPr>
            <w:tcW w:w="6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Oil</w:t>
      </w:r>
    </w:p>
    <w:p>
      <w:pPr>
        <w:spacing w:after="0" w:line="250"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We sell nearly all of our crude oil produced in California to local California refiners. A majority of our crude oil production is connected to third-party pipelines and California refining markets via our gathering systems. The majority of our production from our Uinta assets is sold to the Salt Lake City market, with some sold to the Gulf Coast market. We do not refine or process the crude oil we produce and do not have any significant long-term transportation arrangements.</w:t>
      </w:r>
    </w:p>
    <w:p>
      <w:pPr>
        <w:spacing w:after="0" w:line="20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2025, the marketing arrangements for the majority of our production no longer rely on local postings but are instead based directly on Brent prices subject to applicable adjustments. International waterborne-based Brent prices are relevant because there is limited crude pipeline infrastructure available to transport crude overland from other parts of the United States into California. We believe that these limitations will continue to contribute to higher realizations in California than most other U.S. oil markets for comparable grades. The prices received for our Utah production have typically been based on local postings that are tied to WTI prices.</w:t>
      </w:r>
    </w:p>
    <w:p>
      <w:pPr>
        <w:spacing w:after="0" w:line="206"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 xml:space="preserve">We have entered into derivative contracts to provide price protection for sales of produced oil. See </w:t>
      </w:r>
      <w:r>
        <w:rPr>
          <w:rFonts w:ascii="Arial" w:cs="Arial" w:eastAsia="Arial" w:hAnsi="Arial"/>
          <w:sz w:val="18"/>
          <w:szCs w:val="18"/>
          <w:i w:val="1"/>
          <w:iCs w:val="1"/>
          <w:color w:val="auto"/>
        </w:rPr>
        <w:t>Part II, Item 8 – 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Supplementary Data, Note 7 Derivatives </w:t>
      </w:r>
      <w:r>
        <w:rPr>
          <w:rFonts w:ascii="Arial" w:cs="Arial" w:eastAsia="Arial" w:hAnsi="Arial"/>
          <w:sz w:val="18"/>
          <w:szCs w:val="18"/>
          <w:color w:val="auto"/>
        </w:rPr>
        <w:t>for more information on our Brent-based derivative contracts.</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auto"/>
        </w:rPr>
        <w:t>Natural Gas</w:t>
      </w:r>
    </w:p>
    <w:p>
      <w:pPr>
        <w:spacing w:after="0" w:line="250"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sell all of our natural gas not used in our operations into the California and Utah markets. A majority of these sales are made at index-based prices tied to SoCal Border pricing which can differ from NYMEX pricing. SoCal Border pricing reflects local market fundamentals, such as storage capacity and the availability of transportation capacity between the market and producing areas. Transportation capacity availability, transportation pricing, and gas processing prices in other areas may influence California prices because California imports nearly 95% of its natural gas from other states and Canada. We deliver our natural gas to customers using firm capacity contracts that have variable pricing on actual volumes shipped. Currently, we have sufficient capacity to ship our production volumes and we believe that we have the ability to enter into additional capacity agreements as needed.</w:t>
      </w:r>
    </w:p>
    <w:p>
      <w:pPr>
        <w:spacing w:after="0" w:line="210" w:lineRule="exact"/>
        <w:rPr>
          <w:sz w:val="20"/>
          <w:szCs w:val="20"/>
          <w:color w:val="auto"/>
        </w:rPr>
      </w:pPr>
    </w:p>
    <w:p>
      <w:pPr>
        <w:jc w:val="both"/>
        <w:ind w:right="240" w:firstLine="324"/>
        <w:spacing w:after="0" w:line="268" w:lineRule="auto"/>
        <w:rPr>
          <w:sz w:val="20"/>
          <w:szCs w:val="20"/>
          <w:color w:val="auto"/>
        </w:rPr>
      </w:pPr>
      <w:r>
        <w:rPr>
          <w:rFonts w:ascii="Arial" w:cs="Arial" w:eastAsia="Arial" w:hAnsi="Arial"/>
          <w:sz w:val="18"/>
          <w:szCs w:val="18"/>
          <w:color w:val="auto"/>
        </w:rPr>
        <w:t xml:space="preserve">In addition to selling natural gas, we also use natural gas in steam generation for our steamfloods and for power generation. We have entered into derivative contracts to provide price protection for the purchase of natural gas used in our steamflood operations. See </w:t>
      </w:r>
      <w:r>
        <w:rPr>
          <w:rFonts w:ascii="Arial" w:cs="Arial" w:eastAsia="Arial" w:hAnsi="Arial"/>
          <w:sz w:val="18"/>
          <w:szCs w:val="18"/>
          <w:i w:val="1"/>
          <w:iCs w:val="1"/>
          <w:color w:val="auto"/>
        </w:rPr>
        <w:t>Part II,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Item 8 – Financial Statements and Supplementary Data, Note 7 Derivatives </w:t>
      </w:r>
      <w:r>
        <w:rPr>
          <w:rFonts w:ascii="Arial" w:cs="Arial" w:eastAsia="Arial" w:hAnsi="Arial"/>
          <w:sz w:val="18"/>
          <w:szCs w:val="18"/>
          <w:color w:val="auto"/>
        </w:rPr>
        <w:t>for more information on our natural gas derivative contracts.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NGLs</w:t>
      </w:r>
    </w:p>
    <w:p>
      <w:pPr>
        <w:spacing w:after="0" w:line="25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NGL prices vary by liquid type and realizations are closely correlated to the different commodity prices to which they relate. Prices can also fluctuate due to the demand for certain chemical products (for which NGLs are used as feedstock) and due to infrastructure constraints and seasonality. Finally, our results are also affected by the performance of our natural gas-processing plants. We process our wet gas to extract NGLs and other natural gas byproducts. We then deliver dry gas to pipelines and separately sell the remaining products as NGLs. The efficiency with which we extract liquids from the wet gas stream affects our production volumes and operating results. Our natural gas-processing plants also facilitate access to third-party delivery points near the Elk Hills field.</w:t>
      </w:r>
    </w:p>
    <w:p>
      <w:pPr>
        <w:spacing w:after="0" w:line="209" w:lineRule="exact"/>
        <w:rPr>
          <w:sz w:val="20"/>
          <w:szCs w:val="20"/>
          <w:color w:val="auto"/>
        </w:rPr>
      </w:pPr>
    </w:p>
    <w:p>
      <w:pPr>
        <w:jc w:val="both"/>
        <w:ind w:right="460" w:firstLine="324"/>
        <w:spacing w:after="0" w:line="268" w:lineRule="auto"/>
        <w:rPr>
          <w:sz w:val="20"/>
          <w:szCs w:val="20"/>
          <w:color w:val="auto"/>
        </w:rPr>
      </w:pPr>
      <w:r>
        <w:rPr>
          <w:rFonts w:ascii="Arial" w:cs="Arial" w:eastAsia="Arial" w:hAnsi="Arial"/>
          <w:sz w:val="18"/>
          <w:szCs w:val="18"/>
          <w:color w:val="auto"/>
        </w:rPr>
        <w:t>We currently have a pipeline transportation contract to ship approximately 6,000 barrels per day of NGLs through March 2026. Our contract to transport NGLs requires us to cash settle any shortfall between the contractual throughput minimums and volumes actually shipped. We expect to continue to meet all our throughput minimums under this contract.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Delivery Commitments</w:t>
      </w:r>
    </w:p>
    <w:p>
      <w:pPr>
        <w:spacing w:after="0" w:line="250"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color w:val="auto"/>
        </w:rPr>
        <w:t>We have commitments to certain refineries and other buyers to deliver oil, natural gas and NGLs. As of December 31, 2025, we had delivery commitments as shown in the table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2026</w:t>
            </w:r>
          </w:p>
        </w:tc>
        <w:tc>
          <w:tcPr>
            <w:tcW w:w="18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2027</w:t>
            </w:r>
          </w:p>
        </w:tc>
        <w:tc>
          <w:tcPr>
            <w:tcW w:w="18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2028</w:t>
            </w:r>
          </w:p>
        </w:tc>
        <w:tc>
          <w:tcPr>
            <w:tcW w:w="1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2029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jc w:val="right"/>
              <w:ind w:right="570"/>
              <w:spacing w:after="0"/>
              <w:rPr>
                <w:sz w:val="20"/>
                <w:szCs w:val="20"/>
                <w:color w:val="auto"/>
              </w:rPr>
            </w:pPr>
            <w:r>
              <w:rPr>
                <w:rFonts w:ascii="Arial" w:cs="Arial" w:eastAsia="Arial" w:hAnsi="Arial"/>
                <w:sz w:val="18"/>
                <w:szCs w:val="18"/>
                <w:b w:val="1"/>
                <w:bCs w:val="1"/>
                <w:color w:val="auto"/>
              </w:rPr>
              <w:t>2030</w:t>
            </w:r>
          </w:p>
        </w:tc>
      </w:tr>
      <w:tr>
        <w:trPr>
          <w:trHeight w:val="223"/>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(MMBbl)</w:t>
            </w:r>
          </w:p>
        </w:tc>
        <w:tc>
          <w:tcPr>
            <w:tcW w:w="12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r>
      <w:tr>
        <w:trPr>
          <w:trHeight w:val="229"/>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NGL (MMBbl)</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0" w:type="dxa"/>
            <w:vAlign w:val="bottom"/>
            <w:gridSpan w:val="3"/>
          </w:tcPr>
          <w:p>
            <w:pPr>
              <w:jc w:val="right"/>
              <w:ind w:right="1420"/>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144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720" w:type="dxa"/>
            <w:vAlign w:val="bottom"/>
          </w:tcPr>
          <w:p>
            <w:pPr>
              <w:ind w:left="1460"/>
              <w:spacing w:after="0"/>
              <w:rPr>
                <w:sz w:val="20"/>
                <w:szCs w:val="20"/>
                <w:color w:val="auto"/>
              </w:rPr>
            </w:pPr>
            <w:r>
              <w:rPr>
                <w:rFonts w:ascii="Arial" w:cs="Arial" w:eastAsia="Arial" w:hAnsi="Arial"/>
                <w:sz w:val="18"/>
                <w:szCs w:val="18"/>
                <w:color w:val="auto"/>
              </w:rPr>
              <w:t>—</w:t>
            </w:r>
          </w:p>
        </w:tc>
      </w:tr>
      <w:tr>
        <w:trPr>
          <w:trHeight w:val="23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Natural gas (Bcf)</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142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14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w:t>
            </w:r>
          </w:p>
        </w:tc>
      </w:tr>
    </w:tbl>
    <w:p>
      <w:pPr>
        <w:spacing w:after="0" w:line="319" w:lineRule="exact"/>
        <w:rPr>
          <w:sz w:val="20"/>
          <w:szCs w:val="20"/>
          <w:color w:val="auto"/>
        </w:rPr>
      </w:pPr>
    </w:p>
    <w:p>
      <w:pPr>
        <w:jc w:val="both"/>
        <w:ind w:right="160" w:firstLine="324"/>
        <w:spacing w:after="0" w:line="268" w:lineRule="auto"/>
        <w:rPr>
          <w:sz w:val="20"/>
          <w:szCs w:val="20"/>
          <w:color w:val="auto"/>
        </w:rPr>
      </w:pPr>
      <w:r>
        <w:rPr>
          <w:rFonts w:ascii="Arial" w:cs="Arial" w:eastAsia="Arial" w:hAnsi="Arial"/>
          <w:sz w:val="18"/>
          <w:szCs w:val="18"/>
          <w:color w:val="auto"/>
        </w:rPr>
        <w:t>We expect to fulfill our delivery commitments predominantly from producing our proved developed reserves and to a lesser extent from third party volumes acquired in connection with our marketing activities. We typically enter into index-based contracts with prices set at the time of delivery.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Principal Customers</w:t>
      </w:r>
    </w:p>
    <w:p>
      <w:pPr>
        <w:spacing w:after="0" w:line="250" w:lineRule="exact"/>
        <w:rPr>
          <w:sz w:val="20"/>
          <w:szCs w:val="20"/>
          <w:color w:val="auto"/>
        </w:rPr>
      </w:pPr>
    </w:p>
    <w:p>
      <w:pPr>
        <w:ind w:right="900" w:firstLine="324"/>
        <w:spacing w:after="0" w:line="287" w:lineRule="auto"/>
        <w:rPr>
          <w:sz w:val="20"/>
          <w:szCs w:val="20"/>
          <w:color w:val="auto"/>
        </w:rPr>
      </w:pPr>
      <w:r>
        <w:rPr>
          <w:rFonts w:ascii="Arial" w:cs="Arial" w:eastAsia="Arial" w:hAnsi="Arial"/>
          <w:sz w:val="18"/>
          <w:szCs w:val="18"/>
          <w:color w:val="auto"/>
        </w:rPr>
        <w:t>We primarily sell crude oil, natural gas and NGLs to California refineries, marketers and other purchasers that have access to transportation and storage facilities.</w:t>
      </w:r>
    </w:p>
    <w:p>
      <w:pPr>
        <w:spacing w:after="0" w:line="18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In October 2025, Phillips 66 closed its Wilmington refinery in Los Angeles, California. In April 2025, Valero notified the California Energy Commission of its intent to idle, restructure, or cease refining operations at its Benicia refinery in the San Francisco Bay Area by the end of April 2026. In January 2026, Valero confirmed its plans to cease refining operations at Benicia and presently does not expect any changes to the previously announced timeline. We have historically sold a portion of our crude oil to these refineries.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2" w:right="399" w:bottom="1440" w:gutter="0" w:footer="0" w:header="0"/>
        </w:sectPr>
      </w:pPr>
    </w:p>
    <w:bookmarkStart w:id="21" w:name="page22"/>
    <w:bookmarkEnd w:id="21"/>
    <w:p>
      <w:pPr>
        <w:ind w:firstLine="324"/>
        <w:spacing w:after="0" w:line="275" w:lineRule="auto"/>
        <w:rPr>
          <w:sz w:val="20"/>
          <w:szCs w:val="20"/>
          <w:color w:val="auto"/>
        </w:rPr>
      </w:pPr>
      <w:r>
        <w:rPr>
          <w:rFonts w:ascii="Arial" w:cs="Arial" w:eastAsia="Arial" w:hAnsi="Arial"/>
          <w:sz w:val="17"/>
          <w:szCs w:val="17"/>
          <w:color w:val="auto"/>
        </w:rPr>
        <w:t>Following the closure of the Phillips 66 refinery, and assuming Valero's Benicia refinery ceases operations, six major petroleum refineries will remain in California, each with a refining capacity exceeding 75,000 barrels per day. Five of these refineries currently purchase California crude oil. If Valero's Benicia refinery ceases operations, California would have approximately 1.1 million barrels per day of refining capacity available to process California crude oil, which is approximately four times the volume of crude oil produced in the state. However, the ability of producers to access the entirety of this refining capacity would be limited by available pipeline transportation and in-take constraints at</w:t>
      </w:r>
    </w:p>
    <w:p>
      <w:pPr>
        <w:spacing w:after="0" w:line="1"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individual refineries. Based on currently available refining capacity and our flexibility in marketing our crude oil production, we do not expect that a cessation of operations at these refineries, including the Valero Benicia refinery, would have a material adverse effect on our ability to market our crude oil.</w:t>
      </w:r>
    </w:p>
    <w:p>
      <w:pPr>
        <w:spacing w:after="0" w:line="19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 xml:space="preserve">In December 2025, crude oil shipments on the San Pablo Bay Pipeline </w:t>
      </w:r>
      <w:r>
        <w:rPr>
          <w:rFonts w:ascii="Arial" w:cs="Arial" w:eastAsia="Arial" w:hAnsi="Arial"/>
          <w:sz w:val="18"/>
          <w:szCs w:val="18"/>
          <w:i w:val="1"/>
          <w:iCs w:val="1"/>
          <w:color w:val="auto"/>
        </w:rPr>
        <w:t>–</w:t>
      </w:r>
      <w:r>
        <w:rPr>
          <w:rFonts w:ascii="Arial" w:cs="Arial" w:eastAsia="Arial" w:hAnsi="Arial"/>
          <w:sz w:val="18"/>
          <w:szCs w:val="18"/>
          <w:color w:val="auto"/>
        </w:rPr>
        <w:t xml:space="preserve"> the primary inland pipeline carrying crude from California fields to Bay Area refiners </w:t>
      </w:r>
      <w:r>
        <w:rPr>
          <w:rFonts w:ascii="Arial" w:cs="Arial" w:eastAsia="Arial" w:hAnsi="Arial"/>
          <w:sz w:val="18"/>
          <w:szCs w:val="18"/>
          <w:i w:val="1"/>
          <w:iCs w:val="1"/>
          <w:color w:val="auto"/>
        </w:rPr>
        <w:t>–</w:t>
      </w:r>
      <w:r>
        <w:rPr>
          <w:rFonts w:ascii="Arial" w:cs="Arial" w:eastAsia="Arial" w:hAnsi="Arial"/>
          <w:sz w:val="18"/>
          <w:szCs w:val="18"/>
          <w:color w:val="auto"/>
        </w:rPr>
        <w:t xml:space="preserve"> were effectively suspended after refinery demand declined and producers ceased nominations, reducing volumes to zero. The closure of this pipeline effectively eliminated our access to Bay Area refineries and we modified our marketing, transportation and shipping arrangements to reach alternative markets in Southern California. As a result, we expect to experience higher transportation costs as well as greater reliance on southbound transportation capacity. These effects are likely to continue for as long as the suspension of pipeline flow persists, and could persist should the pipeline be permanently idled. In addition, any significant increase in in-state crude oil production, including from offshore platforms, could further stress available transportation capacity and negatively impact price realizations. At this time, we cannot predict whether or when crude shipments on the San Pablo Bay Pipeline will resume.</w:t>
      </w:r>
    </w:p>
    <w:p>
      <w:pPr>
        <w:spacing w:after="0" w:line="21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loss of refineries in the Bay Area and related pipeline transportation capacity and any additional closures in the future could increase our transportation costs and negatively impact realizations and materially adversely affect our business, financial condition, results of operations or cash flow.</w:t>
      </w:r>
    </w:p>
    <w:p>
      <w:pPr>
        <w:spacing w:after="0" w:line="198" w:lineRule="exact"/>
        <w:rPr>
          <w:sz w:val="20"/>
          <w:szCs w:val="20"/>
          <w:color w:val="auto"/>
        </w:rPr>
      </w:pPr>
    </w:p>
    <w:p>
      <w:pPr>
        <w:ind w:right="600" w:firstLine="324"/>
        <w:spacing w:after="0" w:line="268" w:lineRule="auto"/>
        <w:rPr>
          <w:sz w:val="20"/>
          <w:szCs w:val="20"/>
          <w:color w:val="auto"/>
        </w:rPr>
      </w:pPr>
      <w:r>
        <w:rPr>
          <w:rFonts w:ascii="Arial" w:cs="Arial" w:eastAsia="Arial" w:hAnsi="Arial"/>
          <w:sz w:val="18"/>
          <w:szCs w:val="18"/>
          <w:color w:val="auto"/>
        </w:rPr>
        <w:t xml:space="preserve">Our ability to sell our products can be affected by a variety of factors that are beyond our control. See </w:t>
      </w:r>
      <w:r>
        <w:rPr>
          <w:rFonts w:ascii="Arial" w:cs="Arial" w:eastAsia="Arial" w:hAnsi="Arial"/>
          <w:sz w:val="18"/>
          <w:szCs w:val="18"/>
          <w:i w:val="1"/>
          <w:iCs w:val="1"/>
          <w:color w:val="auto"/>
        </w:rPr>
        <w:t>Part II, Item 8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and Supplementary Data, Note 1 Nature of our Business, Summary of Significant Accounting Policies and Other </w:t>
      </w:r>
      <w:r>
        <w:rPr>
          <w:rFonts w:ascii="Arial" w:cs="Arial" w:eastAsia="Arial" w:hAnsi="Arial"/>
          <w:sz w:val="18"/>
          <w:szCs w:val="18"/>
          <w:color w:val="auto"/>
        </w:rPr>
        <w:t>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our customers</w:t>
      </w:r>
      <w:r>
        <w:rPr>
          <w:rFonts w:ascii="Arial" w:cs="Arial" w:eastAsia="Arial" w:hAnsi="Arial"/>
          <w:sz w:val="18"/>
          <w:szCs w:val="18"/>
          <w:i w:val="1"/>
          <w:iCs w:val="1"/>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5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competitors are primarily other exploration and production companies that produce oil, natural gas and NGLs. We compete locally against independent producers and a major international oil company which operate in California. We also compete with foreign oil and gas companies since California imports over 75% of the oil it consumes and nearly 95% of its natural gas needs. We believe that our proximity to the California refineries gives us a competitive advantage over importers due to lower transportation costs. Further, California refineries are generally designed to process crude with characteristics similar to those of our production. However, efforts to construct new interstate pipelines to transport refined products or to increase waterborne imports of refined products, if successful, could alter local supply dynamics and affect competitive conditions in our market. The California natural gas market is serviced from a network of pipelines, including interstate and intrastate pipelines.</w:t>
      </w:r>
    </w:p>
    <w:p>
      <w:pPr>
        <w:spacing w:after="0" w:line="212" w:lineRule="exact"/>
        <w:rPr>
          <w:sz w:val="20"/>
          <w:szCs w:val="20"/>
          <w:color w:val="auto"/>
        </w:rPr>
      </w:pPr>
    </w:p>
    <w:p>
      <w:pPr>
        <w:jc w:val="both"/>
        <w:ind w:right="380" w:firstLine="324"/>
        <w:spacing w:after="0" w:line="268" w:lineRule="auto"/>
        <w:rPr>
          <w:sz w:val="20"/>
          <w:szCs w:val="20"/>
          <w:color w:val="auto"/>
        </w:rPr>
      </w:pPr>
      <w:r>
        <w:rPr>
          <w:rFonts w:ascii="Arial" w:cs="Arial" w:eastAsia="Arial" w:hAnsi="Arial"/>
          <w:sz w:val="18"/>
          <w:szCs w:val="18"/>
          <w:color w:val="auto"/>
        </w:rPr>
        <w:t>In Utah, we compete locally against independent producers that operate in the area. Additionally, we compete to transport our oil to refineries within Utah. Competition for pipeline and transportation capacity, including access to interstate pipelines and rail facilities, may affect realized pricing and basis differentials.</w:t>
      </w:r>
    </w:p>
    <w:p>
      <w:pPr>
        <w:spacing w:after="0" w:line="198"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We compete for third-party services in California and Utah to profitably develop our assets, to find or acquire additional reserves, to sell our production and to find and retain qualified personnel. The regulatory environment in California could negatively impact the number of oil field service providers, drilling and workover rigs, pipe and other oil field equipment in the state. We have not experienced shortages or delays in the delivery of materials or services from our vendors in either California or Utah.</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Carbon Management Segment</w:t>
      </w:r>
    </w:p>
    <w:p>
      <w:pPr>
        <w:spacing w:after="0" w:line="252" w:lineRule="exact"/>
        <w:rPr>
          <w:sz w:val="20"/>
          <w:szCs w:val="20"/>
          <w:color w:val="auto"/>
        </w:rPr>
      </w:pPr>
    </w:p>
    <w:p>
      <w:pPr>
        <w:ind w:right="140" w:firstLine="324"/>
        <w:spacing w:after="0" w:line="220" w:lineRule="auto"/>
        <w:rPr>
          <w:sz w:val="20"/>
          <w:szCs w:val="20"/>
          <w:color w:val="auto"/>
        </w:rPr>
      </w:pPr>
      <w:r>
        <w:rPr>
          <w:rFonts w:ascii="Arial" w:cs="Arial" w:eastAsia="Arial" w:hAnsi="Arial"/>
          <w:sz w:val="18"/>
          <w:szCs w:val="18"/>
          <w:color w:val="auto"/>
        </w:rPr>
        <w:t>Our carbon management segment, which we refer to as Carbon TerraVault, pursues the development of carbon capture and sequestration projects. We expect that our Carbon TerraVault CCS projects will inject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captured from industrial, power, agriculture and other emissions sources into subsurface reservoirs and permanently store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deep underground. We also expect to invest in projects that rely on CCS technology in connection with reducing our own emissions, including a project at our cryogenic gas processing plant discussed below. In addition, we may participate in the development of projects that are the source of these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CCS Permitting</w:t>
      </w:r>
    </w:p>
    <w:p>
      <w:pPr>
        <w:spacing w:after="0" w:line="183" w:lineRule="exact"/>
        <w:rPr>
          <w:sz w:val="20"/>
          <w:szCs w:val="20"/>
          <w:color w:val="auto"/>
        </w:rPr>
      </w:pPr>
    </w:p>
    <w:p>
      <w:pPr>
        <w:jc w:val="both"/>
        <w:ind w:right="160" w:firstLine="324"/>
        <w:spacing w:after="0" w:line="274" w:lineRule="auto"/>
        <w:rPr>
          <w:sz w:val="20"/>
          <w:szCs w:val="20"/>
          <w:color w:val="auto"/>
        </w:rPr>
      </w:pPr>
      <w:r>
        <w:rPr>
          <w:rFonts w:ascii="Arial" w:cs="Arial" w:eastAsia="Arial" w:hAnsi="Arial"/>
          <w:sz w:val="18"/>
          <w:szCs w:val="18"/>
          <w:color w:val="auto"/>
        </w:rPr>
        <w:t>In December 2024, the EPA issued Class VI permits, the first permits issued in California, for underground injection and storage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into the 26R reservoir which is located at our Elk Hills field. The permits became effective on February 6, 2025. The 26R reservoir is part of our Carbon TerraVault JV as discussed further below.</w:t>
      </w:r>
    </w:p>
    <w:p>
      <w:pPr>
        <w:spacing w:after="0" w:line="183"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We have submitted permit applications with the EPA for another permanent sequestration project at our Elk Hills field, four permanent sequestration projects in the Sacramento basin and two permanent sequestration projects in Central California that are under review by the EPA. We acquired one permit application with the EPA for sequestration projects in the Belridge field as part of the Aera Merger.</w:t>
      </w:r>
    </w:p>
    <w:p>
      <w:pPr>
        <w:spacing w:after="0" w:line="198"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The timing, review and approval of our permit applications by the EPA are uncertain and we can give no assurances that these permit applications will be reviewed and approved in a timely manner or at all.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CCS Projects</w:t>
      </w:r>
    </w:p>
    <w:p>
      <w:pPr>
        <w:spacing w:after="0" w:line="250" w:lineRule="exact"/>
        <w:rPr>
          <w:sz w:val="20"/>
          <w:szCs w:val="20"/>
          <w:color w:val="auto"/>
        </w:rPr>
      </w:pPr>
    </w:p>
    <w:p>
      <w:pPr>
        <w:ind w:right="160" w:firstLine="324"/>
        <w:spacing w:after="0" w:line="242" w:lineRule="auto"/>
        <w:rPr>
          <w:sz w:val="20"/>
          <w:szCs w:val="20"/>
          <w:color w:val="auto"/>
        </w:rPr>
      </w:pPr>
      <w:r>
        <w:rPr>
          <w:rFonts w:ascii="Arial" w:cs="Arial" w:eastAsia="Arial" w:hAnsi="Arial"/>
          <w:sz w:val="18"/>
          <w:szCs w:val="18"/>
          <w:color w:val="auto"/>
        </w:rPr>
        <w:t>We recently completed construction of carbon capture equipment at our cryogenic gas processing facility at the Elk Hills field and are currently commissioning the facility. This project which will remove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from inlet gas for injection into the nearby 26R storage reservoir (owned by the Carbon TerraVault JV) in spring 2026, subject to EPA approval. We expect this project will increase operational efficiency of the cryogenic gas processing plant, improve propane recovery from inlet gas, and reduce the carbon intensity of the electricity generated at our Elk Hills power plant.</w:t>
      </w:r>
    </w:p>
    <w:p>
      <w:pPr>
        <w:spacing w:after="0" w:line="221"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 xml:space="preserve">We expect that the size and scope of projects providing for the capture of emissions will continue to grow as we develop our carbon management segment. We expect to minimize the amount of capital we spend on these projects through partnerships and joint ventures, including the Carbon TerraVault JV. For more information about the risks involved in our carbon management segment, see </w:t>
      </w:r>
      <w:r>
        <w:rPr>
          <w:rFonts w:ascii="Arial" w:cs="Arial" w:eastAsia="Arial" w:hAnsi="Arial"/>
          <w:sz w:val="18"/>
          <w:szCs w:val="18"/>
          <w:i w:val="1"/>
          <w:iCs w:val="1"/>
          <w:color w:val="auto"/>
        </w:rPr>
        <w:t>Part I, Item 1A –</w:t>
      </w:r>
      <w:r>
        <w:rPr>
          <w:rFonts w:ascii="Arial" w:cs="Arial" w:eastAsia="Arial" w:hAnsi="Arial"/>
          <w:sz w:val="18"/>
          <w:szCs w:val="18"/>
          <w:color w:val="auto"/>
        </w:rPr>
        <w:t xml:space="preserve"> </w:t>
      </w:r>
      <w:r>
        <w:rPr>
          <w:rFonts w:ascii="Arial" w:cs="Arial" w:eastAsia="Arial" w:hAnsi="Arial"/>
          <w:sz w:val="18"/>
          <w:szCs w:val="18"/>
          <w:i w:val="1"/>
          <w:iCs w:val="1"/>
          <w:color w:val="auto"/>
        </w:rPr>
        <w:t>Risk Factors.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Carbon TerraVault JV</w:t>
      </w:r>
    </w:p>
    <w:p>
      <w:pPr>
        <w:spacing w:after="0" w:line="250" w:lineRule="exact"/>
        <w:rPr>
          <w:sz w:val="20"/>
          <w:szCs w:val="20"/>
          <w:color w:val="auto"/>
        </w:rPr>
      </w:pPr>
    </w:p>
    <w:p>
      <w:pPr>
        <w:ind w:right="60" w:firstLine="324"/>
        <w:spacing w:after="0" w:line="244" w:lineRule="auto"/>
        <w:rPr>
          <w:sz w:val="20"/>
          <w:szCs w:val="20"/>
          <w:color w:val="auto"/>
        </w:rPr>
      </w:pPr>
      <w:r>
        <w:rPr>
          <w:rFonts w:ascii="Arial" w:cs="Arial" w:eastAsia="Arial" w:hAnsi="Arial"/>
          <w:sz w:val="18"/>
          <w:szCs w:val="18"/>
          <w:color w:val="auto"/>
        </w:rPr>
        <w:t>In August 2022, we entered into a joint venture with Brookfield. We hold a 51% interest in the Carbon TerraVault JV and Brookfield holds a 49% interest. Our initial contribution included rights to inject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into the 26R reservoir in our Elk Hills field for permanent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storage. Brookfield has contributed $92 million to date. The remaining amount of Brookfield's initial investment is based on the permitted storage capacity, subject to certain contractual adjustments. This remaining amount will be contributed to the joint venture upon entering into contracts for the injection of specified volumes with respect to the 26R reservoir. The parties have certain put and call rights with respect to the 26R reservoir if certain milestones are not met.</w:t>
      </w:r>
    </w:p>
    <w:p>
      <w:pPr>
        <w:spacing w:after="0" w:line="218"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Both Brookfield and CRC have granted the other party a right to participate in projects that involve the capture, transportation and storage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 California. These projects may be developed throughout the Carbon TerraVault JV or other joint ventures. This right expires upon the earlier of (1) August 2027, (2) when a final investment decision has been approved by the investment committee of the Carbon TerraVault JV for storage projects representing in excess of 5 million metric tons per annum (MMTPA) in the aggregate, or (3) when Brookfield has made contributions to the joint venture in excess of $500 million (unless Brookfield elects to increase its commitment). The non-presenting party has the option to accept, decline or defer its decision to participate. If the decision is deferred, then the presenting party may continue to pursue development; however during this time and prior to a final investment decision, the non-presenting party may elect to participate provided they pay their share of the project development costs incurred up to that point. The joint venture does not have a definitive term and terminates upon either party holding all of the ownership interests in the joint venture.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3" w:name="page24"/>
    <w:bookmarkEnd w:id="23"/>
    <w:p>
      <w:pPr>
        <w:ind w:right="300" w:firstLine="324"/>
        <w:spacing w:after="0" w:line="28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Part II, Item 8 – Financial Statements and Supplementary Data, Note 4 Investments and Related Party Transactions</w:t>
      </w:r>
      <w:r>
        <w:rPr>
          <w:rFonts w:ascii="Arial" w:cs="Arial" w:eastAsia="Arial" w:hAnsi="Arial"/>
          <w:sz w:val="18"/>
          <w:szCs w:val="18"/>
          <w:color w:val="auto"/>
        </w:rPr>
        <w:t xml:space="preserve"> for more information on our Carbon TerraVault JV.</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37"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We compete with other potential storage providers to acquire and develop storage reservoirs and enter into agreements with existing and future emission sources.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Responsible Net Zero Goal</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May 2025, our Board of Directors adopted the following net zero emissions goal (Responsible Net Zero):</w:t>
      </w:r>
    </w:p>
    <w:p>
      <w:pPr>
        <w:spacing w:after="0" w:line="252" w:lineRule="exact"/>
        <w:rPr>
          <w:sz w:val="20"/>
          <w:szCs w:val="20"/>
          <w:color w:val="auto"/>
        </w:rPr>
      </w:pPr>
    </w:p>
    <w:p>
      <w:pPr>
        <w:ind w:left="1300" w:right="1300"/>
        <w:spacing w:after="0" w:line="259" w:lineRule="auto"/>
        <w:rPr>
          <w:sz w:val="20"/>
          <w:szCs w:val="20"/>
          <w:color w:val="auto"/>
        </w:rPr>
      </w:pPr>
      <w:r>
        <w:rPr>
          <w:rFonts w:ascii="Arial" w:cs="Arial" w:eastAsia="Arial" w:hAnsi="Arial"/>
          <w:sz w:val="18"/>
          <w:szCs w:val="18"/>
          <w:color w:val="auto"/>
        </w:rPr>
        <w:t>Our goal is to achieve at least an 80% reduction of absolute Scope 1 and 2 greenhouse gas emissions and neutralize the remaining Scope 1 and 2 emissions to achieve Net Zero by 2045. Our near-term ambition is to achieve a 20% reduction in the average carbon intensity of all CRC oil and gas production by 2035, thereby reducing our customers’ Scope 3 emissions. We are committed to responsibly producing energy in a manner consistent with the UN’s Sustainable Development Goals.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Responsible Net Zero goal is based on the following considerations:</w:t>
      </w:r>
    </w:p>
    <w:p>
      <w:pPr>
        <w:spacing w:after="0" w:line="252" w:lineRule="exact"/>
        <w:rPr>
          <w:sz w:val="20"/>
          <w:szCs w:val="20"/>
          <w:color w:val="auto"/>
        </w:rPr>
      </w:pPr>
    </w:p>
    <w:p>
      <w:pPr>
        <w:jc w:val="both"/>
        <w:ind w:left="660" w:right="660" w:hanging="328"/>
        <w:spacing w:after="0" w:line="318"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use 2020 total Scope 1 and 2 GHG emissions (including those of Aera) as our baseline to measure progress towards our Responsible Net Zero goal. Our emissions are based on calculations reported to the California Air Resources Board (CARB).</w:t>
      </w:r>
    </w:p>
    <w:p>
      <w:pPr>
        <w:spacing w:after="0" w:line="8" w:lineRule="exact"/>
        <w:rPr>
          <w:rFonts w:ascii="Arial" w:cs="Arial" w:eastAsia="Arial" w:hAnsi="Arial"/>
          <w:sz w:val="17"/>
          <w:szCs w:val="17"/>
          <w:color w:val="auto"/>
        </w:rPr>
      </w:pPr>
    </w:p>
    <w:p>
      <w:pPr>
        <w:ind w:left="660" w:right="220" w:hanging="328"/>
        <w:spacing w:after="0" w:line="26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 “neutralize” as it relates to Scope 1 GHG emissions refers to the planned use of either carbon offsets generated and claimed internally or carbon offsets purchased and claimed through the third party carbon market (including California’s Cap-and-Trade Program). For Scope 2 GHG emissions, the term “neutralize” refers to the use of contractual instruments such as renewable energy certificates or carbon offsets.</w:t>
      </w:r>
    </w:p>
    <w:p>
      <w:pPr>
        <w:spacing w:after="0" w:line="41" w:lineRule="exact"/>
        <w:rPr>
          <w:rFonts w:ascii="Arial" w:cs="Arial" w:eastAsia="Arial" w:hAnsi="Arial"/>
          <w:sz w:val="18"/>
          <w:szCs w:val="18"/>
          <w:color w:val="auto"/>
        </w:rPr>
      </w:pPr>
    </w:p>
    <w:p>
      <w:pPr>
        <w:ind w:left="660" w:right="62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 “carbon offsets” refers to greenhouse gas emission reductions arising from third-party certified projects that remove, reduce, or avoid GHG emissions from the atmosphere.</w:t>
      </w:r>
    </w:p>
    <w:p>
      <w:pPr>
        <w:spacing w:after="0" w:line="31"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References to UN Sustainable Development Goals (UN SDGs) refer primarily to goals regarding income inequality, biodiversity, corruption, Scope 1 and 2 GHG emissions carbon intensity, fair labor and gender treatment. Operating a business consistent with UN SDGs is inherently a subjective determination regarding which UN SDGs to prioritize, how to weigh such matters against commercial considerations and to what extent a business activity promotes or is consistent with a given UN SDG.</w:t>
      </w:r>
    </w:p>
    <w:p>
      <w:pPr>
        <w:spacing w:after="0" w:line="41" w:lineRule="exact"/>
        <w:rPr>
          <w:rFonts w:ascii="Arial" w:cs="Arial" w:eastAsia="Arial" w:hAnsi="Arial"/>
          <w:sz w:val="18"/>
          <w:szCs w:val="18"/>
          <w:color w:val="auto"/>
        </w:rPr>
      </w:pPr>
    </w:p>
    <w:p>
      <w:pPr>
        <w:ind w:left="660" w:right="62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acquisitions and divestitures, as well as changes to methodology in accounting for carbon emissions or adjustments to historical carbon calculations as well as the use of third-party data or validation processes, could cause us to change our Responsible Net Zero goal.</w:t>
      </w:r>
    </w:p>
    <w:p>
      <w:pPr>
        <w:spacing w:after="0" w:line="49" w:lineRule="exact"/>
        <w:rPr>
          <w:rFonts w:ascii="Arial" w:cs="Arial" w:eastAsia="Arial" w:hAnsi="Arial"/>
          <w:sz w:val="18"/>
          <w:szCs w:val="18"/>
          <w:color w:val="auto"/>
        </w:rPr>
      </w:pPr>
    </w:p>
    <w:p>
      <w:pPr>
        <w:ind w:left="660"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Assumptions, estimates, goals and similar statements and concepts regarding our Responsible Net Zero goal contain or assume forward looking statements within the meaning of federal securities laws and are subject to risks and uncertainties that could cause actual results to differ materially from those expressed in, or implied by, such statements. For a discussion of these risks and uncertainties, please refer to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w:t>
      </w:r>
      <w:r>
        <w:rPr>
          <w:rFonts w:ascii="Arial" w:cs="Arial" w:eastAsia="Arial" w:hAnsi="Arial"/>
          <w:sz w:val="18"/>
          <w:szCs w:val="18"/>
          <w:i w:val="1"/>
          <w:iCs w:val="1"/>
          <w:color w:val="auto"/>
        </w:rPr>
        <w:t>Forward-Looking Statements</w:t>
      </w:r>
      <w:r>
        <w:rPr>
          <w:rFonts w:ascii="Arial" w:cs="Arial" w:eastAsia="Arial" w:hAnsi="Arial"/>
          <w:sz w:val="18"/>
          <w:szCs w:val="18"/>
          <w:color w:val="auto"/>
        </w:rPr>
        <w:t xml:space="preserve"> described in our Annual Report on our most recent Form 10-K and any subsequently filed Quarterly Reports on Form 10-Q and Current Reports on Form 8-K filed with the United States Securities and Exchange Commission.</w:t>
      </w:r>
    </w:p>
    <w:p>
      <w:pPr>
        <w:spacing w:after="0" w:line="304"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Our Responsible Net Zero goal replaces our previously adopted Full Scope Net Zero goal. This change was primarily driven by the impact of the Aera Merger, which nearly doubled the size of our asset base and impacted the overall carbon intensity of our operations. The continuing lack of regulatory clarity around the measurement of Scope 3 GHG emissions (including the impact of carbon capture and sequestration in such calculations) also contributed to this change.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47"/>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Infrastructure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7240" w:type="dxa"/>
            <w:vAlign w:val="bottom"/>
            <w:gridSpan w:val="8"/>
          </w:tcPr>
          <w:p>
            <w:pPr>
              <w:ind w:left="340"/>
              <w:spacing w:after="0"/>
              <w:rPr>
                <w:sz w:val="20"/>
                <w:szCs w:val="20"/>
                <w:color w:val="auto"/>
              </w:rPr>
            </w:pPr>
            <w:r>
              <w:rPr>
                <w:rFonts w:ascii="Arial" w:cs="Arial" w:eastAsia="Arial" w:hAnsi="Arial"/>
                <w:sz w:val="18"/>
                <w:szCs w:val="18"/>
                <w:color w:val="auto"/>
              </w:rPr>
              <w:t>Our infrastructure includes the plants and facilities shown in the table below.</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3120" w:type="dxa"/>
            <w:vAlign w:val="bottom"/>
            <w:gridSpan w:val="2"/>
          </w:tcPr>
          <w:p>
            <w:pPr>
              <w:ind w:left="1020"/>
              <w:spacing w:after="0"/>
              <w:rPr>
                <w:sz w:val="20"/>
                <w:szCs w:val="20"/>
                <w:color w:val="auto"/>
              </w:rPr>
            </w:pPr>
            <w:r>
              <w:rPr>
                <w:rFonts w:ascii="Arial" w:cs="Arial" w:eastAsia="Arial" w:hAnsi="Arial"/>
                <w:sz w:val="18"/>
                <w:szCs w:val="18"/>
                <w:b w:val="1"/>
                <w:bCs w:val="1"/>
                <w:color w:val="auto"/>
              </w:rPr>
              <w:t>Description</w:t>
            </w: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Quantity</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Unit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4"/>
          </w:tcPr>
          <w:p>
            <w:pPr>
              <w:ind w:left="780"/>
              <w:spacing w:after="0"/>
              <w:rPr>
                <w:sz w:val="20"/>
                <w:szCs w:val="20"/>
                <w:color w:val="auto"/>
              </w:rPr>
            </w:pPr>
            <w:r>
              <w:rPr>
                <w:rFonts w:ascii="Arial" w:cs="Arial" w:eastAsia="Arial" w:hAnsi="Arial"/>
                <w:sz w:val="18"/>
                <w:szCs w:val="18"/>
                <w:b w:val="1"/>
                <w:bCs w:val="1"/>
                <w:color w:val="auto"/>
              </w:rPr>
              <w:t>Capacity</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8"/>
              </w:rPr>
              <w:t>San Joaquin</w:t>
            </w:r>
          </w:p>
        </w:tc>
        <w:tc>
          <w:tcPr>
            <w:tcW w:w="12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7"/>
              </w:rPr>
              <w:t>Uinta</w:t>
            </w:r>
          </w:p>
        </w:tc>
        <w:tc>
          <w:tcPr>
            <w:tcW w:w="12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8"/>
                <w:szCs w:val="18"/>
                <w:b w:val="1"/>
                <w:bCs w:val="1"/>
                <w:color w:val="auto"/>
              </w:rPr>
              <w:t>Other Basins</w:t>
            </w:r>
          </w:p>
        </w:tc>
        <w:tc>
          <w:tcPr>
            <w:tcW w:w="1500" w:type="dxa"/>
            <w:vAlign w:val="bottom"/>
            <w:tcBorders>
              <w:top w:val="single" w:sz="8" w:color="auto"/>
            </w:tcBorders>
            <w:vMerge w:val="restart"/>
          </w:tcPr>
          <w:p>
            <w:pPr>
              <w:ind w:lef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Basin</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Basins</w:t>
            </w:r>
          </w:p>
        </w:tc>
        <w:tc>
          <w:tcPr>
            <w:tcW w:w="1260" w:type="dxa"/>
            <w:vAlign w:val="bottom"/>
            <w:gridSpan w:val="2"/>
            <w:vMerge w:val="continue"/>
          </w:tcPr>
          <w:p>
            <w:pPr>
              <w:spacing w:after="0"/>
              <w:rPr>
                <w:sz w:val="21"/>
                <w:szCs w:val="21"/>
                <w:color w:val="auto"/>
              </w:rPr>
            </w:pP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 Processing Plants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MMcf/d</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335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370</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Power Plants</w:t>
            </w:r>
            <w:r>
              <w:rPr>
                <w:rFonts w:ascii="Arial" w:cs="Arial" w:eastAsia="Arial" w:hAnsi="Arial"/>
                <w:sz w:val="23"/>
                <w:szCs w:val="23"/>
                <w:color w:val="auto"/>
                <w:vertAlign w:val="superscript"/>
              </w:rPr>
              <w:t>(a)</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11</w:t>
            </w:r>
          </w:p>
        </w:tc>
        <w:tc>
          <w:tcPr>
            <w:tcW w:w="12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MW</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855</w:t>
            </w:r>
          </w:p>
        </w:tc>
        <w:tc>
          <w:tcPr>
            <w:tcW w:w="10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855</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Steam Generators/Plants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221</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MBbl/d</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681</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681</w:t>
            </w: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Compressors</w:t>
            </w:r>
          </w:p>
        </w:tc>
        <w:tc>
          <w:tcPr>
            <w:tcW w:w="1040" w:type="dxa"/>
            <w:vAlign w:val="bottom"/>
          </w:tcPr>
          <w:p>
            <w:pPr>
              <w:jc w:val="center"/>
              <w:spacing w:after="0"/>
              <w:rPr>
                <w:sz w:val="20"/>
                <w:szCs w:val="20"/>
                <w:color w:val="auto"/>
              </w:rPr>
            </w:pPr>
            <w:r>
              <w:rPr>
                <w:rFonts w:ascii="Arial" w:cs="Arial" w:eastAsia="Arial" w:hAnsi="Arial"/>
                <w:sz w:val="18"/>
                <w:szCs w:val="18"/>
                <w:color w:val="auto"/>
                <w:w w:val="97"/>
              </w:rPr>
              <w:t>1,372</w:t>
            </w: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MHp</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356</w:t>
            </w:r>
          </w:p>
        </w:tc>
        <w:tc>
          <w:tcPr>
            <w:tcW w:w="10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31</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387</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Water Management Systems</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MBw/d</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3,922</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420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Water Softeners</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137</w:t>
            </w: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MBw/d</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400</w:t>
            </w:r>
          </w:p>
        </w:tc>
        <w:tc>
          <w:tcPr>
            <w:tcW w:w="10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400</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Tank Storage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MBbls</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3,202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660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163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Oil and NGL Storage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MBbls</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799</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849</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Carbon capture equipment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KMTPA</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39"/>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Pipelines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Miles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&gt;12,000</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120" w:hanging="332"/>
        <w:spacing w:after="0" w:line="285" w:lineRule="auto"/>
        <w:tabs>
          <w:tab w:leader="none" w:pos="327"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120 MW attributable to our 50% interest in the Midway Sunset Power Plant. Does not include the Long Beach Unit Power Plant described below or microturbines that generate limited power.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Generation Assets</w:t>
      </w:r>
    </w:p>
    <w:p>
      <w:pPr>
        <w:spacing w:after="0" w:line="250"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own and/or operate power generation facilities with a combined 855 MW of capacity. A material portion of the electrical output of these facilities is used in our oil and natural gas operations at nearby fields. Generating capacity that is not used in our operations is offered into the California Independent System Operator (CAISO) wholesale power market. We enter into resource adequacy capacity contracts with load-serving entities which are tasked with ensuring there is sufficient available generating capacity to support their forecasted customer energy demand. Our contracts for resource adequacy are at market prices and generally for a term that does not exceed twelve months. The actual electrical output of our power generating facilities varies over time based on operating conditions, pricing and other conditions. Our significant power generating facilities are described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San Joaquin Basin</w:t>
      </w:r>
    </w:p>
    <w:p>
      <w:pPr>
        <w:spacing w:after="0" w:line="250" w:lineRule="exact"/>
        <w:rPr>
          <w:sz w:val="20"/>
          <w:szCs w:val="20"/>
          <w:color w:val="auto"/>
        </w:rPr>
      </w:pPr>
    </w:p>
    <w:p>
      <w:pPr>
        <w:ind w:right="620" w:firstLine="324"/>
        <w:spacing w:after="0" w:line="287" w:lineRule="auto"/>
        <w:rPr>
          <w:sz w:val="20"/>
          <w:szCs w:val="20"/>
          <w:color w:val="auto"/>
        </w:rPr>
      </w:pPr>
      <w:r>
        <w:rPr>
          <w:rFonts w:ascii="Arial" w:cs="Arial" w:eastAsia="Arial" w:hAnsi="Arial"/>
          <w:sz w:val="18"/>
          <w:szCs w:val="18"/>
          <w:color w:val="auto"/>
        </w:rPr>
        <w:t>Elk Hills Power Plant – We own a 550 MW combined-cycle cogeneration power plant, located adjacent to the Elk Hills natural gas processing facility. The plant runs at varying levels based on power pricing and other market conditions.</w:t>
      </w:r>
    </w:p>
    <w:p>
      <w:pPr>
        <w:spacing w:after="0" w:line="180"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The Elk Hills power plant supplies electricity to Elk Hills field and the power needs of the field remain relatively constant throughout the year. Because the output of the plant varies, we expect approximately 25% to 60% of the electricity generated in 2026 will be used in our oil and natural gas operations. The remaining facility capacity is available to the resource adequacy market and is offered to the CAISO wholesale market.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 w:name="page26"/>
    <w:bookmarkEnd w:id="25"/>
    <w:p>
      <w:pPr>
        <w:ind w:left="340"/>
        <w:spacing w:after="0"/>
        <w:rPr>
          <w:sz w:val="20"/>
          <w:szCs w:val="20"/>
          <w:color w:val="auto"/>
        </w:rPr>
      </w:pPr>
      <w:r>
        <w:rPr>
          <w:rFonts w:ascii="Arial" w:cs="Arial" w:eastAsia="Arial" w:hAnsi="Arial"/>
          <w:sz w:val="18"/>
          <w:szCs w:val="18"/>
          <w:color w:val="auto"/>
        </w:rPr>
        <w:t>Midway Sunset Cogeneration Facilities</w:t>
      </w:r>
    </w:p>
    <w:p>
      <w:pPr>
        <w:spacing w:after="0" w:line="252" w:lineRule="exact"/>
        <w:rPr>
          <w:sz w:val="20"/>
          <w:szCs w:val="20"/>
          <w:color w:val="auto"/>
        </w:rPr>
      </w:pPr>
    </w:p>
    <w:p>
      <w:pPr>
        <w:ind w:left="980" w:hanging="324"/>
        <w:spacing w:after="0" w:line="259"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We own a 50% interest in a 240 MW cogeneration power plant located in the Midway Sunset field in Kern County and the remaining 50% is held by San Joaquin Energy Company, a subsidiary of NRG Energy, Inc. Our investment in this joint venture is accounted for using the equity method of accounting as discussed in </w:t>
      </w:r>
      <w:r>
        <w:rPr>
          <w:rFonts w:ascii="Arial" w:cs="Arial" w:eastAsia="Arial" w:hAnsi="Arial"/>
          <w:sz w:val="18"/>
          <w:szCs w:val="18"/>
          <w:i w:val="1"/>
          <w:iCs w:val="1"/>
          <w:color w:val="auto"/>
        </w:rPr>
        <w:t>Part II, Item 8 – 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Data, Note 4 Investments and Related Party Transactions. </w:t>
      </w:r>
      <w:r>
        <w:rPr>
          <w:rFonts w:ascii="Arial" w:cs="Arial" w:eastAsia="Arial" w:hAnsi="Arial"/>
          <w:sz w:val="18"/>
          <w:szCs w:val="18"/>
          <w:color w:val="auto"/>
        </w:rPr>
        <w:t>The electricity generated by this plant is sold to CAISO and the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also participates in the resource adequacy capacity market.</w:t>
      </w:r>
    </w:p>
    <w:p>
      <w:pPr>
        <w:spacing w:after="0" w:line="206" w:lineRule="exact"/>
        <w:rPr>
          <w:rFonts w:ascii="Arial" w:cs="Arial" w:eastAsia="Arial" w:hAnsi="Arial"/>
          <w:sz w:val="18"/>
          <w:szCs w:val="18"/>
          <w:color w:val="auto"/>
        </w:rPr>
      </w:pPr>
    </w:p>
    <w:p>
      <w:pPr>
        <w:ind w:left="980" w:right="20" w:hanging="324"/>
        <w:spacing w:after="0" w:line="259"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Following the Berry Merger, we own three natural gas burning cogeneration plants, each located in the Midway Sunset field in Kern County, that produce electricity and steam. These include a 36 MW facility, an 18 MW facility, and a 5 MW facility. We use a portion of the electricity generated by these cogeneration facilities to support our oil and natural gas operations in the area. Excess electricity is either sold to a California public utility under a power purchase agreement that expires in November 2026 or offered to the CAISO and the resource adequacy capacity market.</w:t>
      </w:r>
    </w:p>
    <w:p>
      <w:pPr>
        <w:spacing w:after="0" w:line="206"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Belridge Power Plant – We own a 62 MW cogeneration power plant located in the Belridge field in Kern County, California. The electricity generated by this plant is used in our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 Angeles Basin</w:t>
      </w:r>
    </w:p>
    <w:p>
      <w:pPr>
        <w:spacing w:after="0" w:line="250"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color w:val="auto"/>
        </w:rPr>
        <w:t>Long Beach Unit Power Plant – We operate a 48 MW power generating facility that is owned by the Long Beach Unit in the Wilmington field. The electricity generated by this plant is used in our operations.</w:t>
      </w:r>
    </w:p>
    <w:p>
      <w:pPr>
        <w:spacing w:after="0" w:line="180" w:lineRule="exact"/>
        <w:rPr>
          <w:sz w:val="20"/>
          <w:szCs w:val="20"/>
          <w:color w:val="auto"/>
        </w:rPr>
      </w:pPr>
    </w:p>
    <w:p>
      <w:pPr>
        <w:ind w:right="2640" w:firstLine="324"/>
        <w:spacing w:after="0" w:line="271" w:lineRule="auto"/>
        <w:rPr>
          <w:sz w:val="20"/>
          <w:szCs w:val="20"/>
          <w:color w:val="auto"/>
        </w:rPr>
      </w:pPr>
      <w:r>
        <w:rPr>
          <w:rFonts w:ascii="Arial" w:cs="Arial" w:eastAsia="Arial" w:hAnsi="Arial"/>
          <w:sz w:val="18"/>
          <w:szCs w:val="18"/>
          <w:color w:val="auto"/>
        </w:rPr>
        <w:t>In addition, we own and/or operate a number of smaller gas-fired power plants that are primarily used to generate power for our oil and natural gas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Infrastructure Assets</w:t>
      </w:r>
    </w:p>
    <w:p>
      <w:pPr>
        <w:spacing w:after="0" w:line="25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Gas processing infrastructure used in our oil and gas segment includes the Elk Hills cryogenic gas plant with a capacity of 200 MMcf/d of inlet gas and one low temperature separation plant used as a backup facility. Our natural gas processing facilities are interconnected via pipelines to nearby third-party rail and trucking facilities, with access to various North American NGL markets. In addition, we have truck rack facilities coupled with a battery of pressurized storage tanks at our natural gas processing facilities for NGL sales to third parties. We own, control and operate water management and steam-generation infrastructure. We soften and self-supply water to generate steam, reducing our operating costs. This is integral to our oil and natural gas operations in the San Joaquin basin. Our tank storage capacity throughout California gives us flexibility for a period of time to store crude oil and NGLs, allowing us to continue production and avoid or delay any field shutdowns in the event of temporary power, pipeline or other shutdowns. Our pipelines are dedicated almost entirely to collecting our oil and natural gas production and are in close proximity to field-specific facilities such as tank farms or central processing sites. Our oil pipelines connect to multiple third-party transportation pipelines. In addition, virtually all of our natural gas facilities connect with major third-party natural gas pipeline systems.</w:t>
      </w:r>
    </w:p>
    <w:p>
      <w:pPr>
        <w:spacing w:after="0" w:line="209"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We also own a natural gas processing plant in the Brundage Canyon area located in Duchesne County, Utah with capacity of approximately 25 MMcf/d. We have natural gas gathering systems consisting of approximately 500 miles of pipeline and associated compression and metering facilities that connect to numerous sales outlets in the area. We also have extensive gas infrastructure and available takeaway capacity in place to support additional development along with existing gas transportation contracts. This facility takes delivery from gathering and compression facilities we operate.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had approximately 2,500 employees as of December 31, 2025, as compared to approximately 1,550 as of December 31, 2024, all of whom were located in the United States. The significant growth in headcount of approximately 990 employees relates to the Berry Merger that closed in December 2025. Approximately 640 of these employees are employed by our subsidiary C&amp;J Well Services. Approximately 250 of our employees are covered by a collective bargaining agreement. We also utilize the services of many third-party contractors throughout our operations.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Development</w:t>
      </w:r>
    </w:p>
    <w:p>
      <w:pPr>
        <w:spacing w:after="0" w:line="25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provide various employee development opportunities to enhance leadership growth and expand career opportunities. Our employees undergo mandatory annual training on our policies including health and safety, business ethics, harassment, IT security and others. In addition to training, our employees receive regular performance and career development discussions from their direct managers. We utilize an annual performance review process for all employees.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Culture and Engagement</w:t>
      </w:r>
    </w:p>
    <w:p>
      <w:pPr>
        <w:spacing w:after="0" w:line="250"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Our goal is to foster an open and welcoming culture and we are committed to advancing a workplace culture that is hospitable to all backgrounds and perspectives. We believe this encourages workforce engagement and leads to more thoughtful and innovative business decisions.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and Environmental Stewardship</w:t>
      </w:r>
    </w:p>
    <w:p>
      <w:pPr>
        <w:spacing w:after="0" w:line="250"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Our unwavering commitment to health, safety and the environment defines how we operate our business. We prepare our workforce to work safely through comprehensive training, safe work practices, technology and rigorous maintenance and asset integrity programs. Each year, we set thresholds for TRIR and gross barrels spilled as quantitative metrics that directly impact incentive compensation for all of our employees. We registered a workforce TRIR of 0.40 and recorded 1,124 gross barrels of production fluids spilled in 2025, excluding Berry operations. We have achieved exemplary safety performance over the last several years by promoting a culture of safety where all employees, contractors and vendors are empowered with Stop Work Authority to cease any activity – without repercussions – to prevent a safety or environmental accident.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Engagement and Retention</w:t>
      </w:r>
    </w:p>
    <w:p>
      <w:pPr>
        <w:spacing w:after="0" w:line="250"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We survey our employees annually to ensure employee sentiment is collected and heard each year allowing us to assess engagement levels and drivers to determine areas of improvement to enhance engagement and retention. The results of the engagement surveys are reviewed by senior management and our Board of Directors. Senior leadership also hosts regular townhalls so employees can engage with them through question-and-answer sessions.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w:t>
      </w:r>
    </w:p>
    <w:p>
      <w:pPr>
        <w:spacing w:after="0" w:line="250" w:lineRule="exact"/>
        <w:rPr>
          <w:sz w:val="20"/>
          <w:szCs w:val="20"/>
          <w:color w:val="auto"/>
        </w:rPr>
      </w:pPr>
    </w:p>
    <w:p>
      <w:pPr>
        <w:jc w:val="both"/>
        <w:ind w:right="400" w:firstLine="324"/>
        <w:spacing w:after="0" w:line="268" w:lineRule="auto"/>
        <w:rPr>
          <w:sz w:val="20"/>
          <w:szCs w:val="20"/>
          <w:color w:val="auto"/>
        </w:rPr>
      </w:pPr>
      <w:r>
        <w:rPr>
          <w:rFonts w:ascii="Arial" w:cs="Arial" w:eastAsia="Arial" w:hAnsi="Arial"/>
          <w:sz w:val="18"/>
          <w:szCs w:val="18"/>
          <w:color w:val="auto"/>
        </w:rPr>
        <w:t>In February 2026, we undertook a reduction in force following the Berry Merger that resulted in a reduction of our headcount and we expect to recognize a charge of approximately $22 million in other operating expenses, net on our condensed consolidated statement of operations for the three months ended March 31, 2026, which primarily includes severance.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5"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Certain of our operating costs and the prices for our products fluctuate throughout the year. For example, prices for natural gas (that we both market to third parties and purchase for use in our operations) tend to be higher in the winter and summer months. However, seasonality overall does not have a material effect on our earnings during the year.</w:t>
      </w:r>
    </w:p>
    <w:p>
      <w:pPr>
        <w:spacing w:after="0" w:line="198"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Our operations have been, and in the future could be, impacted by winter weather conditions, especially in Utah, and by electrical storms and high temperatures in the spring and summer, as well as by wildfires and rain.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Regulation of the Industries in Which We Operate</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operations are subject to a wide range of federal, state and local laws and regulations. Those that specifically relate to oil and natural gas exploration and production and carbon sequestration, utilization and storage are described in this section. CalGEM is the primary regulator of the oil and natural gas production industry in California and the California State Lands Commission provides additional administration of the state’s surface and mineral interests. With respect to our assets in Utah, we operate under leases regulated by federal agencies, including the Bureau of Land Management (BLM), as well as on lands regulated by the Utah Division of Oil, Gas and Mining.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Exploration and Production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Well Permitting</w:t>
      </w:r>
    </w:p>
    <w:p>
      <w:pPr>
        <w:spacing w:after="0" w:line="250"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During 2025, we continued to experience delays from CalGEM in obtaining new well, sidetrack, deepening and workover permits. These delays resulted from a combination of more stringent environmental review requirements, limited agency resources and policy directives outside of our control. During 2025, we (including our Berry subsidiary) received permits for 506 workovers, six deepenings and 346 sidetracks, and no permits for new oil and gas wells.</w:t>
      </w:r>
    </w:p>
    <w:p>
      <w:pPr>
        <w:spacing w:after="0" w:line="203"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CalGEM resumed issuing permits for new oil and gas wells beginning in January 2026 following the enactment of Senate Bill 237. As of January 31, 2026, we had received 16 permits for new oil and gas wells and expect to receive additional permits during the course of the year. We also expect the issuance of workover, deepening and sidetrack permits to increase throughout 2026.</w:t>
      </w:r>
    </w:p>
    <w:p>
      <w:pPr>
        <w:spacing w:after="0" w:line="19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 xml:space="preserve">We currently hold sufficient permits to undertake a majority of our 2026 capital program. Now that CalGEM has resumed issuing permits through the Kern County EIR process, we expect to obtain additional new well permits for the remainder of our 2026 capital program on a timely basis.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more information. For more information on our permitting risks, see </w:t>
      </w:r>
      <w:r>
        <w:rPr>
          <w:rFonts w:ascii="Arial" w:cs="Arial" w:eastAsia="Arial" w:hAnsi="Arial"/>
          <w:sz w:val="18"/>
          <w:szCs w:val="18"/>
          <w:i w:val="1"/>
          <w:iCs w:val="1"/>
          <w:color w:val="auto"/>
        </w:rPr>
        <w:t>Part 1, Item IA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Risk Factors </w:t>
      </w:r>
      <w:r>
        <w:rPr>
          <w:rFonts w:ascii="Arial" w:cs="Arial" w:eastAsia="Arial" w:hAnsi="Arial"/>
          <w:sz w:val="18"/>
          <w:szCs w:val="18"/>
          <w:color w:val="auto"/>
        </w:rPr>
        <w:t>–</w:t>
      </w:r>
      <w:r>
        <w:rPr>
          <w:rFonts w:ascii="Arial" w:cs="Arial" w:eastAsia="Arial" w:hAnsi="Arial"/>
          <w:sz w:val="18"/>
          <w:szCs w:val="18"/>
          <w:i w:val="1"/>
          <w:iCs w:val="1"/>
          <w:color w:val="auto"/>
        </w:rPr>
        <w:t xml:space="preserve"> Risks Related to Regulation and Government Action, We may face material delays related to our ability to timely obtain permits necessary for our operations or be unable to secure such permits on favorable terms or at all as a result of numerous California political, regulatory, and legal developments.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Kern County EIR Litigation</w:t>
      </w:r>
    </w:p>
    <w:p>
      <w:pPr>
        <w:spacing w:after="0" w:line="25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Since June 2022, our oil and gas drilling activities have been significantly impaired as a result of litigation by certain environmental activists. This litigation primarily challenged Kern County’s adoption of an ordinance that provided for the countywide development of oil and natural gas wells on the grounds that the Environmental Impact Report (EIR) prepared by the county for the project failed to satisfy the requirements of CEQA. The litigation resulted in numerous court rulings, orders and appeals. Following the enactment of SB 237 as described below, the trial court issued an order on the merits of the case that lifted the stay that had effectively prevented the issuance of new well drilling permits in Kern County. The deadline for appeals passed on February 2, 2026, with no appeal filed. Developments in the enactment of SB 237 or in the permitting process more broadly that are adverse to Kern County could further adversely affect our business, results of operations and financial condition.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Regulatory Activity</w:t>
      </w:r>
    </w:p>
    <w:p>
      <w:pPr>
        <w:spacing w:after="0" w:line="25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recent years, the California Legislature and Governor have significantly expanded the jurisdiction, duties and enforcement authority of CalGEM, the State Lands Commission and other state agencies with respect to oil and natural gas activities through legislation and policy pronouncements. CalGEM’s responsibilities now include public health and safety and the reduction or mitigation of greenhouse gas emissions while meeting the state’s energy needs. The scope and limits of this expanded authority, and the manner in which it may be exercised, remain subject to interpretation and legal challenge, creating uncertainty regarding certain aspects of oil and natural gas operations in California. For example, CalGEM published a rulemaking, effective in 2024, prohibiting well stimulation treatment in connection with oil production. Prior to the rulemaking, CalGEM denied certain well stimulation treatment permits in Kern County (as part of the well stimulation treatment permitting phase out). The legality and validity of CalGEM’s denial of such permits is subject to challenge, with litigation pending at this time. Along with other plaintiffs, we are seeking declaratory and other relief.</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8" w:name="page29"/>
    <w:bookmarkEnd w:id="28"/>
    <w:p>
      <w:pPr>
        <w:jc w:val="both"/>
        <w:ind w:right="200" w:firstLine="324"/>
        <w:spacing w:after="0" w:line="268" w:lineRule="auto"/>
        <w:rPr>
          <w:sz w:val="20"/>
          <w:szCs w:val="20"/>
          <w:color w:val="auto"/>
        </w:rPr>
      </w:pPr>
      <w:r>
        <w:rPr>
          <w:rFonts w:ascii="Arial" w:cs="Arial" w:eastAsia="Arial" w:hAnsi="Arial"/>
          <w:sz w:val="18"/>
          <w:szCs w:val="18"/>
          <w:color w:val="auto"/>
        </w:rPr>
        <w:t>CalGEM is also required to study and prioritize idle wells with emissions, evaluate abandonment and restoration costs, and review and adjust bonding requirements. CalGEM and other state agencies have also significantly revised their regulations, regulatory interpretations and data collection and reporting requirements.</w:t>
      </w:r>
    </w:p>
    <w:p>
      <w:pPr>
        <w:spacing w:after="0" w:line="198"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In addition, certain local governments have proposed or adopted ordinances that would restrict certain drilling activities in general, including by imposing setback distances, limiting well stimulation, completion or injection activities, or banning certain operations outright. Other local governments have also sought to ban natural gas or the transportation of natural gas through their cities.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Senate Bill 237 (Oil and Gas Permitting)</w:t>
      </w:r>
    </w:p>
    <w:p>
      <w:pPr>
        <w:spacing w:after="0" w:line="25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Senate Bill 237 (SB 237), enacted in September 2025, implements a number of changes to help facilitate new and continued oil and gas production in Kern County. Among other provisions, SB 237 deems Kern County’s Second Supplemental EIR (SSEIR) sufficient for full compliance with the requirements of the California Environmental Quality Act (CEQA). Projects that satisfy the SSEIR, certified pursuant to the Kern County Oil and Gas Ordinance, are deemed sufficient and no further environmental review or additional mitigation measures are required. The provisions of SB 237 became effective as of January 1, 2026, and allow for the issuance of up to 2,000 new drill wells per year for up to ten years in Kern County. We believe that the adoption of SB 237 will support operational continuity and investment planning by California’s oil and gas industry and, due to the increased clarity around permitting standards, will help enhance long-term development opportunities in Kern County, benefiting our asset base located in the region.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Assembly Bill 1207 (Cap-and-Invest Extension)</w:t>
      </w:r>
    </w:p>
    <w:p>
      <w:pPr>
        <w:spacing w:after="0" w:line="250"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Assembly Bill 1207 (AB 1207), enacted in September 2025, extends California’s greenhouse gas cap-and-invest program through 2045, providing long-term policy certainty for covered entities under the Program. The legislation also establishes emission reduction initiatives, enhanced reporting requirements and a Climate Mitigation Fund to support consumer rebates and investments to reduce household energy costs.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Senate Bill 614 (Carbon Dioxide Pipeline Regulation)</w:t>
      </w:r>
    </w:p>
    <w:p>
      <w:pPr>
        <w:spacing w:after="0" w:line="250" w:lineRule="exact"/>
        <w:rPr>
          <w:sz w:val="20"/>
          <w:szCs w:val="20"/>
          <w:color w:val="auto"/>
        </w:rPr>
      </w:pPr>
    </w:p>
    <w:p>
      <w:pPr>
        <w:ind w:firstLine="324"/>
        <w:spacing w:after="0" w:line="218" w:lineRule="exact"/>
        <w:rPr>
          <w:sz w:val="20"/>
          <w:szCs w:val="20"/>
          <w:color w:val="auto"/>
        </w:rPr>
      </w:pPr>
      <w:r>
        <w:rPr>
          <w:rFonts w:ascii="Arial" w:cs="Arial" w:eastAsia="Arial" w:hAnsi="Arial"/>
          <w:sz w:val="18"/>
          <w:szCs w:val="18"/>
          <w:color w:val="auto"/>
        </w:rPr>
        <w:t>Senate Bill 614 (SB 614), enacted in October 2025, revises the definition of “pipeline” for purposes of the Elder California Pipeline Safety Act of 1981 to include intrastate pipelines used for the transportation of carbon dioxide (CO</w:t>
      </w:r>
      <w:r>
        <w:rPr>
          <w:rFonts w:ascii="MS PGothic" w:cs="MS PGothic" w:eastAsia="MS PGothic" w:hAnsi="MS PGothic"/>
          <w:sz w:val="18"/>
          <w:szCs w:val="18"/>
          <w:color w:val="auto"/>
        </w:rPr>
        <w:t>₂</w:t>
      </w:r>
      <w:r>
        <w:rPr>
          <w:rFonts w:ascii="Arial" w:cs="Arial" w:eastAsia="Arial" w:hAnsi="Arial"/>
          <w:sz w:val="18"/>
          <w:szCs w:val="18"/>
          <w:color w:val="auto"/>
        </w:rPr>
        <w:t>). The law requires the Office of the State Fire Marshal to adopt implementing regulations regarding the safe transportation of CO</w:t>
      </w:r>
      <w:r>
        <w:rPr>
          <w:rFonts w:ascii="MS PGothic" w:cs="MS PGothic" w:eastAsia="MS PGothic" w:hAnsi="MS PGothic"/>
          <w:sz w:val="18"/>
          <w:szCs w:val="18"/>
          <w:color w:val="auto"/>
        </w:rPr>
        <w:t>₂</w:t>
      </w:r>
      <w:r>
        <w:rPr>
          <w:rFonts w:ascii="Arial" w:cs="Arial" w:eastAsia="Arial" w:hAnsi="Arial"/>
          <w:sz w:val="18"/>
          <w:szCs w:val="18"/>
          <w:color w:val="auto"/>
        </w:rPr>
        <w:t xml:space="preserve"> in pipelines by July 1, 2026, establishing a pathway to lifting the current moratorium on the construction and operation of new CO</w:t>
      </w:r>
      <w:r>
        <w:rPr>
          <w:rFonts w:ascii="MS PGothic" w:cs="MS PGothic" w:eastAsia="MS PGothic" w:hAnsi="MS PGothic"/>
          <w:sz w:val="18"/>
          <w:szCs w:val="18"/>
          <w:color w:val="auto"/>
        </w:rPr>
        <w:t>₂</w:t>
      </w:r>
      <w:r>
        <w:rPr>
          <w:rFonts w:ascii="Arial" w:cs="Arial" w:eastAsia="Arial" w:hAnsi="Arial"/>
          <w:sz w:val="18"/>
          <w:szCs w:val="18"/>
          <w:color w:val="auto"/>
        </w:rPr>
        <w:t xml:space="preserve"> pipeline operations in the state. The legislation mandates stringent design, routing, and disclosure standards consistent with or exceeding a proposed revision to federal requirements under the Pipeline and Hazardous Materials Safety Administration that was subsequently withdrawn prior to federal enactment (Draft PHMSA Regulations). Under SB 614, CO</w:t>
      </w:r>
      <w:r>
        <w:rPr>
          <w:rFonts w:ascii="MS PGothic" w:cs="MS PGothic" w:eastAsia="MS PGothic" w:hAnsi="MS PGothic"/>
          <w:sz w:val="18"/>
          <w:szCs w:val="18"/>
          <w:color w:val="auto"/>
        </w:rPr>
        <w:t>₂</w:t>
      </w:r>
      <w:r>
        <w:rPr>
          <w:rFonts w:ascii="Arial" w:cs="Arial" w:eastAsia="Arial" w:hAnsi="Arial"/>
          <w:sz w:val="18"/>
          <w:szCs w:val="18"/>
          <w:color w:val="auto"/>
        </w:rPr>
        <w:t xml:space="preserve"> pipelines within a single facility and for which construction was permitted before July 1, 2025, shall not be required to subsequently comply with those regulations that pertain to design and construction if the pipeline is constructed to meet the standards of the Draft PHMSA Regulations. The CO</w:t>
      </w:r>
      <w:r>
        <w:rPr>
          <w:rFonts w:ascii="MS PGothic" w:cs="MS PGothic" w:eastAsia="MS PGothic" w:hAnsi="MS PGothic"/>
          <w:sz w:val="18"/>
          <w:szCs w:val="18"/>
          <w:color w:val="auto"/>
        </w:rPr>
        <w:t>₂</w:t>
      </w:r>
      <w:r>
        <w:rPr>
          <w:rFonts w:ascii="Arial" w:cs="Arial" w:eastAsia="Arial" w:hAnsi="Arial"/>
          <w:sz w:val="18"/>
          <w:szCs w:val="18"/>
          <w:color w:val="auto"/>
        </w:rPr>
        <w:t xml:space="preserve"> pipelines comprising our Carbon Terra Vault I (CTV I) project at our Elk Hills field were permitted prior to July 1, 2025, and have been constructed to meet the standards of the Draft PHMSA Regulations. Upon implementation, SB 614 is expected to help enable the development of carbon-capture and storage projects that rely upon capture of carbon dioxide from an emission source that is remote from the facility into which the emissions will be sequestered.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auto"/>
        </w:rPr>
        <w:t>Pipeline Transportation</w:t>
      </w:r>
    </w:p>
    <w:p>
      <w:pPr>
        <w:spacing w:after="0" w:line="25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Federal and state pipeline regulations have also been revised by both CalGEM and the Office of the State Fire Marshal over recent years, including requirements relating to integrity management, risk assessments, and spill prevention, amongst others. Additionally, PHMSA has, from time to time, issued new regulations expanding or otherwise revising pipeline integrity requirements. For example, in January 2025, PHMSA released a final rule enhancing requirements for detecting and repairing leaks on new and existing natural gas distribution, gas transmission and gas gathering pipelines. However, the current administration withdrew the final rule and, accordingly, it has not been codified. Prior to that, in September 2023, PHMSA published a proposed rule that would enhance the safety requirements for gas distribution pipelines and would require updates to distribution integrity management programs, emergency response plans, operations and maintenance manuals, and other safety practices. The Federal Register indicates that PHMSA is analyzing comments to the proposed rule through December 2026.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Waste Emissions Charge</w:t>
      </w:r>
    </w:p>
    <w:p>
      <w:pPr>
        <w:spacing w:after="0" w:line="25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May 2025, following a joint resolution of disapproval under the Congressional Review Act, the EPA issued a final rule to remove the Waste Emission Charge (WEC) regulations, originally adopted under the Inflation Reduction Act, from the Code of Federal Regulations. As a result, the fees associated with methane emissions from certain oil and gas facilities that would have been due to the EPA in September 2025 were not collected. Although the underlying statute still requires a methane charge, An Act to Provide for Reconciliation Pursuant to Title II of H. Con. Res. 14th and commonly referred to as the One Big Beautiful Bill Act, postponed implementation from 2024 to 2034.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Water Injection</w:t>
      </w:r>
    </w:p>
    <w:p>
      <w:pPr>
        <w:spacing w:after="0" w:line="25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operations in the Wilmington Oil Field use injection wells to reinject produced water under approved waterflooding plans. CalGEM has issued a directive to reduce the injection well pressure in a gradual manner in accordance with a five-year injection reduction work plan. The first phase of reduction commenced July 1, 2024, and a second reduction began in January 2025. The next phase of reduction continues to be on hold while we evaluate the impact of the previously implemented reductions together with CalGEM. We currently estimate a negligible impact on production and reserves under the existing work plan. However, material changes to the existing plan could require revisions to these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Activism</w:t>
      </w:r>
    </w:p>
    <w:p>
      <w:pPr>
        <w:spacing w:after="0" w:line="25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Opposition toward oil and gas drilling and development activity has been growing over time. Companies in the oil and gas industry are often the target of efforts to delay or prevent oil and gas development by non-governmental organizations and individuals. This opposition also extends to our carbon management segment as certain activists oppose carbon capture and sequestration efforts by the oil and gas industry. These activists use a variety of tactics that primarily rely on allegations regarding safety, environmental compliance and business practices. At both the state and federal level, these tactics include seeking changes to laws, pressuring governmental agencies to promulgate regulations or engage in rulemaking, or pursuing litigation.</w:t>
      </w:r>
    </w:p>
    <w:p>
      <w:pPr>
        <w:spacing w:after="0" w:line="20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For example, in November 2024, environmental groups collectively filed CEQA litigation against Kern County alleging CEQA violations in connection with the County’s approval of conditional use permits for our CTV I project at our Elk Hills Field. At this time, we cannot predict the outcome of this challenge with any certainty. Such lawsuits have the potential to delay timely construction of our CCS projects and commencement of operations and could otherwise have a material adverse effect on our business, results of operations and financial condition. Please see </w:t>
      </w:r>
      <w:r>
        <w:rPr>
          <w:rFonts w:ascii="Arial" w:cs="Arial" w:eastAsia="Arial" w:hAnsi="Arial"/>
          <w:sz w:val="18"/>
          <w:szCs w:val="18"/>
          <w:i w:val="1"/>
          <w:iCs w:val="1"/>
          <w:color w:val="auto"/>
        </w:rPr>
        <w:t>Regulation of Carbon Capture, Sequestration and Storage – CCS Project Permitting</w:t>
      </w:r>
      <w:r>
        <w:rPr>
          <w:rFonts w:ascii="Arial" w:cs="Arial" w:eastAsia="Arial" w:hAnsi="Arial"/>
          <w:sz w:val="18"/>
          <w:szCs w:val="18"/>
          <w:color w:val="auto"/>
        </w:rPr>
        <w:t xml:space="preserve"> below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Regulation of Health, Safety and Environmental Matters</w:t>
      </w:r>
    </w:p>
    <w:p>
      <w:pPr>
        <w:spacing w:after="0" w:line="250"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Numerous federal, state, local and other laws and regulations that govern health and safety, the release or discharge of materials, land use or environmental protection may restrict the use of our properties and operations, increase our costs or lower demand for or restrict the use of our products and services. Applicable federal health, safety and environmental laws include the Occupational Safety and Health Act, Clean Air Act, Clean Water Act, Safe Drinking Water Act, Oil Pollution Act, Natural Gas Pipeline Safety Act, Endangered Species Act, Migratory Bird Treaty Act, Comprehensive Environmental Response, Compensation, and Liability Act, Resource Conservation and Recovery Act and the National Environmental Policy Act (NEPA), among others. California imposes additional laws that are analogous to, and often more stringent than comparable federal laws.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laws and regulations, among other things:</w:t>
      </w:r>
    </w:p>
    <w:p>
      <w:pPr>
        <w:spacing w:after="0" w:line="252" w:lineRule="exact"/>
        <w:rPr>
          <w:sz w:val="20"/>
          <w:szCs w:val="20"/>
          <w:color w:val="auto"/>
        </w:rPr>
      </w:pPr>
    </w:p>
    <w:p>
      <w:pPr>
        <w:ind w:left="660" w:right="44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air, soil and water quality standards and require monitoring, reporting and attainment plans that may include mitigation measures or restrictions on development or operations in certain regions, including the San Joaquin Valley;</w:t>
      </w:r>
    </w:p>
    <w:p>
      <w:pPr>
        <w:spacing w:after="0" w:line="179"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permits, approvals and mitigation measures before drilling, workover, production, underground injection, waste disposal or facility construction activities may commence;</w:t>
      </w:r>
    </w:p>
    <w:p>
      <w:pPr>
        <w:spacing w:after="0" w:line="179" w:lineRule="exact"/>
        <w:rPr>
          <w:rFonts w:ascii="Arial" w:cs="Arial" w:eastAsia="Arial" w:hAnsi="Arial"/>
          <w:sz w:val="18"/>
          <w:szCs w:val="18"/>
          <w:color w:val="auto"/>
        </w:rPr>
      </w:pPr>
    </w:p>
    <w:p>
      <w:pPr>
        <w:ind w:left="660" w:right="70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the installation and operation of safety systems and pollution control equipment, including leak detection, monitoring, inspection, maintenance and repair programs;</w:t>
      </w:r>
    </w:p>
    <w:p>
      <w:pPr>
        <w:spacing w:after="0" w:line="179" w:lineRule="exact"/>
        <w:rPr>
          <w:rFonts w:ascii="Arial" w:cs="Arial" w:eastAsia="Arial" w:hAnsi="Arial"/>
          <w:sz w:val="18"/>
          <w:szCs w:val="18"/>
          <w:color w:val="auto"/>
        </w:rPr>
      </w:pPr>
    </w:p>
    <w:p>
      <w:pPr>
        <w:ind w:left="660" w:right="64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 the use of water, land, habitat and other natural resources and impose conservation, reclamation, energy efficiency or renewable energy requirements;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regulate the generation, handling, storage, transportation and disposal of solid and hazardous wastes, including requirements related to well plugging and abandonment and facility decommissioning;</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or prohibit operations in certain protected areas or require habitat conservation or land dedication;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impose liabilities, including strict or joint and several liability, for unauthorized releases or discharges of regulated materials;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impose taxes, fees or other charges related to environmental compliance;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environmental analyses, recordkeeping and reporting;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expose us to administrative proceedings, civil litigation or enforcement actions by governmental authorities or third parties.</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Compliance with these requirements can restrict operations or increase costs. For example, California continues to regulate underground injection activities under the Safe Drinking Water Act, including through ongoing coordination among CalGEM, the State Water Resources Control Board and the U.S. Environmental Protection Agency (EPA) regarding aquifer exemptions and well integrity. While a significant number of aquifer exemption applications have been approved, certain applications remain subject to additional technical review, and permitting timelines and conditions may continue to evolve. These processes have resulted, and could continue to result, in permit delays, operational restrictions or additional compliance costs.</w:t>
      </w:r>
    </w:p>
    <w:p>
      <w:pPr>
        <w:spacing w:after="0" w:line="209"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At the federal level, the scope and application of NEPA requirements remain uncertain. Following the change in presidential administration, the Council on Environmental Quality (CEQ) rescinded all of its regulations implementing NEPA and withdrew its interim guidance on the consideration of greenhouse gas emissions and climate change under NEPA. In September 2025, the CEQ issued new guidance to federal agencies implementing NEPA, encouraging agencies to limit their NEPA reviews, rely more heavily on sponsor-prepared documents, and streamline the NEPA process. Subsequently, several agencies have made significant changes to their NEPA rules and procedures. As a result of these changes, the standards and procedures governing environmental review of federal actions, including oil and natural gas activities on federal lands, remain in flux and may result in delays or additional analysis requirements.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31" w:name="page32"/>
    <w:bookmarkEnd w:id="31"/>
    <w:p>
      <w:pPr>
        <w:ind w:right="40" w:firstLine="324"/>
        <w:spacing w:after="0" w:line="259" w:lineRule="auto"/>
        <w:rPr>
          <w:sz w:val="20"/>
          <w:szCs w:val="20"/>
          <w:color w:val="auto"/>
        </w:rPr>
      </w:pPr>
      <w:r>
        <w:rPr>
          <w:rFonts w:ascii="Arial" w:cs="Arial" w:eastAsia="Arial" w:hAnsi="Arial"/>
          <w:sz w:val="18"/>
          <w:szCs w:val="18"/>
          <w:color w:val="auto"/>
        </w:rPr>
        <w:t>There is also uncertainty regarding the availability and timing of certain federal funding programs. In early 2025, the federal government temporarily paused and subsequently resumed disbursement of certain grants and loans appropriated under the Inflation Reduction Act and the Infrastructure Investment and Jobs Act while undertaking a broader review of federal spending processes. Although these actions did not alter statutory tax credit provisions, any future disruption, delay or withdrawal of federal funding could adversely affect the development, timing or economics of projects in which we or our counterparties participate.</w:t>
      </w:r>
    </w:p>
    <w:p>
      <w:pPr>
        <w:spacing w:after="0" w:line="206"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California continues to implement policies addressing water scarcity and drought conditions that may restrict groundwater extraction or increase water costs. Water management, including our ability to recycle, reuse and dispose of produced water, and to access third-party water supplies on commercially reasonable terms and in compliance with applicable laws and permits, is critical to our operations. We treat and reuse water produced in our operations for pressure management, waterflooding, steamflooding and drilling activities, and we also supply reclaimed produced water to certain agricultural users. We additionally rely on water from local and regional suppliers, including for power generation and steam operations. While our operations have not to date been materially impacted by restrictions on third-party water supplies, future limitations or increased costs could adversely affect our operations.</w:t>
      </w:r>
    </w:p>
    <w:p>
      <w:pPr>
        <w:spacing w:after="0" w:line="210" w:lineRule="exact"/>
        <w:rPr>
          <w:sz w:val="20"/>
          <w:szCs w:val="20"/>
          <w:color w:val="auto"/>
        </w:rPr>
      </w:pPr>
    </w:p>
    <w:p>
      <w:pPr>
        <w:jc w:val="both"/>
        <w:ind w:right="720" w:firstLine="324"/>
        <w:spacing w:after="0" w:line="268" w:lineRule="auto"/>
        <w:rPr>
          <w:sz w:val="20"/>
          <w:szCs w:val="20"/>
          <w:color w:val="auto"/>
        </w:rPr>
      </w:pPr>
      <w:r>
        <w:rPr>
          <w:rFonts w:ascii="Arial" w:cs="Arial" w:eastAsia="Arial" w:hAnsi="Arial"/>
          <w:sz w:val="18"/>
          <w:szCs w:val="18"/>
          <w:color w:val="auto"/>
        </w:rPr>
        <w:t>Federal, state and local agencies may assert overlapping jurisdiction in these areas, and certain laws and regulations may apply retroactively. These regimes may impose liability on us for past conditions or activities, including those attributable to prior owners or operators, regardless of fault or the legality of the original conduct.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Carbon Capture, Sequestration and Storage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Unitization Senate Bill No. 905</w:t>
      </w:r>
    </w:p>
    <w:p>
      <w:pPr>
        <w:spacing w:after="0" w:line="25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Senate Bill No. 905 (SB 905), enacted on September 16, 2022, contemplates the development of unitization, permitting and pipeline safety regulations over a multi-year period to facilitate the development of CCS projects in California, though the legislation does not provide for compulsory unitization. Senate Bill No. 905 also provides for a unified permitting process to simplify the permitting process for CCS projects, although this will be optional for project applicants. Additionally, the law contemplates the implementation of a new regulatory program incorporating standards that are not yet defined and that could affect the timing of future CCS projects in California. The California Air Resources Board has been tasked with developing this proposed framework and this work is still pending at this time. We believe that our Carbon TerraVault projects will continue to be developed on a timeline consistent with our initial expectations as these initial projects are not reliant on the unitization or permitting regulations being developed under Senate Bill No. 905.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Pipelines and Senate Bill No. 614</w:t>
      </w:r>
    </w:p>
    <w:p>
      <w:pPr>
        <w:spacing w:after="0" w:line="210"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Our CO</w:t>
      </w:r>
      <w:r>
        <w:rPr>
          <w:rFonts w:ascii="MS PGothic" w:cs="MS PGothic" w:eastAsia="MS PGothic" w:hAnsi="MS PGothic"/>
          <w:sz w:val="18"/>
          <w:szCs w:val="18"/>
          <w:color w:val="auto"/>
        </w:rPr>
        <w:t>₂</w:t>
      </w:r>
      <w:r>
        <w:rPr>
          <w:rFonts w:ascii="Arial" w:cs="Arial" w:eastAsia="Arial" w:hAnsi="Arial"/>
          <w:sz w:val="18"/>
          <w:szCs w:val="18"/>
          <w:color w:val="auto"/>
        </w:rPr>
        <w:t xml:space="preserve"> pipelines comprising our CTV I project are subject to Senate Bill No. 614, discussed in more detail above.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CCS Project Permitting</w:t>
      </w:r>
    </w:p>
    <w:p>
      <w:pPr>
        <w:spacing w:after="0" w:line="25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October 21, 2024, the Kern County Board of Supervisors approved the issuance of the conditional use permits and certified the EIR for our first CCS project, Carbon TerraVault I (CTV I). On November 22, 2024, a group of non-governmental organizations filed suit against the County of Kern and its Board of Supervisors, challenging the certification of the EIR alleging non-compliance with CEQA. In addition to challenging the EIR, the Petitioners stated their intention to seek injunctive relief for a stay of the project, but to date have not yet sought such relief. This litigation is ongoing, and we cannot predict the outcome of this litigation with certainty.</w:t>
      </w:r>
    </w:p>
    <w:p>
      <w:pPr>
        <w:spacing w:after="0" w:line="139" w:lineRule="exact"/>
        <w:rPr>
          <w:sz w:val="20"/>
          <w:szCs w:val="20"/>
          <w:color w:val="auto"/>
        </w:rPr>
      </w:pPr>
    </w:p>
    <w:p>
      <w:pPr>
        <w:ind w:right="80" w:firstLine="324"/>
        <w:spacing w:after="0" w:line="238" w:lineRule="auto"/>
        <w:rPr>
          <w:sz w:val="20"/>
          <w:szCs w:val="20"/>
          <w:color w:val="auto"/>
        </w:rPr>
      </w:pPr>
      <w:r>
        <w:rPr>
          <w:rFonts w:ascii="Arial" w:cs="Arial" w:eastAsia="Arial" w:hAnsi="Arial"/>
          <w:sz w:val="18"/>
          <w:szCs w:val="18"/>
          <w:color w:val="auto"/>
        </w:rPr>
        <w:t>The EPA issued Class VI underground injection control (UIC) permits for the construction and operation of four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injection wells at the site of the CTV I 26R underground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storage reservoir at our Elk Hills Field. The EPA’s permits became effective February 3, 2025.</w:t>
      </w:r>
    </w:p>
    <w:p>
      <w:pPr>
        <w:spacing w:after="0" w:line="217" w:lineRule="exact"/>
        <w:rPr>
          <w:sz w:val="20"/>
          <w:szCs w:val="20"/>
          <w:color w:val="auto"/>
        </w:rPr>
      </w:pPr>
    </w:p>
    <w:p>
      <w:pPr>
        <w:ind w:right="360" w:firstLine="324"/>
        <w:spacing w:after="0" w:line="234" w:lineRule="auto"/>
        <w:rPr>
          <w:sz w:val="20"/>
          <w:szCs w:val="20"/>
          <w:color w:val="auto"/>
        </w:rPr>
      </w:pPr>
      <w:r>
        <w:rPr>
          <w:rFonts w:ascii="Arial" w:cs="Arial" w:eastAsia="Arial" w:hAnsi="Arial"/>
          <w:sz w:val="18"/>
          <w:szCs w:val="18"/>
          <w:color w:val="auto"/>
        </w:rPr>
        <w:t>Construction and testing of our first two Class VI wells is complete, and final modifications and testing are being conducted at our Elk Hills Field. We anticipate the first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injection at these sites in spring 2026.</w:t>
      </w:r>
    </w:p>
    <w:p>
      <w:pPr>
        <w:spacing w:after="0" w:line="215"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color w:val="auto"/>
        </w:rPr>
        <w:t>As of February 28, 2026, we have eight Class VI UIC project applications related to our carbon management segment pending with the EPA in different stages of the permitting process.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2" w:name="page33"/>
    <w:bookmarkEnd w:id="32"/>
    <w:p>
      <w:pPr>
        <w:ind w:right="260" w:firstLine="324"/>
        <w:spacing w:after="0" w:line="264" w:lineRule="auto"/>
        <w:rPr>
          <w:sz w:val="20"/>
          <w:szCs w:val="20"/>
          <w:color w:val="auto"/>
        </w:rPr>
      </w:pPr>
      <w:r>
        <w:rPr>
          <w:rFonts w:ascii="Arial" w:cs="Arial" w:eastAsia="Arial" w:hAnsi="Arial"/>
          <w:sz w:val="18"/>
          <w:szCs w:val="18"/>
          <w:color w:val="auto"/>
        </w:rPr>
        <w:t>We expect a final decision on Class VI UIC permits for our CTV I A1-A2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storage reservoir at Elk Hills and our Class VI permits for CTV II (Union Island) and CTV III (Victoria Island) in 2026. We cannot provide assurances as to the actual timing of EPA’s approval of the Class VI UIC permits, or that those permits will not be challenged, and cannot guarantee how these matters could ultimately delay or otherwise adversely impact our ability to timely execute our CCS projects.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Federal Tax Credits</w:t>
      </w:r>
    </w:p>
    <w:p>
      <w:pPr>
        <w:spacing w:after="0" w:line="25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Inflation Reduction Act enhanced existing credits for the capture and sequestration of carbon dioxide (45Q credit) by increasing the size of the maximum credit to $85 per metric ton of qualified carbon dioxide when such carbon dioxide is captured from industrial and power generation facilities and to $180 per metric ton of carbon dioxide when a direct air capture facility is utilized to capture such carbon dioxide, and, in each case, when such captured carbon dioxide is disposed of by the taxpayer in secure geological storage. The Inflation Reduction Act also extended the date for when qualifying facilities must begin construction to before January 1, 2033. Further, a direct pay option for the 45Q credit (for a limited five-year period) was added for new projects placed in service after December 31, 2022, and the Inflation Reduction Act provides an option to monetize the 45Q credit through a sale of the 45Q credit to an unrelated taxpayer for tax years beginning after December 31, 2022. These additional energy-related tax incentives enhance the economics for development of CCS projects in California. The accessibility of direct pay, tax equity financing, and the credit transfers market for 45Q credits provided under the Inflation Reduction Act is still developing, and therefore uncertainties and complexities with respect to our (or our partners) ability to efficiently monetize the 45Q credit exist. The One Big Beautiful Bill Act enacted on July 4, 2025, amended section 45Q to restrict certain ownership and debt sources from specified foreign entities.</w:t>
      </w:r>
    </w:p>
    <w:p>
      <w:pPr>
        <w:spacing w:after="0" w:line="21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 xml:space="preserve">The current administration recently signed several Executive Orders reversing, revoking or rescinding many climate-related actions and has expressed a desire to make modifications to the Inflation Reduction Act. The enactment of any legislation that reduces or eliminates 45Q credits could have an adverse effect on the development of our carbon management business and its prospects. For more information, see </w:t>
      </w:r>
      <w:r>
        <w:rPr>
          <w:rFonts w:ascii="Arial" w:cs="Arial" w:eastAsia="Arial" w:hAnsi="Arial"/>
          <w:sz w:val="18"/>
          <w:szCs w:val="18"/>
          <w:i w:val="1"/>
          <w:iCs w:val="1"/>
          <w:color w:val="auto"/>
        </w:rPr>
        <w:t xml:space="preserve">Part 1, Item IA – Risk Factors </w:t>
      </w:r>
      <w:r>
        <w:rPr>
          <w:rFonts w:ascii="Arial" w:cs="Arial" w:eastAsia="Arial" w:hAnsi="Arial"/>
          <w:sz w:val="18"/>
          <w:szCs w:val="18"/>
          <w:color w:val="auto"/>
        </w:rPr>
        <w:t>–</w:t>
      </w:r>
      <w:r>
        <w:rPr>
          <w:rFonts w:ascii="Arial" w:cs="Arial" w:eastAsia="Arial" w:hAnsi="Arial"/>
          <w:sz w:val="18"/>
          <w:szCs w:val="18"/>
          <w:i w:val="1"/>
          <w:iCs w:val="1"/>
          <w:color w:val="auto"/>
        </w:rPr>
        <w:t xml:space="preserve"> Risks Related to Carbon TerraVault and Our Carbon Management Segment, Our Carbon TerraVault business and other CCS projects depend on financial and tax incentives to be economical, and these incentives may not currently be sufficient for our Carbon TerraVault business and other CCS projects to be economical, may not be fully realized, or could be changed or terminated.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Climate Change and Greenhouse Gas (GHG) Emissions</w:t>
      </w:r>
    </w:p>
    <w:p>
      <w:pPr>
        <w:spacing w:after="0" w:line="250"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A number of international, federal, state, regional and local efforts seek to prevent or mitigate the effects of climate change or to track, mitigate and reduce GHG emissions associated with energy use and industrial activity, including operations of the oil and natural gas production sector and those who use our products as a source of energy or feedstocks. While in office, President Biden issued several executive orders on climate change. However, upon the first days in office, the current administration signed several Executive Orders reversing, revoking or rescinding many climate-related actions and it remains to be seen how such Executive Orders may impact our business and what may result from any litigation, administrative or legislative actions relating to such Executive Orders.</w:t>
      </w:r>
    </w:p>
    <w:p>
      <w:pPr>
        <w:spacing w:after="0" w:line="209" w:lineRule="exact"/>
        <w:rPr>
          <w:sz w:val="20"/>
          <w:szCs w:val="20"/>
          <w:color w:val="auto"/>
        </w:rPr>
      </w:pPr>
    </w:p>
    <w:p>
      <w:pPr>
        <w:ind w:right="580" w:firstLine="324"/>
        <w:spacing w:after="0" w:line="287" w:lineRule="auto"/>
        <w:rPr>
          <w:sz w:val="20"/>
          <w:szCs w:val="20"/>
          <w:color w:val="auto"/>
        </w:rPr>
      </w:pPr>
      <w:r>
        <w:rPr>
          <w:rFonts w:ascii="Arial" w:cs="Arial" w:eastAsia="Arial" w:hAnsi="Arial"/>
          <w:sz w:val="18"/>
          <w:szCs w:val="18"/>
          <w:color w:val="auto"/>
        </w:rPr>
        <w:t>Separately, California has adopted stringent laws and regulations to reduce GHG emissions and may continue to adopt more. The current state laws and regulations:</w:t>
      </w:r>
    </w:p>
    <w:p>
      <w:pPr>
        <w:spacing w:after="0" w:line="180" w:lineRule="exact"/>
        <w:rPr>
          <w:sz w:val="20"/>
          <w:szCs w:val="20"/>
          <w:color w:val="auto"/>
        </w:rPr>
      </w:pPr>
    </w:p>
    <w:p>
      <w:pPr>
        <w:ind w:left="660" w:right="2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established a “cap-and-invest” program for GHG emissions that sets a statewide maximum limit on covered GHG emissions, and this cap declines annually through 2045 (the year that the state’s “cap-and-trade" program currently expires);</w:t>
      </w:r>
    </w:p>
    <w:p>
      <w:pPr>
        <w:spacing w:after="0" w:line="179"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allowances or qualifying offsets for GHGs emitted from California operations and for the volume of natural gas, propane and liquid transportation fuels sold for use in California;</w:t>
      </w:r>
    </w:p>
    <w:p>
      <w:pPr>
        <w:spacing w:after="0" w:line="179" w:lineRule="exact"/>
        <w:rPr>
          <w:rFonts w:ascii="Arial" w:cs="Arial" w:eastAsia="Arial" w:hAnsi="Arial"/>
          <w:sz w:val="18"/>
          <w:szCs w:val="18"/>
          <w:color w:val="auto"/>
        </w:rPr>
      </w:pPr>
    </w:p>
    <w:p>
      <w:pPr>
        <w:ind w:left="660" w:right="140" w:hanging="328"/>
        <w:spacing w:after="0" w:line="26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established a low carbon fuel standard (LCFS) and associated tradable credits that require a progressively lower carbon intensity of the state's fuel supply than baseline gasoline and diesel fuels, and provide a mechanism to generate LCFS credits through innovative crude oil production methods such as those employing solar or wind energy or carbon capture and sequestration;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3" w:name="page34"/>
    <w:bookmarkEnd w:id="33"/>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mandated that California derive 60% of its electricity for retail customers from renewable resources by 2030;</w:t>
      </w:r>
    </w:p>
    <w:p>
      <w:pPr>
        <w:spacing w:after="0" w:line="252" w:lineRule="exact"/>
        <w:rPr>
          <w:rFonts w:ascii="Arial" w:cs="Arial" w:eastAsia="Arial" w:hAnsi="Arial"/>
          <w:sz w:val="18"/>
          <w:szCs w:val="18"/>
          <w:color w:val="auto"/>
        </w:rPr>
      </w:pPr>
    </w:p>
    <w:p>
      <w:pPr>
        <w:ind w:left="660" w:right="64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established a policy to derive all of California’s retail electricity from renewable or "zero-carbon" resources by 2045, subject to required evaluation of the feasibility by state agencies;</w:t>
      </w:r>
    </w:p>
    <w:p>
      <w:pPr>
        <w:spacing w:after="0" w:line="179" w:lineRule="exact"/>
        <w:rPr>
          <w:rFonts w:ascii="Arial" w:cs="Arial" w:eastAsia="Arial" w:hAnsi="Arial"/>
          <w:sz w:val="18"/>
          <w:szCs w:val="18"/>
          <w:color w:val="auto"/>
        </w:rPr>
      </w:pPr>
    </w:p>
    <w:p>
      <w:pPr>
        <w:ind w:left="660" w:right="50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imposed state goals to double the energy efficiency of buildings by 2030 and to reduce emissions of methane and fluorocarbon gases by 40% and black carbon by 50% below 2013 levels by 2030; and</w:t>
      </w:r>
    </w:p>
    <w:p>
      <w:pPr>
        <w:spacing w:after="0" w:line="179"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mandated that all new single family and low–rise multifamily housing construction in California include rooftop solar systems or direct connection to a state–approved community solar system.</w:t>
      </w:r>
    </w:p>
    <w:p>
      <w:pPr>
        <w:spacing w:after="0" w:line="180"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In November 2024, CARB finalized amendments to the LCFS Regulation which included increasing 2030 carbon intensity (CI) targets from 20% to 30% and extending CI reductions to 90% by 2045. Additional updates include additional funding of zero-emission vehicle charging and hydrogen fueling infrastructure, amongst other matters. The final rulemaking package was enacted in June 2025.</w:t>
      </w:r>
    </w:p>
    <w:p>
      <w:pPr>
        <w:spacing w:after="0" w:line="19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California's cap-and-invest program is a market-based emissions reduction program to limit GHG emissions. AB 1207, further discussed above, extends the cap-and-invest program through 2045. The program applies to major GHG-emitting sources such as electricity generation and industrial facilities, with set carbon benchmarks that gradually decrease each year. Covered emitters must either reduce their emissions below this benchmark or purchase allowances at auction, incentivizing investment in lower-emissions technologies. However, unlike the LCFS, CARB’s CCS protocol has not yet been incorporated into the cap-and-invest program. The timing for the adoption of a protocol is unclear. Until CARB adopts a CCS protocol for cap-and-invest, the program does not have a mechanism for GHG emissions sequestered using CCS to be incorporated into the program and may be treated no different than unabated emissions. If CARB fails to adopt a CCS protocol for cap-and -invest, this could result in certain projects becoming less or non-economical, which in turn could limit our ability to successfully pursue certain CCS projects in the future. We are exploring alternative approaches to account for carbon capture under the California cap-and-invest program, but we cannot guarantee that CARB will accept these alternative approaches or that we will be able to pursue them in a timely manner to support our carbon capture projects.</w:t>
      </w:r>
    </w:p>
    <w:p>
      <w:pPr>
        <w:spacing w:after="0" w:line="209"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 xml:space="preserve">In addition, the current Governor of California and certain municipalities in California have announced their commitment to adhere to GHG reductions called for in the Paris Agreement through executive orders, pledges, resolutions and memoranda of understanding or other agreements with various other countries, U.S. states, Canadian provinces and municipalities. In furtherance of this commitment, in September 2022, the Governor of California signed Assembly Bill No. 1279 into law, which codifies a previously issued executive order by the Governor's Office requiring the state to achieve carbon neutrality by 2045. In addition, the Governor of California previously issued an executive order directing several agencies to take further actions with respect to reducing emissions of GHGs. The Governor has also directed state agencies to implement other measures to mitigate climate change and strengthen biodiversity, such as via the conservation of 30% of state lands and waters by 2030. For more information, see </w:t>
      </w:r>
      <w:r>
        <w:rPr>
          <w:rFonts w:ascii="Arial" w:cs="Arial" w:eastAsia="Arial" w:hAnsi="Arial"/>
          <w:sz w:val="18"/>
          <w:szCs w:val="18"/>
          <w:i w:val="1"/>
          <w:iCs w:val="1"/>
          <w:color w:val="auto"/>
        </w:rPr>
        <w:t>Part I, Item 1A – Risk Factors, Risks Related to Regulation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Action, Recent and future actions by the State of California could reduce both the demand for and supply of oil and natural gas within the state and consequently have a material adverse effect on our business, and financial condition and results of operations.</w:t>
      </w:r>
    </w:p>
    <w:p>
      <w:pPr>
        <w:spacing w:after="0" w:line="212"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EPA and the CARB have also expanded direct regulation of methane as a contributor to GHG emissions. For example, in December 2023, the EPA finalized more stringent methane rules for new, modified, and reconstructed facilities, known as OOOOb, as well as standards for existing sources, known as OOOOc. However, the rule is currently being challenged and, in December 2025, the EPA finalized a rule extending various compliance deadlines pursuant to OOOOb and OOOOc. Additionally, following the change in administration, further proposals have been made to repeal or otherwise modify these requirements, including the EPA’s GHG “Endangerment Finding,” which underpins the majority of EPA’s GHG regulations. We cannot predict whether such efforts will ultimately be successful.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Transportation, Marketing and Sale of Our Products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sales prices of oil, NGLs and natural gas in the U.S. are set by the market and are not presently regulated.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4" w:name="page35"/>
    <w:bookmarkEnd w:id="34"/>
    <w:p>
      <w:pPr>
        <w:ind w:right="380" w:firstLine="324"/>
        <w:spacing w:after="0" w:line="287" w:lineRule="auto"/>
        <w:rPr>
          <w:sz w:val="20"/>
          <w:szCs w:val="20"/>
          <w:color w:val="auto"/>
        </w:rPr>
      </w:pPr>
      <w:r>
        <w:rPr>
          <w:rFonts w:ascii="Arial" w:cs="Arial" w:eastAsia="Arial" w:hAnsi="Arial"/>
          <w:sz w:val="18"/>
          <w:szCs w:val="18"/>
          <w:color w:val="auto"/>
        </w:rPr>
        <w:t>Federal and state laws regulate transportation rates for, and marketing and sale of, petroleum products and electricity with respect to certain of our operations and those of certain of our customers, suppliers and counterparties. Such regulations also govern:</w:t>
      </w:r>
    </w:p>
    <w:p>
      <w:pPr>
        <w:spacing w:after="0" w:line="18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interstate and intrastate pipeline transportation rates for oil, natural gas and NGLs in regulated pipeline systems;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prevention of market manipulation in the oil, natural gas, NGL and power markets;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transparency rules with respect to natural gas and power markets;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physical and futures energy commodities market, including financial derivative and hedging activity;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prevention of discrimination in natural gas gathering operations in favor of producers or sources of supply.</w:t>
      </w:r>
    </w:p>
    <w:p>
      <w:pPr>
        <w:spacing w:after="0" w:line="252"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The federal and state agencies overseeing these regulations have substantial rate-setting and enforcement authority, and violation of the foregoing regulations could expose us to litigation with government authorities, counterparties, special interest groups and others.</w:t>
      </w:r>
    </w:p>
    <w:p>
      <w:pPr>
        <w:spacing w:after="0" w:line="180"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International treaties and regulations also affect the marketing or sale of our products. In addition, mandates or subsidies have been adopted or proposed by the state and certain local governments to require or promote renewable energy or electrification of transportation, appliances and equipment, or prohibit or restrict the use of petroleum products, by our customers or the public.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make available, free of charge on our website www.crc.com, our Annual Reports on Form 10-K, Quarterly Reports on Form 10-Q, Current Reports on Form 8-K, Definitive Proxy Statements and amendments to those reports filed or furnished, if any, as soon as reasonably practicable after we electronically file such material with, or furnish it to, the SEC. Unless otherwise provided herein, information contained on our website is not part of this report. The SEC maintains an internet site, http://www.sec.gov, that contains reports, proxy and information statements, and other information regarding issuers that file electronically with the SEC.</w:t>
      </w:r>
    </w:p>
    <w:p>
      <w:pPr>
        <w:spacing w:after="0" w:line="20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addition to its reports filed or furnished with the SEC, the Company publicly discloses material information from time to time in its press releases, at annual meetings of Shareholders, in publicly accessible conferences and investor presentations, and through its website (principally in its Investor Relations page). References to the Company's website in this Form 10-K are provided as a convenience and do not constitute, and should not be deemed, an incorporation by reference of the information contained on, or available through, the website, and such information should not be considered part of this Form 10-K.</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5" w:name="page36"/>
    <w:bookmarkEnd w:id="35"/>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Described below are certain risks and uncertainties that could adversely affect our business, financial condition, results of operations or cash flow. These risks are not the only risks we face. Our business could also be affected materially and adversely by other risks and uncertainties that are not currently known to us or that we currently deem to be insignificant.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Oil and Gas Business</w:t>
      </w:r>
    </w:p>
    <w:p>
      <w:pPr>
        <w:spacing w:after="0" w:line="250" w:lineRule="exact"/>
        <w:rPr>
          <w:sz w:val="20"/>
          <w:szCs w:val="20"/>
          <w:color w:val="auto"/>
        </w:rPr>
      </w:pPr>
    </w:p>
    <w:p>
      <w:pPr>
        <w:ind w:left="660" w:right="18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Prices for our products are volatile and a substantial decline in prices over an extended period could have a material adverse effect on our financial condition, results of operations, cash flow and ability to invest in our assets.</w:t>
      </w:r>
    </w:p>
    <w:p>
      <w:pPr>
        <w:spacing w:after="0" w:line="179" w:lineRule="exact"/>
        <w:rPr>
          <w:rFonts w:ascii="Arial" w:cs="Arial" w:eastAsia="Arial" w:hAnsi="Arial"/>
          <w:sz w:val="18"/>
          <w:szCs w:val="18"/>
          <w:color w:val="auto"/>
        </w:rPr>
      </w:pPr>
    </w:p>
    <w:p>
      <w:pPr>
        <w:ind w:left="660" w:right="7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producing properties are located primarily in California, making us vulnerable to risks associated with having operations concentrated in this geographic area, including drought, earthquake and wildfire risks.</w:t>
      </w:r>
    </w:p>
    <w:p>
      <w:pPr>
        <w:spacing w:after="0" w:line="179"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Drilling for and producing oil and natural gas carries significant operational risks and uncertainty. We may not drill wells at the times we schedule, or at all. Wells we do drill may not yield production in economic quantities or generate the expected payback.</w:t>
      </w:r>
    </w:p>
    <w:p>
      <w:pPr>
        <w:spacing w:after="0" w:line="179" w:lineRule="exact"/>
        <w:rPr>
          <w:rFonts w:ascii="Arial" w:cs="Arial" w:eastAsia="Arial" w:hAnsi="Arial"/>
          <w:sz w:val="18"/>
          <w:szCs w:val="18"/>
          <w:color w:val="auto"/>
        </w:rPr>
      </w:pPr>
    </w:p>
    <w:p>
      <w:pPr>
        <w:ind w:left="660" w:right="60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involves substantial capital investments, and we may be unable to fund these investments which could lead to a decline in our oil and natural gas reserves or production.</w:t>
      </w:r>
    </w:p>
    <w:p>
      <w:pPr>
        <w:spacing w:after="0" w:line="179"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Reductions in California refining and pipeline capacity could adversely affect our ability to market our production and our realized prices.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negatively impacted by inflation, including through increased operating, capital and financing costs.</w:t>
      </w:r>
    </w:p>
    <w:p>
      <w:pPr>
        <w:spacing w:after="0" w:line="252"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subject to economic downturns and the effects of public health events which may materially and adversely affect the demand and the market price for our products.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other risk factors described under Risks Related to Our Oil and Gas Business below.</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Carbon TerraVault and Our Carbon Management Segment</w:t>
      </w:r>
    </w:p>
    <w:p>
      <w:pPr>
        <w:spacing w:after="0" w:line="25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grow our Carbon TerraVault business and develop large scale CCS projects.</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achieve our emissions goals, including our Responsible Net Zero objective, and other carbon management objectives is subject to significant risks and uncertainties.</w:t>
      </w:r>
    </w:p>
    <w:p>
      <w:pPr>
        <w:spacing w:after="0" w:line="179" w:lineRule="exact"/>
        <w:rPr>
          <w:rFonts w:ascii="Arial" w:cs="Arial" w:eastAsia="Arial" w:hAnsi="Arial"/>
          <w:sz w:val="18"/>
          <w:szCs w:val="18"/>
          <w:color w:val="auto"/>
        </w:rPr>
      </w:pPr>
    </w:p>
    <w:p>
      <w:pPr>
        <w:ind w:left="660" w:right="70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Carbon TerraVault business and other CCS projects depend on financial and tax incentives to be economical, and these incentives may be insufficient, unavailable, delayed, reduced or terminated.</w:t>
      </w:r>
    </w:p>
    <w:p>
      <w:pPr>
        <w:spacing w:after="0" w:line="179"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Carbon TerraVault JV with Brookfield is subject to inherent uncertainties that could adversely affect our ability to implement our carbon management strategy.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Factors Related to Our Business Generally</w:t>
      </w:r>
    </w:p>
    <w:p>
      <w:pPr>
        <w:spacing w:after="0" w:line="237" w:lineRule="exact"/>
        <w:rPr>
          <w:sz w:val="20"/>
          <w:szCs w:val="20"/>
          <w:color w:val="auto"/>
        </w:rPr>
      </w:pPr>
    </w:p>
    <w:p>
      <w:pPr>
        <w:ind w:left="660" w:right="500" w:hanging="328"/>
        <w:spacing w:after="0" w:line="27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activism against the industries in which we operate, including the oil and gas industry and our involvement in carbon capture, storage, utilization and sequestration, presents risks to our business.</w:t>
      </w:r>
    </w:p>
    <w:p>
      <w:pPr>
        <w:spacing w:after="0" w:line="19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expectations as to ESG matters may adversely impact our business, regulation and access to capital.</w:t>
      </w:r>
    </w:p>
    <w:p>
      <w:pPr>
        <w:spacing w:after="0" w:line="252"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Mergers, acquisitions and dispositions, including continued integration of the Berry Merger completed in December 2025, involve substantial risks.</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36" w:name="page37"/>
    <w:bookmarkEnd w:id="36"/>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other risks described under Risks Related to Our Business Generally described below.</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Regulation and Government Action</w:t>
      </w:r>
    </w:p>
    <w:p>
      <w:pPr>
        <w:spacing w:after="0" w:line="250" w:lineRule="exact"/>
        <w:rPr>
          <w:sz w:val="20"/>
          <w:szCs w:val="20"/>
          <w:color w:val="auto"/>
        </w:rPr>
      </w:pPr>
    </w:p>
    <w:p>
      <w:pPr>
        <w:ind w:left="660" w:right="10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face material delays related to our ability to timely obtain permits necessary for our operations, or be unable to secure such permits on favorable terms or at all as a result of numerous California political, regulatory, and legal developments.</w:t>
      </w:r>
    </w:p>
    <w:p>
      <w:pPr>
        <w:spacing w:after="0" w:line="179" w:lineRule="exact"/>
        <w:rPr>
          <w:rFonts w:ascii="Arial" w:cs="Arial" w:eastAsia="Arial" w:hAnsi="Arial"/>
          <w:sz w:val="18"/>
          <w:szCs w:val="18"/>
          <w:color w:val="auto"/>
        </w:rPr>
      </w:pPr>
    </w:p>
    <w:p>
      <w:pPr>
        <w:ind w:left="660" w:right="42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operations in Utah are subject to additional regulatory, permitting and legal risks, including risks associated with federal and tribal lands.</w:t>
      </w:r>
    </w:p>
    <w:p>
      <w:pPr>
        <w:spacing w:after="0" w:line="179"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face increased local restrictions on oil and gas exploration and production operations or even be prohibited from operating in certain areas as a result of recently enacted California legislation.</w:t>
      </w:r>
    </w:p>
    <w:p>
      <w:pPr>
        <w:spacing w:after="0" w:line="179" w:lineRule="exact"/>
        <w:rPr>
          <w:rFonts w:ascii="Arial" w:cs="Arial" w:eastAsia="Arial" w:hAnsi="Arial"/>
          <w:sz w:val="18"/>
          <w:szCs w:val="18"/>
          <w:color w:val="auto"/>
        </w:rPr>
      </w:pPr>
    </w:p>
    <w:p>
      <w:pPr>
        <w:ind w:left="660" w:right="30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Recent and future actions by the State of California could reduce both the demand for and supply of oil and natural gas within the state and consequently have a material and adverse effect on our business, results of operations and financial condition.</w:t>
      </w:r>
    </w:p>
    <w:p>
      <w:pPr>
        <w:spacing w:after="0" w:line="179" w:lineRule="exact"/>
        <w:rPr>
          <w:rFonts w:ascii="Arial" w:cs="Arial" w:eastAsia="Arial" w:hAnsi="Arial"/>
          <w:sz w:val="18"/>
          <w:szCs w:val="18"/>
          <w:color w:val="auto"/>
        </w:rPr>
      </w:pPr>
    </w:p>
    <w:p>
      <w:pPr>
        <w:ind w:left="660" w:right="320" w:hanging="328"/>
        <w:spacing w:after="0" w:line="262"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business is highly regulated and government authorities can delay or deny permits and approvals or change requirements governing our operations, including hydraulic fracturing and other well stimulation methods, enhanced production techniques and fluid injection or disposal, that could increase costs, restrict operations and change or delay the implementation of our business plans.</w:t>
      </w:r>
    </w:p>
    <w:p>
      <w:pPr>
        <w:spacing w:after="0" w:line="203" w:lineRule="exact"/>
        <w:rPr>
          <w:rFonts w:ascii="Arial" w:cs="Arial" w:eastAsia="Arial" w:hAnsi="Arial"/>
          <w:sz w:val="18"/>
          <w:szCs w:val="18"/>
          <w:color w:val="auto"/>
        </w:rPr>
      </w:pPr>
    </w:p>
    <w:p>
      <w:pPr>
        <w:ind w:left="660" w:hanging="328"/>
        <w:spacing w:after="0" w:line="291"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Carbon TerraVault business and our CCS projects are subject to extensive government regulation much of which is still being developed. Failure to comply with these regulations and obtain the necessary permits, or the development of government regulations that are unfavorable to our CCS projects, could have an adverse effect on our business, results of operations and financial condition.</w:t>
      </w:r>
    </w:p>
    <w:p>
      <w:pPr>
        <w:spacing w:after="0" w:line="179"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other risks described under Risks Related to Regulation and Government Action below.</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Indebtedness</w:t>
      </w:r>
    </w:p>
    <w:p>
      <w:pPr>
        <w:spacing w:after="0" w:line="250" w:lineRule="exact"/>
        <w:rPr>
          <w:sz w:val="20"/>
          <w:szCs w:val="20"/>
          <w:color w:val="auto"/>
        </w:rPr>
      </w:pPr>
    </w:p>
    <w:p>
      <w:pPr>
        <w:ind w:left="660" w:right="70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amend or refinance our existing debt to create more operating and financial flexibility and to enhance shareholder returns.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existing and future indebtedness may adversely affect our business, financial condition and financial flexibility.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other risks described under Risks Related to Our Indebtedness below.</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Common Stock</w:t>
      </w:r>
    </w:p>
    <w:p>
      <w:pPr>
        <w:spacing w:after="0" w:line="25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pay dividends and repurchase shares of our common stock is subject to certain risks.</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trading price of our common stock may decline, and you may not be able to resell shares of our common stock at prices equal to or greater than the price you paid or at all.</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other risks described under Risks Related to Our Common Stock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Risks Related to Our Oil and Gas Business</w:t>
      </w:r>
    </w:p>
    <w:p>
      <w:pPr>
        <w:spacing w:after="0" w:line="254" w:lineRule="exact"/>
        <w:rPr>
          <w:sz w:val="20"/>
          <w:szCs w:val="20"/>
          <w:color w:val="auto"/>
        </w:rPr>
      </w:pPr>
    </w:p>
    <w:p>
      <w:pPr>
        <w:ind w:right="200" w:firstLine="324"/>
        <w:spacing w:after="0" w:line="294" w:lineRule="auto"/>
        <w:rPr>
          <w:sz w:val="20"/>
          <w:szCs w:val="20"/>
          <w:color w:val="auto"/>
        </w:rPr>
      </w:pPr>
      <w:r>
        <w:rPr>
          <w:rFonts w:ascii="Arial" w:cs="Arial" w:eastAsia="Arial" w:hAnsi="Arial"/>
          <w:sz w:val="18"/>
          <w:szCs w:val="18"/>
          <w:b w:val="1"/>
          <w:bCs w:val="1"/>
          <w:i w:val="1"/>
          <w:iCs w:val="1"/>
          <w:color w:val="auto"/>
        </w:rPr>
        <w:t>Prices for our products are volatile and a substantial decline in prices over an extended period could have a material adverse effect on our financial condition, results of operations, cash flow and ability to invest in our assets.</w:t>
      </w:r>
    </w:p>
    <w:p>
      <w:pPr>
        <w:spacing w:after="0" w:line="16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financial condition, results of operations, cash flow and ability to invest in our assets are highly dependent on oil, natural gas and NGL prices. Prices for these products are volatile and are subject to fluctuations in response to factors beyond our control, including changes in global and regional supply and demand, inventory levels, geopolitical events (including conflicts in Ukraine and Israel and the geopolitical uncertainty in the Middle East and Venezuela), actions by OPEC and other significant producers, economic conditions, public health events, government regulation and policies relating to energy and climate change, weather conditions, natural disasters, transportation and storage constraints, and market speculation. Sustained periods of lower commodity prices could materially and adversely affect our business by reducing our cash flows, limiting our ability to fund capital expenditures, decreasing the value of our proved reserves, reducing our borrowing capacity under our Revolving Credit Facility, limiting our access to capital markets, and impairing our ability to service our indebtedness or comply with financial covenants. While we use commodity price hedging arrangements to manage a portion of our exposure to price volatility, our hedging program does not provide protection for all of our production, may limit our ability to benefit from price increases, and exposes us to counterparty risk. We may be unable to enter into additional hedging arrangements on acceptable terms or at all.</w:t>
      </w:r>
    </w:p>
    <w:p>
      <w:pPr>
        <w:spacing w:after="0" w:line="211" w:lineRule="exact"/>
        <w:rPr>
          <w:sz w:val="20"/>
          <w:szCs w:val="20"/>
          <w:color w:val="auto"/>
        </w:rPr>
      </w:pPr>
    </w:p>
    <w:p>
      <w:pPr>
        <w:ind w:right="200" w:firstLine="324"/>
        <w:spacing w:after="0" w:line="294" w:lineRule="auto"/>
        <w:rPr>
          <w:sz w:val="20"/>
          <w:szCs w:val="20"/>
          <w:color w:val="auto"/>
        </w:rPr>
      </w:pPr>
      <w:r>
        <w:rPr>
          <w:rFonts w:ascii="Arial" w:cs="Arial" w:eastAsia="Arial" w:hAnsi="Arial"/>
          <w:sz w:val="18"/>
          <w:szCs w:val="18"/>
          <w:b w:val="1"/>
          <w:bCs w:val="1"/>
          <w:i w:val="1"/>
          <w:iCs w:val="1"/>
          <w:color w:val="auto"/>
        </w:rPr>
        <w:t>Our producing properties are located primarily in California, making us vulnerable to risks associated with having operations concentrated in this geographic area, including drought, earthquake and wildfire risks.</w:t>
      </w:r>
    </w:p>
    <w:p>
      <w:pPr>
        <w:spacing w:after="0" w:line="16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operations are highly concentrated in California. As a result, the success and profitability of our operations may be disproportionately exposed to the effect of regional conditions. Changes in state or regional laws and regulations affecting our operations, local price fluctuations and other regional supply and demand factors, including gathering, pipeline, transportation and storage capacity constraints, limited potential customers, infrastructure capacity and availability of rigs, equipment, oil field services, supplies and labor. Our operations are also exposed to natural disasters and related events common to California, such as wildfires, mudslides, high winds, earthquakes and extreme weather events, and the potential increase to the frequency of drought and flooding. Further, our operations may be exposed to power outages, mechanical failures, industrial accidents or labor difficulties. Certain of our operations depend on a limited number of specialized vendors and service providers in California, and the exit or reduced availability of key suppliers could increase costs, disrupt operations or delay planned activities. Any one of these events has the potential to cause producing wells to be shut in, delay operations and growth plans, decrease cash flows, increase operating and capital costs, prevent development of lease inventory before expiration and limit access to markets for our products.</w:t>
      </w:r>
    </w:p>
    <w:p>
      <w:pPr>
        <w:spacing w:after="0" w:line="211" w:lineRule="exact"/>
        <w:rPr>
          <w:sz w:val="20"/>
          <w:szCs w:val="20"/>
          <w:color w:val="auto"/>
        </w:rPr>
      </w:pPr>
    </w:p>
    <w:p>
      <w:pPr>
        <w:ind w:right="80" w:firstLine="324"/>
        <w:spacing w:after="0" w:line="294" w:lineRule="auto"/>
        <w:rPr>
          <w:sz w:val="20"/>
          <w:szCs w:val="20"/>
          <w:color w:val="auto"/>
        </w:rPr>
      </w:pPr>
      <w:r>
        <w:rPr>
          <w:rFonts w:ascii="Arial" w:cs="Arial" w:eastAsia="Arial" w:hAnsi="Arial"/>
          <w:sz w:val="18"/>
          <w:szCs w:val="18"/>
          <w:b w:val="1"/>
          <w:bCs w:val="1"/>
          <w:i w:val="1"/>
          <w:iCs w:val="1"/>
          <w:color w:val="auto"/>
        </w:rPr>
        <w:t>Drilling for and producing oil and natural gas carries significant operational risks and uncertainty. We may not drill wells at the times we schedule, or at all. Wells we do drill may not yield production in economic quantities or generate the expected payback.</w:t>
      </w:r>
    </w:p>
    <w:p>
      <w:pPr>
        <w:spacing w:after="0" w:line="166"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development of oil and natural gas properties is subject to numerous operational risks, including the risks of permitting or construction delays, equipment failures, accidents, environmental hazards, unusual or unexpected geologic conditions, adverse weather conditions, title or surface access disputes, cost over-runs, and disappointing drilling results or reservoir performance. Development activities also depend in part on our analysis of geophysical, geologic, engineering, production and other technical data and processes, including the interpretation of 3D seismic data. This analysis is often inconclusive or subject to varying interpretations. Any of the foregoing operational risks could cause actual results to differ materially from the expected payback or cause a well or project to become uneconomic or less profitable than forecast.</w:t>
      </w:r>
    </w:p>
    <w:p>
      <w:pPr>
        <w:spacing w:after="0" w:line="21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If future drilling activities do not generate sufficient production and reserves, we may be forced to curtail drilling or development of our assets. We make assumptions about the consistency and accuracy of data when we identify locations for new wells or opportunities for workovers, sidetracks and deepenings, and these assumptions may prove inaccurate. We cannot guarantee that well locations will ever be drilled or if we will be able to produce crude oil or natural gas from these drilling locations or from our other drilling activities. In addition, some of our leases could expire if we do not establish production in the leased acreage. The combined net acreage covered by leases expiring in the next three years represented 2% of our total net undeveloped acreage at December 31, 2025.</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8" w:name="page39"/>
    <w:bookmarkEnd w:id="38"/>
    <w:p>
      <w:pPr>
        <w:ind w:right="60" w:firstLine="324"/>
        <w:spacing w:after="0" w:line="294" w:lineRule="auto"/>
        <w:rPr>
          <w:sz w:val="20"/>
          <w:szCs w:val="20"/>
          <w:color w:val="auto"/>
        </w:rPr>
      </w:pPr>
      <w:r>
        <w:rPr>
          <w:rFonts w:ascii="Arial" w:cs="Arial" w:eastAsia="Arial" w:hAnsi="Arial"/>
          <w:sz w:val="18"/>
          <w:szCs w:val="18"/>
          <w:b w:val="1"/>
          <w:bCs w:val="1"/>
          <w:i w:val="1"/>
          <w:iCs w:val="1"/>
          <w:color w:val="auto"/>
        </w:rPr>
        <w:t>Our business involves substantial capital investments, and we may be unable to fund these investments which could lead to a decline in our oil and natural gas reserves or production.</w:t>
      </w:r>
    </w:p>
    <w:p>
      <w:pPr>
        <w:spacing w:after="0" w:line="166"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We intend to fund our 2026 capital program using cash flow from operations. Accordingly, a reduction in operating cash flow could require us to reduce, defer or reprioritize capital investments. In general, the ability to execute our capital plan depends on a number of factors, including production levels and commodity prices, regulatory and third-party approvals, our ability to timely drill, complete and stimulate wells, our ability to secure equipment, services and personnel, and our ability to fund capital expenditures.</w:t>
      </w:r>
    </w:p>
    <w:p>
      <w:pPr>
        <w:spacing w:after="0" w:line="203" w:lineRule="exact"/>
        <w:rPr>
          <w:sz w:val="20"/>
          <w:szCs w:val="20"/>
          <w:color w:val="auto"/>
        </w:rPr>
      </w:pPr>
    </w:p>
    <w:p>
      <w:pPr>
        <w:jc w:val="both"/>
        <w:ind w:right="680" w:firstLine="324"/>
        <w:spacing w:after="0" w:line="268" w:lineRule="auto"/>
        <w:rPr>
          <w:sz w:val="20"/>
          <w:szCs w:val="20"/>
          <w:color w:val="auto"/>
        </w:rPr>
      </w:pPr>
      <w:r>
        <w:rPr>
          <w:rFonts w:ascii="Arial" w:cs="Arial" w:eastAsia="Arial" w:hAnsi="Arial"/>
          <w:sz w:val="18"/>
          <w:szCs w:val="18"/>
          <w:color w:val="auto"/>
        </w:rPr>
        <w:t>Access to future capital may be limited by our lenders, capital markets constraints, activist funds or investors, or poor stock price performance. As a result, we may be unable to deploy capital in the manner planned, which could negatively impact our production, development activities and ability to pursue acquisitions or partnerships.</w:t>
      </w:r>
    </w:p>
    <w:p>
      <w:pPr>
        <w:spacing w:after="0" w:line="198"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color w:val="auto"/>
        </w:rPr>
        <w:t>Unless we make sufficient capital investments and conduct successful development and exploration activities or acquire properties containing proved reserves, our proved reserves will decline as those reserves are produced. Over time, a sustained decline in our production and reserves could reduce our cash flows, liquidity and ability to satisfy our debt obligations and the value of our reserves.</w:t>
      </w:r>
    </w:p>
    <w:p>
      <w:pPr>
        <w:spacing w:after="0" w:line="200" w:lineRule="exact"/>
        <w:rPr>
          <w:sz w:val="20"/>
          <w:szCs w:val="20"/>
          <w:color w:val="auto"/>
        </w:rPr>
      </w:pPr>
    </w:p>
    <w:p>
      <w:pPr>
        <w:ind w:right="480" w:firstLine="324"/>
        <w:spacing w:after="0" w:line="294" w:lineRule="auto"/>
        <w:rPr>
          <w:sz w:val="20"/>
          <w:szCs w:val="20"/>
          <w:color w:val="auto"/>
        </w:rPr>
      </w:pPr>
      <w:r>
        <w:rPr>
          <w:rFonts w:ascii="Arial" w:cs="Arial" w:eastAsia="Arial" w:hAnsi="Arial"/>
          <w:sz w:val="18"/>
          <w:szCs w:val="18"/>
          <w:b w:val="1"/>
          <w:bCs w:val="1"/>
          <w:i w:val="1"/>
          <w:iCs w:val="1"/>
          <w:color w:val="auto"/>
        </w:rPr>
        <w:t>Reductions in California refining and pipeline capacity could adversely affect our ability to market our production and our realized prices.</w:t>
      </w:r>
    </w:p>
    <w:p>
      <w:pPr>
        <w:spacing w:after="0" w:line="16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We sell nearly all of our crude oil production into California markets. In recent periods, certain California refineries and interconnected pipelines have announced closures or reductions in operations, and additional reductions in refining capacity may occur in the future. Decreases in in-state refining capacity or in the availability of related pipeline throughput may disrupt our ability to efficiently transport and market our crude oil, increase competition among producers for access to remaining refining outlets and reduce the number of available purchasers for our products. For example, the recent shutdown of the San Pablo Bay Pipeline eliminated pipeline access to Bay Area refineries and has prompted us to modify our marketing, transportation and shipping arrangements to reach alternative markets. See </w:t>
      </w:r>
      <w:r>
        <w:rPr>
          <w:rFonts w:ascii="Arial" w:cs="Arial" w:eastAsia="Arial" w:hAnsi="Arial"/>
          <w:sz w:val="18"/>
          <w:szCs w:val="18"/>
          <w:i w:val="1"/>
          <w:iCs w:val="1"/>
          <w:color w:val="auto"/>
        </w:rPr>
        <w:t>Part 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Item 1 and 2 – Business and Properties, Oil and Natural Gas Segment, Marketing Arrangements, Our Principal Customers. </w:t>
      </w:r>
      <w:r>
        <w:rPr>
          <w:rFonts w:ascii="Arial" w:cs="Arial" w:eastAsia="Arial" w:hAnsi="Arial"/>
          <w:sz w:val="18"/>
          <w:szCs w:val="18"/>
          <w:color w:val="auto"/>
        </w:rPr>
        <w:t>While we seek to</w:t>
      </w:r>
      <w:r>
        <w:rPr>
          <w:rFonts w:ascii="Arial" w:cs="Arial" w:eastAsia="Arial" w:hAnsi="Arial"/>
          <w:sz w:val="18"/>
          <w:szCs w:val="18"/>
          <w:i w:val="1"/>
          <w:iCs w:val="1"/>
          <w:color w:val="auto"/>
        </w:rPr>
        <w:t xml:space="preserve"> </w:t>
      </w:r>
      <w:r>
        <w:rPr>
          <w:rFonts w:ascii="Arial" w:cs="Arial" w:eastAsia="Arial" w:hAnsi="Arial"/>
          <w:sz w:val="18"/>
          <w:szCs w:val="18"/>
          <w:color w:val="auto"/>
        </w:rPr>
        <w:t>manage these risks through marketing arrangements and operational flexibility, reduced refining capacity or related pipeline takeaway could adversely affect our ability to efficiently deliver our production to market, negatively impact pricing dynamics for our crude oil and result in lower realized prices or wider differentials in future periods. Any such impacts could have a material adverse effect on our results of operations and cash flows.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negatively impacted by inflation, including through increased operating, capital and financing costs.</w:t>
      </w:r>
    </w:p>
    <w:p>
      <w:pPr>
        <w:spacing w:after="0" w:line="25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Increases in inflation may have an adverse effect on us. Operating and capital costs in the oil and natural gas industry are heavily influenced by commodity prices, including the prices we pay for electricity, natural gas and steel-based materials used in our operations. For example, we use natural gas and electricity extensively in our operations, including gas to generate steam for steam floods and electricity to power field operations. If we are unable to generate sufficient electricity for use in our operations, we may need to purchase electricity from third parties. Increases in the volumes or prices of commodities used in our operations could cause increases in our operating expenses. We attempt to manage our exposure to commodity price increases through hedging and longer-term fixed price contracts. However, these measures do not fully protect us from inflationary pressures and may not be available on acceptable terms or at all. Inflation could also result in higher interest rates, which could increase our future financing costs.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5" w:right="379" w:bottom="1440" w:gutter="0" w:footer="0" w:header="0"/>
        </w:sectPr>
      </w:pPr>
    </w:p>
    <w:bookmarkStart w:id="39" w:name="page40"/>
    <w:bookmarkEnd w:id="39"/>
    <w:p>
      <w:pPr>
        <w:ind w:right="240" w:firstLine="324"/>
        <w:spacing w:after="0" w:line="294" w:lineRule="auto"/>
        <w:rPr>
          <w:sz w:val="20"/>
          <w:szCs w:val="20"/>
          <w:color w:val="auto"/>
        </w:rPr>
      </w:pPr>
      <w:r>
        <w:rPr>
          <w:rFonts w:ascii="Arial" w:cs="Arial" w:eastAsia="Arial" w:hAnsi="Arial"/>
          <w:sz w:val="18"/>
          <w:szCs w:val="18"/>
          <w:b w:val="1"/>
          <w:bCs w:val="1"/>
          <w:i w:val="1"/>
          <w:iCs w:val="1"/>
          <w:color w:val="auto"/>
        </w:rPr>
        <w:t>We are subject to economic downturns and the effects of public health events which may materially and adversely affect the demand and the market price for our products.</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marketing of our oil, natural gas and NGLs depends on the existence of adequate markets for our products. Imbalances between supply and demand, including as a result of economic downturns or public health events, could cause significant market volatility and adversely affect commodity prices. The extent and duration of public health events, governmental responses and resulting economic impacts are hard to predict. This uncertainty could force us to reduce operating expenses or capital expenditures, which could negatively affect future production and our reserves. We may experience labor shortages if our employees are unwilling or unable to come to work because of illness, quarantines, government actions or other restrictions in connection with a pandemic. If our suppliers cannot deliver the materials, supplies and services we need, we may need to suspend operations. In addition, we are exposed to changes in commodity prices which have been and will likely remain volatile. We cannot predict the duration and extent of a pandemic's adverse impact on our operating results.</w:t>
      </w:r>
    </w:p>
    <w:p>
      <w:pPr>
        <w:spacing w:after="0" w:line="212" w:lineRule="exact"/>
        <w:rPr>
          <w:sz w:val="20"/>
          <w:szCs w:val="20"/>
          <w:color w:val="auto"/>
        </w:rPr>
      </w:pPr>
    </w:p>
    <w:p>
      <w:pPr>
        <w:ind w:right="620" w:firstLine="324"/>
        <w:spacing w:after="0" w:line="287" w:lineRule="auto"/>
        <w:rPr>
          <w:sz w:val="20"/>
          <w:szCs w:val="20"/>
          <w:color w:val="auto"/>
        </w:rPr>
      </w:pPr>
      <w:r>
        <w:rPr>
          <w:rFonts w:ascii="Arial" w:cs="Arial" w:eastAsia="Arial" w:hAnsi="Arial"/>
          <w:sz w:val="18"/>
          <w:szCs w:val="18"/>
          <w:color w:val="auto"/>
        </w:rPr>
        <w:t xml:space="preserve">A public health event that adversely affects global economic conditions could also heighten or exacerbate many of the other risks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herein.</w:t>
      </w:r>
    </w:p>
    <w:p>
      <w:pPr>
        <w:spacing w:after="0" w:line="182" w:lineRule="exact"/>
        <w:rPr>
          <w:sz w:val="20"/>
          <w:szCs w:val="20"/>
          <w:color w:val="auto"/>
        </w:rPr>
      </w:pPr>
    </w:p>
    <w:p>
      <w:pPr>
        <w:ind w:right="700" w:firstLine="324"/>
        <w:spacing w:after="0" w:line="294" w:lineRule="auto"/>
        <w:rPr>
          <w:sz w:val="20"/>
          <w:szCs w:val="20"/>
          <w:color w:val="auto"/>
        </w:rPr>
      </w:pPr>
      <w:r>
        <w:rPr>
          <w:rFonts w:ascii="Arial" w:cs="Arial" w:eastAsia="Arial" w:hAnsi="Arial"/>
          <w:sz w:val="18"/>
          <w:szCs w:val="18"/>
          <w:b w:val="1"/>
          <w:bCs w:val="1"/>
          <w:i w:val="1"/>
          <w:iCs w:val="1"/>
          <w:color w:val="auto"/>
        </w:rPr>
        <w:t>The conflicts in Ukraine and Israel and the geopolitical uncertainty in the Middle East and Venezuela have caused price volatility and geopolitical instability which impact our business.</w:t>
      </w:r>
    </w:p>
    <w:p>
      <w:pPr>
        <w:spacing w:after="0" w:line="16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Conflicts and geopolitical tensions have contributed to volatility in the prices of oil, natural gas and NGLs in recent periods. The extent and duration of military actions, sanctions, retaliatory measures and resulting market disruptions are uncertain and could continue to have a substantial impact on the global economy and our business. In addition, any easing, suspension or removal of sanctions on Venezuelan oil production or exports could increase global supply and exert downward pressure on oil prices, which could adversely affect our results of operations and cash flows. In addition, disruptions to global shipping routes, energy infrastructure or transportation corridors, including in or near the Middle East, could further constrain supply, increase costs or contribute to additional price volatility.</w:t>
      </w:r>
    </w:p>
    <w:p>
      <w:pPr>
        <w:spacing w:after="0" w:line="209" w:lineRule="exact"/>
        <w:rPr>
          <w:sz w:val="20"/>
          <w:szCs w:val="20"/>
          <w:color w:val="auto"/>
        </w:rPr>
      </w:pPr>
    </w:p>
    <w:p>
      <w:pPr>
        <w:jc w:val="both"/>
        <w:ind w:right="140" w:firstLine="324"/>
        <w:spacing w:after="0" w:line="262" w:lineRule="auto"/>
        <w:rPr>
          <w:sz w:val="20"/>
          <w:szCs w:val="20"/>
          <w:color w:val="auto"/>
        </w:rPr>
      </w:pPr>
      <w:r>
        <w:rPr>
          <w:rFonts w:ascii="Arial" w:cs="Arial" w:eastAsia="Arial" w:hAnsi="Arial"/>
          <w:sz w:val="18"/>
          <w:szCs w:val="18"/>
          <w:color w:val="auto"/>
        </w:rPr>
        <w:t>Actions by OPEC+ and other producing countries, including decisions to implement, extend, unwind or reinstate production limits, may significantly affect global oil supply and prices. Actual production levels and spare capacity are difficult to assess, and increased production by OPEC+ members or other producing countries could contribute to price declines. These geopolitical developments may also heighten or exacerbate other risks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205" w:lineRule="exact"/>
        <w:rPr>
          <w:sz w:val="20"/>
          <w:szCs w:val="20"/>
          <w:color w:val="auto"/>
        </w:rPr>
      </w:pPr>
    </w:p>
    <w:p>
      <w:pPr>
        <w:ind w:right="360" w:firstLine="324"/>
        <w:spacing w:after="0" w:line="294" w:lineRule="auto"/>
        <w:rPr>
          <w:sz w:val="20"/>
          <w:szCs w:val="20"/>
          <w:color w:val="auto"/>
        </w:rPr>
      </w:pPr>
      <w:r>
        <w:rPr>
          <w:rFonts w:ascii="Arial" w:cs="Arial" w:eastAsia="Arial" w:hAnsi="Arial"/>
          <w:sz w:val="18"/>
          <w:szCs w:val="18"/>
          <w:b w:val="1"/>
          <w:bCs w:val="1"/>
          <w:i w:val="1"/>
          <w:iCs w:val="1"/>
          <w:color w:val="auto"/>
        </w:rPr>
        <w:t>Some of our competitors have greater resources than us and we may not be able to successfully compete in acquiring and developing new properties.</w:t>
      </w:r>
    </w:p>
    <w:p>
      <w:pPr>
        <w:spacing w:after="0" w:line="166"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We face competition in every aspect of our business, including, but not limited to, acquiring reserves and leases, obtaining goods and services and hiring and retaining employees needed to operate and manage our business and marketing oil, natural gas or NGLs. Competitors include a multinational oil company, independent production companies and individual producers and operators. In California, our competitors are few, which may limit available acquisition opportunities. Some of our competitors have greater financial and other resources than we do. As a result, these competitors may be able to address such competitive factors more effectively than we can or withstand industry downturns more easily than we can.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hedging activities limit our ability to realize the full benefits of increases in commodity prices.</w:t>
      </w:r>
    </w:p>
    <w:p>
      <w:pPr>
        <w:spacing w:after="0" w:line="25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enter into hedges to mitigate our economic exposure to commodity price volatility and ensure our financial strength and liquidity by protecting our cash flows. Our Revolving Credit Facility also includes a covenant that would require us to enter into hedges if the ratio of our indebtedness to Consolidated EBITDAX (as defined in the Revolving Credit Facility) exceeds certain levels. These hedges expose us to the risk of financial losses depending on commodity price movements and may prevent us from realizing the full benefits of price increases. Our ability to realize the benefits of our hedges also depends in part upon the counterparties to these contracts honoring their financial obligations. If any of our counterparties are unable to perform their obligations in the future, we could be exposed to increased cash flow volatility that could affect our liquidity. In addition, our level of hedging activity may be impacted by financial regulations that could increase our costs of hedging and/or limit the number of hedging counterparties available to us.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2" w:right="379" w:bottom="1440" w:gutter="0" w:footer="0" w:header="0"/>
        </w:sectPr>
      </w:pPr>
    </w:p>
    <w:bookmarkStart w:id="40" w:name="page41"/>
    <w:bookmarkEnd w:id="40"/>
    <w:p>
      <w:pPr>
        <w:ind w:right="320" w:firstLine="324"/>
        <w:spacing w:after="0" w:line="294" w:lineRule="auto"/>
        <w:rPr>
          <w:sz w:val="20"/>
          <w:szCs w:val="20"/>
          <w:color w:val="auto"/>
        </w:rPr>
      </w:pPr>
      <w:r>
        <w:rPr>
          <w:rFonts w:ascii="Arial" w:cs="Arial" w:eastAsia="Arial" w:hAnsi="Arial"/>
          <w:sz w:val="18"/>
          <w:szCs w:val="18"/>
          <w:b w:val="1"/>
          <w:bCs w:val="1"/>
          <w:i w:val="1"/>
          <w:iCs w:val="1"/>
          <w:color w:val="auto"/>
        </w:rPr>
        <w:t>Estimates of proved reserves and related future net cash flows are not precise. The actual quantities of our proved reserves and future net cash flows may differ materially from our estimates.</w:t>
      </w:r>
    </w:p>
    <w:p>
      <w:pPr>
        <w:spacing w:after="0" w:line="166"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Estimating proved reserves and related future net cash flows involves significant judgment and uncertainty, and our assumptions may ultimately prove to be inaccurate. In addition, reserve estimates may change over time as additional data becomes available through development and appraisal activities.</w:t>
      </w:r>
    </w:p>
    <w:p>
      <w:pPr>
        <w:spacing w:after="0" w:line="198"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 xml:space="preserve">Our ability to maintain or increase our reserves, other than through acquisitions, depends on our ability to drill new wells, which may be limited by permitting constraints. See </w:t>
      </w:r>
      <w:r>
        <w:rPr>
          <w:rFonts w:ascii="Arial" w:cs="Arial" w:eastAsia="Arial" w:hAnsi="Arial"/>
          <w:sz w:val="18"/>
          <w:szCs w:val="18"/>
          <w:i w:val="1"/>
          <w:iCs w:val="1"/>
          <w:color w:val="auto"/>
        </w:rPr>
        <w:t>Risks Related to Regulation and Government Action – We may face material delays related to our</w:t>
      </w:r>
      <w:r>
        <w:rPr>
          <w:rFonts w:ascii="Arial" w:cs="Arial" w:eastAsia="Arial" w:hAnsi="Arial"/>
          <w:sz w:val="18"/>
          <w:szCs w:val="18"/>
          <w:color w:val="auto"/>
        </w:rPr>
        <w:t xml:space="preserve"> </w:t>
      </w:r>
      <w:r>
        <w:rPr>
          <w:rFonts w:ascii="Arial" w:cs="Arial" w:eastAsia="Arial" w:hAnsi="Arial"/>
          <w:sz w:val="18"/>
          <w:szCs w:val="18"/>
          <w:i w:val="1"/>
          <w:iCs w:val="1"/>
          <w:color w:val="auto"/>
        </w:rPr>
        <w:t>ability to timely obtain permits necessary for our operations or be unable to secure such permits on favorable terms or at all as a result of numerous California political, regulatory and legal developments.</w:t>
      </w:r>
    </w:p>
    <w:p>
      <w:pPr>
        <w:spacing w:after="0" w:line="203"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To the extent we are able to drill new wells, our ability to maintain or increase reserves depends on the success of improved recovery, extension and discovery projects, which are influenced by reservoir characteristics, technology improvements, commodity prices and operating costs. Many of these factors are outside management’s control and will affect whether the historical sources of proved reserves additions continue to provide reserves at similar levels.</w:t>
      </w:r>
    </w:p>
    <w:p>
      <w:pPr>
        <w:spacing w:after="0" w:line="203"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Lower commodity prices may reduce the quantity of our proved reserves, particularly those expected to be produced in later years, and may cause certain proved undeveloped reserves to become uneconomic or fail to meet SEC development timing requirements, including the five-year rule. In addition, our reserves information represents estimates prepared by internal engineers. Although a substantial portion of our proved reserve estimates are audited by independent petroleum engineers, we cannot guarantee that the estimates are accurate.</w:t>
      </w:r>
    </w:p>
    <w:p>
      <w:pPr>
        <w:spacing w:after="0" w:line="20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Reserves estimation is a partially subjective process that depends on numerous variables and assumptions, including geology, regulatory approvals, capital availability, development effectiveness and commodity prices, many of which are outside of our control. Actual developments that differ from our expectations could cause us to make significant negative revisions to our reserves which could materially adversely affect our business.</w:t>
      </w:r>
    </w:p>
    <w:p>
      <w:pPr>
        <w:spacing w:after="0" w:line="205" w:lineRule="exact"/>
        <w:rPr>
          <w:sz w:val="20"/>
          <w:szCs w:val="20"/>
          <w:color w:val="auto"/>
        </w:rPr>
      </w:pPr>
    </w:p>
    <w:p>
      <w:pPr>
        <w:ind w:right="880" w:firstLine="324"/>
        <w:spacing w:after="0" w:line="294" w:lineRule="auto"/>
        <w:rPr>
          <w:sz w:val="20"/>
          <w:szCs w:val="20"/>
          <w:color w:val="auto"/>
        </w:rPr>
      </w:pPr>
      <w:r>
        <w:rPr>
          <w:rFonts w:ascii="Arial" w:cs="Arial" w:eastAsia="Arial" w:hAnsi="Arial"/>
          <w:sz w:val="18"/>
          <w:szCs w:val="18"/>
          <w:b w:val="1"/>
          <w:bCs w:val="1"/>
          <w:i w:val="1"/>
          <w:iCs w:val="1"/>
          <w:color w:val="auto"/>
        </w:rPr>
        <w:t>From time to time we may engage in step-out drilling, or drilling in new or emerging plays, which involves heightened uncertainty and may reduce the value of undeveloped acreage if unsuccessful.</w:t>
      </w:r>
    </w:p>
    <w:p>
      <w:pPr>
        <w:spacing w:after="0" w:line="16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risk profile for step-out drilling or drilling in new or emerging plays is higher than for other locations because we have less geologic and production data and drilling history. The economic success of such drilling depends on numerous variables, including commodity prices, capital availability, drilling results, regulatory approvals, costs and transportation capacity. We may not find commercial amounts of oil or natural gas or actual costs may be higher than initially expected. If future drilling results in these projects do not establish sufficient reserves to achieve an economic return, we may curtail drilling or development of these projects. In either case, the value of our undeveloped acreage may decline and could be impaired.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Carbon TerraVault and Our Carbon Management Segment</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grow our Carbon TerraVault business and develop large scale CCS projects.</w:t>
      </w:r>
    </w:p>
    <w:p>
      <w:pPr>
        <w:spacing w:after="0" w:line="250"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We are developing a carbon management business in California that relies on CCS projects, an emerging sector with limited large-scale precedent in the state. These projects are in the early-stages of development and therefore face significant operational, technological and regulatory risks, and our ability to successfully develop these projects depends on a number of factors beyond our control, including the following:</w:t>
      </w:r>
    </w:p>
    <w:p>
      <w:pPr>
        <w:spacing w:after="0" w:line="203" w:lineRule="exact"/>
        <w:rPr>
          <w:sz w:val="20"/>
          <w:szCs w:val="20"/>
          <w:color w:val="auto"/>
        </w:rPr>
      </w:pPr>
    </w:p>
    <w:p>
      <w:pPr>
        <w:ind w:left="660" w:right="220" w:hanging="328"/>
        <w:spacing w:after="0" w:line="25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Class VI permits for carbon dioxide injection and storage from the EPA is a multi-year process, and the time to obtain permits may vary with the complexity and type of storage reservoir. The analysis of the suitability of a reservoir for carbon sequestration is complex and our permit applications are subject to extensive review by the EPA. There can be no assurances that the EPA will release Class VI permits to us when we expect, if at all, and our efforts to obtain Class VI permits could be subject to legal challenges.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1" w:name="page42"/>
    <w:bookmarkEnd w:id="41"/>
    <w:p>
      <w:pPr>
        <w:ind w:left="660" w:right="200" w:hanging="328"/>
        <w:spacing w:after="0" w:line="26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Because large-scale CCS projects represent an emerging sector, there are limited precedents to assess the economic feasibility or commercial terms of such projects. In addition, any of the operational, regulatory or financial risks described herein could cause actual results to differ materially from expected payback or cause a project to become uneconomic or less profitable than forecast.</w:t>
      </w:r>
    </w:p>
    <w:p>
      <w:pPr>
        <w:spacing w:after="0" w:line="197" w:lineRule="exact"/>
        <w:rPr>
          <w:rFonts w:ascii="Arial" w:cs="Arial" w:eastAsia="Arial" w:hAnsi="Arial"/>
          <w:sz w:val="18"/>
          <w:szCs w:val="18"/>
          <w:color w:val="auto"/>
        </w:rPr>
      </w:pPr>
    </w:p>
    <w:p>
      <w:pPr>
        <w:ind w:left="660" w:right="240" w:hanging="328"/>
        <w:spacing w:after="0" w:line="26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CCS projects may require significant capital investments by us, our joint venture partners and third parties, and sufficient capital or financing may not be available on reasonable terms or at all. In some cases, these projects involve the production of hydrogen, ammonia or other products and markets for some of these products are still emerging.</w:t>
      </w:r>
    </w:p>
    <w:p>
      <w:pPr>
        <w:spacing w:after="0" w:line="197" w:lineRule="exact"/>
        <w:rPr>
          <w:rFonts w:ascii="Arial" w:cs="Arial" w:eastAsia="Arial" w:hAnsi="Arial"/>
          <w:sz w:val="18"/>
          <w:szCs w:val="18"/>
          <w:color w:val="auto"/>
        </w:rPr>
      </w:pPr>
    </w:p>
    <w:p>
      <w:pPr>
        <w:ind w:left="660" w:right="72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CCS projects may require long-term agreements with emitters and other third parties, and we may be unable to secure such agreements on acceptable terms or at all.</w:t>
      </w:r>
    </w:p>
    <w:p>
      <w:pPr>
        <w:spacing w:after="0" w:line="179"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development and operation of production facilities for hydrogen, ammonia and other products and associated sequestration facilities are highly complex. There can be no assurances that we or our partners will be able to successfully develop, maintain and operate these production and sequestration facilities.</w:t>
      </w:r>
    </w:p>
    <w:p>
      <w:pPr>
        <w:spacing w:after="0" w:line="197" w:lineRule="exact"/>
        <w:rPr>
          <w:rFonts w:ascii="Arial" w:cs="Arial" w:eastAsia="Arial" w:hAnsi="Arial"/>
          <w:sz w:val="18"/>
          <w:szCs w:val="18"/>
          <w:color w:val="auto"/>
        </w:rPr>
      </w:pPr>
    </w:p>
    <w:p>
      <w:pPr>
        <w:jc w:val="both"/>
        <w:ind w:left="660" w:right="200" w:hanging="328"/>
        <w:spacing w:after="0" w:line="318"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performance of certain of our carbon and power-related projects depends in part on the reliable operation of associated power generation facilities, and reduced availability or unplanned outages could adversely affect project economics and expected returns.</w:t>
      </w:r>
    </w:p>
    <w:p>
      <w:pPr>
        <w:spacing w:after="0" w:line="156" w:lineRule="exact"/>
        <w:rPr>
          <w:rFonts w:ascii="Arial" w:cs="Arial" w:eastAsia="Arial" w:hAnsi="Arial"/>
          <w:sz w:val="17"/>
          <w:szCs w:val="17"/>
          <w:color w:val="auto"/>
        </w:rPr>
      </w:pPr>
    </w:p>
    <w:p>
      <w:pPr>
        <w:ind w:left="6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of our CCS projects rely on pore space we do not own, and we may be unable to obtain necessary rights from landowners on acceptable terms or at all.</w:t>
      </w:r>
    </w:p>
    <w:p>
      <w:pPr>
        <w:spacing w:after="0" w:line="179" w:lineRule="exact"/>
        <w:rPr>
          <w:rFonts w:ascii="Arial" w:cs="Arial" w:eastAsia="Arial" w:hAnsi="Arial"/>
          <w:sz w:val="18"/>
          <w:szCs w:val="18"/>
          <w:color w:val="auto"/>
        </w:rPr>
      </w:pPr>
    </w:p>
    <w:p>
      <w:pPr>
        <w:ind w:left="660" w:right="140" w:hanging="328"/>
        <w:spacing w:after="0" w:line="262"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Complex recordkeeping and GHG emissions/sequestration accounting may be required in connection with one or more of our projects, which may increase the costs of such operations. Different methodologies may be required for various regulatory and non-regulatory accounts regarding GHG emissions/sequestration at one or more of our projects, including but not limited to compliance with the EPA’s Mandatory Greenhouse Gas Reporting Program.</w:t>
      </w:r>
    </w:p>
    <w:p>
      <w:pPr>
        <w:spacing w:after="0" w:line="203"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Carbon capture may be viewed as a pathway to the continued use of fossil fuels and there may be organized opposition (including lawsuits) to CCS projects from environmental groups, local residents and legislators.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regulatory uncertainties described herein.</w:t>
      </w:r>
    </w:p>
    <w:p>
      <w:pPr>
        <w:spacing w:after="0" w:line="252"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There can be no assurances that we will successfully develop our CCS projects, including our cryogenic gas plant CCS project or CalCapture, and a failure to do so could have an adverse effect on our carbon management business and its prospects. We do not expect the failure of a single CCS project to create an impact on our overall financial condition or operations. However, as the scale of our CCS projects grows, so will their impact on our overall financial condition and operations. Moreover, our failure to successfully develop our CCS projects would adversely affect our ability to claim emissions reductions related to our sequestration activities and our ability to meet our carbon management goals, which in turn could have an adverse effect on our business and reputation.</w:t>
      </w:r>
    </w:p>
    <w:p>
      <w:pPr>
        <w:spacing w:after="0" w:line="211" w:lineRule="exact"/>
        <w:rPr>
          <w:sz w:val="20"/>
          <w:szCs w:val="20"/>
          <w:color w:val="auto"/>
        </w:rPr>
      </w:pPr>
    </w:p>
    <w:p>
      <w:pPr>
        <w:ind w:right="600" w:firstLine="324"/>
        <w:spacing w:after="0" w:line="294" w:lineRule="auto"/>
        <w:rPr>
          <w:sz w:val="20"/>
          <w:szCs w:val="20"/>
          <w:color w:val="auto"/>
        </w:rPr>
      </w:pPr>
      <w:r>
        <w:rPr>
          <w:rFonts w:ascii="Arial" w:cs="Arial" w:eastAsia="Arial" w:hAnsi="Arial"/>
          <w:sz w:val="18"/>
          <w:szCs w:val="18"/>
          <w:b w:val="1"/>
          <w:bCs w:val="1"/>
          <w:i w:val="1"/>
          <w:iCs w:val="1"/>
          <w:color w:val="auto"/>
        </w:rPr>
        <w:t>Our ability to achieve our emissions goals, including our Responsible Net Zero objective, and other carbon management objectives is subject to significant risks and uncertainties.</w:t>
      </w:r>
    </w:p>
    <w:p>
      <w:pPr>
        <w:spacing w:after="0" w:line="166"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have adopted various sustainability-related targets and objectives, including our Responsible Net Zero objective, and our efforts to establish, pursue and report on these targets expose us to operational, reputational, financial, legal and other risks. Our Responsible Net Zero objective considers Scope 1 and Scope 2 emissions, reflecting an approach that prioritizes operational emissions reductions and carbon management solutions while recognizing the ongoing role of responsibly produced energy and the practical, regulatory and technological constraints associated with achieving absolute net zero emissions.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2" w:name="page43"/>
    <w:bookmarkEnd w:id="42"/>
    <w:p>
      <w:pPr>
        <w:ind w:firstLine="324"/>
        <w:spacing w:after="0" w:line="259" w:lineRule="auto"/>
        <w:rPr>
          <w:sz w:val="20"/>
          <w:szCs w:val="20"/>
          <w:color w:val="auto"/>
        </w:rPr>
      </w:pPr>
      <w:r>
        <w:rPr>
          <w:rFonts w:ascii="Arial" w:cs="Arial" w:eastAsia="Arial" w:hAnsi="Arial"/>
          <w:sz w:val="18"/>
          <w:szCs w:val="18"/>
          <w:color w:val="auto"/>
        </w:rPr>
        <w:t>Our ability to advance our Responsible Net Zero objective depends in significant part on the successful development of our Carbon TerraVault business and related carbon capture and sequestration projects, as well as continued operational improvements. These efforts are subject to substantial regulatory, technical and commercial uncertainty, including risks related to permitting, financing, third-party participation and evolving regulatory frameworks. If we are unable to successfully develop these projects or achieve anticipated operational improvements, our ability to advance our Responsible Net Zero objective could be materially and adversely affected.</w:t>
      </w:r>
    </w:p>
    <w:p>
      <w:pPr>
        <w:spacing w:after="0" w:line="206"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In addition, emissions accounting standards, regulatory requirements and climate science continue to evolve. Changes in applicable laws, regulations, guidance or methodologies could affect our ability to claim emissions reductions, accurately report progress or achieve our stated objectives on the timelines contemplated, if at all.</w:t>
      </w:r>
    </w:p>
    <w:p>
      <w:pPr>
        <w:spacing w:after="0" w:line="19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adoption of a Responsible Net Zero objective may increase scrutiny from investors, regulators and other stakeholders, some of whom may have differing views regarding the appropriate scope, pace or methods for achieving emissions reductions. A failure or perceived failure to pursue or accurately describe progress toward our Responsible Net Zero objective, or to align related disclosures with evolving regulatory or market expectations, could expose us to regulatory enforcement actions, litigation, reputational harm, increased costs or reduced access to capital.</w:t>
      </w:r>
    </w:p>
    <w:p>
      <w:pPr>
        <w:spacing w:after="0" w:line="208" w:lineRule="exact"/>
        <w:rPr>
          <w:sz w:val="20"/>
          <w:szCs w:val="20"/>
          <w:color w:val="auto"/>
        </w:rPr>
      </w:pPr>
    </w:p>
    <w:p>
      <w:pPr>
        <w:ind w:right="300" w:firstLine="324"/>
        <w:spacing w:after="0" w:line="294" w:lineRule="auto"/>
        <w:rPr>
          <w:sz w:val="20"/>
          <w:szCs w:val="20"/>
          <w:color w:val="auto"/>
        </w:rPr>
      </w:pPr>
      <w:r>
        <w:rPr>
          <w:rFonts w:ascii="Arial" w:cs="Arial" w:eastAsia="Arial" w:hAnsi="Arial"/>
          <w:sz w:val="18"/>
          <w:szCs w:val="18"/>
          <w:b w:val="1"/>
          <w:bCs w:val="1"/>
          <w:i w:val="1"/>
          <w:iCs w:val="1"/>
          <w:color w:val="auto"/>
        </w:rPr>
        <w:t>Our Carbon TerraVault business and other CCS projects depend on financial and tax incentives to be economical, and these incentives may be insufficient, unavailable, delayed, reduced or terminated</w:t>
      </w:r>
      <w:r>
        <w:rPr>
          <w:rFonts w:ascii="Arial" w:cs="Arial" w:eastAsia="Arial" w:hAnsi="Arial"/>
          <w:sz w:val="18"/>
          <w:szCs w:val="18"/>
          <w:color w:val="auto"/>
        </w:rPr>
        <w:t>.</w:t>
      </w:r>
    </w:p>
    <w:p>
      <w:pPr>
        <w:spacing w:after="0" w:line="166"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Carbon TerraVault business and other CCS projects depend on financial and tax incentives established under federal and state laws, regulations and governmental programs to be economically viable. Governmental incentives are important to the expected economics of our carbon management business and related projects, including the Section 45Q carbon sequestration credit expanded under the Inflation Reduction Act, the One Big Beautiful Bill Act and LCFS credits under California law. The availability and value of these incentives depend on satisfaction of detailed statutory and regulatory requirements, some of which remain subject to evolving guidance, interpretation, audit and enforcement by the U.S. Department of the Treasury, the Internal Revenue Service, the California Air Resources Board and other federal and California state governmental authorities.</w:t>
      </w:r>
    </w:p>
    <w:p>
      <w:pPr>
        <w:spacing w:after="0" w:line="210"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In addition to tax incentives, certain CCS projects may rely on federal grants, loans or other funding programs authorized under the Inflation Reduction Act or the Infrastructure Investment and Jobs Act. Such programs are subject to agency discretion, eligibility criteria, administrative review, funding availability and the risk of delay, modification, reprioritization or cancellation. Changes in federal administration priorities, executive orders, agency rulemaking, enforcement practices or congressional action have and could further modify, delay, limit, condition or repeal grants, funding programs or tax incentives applicable to our carbon management business. For example, the current administration has taken steps to reduce the availability of federal grants for CCS projects, including canceling grants that had been previously awarded.</w:t>
      </w:r>
    </w:p>
    <w:p>
      <w:pPr>
        <w:spacing w:after="0" w:line="21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If incentives such as the Section 45Q credit, LCFS credit or other applicable federal or state programs are eliminated, reduced, delayed, materially restricted or made subject to more burdensome compliance requirements, our Carbon TerraVault projects may become uneconomic or no longer feasible. In addition, the ability to monetize tax credits, including through direct pay, tax equity financing or credit transfers, is uncertain and depends on evolving federal rules, market liquidity, counterparties, pricing dynamics and compliance risk. We cannot assure that we or our partners will be able to efficiently monetize such incentives on acceptable terms or at all.</w:t>
      </w:r>
    </w:p>
    <w:p>
      <w:pPr>
        <w:spacing w:after="0" w:line="166" w:lineRule="exact"/>
        <w:rPr>
          <w:sz w:val="20"/>
          <w:szCs w:val="20"/>
          <w:color w:val="auto"/>
        </w:rPr>
      </w:pPr>
    </w:p>
    <w:p>
      <w:pPr>
        <w:ind w:right="220" w:firstLine="324"/>
        <w:spacing w:after="0" w:line="229" w:lineRule="exact"/>
        <w:rPr>
          <w:sz w:val="20"/>
          <w:szCs w:val="20"/>
          <w:color w:val="auto"/>
        </w:rPr>
      </w:pPr>
      <w:r>
        <w:rPr>
          <w:rFonts w:ascii="Arial" w:cs="Arial" w:eastAsia="Arial" w:hAnsi="Arial"/>
          <w:sz w:val="18"/>
          <w:szCs w:val="18"/>
          <w:color w:val="auto"/>
        </w:rPr>
        <w:t>Many incentives applicable to CCS projects require long-term secure geological storage of captured CO</w:t>
      </w:r>
      <w:r>
        <w:rPr>
          <w:rFonts w:ascii="MS PGothic" w:cs="MS PGothic" w:eastAsia="MS PGothic" w:hAnsi="MS PGothic"/>
          <w:sz w:val="18"/>
          <w:szCs w:val="18"/>
          <w:color w:val="auto"/>
        </w:rPr>
        <w:t>₂</w:t>
      </w:r>
      <w:r>
        <w:rPr>
          <w:rFonts w:ascii="Arial" w:cs="Arial" w:eastAsia="Arial" w:hAnsi="Arial"/>
          <w:sz w:val="18"/>
          <w:szCs w:val="18"/>
          <w:color w:val="auto"/>
        </w:rPr>
        <w:t xml:space="preserve"> and ongoing compliance with monitoring, reporting and verification requirements. Failure to satisfy these requirements could result in the recapture of tax credits or other incentives, indemnification obligations to partners or counterparties, penalties, increased regulatory scrutiny or other liabilities. Any of the foregoing risks could materially and adversely affect our carbon management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3" w:name="page44"/>
    <w:bookmarkEnd w:id="43"/>
    <w:p>
      <w:pPr>
        <w:ind w:right="880" w:firstLine="324"/>
        <w:spacing w:after="0" w:line="294" w:lineRule="auto"/>
        <w:rPr>
          <w:sz w:val="20"/>
          <w:szCs w:val="20"/>
          <w:color w:val="auto"/>
        </w:rPr>
      </w:pPr>
      <w:r>
        <w:rPr>
          <w:rFonts w:ascii="Arial" w:cs="Arial" w:eastAsia="Arial" w:hAnsi="Arial"/>
          <w:sz w:val="18"/>
          <w:szCs w:val="18"/>
          <w:b w:val="1"/>
          <w:bCs w:val="1"/>
          <w:i w:val="1"/>
          <w:iCs w:val="1"/>
          <w:color w:val="auto"/>
        </w:rPr>
        <w:t>Our Carbon TerraVault JV with Brookfield is subject to inherent uncertainties that could adversely affect our ability to implement our carbon management strategy.</w:t>
      </w:r>
    </w:p>
    <w:p>
      <w:pPr>
        <w:spacing w:after="0" w:line="166"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In August 2022, we entered into the Carbon TerraVault JV with Brookfield to pursue the development of a carbon management segment in California. The management and financing of the joint venture are subject to inherent uncertainties, which could delay or prevent CCS projects, require us to seek alternative sources of capital or otherwise affect our carbon management strategy.</w:t>
      </w:r>
    </w:p>
    <w:p>
      <w:pPr>
        <w:spacing w:after="0" w:line="198"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Brookfield has committed an initial $500 million to invest in CCS projects that are jointly approved through Carbon TerraVault JV. The remaining amount of Brookfield's initial investment will depend on the amount of storage capacity that is permitted subject to certain contractual adjustments. Future storage projects for Brookfield’s initial commitment are subject to approval of the joint venture, including Brookfield. There can be no assurances that any of these funding milestones will be achieved so that Brookfield will fund the rest of its commitment. In addition, the parties have certain put and call rights with respect to the 26R reservoir if certain milestones are not met. The exercise of Brookfield’s put right could materially and adversely affect our carbon management business, financial condition, results of operations and prospects.</w:t>
      </w:r>
    </w:p>
    <w:p>
      <w:pPr>
        <w:spacing w:after="0" w:line="21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Although we own a 51% interest in the Carbon TerraVault JV, we share decision making authority with Brookfield on matters that most significantly impact the economic performance of the joint venture. Any failure to reach a decision with Brookfield could potentially prevent or delay our pursuit of CCS projects or cause such projects to be cancelled. Moreover, if Brookfield does not approve a proposed CCS project that we want to pursue, we will have to seek alternative sources of capital to fund the project and there can be no assurances that such sources of capital will be available.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Business Generally</w:t>
      </w:r>
    </w:p>
    <w:p>
      <w:pPr>
        <w:spacing w:after="0" w:line="254" w:lineRule="exact"/>
        <w:rPr>
          <w:sz w:val="20"/>
          <w:szCs w:val="20"/>
          <w:color w:val="auto"/>
        </w:rPr>
      </w:pPr>
    </w:p>
    <w:p>
      <w:pPr>
        <w:ind w:right="580" w:firstLine="324"/>
        <w:spacing w:after="0" w:line="294" w:lineRule="auto"/>
        <w:rPr>
          <w:sz w:val="20"/>
          <w:szCs w:val="20"/>
          <w:color w:val="auto"/>
        </w:rPr>
      </w:pPr>
      <w:r>
        <w:rPr>
          <w:rFonts w:ascii="Arial" w:cs="Arial" w:eastAsia="Arial" w:hAnsi="Arial"/>
          <w:sz w:val="18"/>
          <w:szCs w:val="18"/>
          <w:b w:val="1"/>
          <w:bCs w:val="1"/>
          <w:i w:val="1"/>
          <w:iCs w:val="1"/>
          <w:color w:val="auto"/>
        </w:rPr>
        <w:t>Increasing activism against the industries in which we operate, including the oil and gas industry and our involvement in carbon capture, storage, utilization and sequestration, presents risks to our business.</w:t>
      </w:r>
    </w:p>
    <w:p>
      <w:pPr>
        <w:spacing w:after="0" w:line="166"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Opposition toward oil and gas drilling and development activity has increased over time, and companies in the oil and gas industry are often the target of efforts by non-governmental organizations and individuals to delay or prevent oil and gas development, including through allegations regarding safety, environmental impacts or compliance and business practices. These efforts include seeking changes to laws, pressuring governmental agencies to engage in rulemaking or pursuing litigation.</w:t>
      </w:r>
    </w:p>
    <w:p>
      <w:pPr>
        <w:spacing w:after="0" w:line="20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This opposition also extends to our carbon management segment as certain activists oppose carbon capture and sequestration efforts by the oil and gas companies. For example, on November 22, 2024, a group of non-governmental organizations filed a Petition for Writ of Mandate and Complaint for Injunctive Relief against Kern County and its Board of Supervisors (CTV I Complaint) in Kern County for our CTV I project. This litigation is ongoing. See </w:t>
      </w:r>
      <w:r>
        <w:rPr>
          <w:rFonts w:ascii="Arial" w:cs="Arial" w:eastAsia="Arial" w:hAnsi="Arial"/>
          <w:sz w:val="18"/>
          <w:szCs w:val="18"/>
          <w:i w:val="1"/>
          <w:iCs w:val="1"/>
          <w:color w:val="auto"/>
        </w:rPr>
        <w:t>Regulation of Carbon Capture, Sequestration and Storage - CCS Project Permitting</w:t>
      </w:r>
      <w:r>
        <w:rPr>
          <w:rFonts w:ascii="Arial" w:cs="Arial" w:eastAsia="Arial" w:hAnsi="Arial"/>
          <w:sz w:val="18"/>
          <w:szCs w:val="18"/>
          <w:color w:val="auto"/>
        </w:rPr>
        <w:t>. Such lawsuits could delay construction or commencement of operations and have a material and adverse effect on our carbon management business and its prospects.</w:t>
      </w:r>
    </w:p>
    <w:p>
      <w:pPr>
        <w:spacing w:after="0" w:line="20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Heightened concerns by certain parties around climate change and GHG emissions have increased pressure on lawmakers, regulators and others to take action, particularly in California, regardless of the merit of these allegations. We may need to incur significant costs associated with responding to these initiatives and such actions may have a material adverse effect on our financial results. Complying with any resulting additional legal or regulatory requirements that are substantial or prevent or interfere with our activities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4" w:name="page45"/>
    <w:bookmarkEnd w:id="44"/>
    <w:p>
      <w:pPr>
        <w:ind w:left="340"/>
        <w:spacing w:after="0"/>
        <w:rPr>
          <w:sz w:val="20"/>
          <w:szCs w:val="20"/>
          <w:color w:val="auto"/>
        </w:rPr>
      </w:pPr>
      <w:r>
        <w:rPr>
          <w:rFonts w:ascii="Arial" w:cs="Arial" w:eastAsia="Arial" w:hAnsi="Arial"/>
          <w:sz w:val="18"/>
          <w:szCs w:val="18"/>
          <w:b w:val="1"/>
          <w:bCs w:val="1"/>
          <w:i w:val="1"/>
          <w:iCs w:val="1"/>
          <w:color w:val="auto"/>
        </w:rPr>
        <w:t>Changes in expectations as to ESG matters may adversely impact our business, reputation and access to capital.</w:t>
      </w:r>
    </w:p>
    <w:p>
      <w:pPr>
        <w:spacing w:after="0" w:line="250"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face increased attention and evolving expectations from investors, regulators and other stakeholders regarding ESG matters, including climate change, environmental and social impacts and voluntary or mandatory ESG disclosures. Increased demand for alternative forms of energy may increase costs, reduce demand for our products and contribute to increased investigations and litigation, any of which could adversely affect our business. Increased attention to climate change and environmental conservation, for example, may result in demand shifts for oil and natural gas products and additional governmental investigations and private litigation against us. In some cases, liability or regulatory action may be pursued without regard to our causation of, or contribution to, the asserted harm. While we may participate in various ESG frameworks and certification programs, we cannot guarantee that such participation or certification will achieve intended outcomes or improve perceptions of our products or business.</w:t>
      </w:r>
    </w:p>
    <w:p>
      <w:pPr>
        <w:spacing w:after="0" w:line="21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ESG disclosures may be based on expectations, assumptions or hypothetical scenarios that are uncertain, subject to change and difficult to verify over long time horizons. Such expectations, assumptions or hypothetical scenarios are necessarily uncertain and may be prone to error or subject to misinterpretation given the long timelines involved and the lack of an established approach to identifying, measuring and reporting on many ESG matters. Additionally, while we may also announce various ESG targets, such targets are often aspirational and may be subject to change depending on changed circumstances, methodologies, business forecasts or other factors. We may not be able to meet or make progress against such targets in the manner or on such a timeline as initially contemplated, including, but not limited to as a result of unforeseen costs, inaccurate forecasts or technical difficulties. To the extent we do meet such targets, they may ultimately be achieved through various contractual arrangements, including the purchase of various credits or offsets that may be deemed to mitigate our ESG impact instead of actual changes in our ESG performance. However, we cannot guarantee that there will be sufficient offsets available for purchase given the increased demand from numerous businesses implementing net zero goals, or heightened scrutiny of their methodologies. Some of these arrangements may receive scrutiny from certain constituencies who criticize the methodology of offsets or do not believe offsets should be utilized to neutralize GHG emissions. Also, despite these aspirational goals, we may receive pressure from investors, lenders or other groups to adopt more aggressive climate or other ESG-related goals, but we cannot guarantee that we will be able to pursue or implement such goals, in whole or in part, because of potential costs or technical, inaccurate assumptions or operational obstacles.</w:t>
      </w:r>
    </w:p>
    <w:p>
      <w:pPr>
        <w:spacing w:after="0" w:line="210"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Certain public statements regarding ESG matters are subject to increasing regulatory, litigation and political scrutiny, including allegations of “greenwashing” or challenges from so-called “anti-ESG” constituencies, which could result in investigations, enforcement actions, litigation or reputational harm. Additionally, certain employment or business practices and social initiatives are the subject of scrutiny by both those calling for the continued advancement of such policies, as well as those who believe they should be curbed, including government actors, and the complex regulatory and legal frameworks applicable to such initiatives continue to evolve. As a result, we may face increased litigation risks from private parties and governmental authorities related to our ESG efforts. Such ESG-related matters may also impact our customers or suppliers, which may adversely impact our business, financial condition or results of operations.</w:t>
      </w:r>
    </w:p>
    <w:p>
      <w:pPr>
        <w:spacing w:after="0" w:line="212" w:lineRule="exact"/>
        <w:rPr>
          <w:sz w:val="20"/>
          <w:szCs w:val="20"/>
          <w:color w:val="auto"/>
        </w:rPr>
      </w:pPr>
    </w:p>
    <w:p>
      <w:pPr>
        <w:ind w:right="420" w:firstLine="324"/>
        <w:spacing w:after="0" w:line="294" w:lineRule="auto"/>
        <w:rPr>
          <w:sz w:val="20"/>
          <w:szCs w:val="20"/>
          <w:color w:val="auto"/>
        </w:rPr>
      </w:pPr>
      <w:r>
        <w:rPr>
          <w:rFonts w:ascii="Arial" w:cs="Arial" w:eastAsia="Arial" w:hAnsi="Arial"/>
          <w:sz w:val="18"/>
          <w:szCs w:val="18"/>
          <w:b w:val="1"/>
          <w:bCs w:val="1"/>
          <w:i w:val="1"/>
          <w:iCs w:val="1"/>
          <w:color w:val="auto"/>
        </w:rPr>
        <w:t>Mergers, acquisitions and dispositions, including the integration of the Berry Merger completed in December 2025, involve substantial risks.</w:t>
      </w:r>
    </w:p>
    <w:p>
      <w:pPr>
        <w:spacing w:after="0" w:line="166"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We engage in acquisition activities from time to time, including the Berry Merger which closed in December 2025. The Berry Merger and other acquisition activities carry risks that we may:</w:t>
      </w:r>
    </w:p>
    <w:p>
      <w:pPr>
        <w:spacing w:after="0" w:line="18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fully realize anticipated benefits due to less-than-expected reserves or production or changed circumstances;</w:t>
      </w:r>
    </w:p>
    <w:p>
      <w:pPr>
        <w:spacing w:after="0" w:line="252" w:lineRule="exact"/>
        <w:rPr>
          <w:rFonts w:ascii="Arial" w:cs="Arial" w:eastAsia="Arial" w:hAnsi="Arial"/>
          <w:sz w:val="18"/>
          <w:szCs w:val="18"/>
          <w:color w:val="auto"/>
        </w:rPr>
      </w:pPr>
    </w:p>
    <w:p>
      <w:pPr>
        <w:ind w:left="660" w:right="82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bear unexpected integration costs, experience delays or challenges in integrating assets, systems, personnel or operations (including, in the case of the Berry Merger, drilling services operations), or fail to achieve anticipated synergies;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assume liabilities that are greater than anticipated;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exposed to currency, political, marketing, labor and other risks.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5" w:name="page46"/>
    <w:bookmarkEnd w:id="45"/>
    <w:p>
      <w:pPr>
        <w:ind w:right="60" w:firstLine="324"/>
        <w:spacing w:after="0" w:line="287" w:lineRule="auto"/>
        <w:rPr>
          <w:sz w:val="20"/>
          <w:szCs w:val="20"/>
          <w:color w:val="auto"/>
        </w:rPr>
      </w:pPr>
      <w:r>
        <w:rPr>
          <w:rFonts w:ascii="Arial" w:cs="Arial" w:eastAsia="Arial" w:hAnsi="Arial"/>
          <w:sz w:val="18"/>
          <w:szCs w:val="18"/>
          <w:color w:val="auto"/>
        </w:rPr>
        <w:t>Although the Berry Merger was completed in December 2025, the integration of Berry’s assets, operations and personnel is ongoing and subject to execution risk, and we may not realize anticipated benefits within expected timeframes or at all.</w:t>
      </w:r>
    </w:p>
    <w:p>
      <w:pPr>
        <w:spacing w:after="0" w:line="180"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color w:val="auto"/>
        </w:rPr>
        <w:t>In connection with mergers and acquisitions, we are often only able to perform limited due diligence, and assessments of reserves, production, costs and liabilities may be inaccurate or incomplete.</w:t>
      </w:r>
    </w:p>
    <w:p>
      <w:pPr>
        <w:spacing w:after="0" w:line="180" w:lineRule="exact"/>
        <w:rPr>
          <w:sz w:val="20"/>
          <w:szCs w:val="20"/>
          <w:color w:val="auto"/>
        </w:rPr>
      </w:pPr>
    </w:p>
    <w:p>
      <w:pPr>
        <w:jc w:val="both"/>
        <w:ind w:right="160" w:firstLine="324"/>
        <w:spacing w:after="0" w:line="268" w:lineRule="auto"/>
        <w:rPr>
          <w:sz w:val="20"/>
          <w:szCs w:val="20"/>
          <w:color w:val="auto"/>
        </w:rPr>
      </w:pPr>
      <w:r>
        <w:rPr>
          <w:rFonts w:ascii="Arial" w:cs="Arial" w:eastAsia="Arial" w:hAnsi="Arial"/>
          <w:sz w:val="18"/>
          <w:szCs w:val="18"/>
          <w:color w:val="auto"/>
        </w:rPr>
        <w:t>Future mergers and acquisitions may require approvals from shareholders, government agencies or other regulatory bodies, and there can be no assurance that such approvals will be obtained on acceptable terms or at all. If we are not able to successfully complete mergers and acquisitions, we may not be able to grow our reserves or production or develop our properties in a timely manner or at all.</w:t>
      </w:r>
    </w:p>
    <w:p>
      <w:pPr>
        <w:spacing w:after="0" w:line="19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We regularly review our property base for the purpose of identifying nonstrategic assets, the disposition of which would increase capital resources available for other activities and create organizational and operational efficiencies. Our disposition activities carry risks that we may:</w:t>
      </w:r>
    </w:p>
    <w:p>
      <w:pPr>
        <w:spacing w:after="0" w:line="19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be able to realize reasonable prices or rates of return for assets;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required to retain liabilities that are greater than desired or anticipated;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experience increased operating costs;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our cash flows if we cannot replace associated revenue.</w:t>
      </w:r>
    </w:p>
    <w:p>
      <w:pPr>
        <w:spacing w:after="0" w:line="25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There can be no assurance that we will be able to divest assets on financially attractive terms or at all. Our ability to sell assets is also limited by the agreements governing our indebtedness. If we are not able to sell assets as needed, we may not be able to generate proceeds to support our liquidity and capital investments.</w:t>
      </w:r>
    </w:p>
    <w:p>
      <w:pPr>
        <w:spacing w:after="0" w:line="198"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color w:val="auto"/>
        </w:rPr>
        <w:t>In addition, we have expended and will continue to expend significant time and resources in connection with any future acquisition and disposition activities.</w:t>
      </w:r>
    </w:p>
    <w:p>
      <w:pPr>
        <w:spacing w:after="0" w:line="182" w:lineRule="exact"/>
        <w:rPr>
          <w:sz w:val="20"/>
          <w:szCs w:val="20"/>
          <w:color w:val="auto"/>
        </w:rPr>
      </w:pPr>
    </w:p>
    <w:p>
      <w:pPr>
        <w:ind w:right="60" w:firstLine="324"/>
        <w:spacing w:after="0" w:line="272" w:lineRule="auto"/>
        <w:rPr>
          <w:sz w:val="20"/>
          <w:szCs w:val="20"/>
          <w:color w:val="auto"/>
        </w:rPr>
      </w:pPr>
      <w:r>
        <w:rPr>
          <w:rFonts w:ascii="Arial" w:cs="Arial" w:eastAsia="Arial" w:hAnsi="Arial"/>
          <w:sz w:val="18"/>
          <w:szCs w:val="18"/>
          <w:b w:val="1"/>
          <w:bCs w:val="1"/>
          <w:i w:val="1"/>
          <w:iCs w:val="1"/>
          <w:color w:val="auto"/>
        </w:rPr>
        <w:t>We may incur substantial losses and be subject to substantial liability claims as a result of pollution, environmental conditions or catastrophic events such as wildfires. We may not be insured for, or our insurance may be inadequate to protect us against, these risks.</w:t>
      </w:r>
    </w:p>
    <w:p>
      <w:pPr>
        <w:spacing w:after="0" w:line="18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not fully insured against all risks. Our business and assets are subject to risks from natural disasters and operating risks associated with oil and natural gas exploration and production activities. Pollution or environmental conditions with respect to our operations or on or from our properties, whether arising from our operations or those of our predecessors or third parties, could expose us to substantial costs and liabilities. Such events may cause operations to cease or be curtailed and could adversely affect our business, workforce and the communities in which we operate. The cost of insurance for natural disasters has increased in recent years. In California, insurance coverage for certain operational and catastrophic risks such as wildfires may be limited, subject to exclusions or available only at significantly increased cost, which could result in greater self-insurance exposure. We may be unable to obtain, or may elect not to obtain, insurance for certain risks if we believe that the cost of available insurance is excessive relative to the risks presented.</w:t>
      </w:r>
    </w:p>
    <w:p>
      <w:pPr>
        <w:spacing w:after="0" w:line="214" w:lineRule="exact"/>
        <w:rPr>
          <w:sz w:val="20"/>
          <w:szCs w:val="20"/>
          <w:color w:val="auto"/>
        </w:rPr>
      </w:pPr>
    </w:p>
    <w:p>
      <w:pPr>
        <w:ind w:right="280" w:firstLine="324"/>
        <w:spacing w:after="0" w:line="294" w:lineRule="auto"/>
        <w:rPr>
          <w:sz w:val="20"/>
          <w:szCs w:val="20"/>
          <w:color w:val="auto"/>
        </w:rPr>
      </w:pPr>
      <w:r>
        <w:rPr>
          <w:rFonts w:ascii="Arial" w:cs="Arial" w:eastAsia="Arial" w:hAnsi="Arial"/>
          <w:sz w:val="18"/>
          <w:szCs w:val="18"/>
          <w:b w:val="1"/>
          <w:bCs w:val="1"/>
          <w:i w:val="1"/>
          <w:iCs w:val="1"/>
          <w:color w:val="auto"/>
        </w:rPr>
        <w:t>Cybersecurity attacks, systems failures, and other disruptions could adversely affect our operations, financial condition and reputation.</w:t>
      </w:r>
    </w:p>
    <w:p>
      <w:pPr>
        <w:spacing w:after="0" w:line="166"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rely on electronic systems and networks to manage our operations, financial reporting, data storage and communications with employees, service providers and customers. Systems failures, data inaccuracies or outages could impair our ability to operate efficiently and make timely business decisions.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46" w:name="page47"/>
    <w:bookmarkEnd w:id="46"/>
    <w:p>
      <w:pPr>
        <w:ind w:right="40" w:firstLine="324"/>
        <w:spacing w:after="0" w:line="278" w:lineRule="auto"/>
        <w:rPr>
          <w:sz w:val="20"/>
          <w:szCs w:val="20"/>
          <w:color w:val="auto"/>
        </w:rPr>
      </w:pPr>
      <w:r>
        <w:rPr>
          <w:rFonts w:ascii="Arial" w:cs="Arial" w:eastAsia="Arial" w:hAnsi="Arial"/>
          <w:sz w:val="17"/>
          <w:szCs w:val="17"/>
          <w:color w:val="auto"/>
        </w:rPr>
        <w:t>Cybersecurity attacks have become more frequent and sophisticated, and we or third parties with whom we interact may be targeted by malicious actors. We utilize various technologies, controls and procedures, as well as internal staff and external specialists to protect our systems and data, to identify and remediate vulnerabilities and to monitor and respond to threats. However, these measures may not prevent security breaches from occurring. If a breach occurs, it may remain undetected for an extended period of time. A cybersecurity incident could result in data loss, business interruption, reputational harm, regulatory scrutiny, litigation, financial loss and significant remediation costs.</w:t>
      </w:r>
    </w:p>
    <w:p>
      <w:pPr>
        <w:spacing w:after="0" w:line="191" w:lineRule="exact"/>
        <w:rPr>
          <w:sz w:val="20"/>
          <w:szCs w:val="20"/>
          <w:color w:val="auto"/>
        </w:rPr>
      </w:pPr>
    </w:p>
    <w:p>
      <w:pPr>
        <w:ind w:right="700" w:firstLine="324"/>
        <w:spacing w:after="0" w:line="287" w:lineRule="auto"/>
        <w:rPr>
          <w:sz w:val="20"/>
          <w:szCs w:val="20"/>
          <w:color w:val="auto"/>
        </w:rPr>
      </w:pPr>
      <w:r>
        <w:rPr>
          <w:rFonts w:ascii="Arial" w:cs="Arial" w:eastAsia="Arial" w:hAnsi="Arial"/>
          <w:sz w:val="18"/>
          <w:szCs w:val="18"/>
          <w:color w:val="auto"/>
        </w:rPr>
        <w:t>Energy-related assets may be at a heightened risk of cybersecurity or other malicious attacks. Such attacks could disrupt energy markets, delay or prevent product delivery, impair accounting or settlement processes or result in environmental or safety incidents.</w:t>
      </w:r>
    </w:p>
    <w:p>
      <w:pPr>
        <w:spacing w:after="0" w:line="180"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As cybersecurity threats continue to evolve in sophistication and magnitude, we may be required to expend significant additional resources to continue to modify or enhance our protective measures or to investigate and remediate any cybersecurity vulnerabilities. Further, state and federal cybersecurity and data privacy legislation could result in complex new requirements that increase our cost of doing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and Government Action</w:t>
      </w:r>
    </w:p>
    <w:p>
      <w:pPr>
        <w:spacing w:after="0" w:line="254" w:lineRule="exact"/>
        <w:rPr>
          <w:sz w:val="20"/>
          <w:szCs w:val="20"/>
          <w:color w:val="auto"/>
        </w:rPr>
      </w:pPr>
    </w:p>
    <w:p>
      <w:pPr>
        <w:ind w:right="120" w:firstLine="324"/>
        <w:spacing w:after="0" w:line="294" w:lineRule="auto"/>
        <w:rPr>
          <w:sz w:val="20"/>
          <w:szCs w:val="20"/>
          <w:color w:val="auto"/>
        </w:rPr>
      </w:pPr>
      <w:r>
        <w:rPr>
          <w:rFonts w:ascii="Arial" w:cs="Arial" w:eastAsia="Arial" w:hAnsi="Arial"/>
          <w:sz w:val="18"/>
          <w:szCs w:val="18"/>
          <w:b w:val="1"/>
          <w:bCs w:val="1"/>
          <w:i w:val="1"/>
          <w:iCs w:val="1"/>
          <w:color w:val="auto"/>
        </w:rPr>
        <w:t>We may face material delays related to our ability to timely obtain permits necessary for our operations or be unable to secure such permits on favorable terms or at all as a result of numerous California political, regulatory, and legal developments.</w:t>
      </w:r>
    </w:p>
    <w:p>
      <w:pPr>
        <w:spacing w:after="0" w:line="166"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We must obtain various governmental permits to conduct exploration and production activities, as well as other aspects of our operations. Obtaining the necessary governmental permits is often a complex and time-consuming process involving numerous federal, state and local agencies, and the duration and success of each permitting effort is contingent upon many variables not within our control.</w:t>
      </w:r>
    </w:p>
    <w:p>
      <w:pPr>
        <w:spacing w:after="0" w:line="198"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recent years, we experienced significant delays in obtaining new well, sidetrack, deepening and workover permits from CalGEM, including delays attributable to enhanced environmental review requirements, litigation challenging the Kern County environmental impact review process, agency resource constraints and policy developments. In early 2026, following the enactment of Senate Bill 237, CalGEM resumed issuing permits for new oil and gas wells in Kern County, and permitting activity has increased significantly with 31 permits for new wells issued in Kern County as of January 31, 2026. However, we cannot provide assurances that permit issuances will continue at anticipated levels or that future legislative, regulatory, administrative or judicial actions will not again delay or restrict permitting activity.</w:t>
      </w:r>
    </w:p>
    <w:p>
      <w:pPr>
        <w:spacing w:after="0" w:line="209"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Although we have historically mitigated permitting risk by maintaining an inventory of approved permits, prolonged permitting delays or renewed uncertainty could limit our ability to execute drilling plans, adversely affect our capital program, reduce our ability to replace reserves and negatively impact our business, financial condition and results of operations.</w:t>
      </w:r>
    </w:p>
    <w:p>
      <w:pPr>
        <w:spacing w:after="0" w:line="200" w:lineRule="exact"/>
        <w:rPr>
          <w:sz w:val="20"/>
          <w:szCs w:val="20"/>
          <w:color w:val="auto"/>
        </w:rPr>
      </w:pPr>
    </w:p>
    <w:p>
      <w:pPr>
        <w:ind w:right="500" w:firstLine="324"/>
        <w:spacing w:after="0" w:line="294" w:lineRule="auto"/>
        <w:rPr>
          <w:sz w:val="20"/>
          <w:szCs w:val="20"/>
          <w:color w:val="auto"/>
        </w:rPr>
      </w:pPr>
      <w:r>
        <w:rPr>
          <w:rFonts w:ascii="Arial" w:cs="Arial" w:eastAsia="Arial" w:hAnsi="Arial"/>
          <w:sz w:val="18"/>
          <w:szCs w:val="18"/>
          <w:b w:val="1"/>
          <w:bCs w:val="1"/>
          <w:i w:val="1"/>
          <w:iCs w:val="1"/>
          <w:color w:val="auto"/>
        </w:rPr>
        <w:t>We may face increased local restrictions on oil and gas exploration and production operations or even be prohibited from operating in certain areas as a result of recently enacted California legislation</w:t>
      </w:r>
      <w:r>
        <w:rPr>
          <w:rFonts w:ascii="Arial" w:cs="Arial" w:eastAsia="Arial" w:hAnsi="Arial"/>
          <w:sz w:val="18"/>
          <w:szCs w:val="18"/>
          <w:b w:val="1"/>
          <w:bCs w:val="1"/>
          <w:color w:val="auto"/>
        </w:rPr>
        <w:t>.</w:t>
      </w:r>
    </w:p>
    <w:p>
      <w:pPr>
        <w:spacing w:after="0" w:line="16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California law authorizes local governments to impose regulations, restrictions or prohibitions on oil and gas operations within their jurisdictions, including with respect to existing operations. While certain local measures have previously been challenged successfully in court, recently enacted legislation has expanded local authority in this area. Although we do not currently operate in certain jurisdictions that have proposed or adopted phase-outs or bans, similar actions by local governments in areas where we do operate could increase operating costs, reduce production or reserves, or otherwise adversely affect our business.</w:t>
      </w:r>
    </w:p>
    <w:p>
      <w:pPr>
        <w:spacing w:after="0" w:line="206"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color w:val="auto"/>
        </w:rPr>
        <w:t>Local restrictions may be adopted notwithstanding state-level permitting frameworks, and the resulting regulatory landscape may vary significantly by jurisdiction, increasing compliance complexity and uncertainty.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7" w:name="page48"/>
    <w:bookmarkEnd w:id="47"/>
    <w:p>
      <w:pPr>
        <w:ind w:right="140" w:firstLine="324"/>
        <w:spacing w:after="0" w:line="294" w:lineRule="auto"/>
        <w:rPr>
          <w:sz w:val="20"/>
          <w:szCs w:val="20"/>
          <w:color w:val="auto"/>
        </w:rPr>
      </w:pPr>
      <w:r>
        <w:rPr>
          <w:rFonts w:ascii="Arial" w:cs="Arial" w:eastAsia="Arial" w:hAnsi="Arial"/>
          <w:sz w:val="18"/>
          <w:szCs w:val="18"/>
          <w:b w:val="1"/>
          <w:bCs w:val="1"/>
          <w:i w:val="1"/>
          <w:iCs w:val="1"/>
          <w:color w:val="auto"/>
        </w:rPr>
        <w:t>Recent and future actions by the State of California could reduce both the demand for and supply of oil and natural gas within the state and consequently have a material adverse effect on our business, results of operations and financial condition.</w:t>
      </w:r>
    </w:p>
    <w:p>
      <w:pPr>
        <w:spacing w:after="0" w:line="166"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California continues to pursue policies aimed at reducing greenhouse gas emissions and transitioning the state’s energy system over time. Legislative, regulatory and executive actions may increase compliance costs, restrict development activities, limit infrastructure availability or otherwise adversely affect the production, transportation or consumption of oil and natural gas in the state.</w:t>
      </w:r>
    </w:p>
    <w:p>
      <w:pPr>
        <w:spacing w:after="0" w:line="19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While recent legislation, including Senate Bill 237, has provided greater regulatory clarity for certain permitting activities in Kern County, we cannot predict the scope, timing or cumulative impact of future state actions or whether such actions may offset or limit the benefits of recent legislative developments.</w:t>
      </w:r>
    </w:p>
    <w:p>
      <w:pPr>
        <w:spacing w:after="0" w:line="200" w:lineRule="exact"/>
        <w:rPr>
          <w:sz w:val="20"/>
          <w:szCs w:val="20"/>
          <w:color w:val="auto"/>
        </w:rPr>
      </w:pPr>
    </w:p>
    <w:p>
      <w:pPr>
        <w:ind w:right="40" w:firstLine="324"/>
        <w:spacing w:after="0" w:line="265" w:lineRule="auto"/>
        <w:rPr>
          <w:sz w:val="20"/>
          <w:szCs w:val="20"/>
          <w:color w:val="auto"/>
        </w:rPr>
      </w:pPr>
      <w:r>
        <w:rPr>
          <w:rFonts w:ascii="Arial" w:cs="Arial" w:eastAsia="Arial" w:hAnsi="Arial"/>
          <w:sz w:val="18"/>
          <w:szCs w:val="18"/>
          <w:b w:val="1"/>
          <w:bCs w:val="1"/>
          <w:i w:val="1"/>
          <w:iCs w:val="1"/>
          <w:color w:val="auto"/>
        </w:rPr>
        <w:t>Our business is highly regulated and government authorities can delay or deny permits and approvals or change requirements governing our operations, including hydraulic fracturing and other well stimulation methods, enhanced production techniques and fluid injection or disposal, that could increase costs, restrict operations and change or delay the implementation of our business plans.</w:t>
      </w:r>
    </w:p>
    <w:p>
      <w:pPr>
        <w:spacing w:after="0" w:line="191"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color w:val="auto"/>
        </w:rPr>
        <w:t>Our operations are subject to complex and stringent federal, state, local and other laws and regulations relating to the exploration and development of our properties, as well as the production, transportation, marketing and sale of our products.</w:t>
      </w:r>
    </w:p>
    <w:p>
      <w:pPr>
        <w:spacing w:after="0" w:line="18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To operate in compliance with these laws and regulations, we must obtain and maintain permits, approvals and certificates from federal, state and local government authorities for a variety of activities including siting, drilling, completion, stimulation, operation, inspection, maintenance, transportation, storage, marketing, site remediation, decommissioning, abandonment, protection of habitat and threatened or endangered species, air emissions, disposal of solid and hazardous waste, fluid injection and water disposal and consumption, recycling and reuse.</w:t>
      </w:r>
    </w:p>
    <w:p>
      <w:pPr>
        <w:spacing w:after="0" w:line="206"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Failure to obtain the necessary permits, approvals and certificates or comply with these laws and regulations may result in the assessment of administrative, civil and/or criminal fines and penalties, liability for noncompliance, costs of corrective action, cleanup or restoration, compensation for personal injury, property damage or other losses, and the imposition of injunctive or declaratory relief restricting or prohibiting certain operations or our access to property, water, minerals or other necessary resources, and may otherwise delay or restrict our operations and cause us to incur substantial costs. Under certain environmental laws and regulations, we could be subject to strict or joint and several liability for the removal or remediation of contamination, including on properties over which we and our predecessors had no control, without regard to fault, legality of the original activities, or ownership or control by third parties.</w:t>
      </w:r>
    </w:p>
    <w:p>
      <w:pPr>
        <w:spacing w:after="0" w:line="212" w:lineRule="exact"/>
        <w:rPr>
          <w:sz w:val="20"/>
          <w:szCs w:val="20"/>
          <w:color w:val="auto"/>
        </w:rPr>
      </w:pPr>
    </w:p>
    <w:p>
      <w:pPr>
        <w:ind w:right="60" w:firstLine="324"/>
        <w:spacing w:after="0" w:line="265" w:lineRule="auto"/>
        <w:rPr>
          <w:sz w:val="20"/>
          <w:szCs w:val="20"/>
          <w:color w:val="auto"/>
        </w:rPr>
      </w:pPr>
      <w:r>
        <w:rPr>
          <w:rFonts w:ascii="Arial" w:cs="Arial" w:eastAsia="Arial" w:hAnsi="Arial"/>
          <w:sz w:val="18"/>
          <w:szCs w:val="18"/>
          <w:b w:val="1"/>
          <w:bCs w:val="1"/>
          <w:i w:val="1"/>
          <w:iCs w:val="1"/>
          <w:color w:val="auto"/>
        </w:rPr>
        <w:t>Our Carbon TerraVault business and our CCS projects are subject to extensive government regulation much of which is still being developed. Failure to comply with these regulations and obtain the necessary permits, or the development of government regulations that are unfavorable to our CCS projects, could have an adverse effect on our business, financial condition and results of operations.</w:t>
      </w:r>
    </w:p>
    <w:p>
      <w:pPr>
        <w:spacing w:after="0" w:line="191"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Successful development of CCS projects in the United States require that we comply with what we anticipate will be a stringent regulatory scheme requiring that we obtain certain permits applicable to subsurface injection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for geologic sequestration. Moreover, as the operator of our CCS projects, we must demonstrate and maintain levels of financial assurance sufficient to cover the cost of corrective action, injection well plugging, post injection site care and site closure, and emergency and remedial response. There are no assurances that we will be successful in obtaining or maintaining permits or adequate levels of financial assurance for one or more of our CCS projects or that permits can be obtained on a timely basis, whether due to difficulty with the technical demonstrations required to obtain such permits, public opposition, or otherwise.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8" w:name="page49"/>
    <w:bookmarkEnd w:id="48"/>
    <w:p>
      <w:pPr>
        <w:ind w:firstLine="324"/>
        <w:spacing w:after="0" w:line="256" w:lineRule="auto"/>
        <w:rPr>
          <w:sz w:val="20"/>
          <w:szCs w:val="20"/>
          <w:color w:val="auto"/>
        </w:rPr>
      </w:pPr>
      <w:r>
        <w:rPr>
          <w:rFonts w:ascii="Arial" w:cs="Arial" w:eastAsia="Arial" w:hAnsi="Arial"/>
          <w:sz w:val="18"/>
          <w:szCs w:val="18"/>
          <w:color w:val="auto"/>
        </w:rPr>
        <w:t>Separately, permitting CCS projects requires obtaining a number of other permits and approvals unrelated to subsurface injection from various U.S. federal and state agencies, such as for air emissions or impacts to environmental, natural, historic or cultural resources resulting from the construction and operation of a CCS facility. We cannot guarantee that we will be able to obtain or maintain all applicable permits for CCS activities on a timely basis or on favorable terms, if at all. Moreover, to the extent any of our CCS projects will require any supporting pipeline infrastructure, we could face additional costs and delays obtaining the necessary permits and rights of ways for such infrastructure, and increased risk of opposition to our projects, which may ultimately mean we are unable to successfully pursue certain CCS projects because of these risks.</w:t>
      </w:r>
    </w:p>
    <w:p>
      <w:pPr>
        <w:spacing w:after="0" w:line="210"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As CCS and carbon management represent an emerging sector, laws and regulations may evolve rapidly, which could impact the feasibility of one or more of our anticipated projects. To the extent additional legal or regulatory requirements are imposed, are amended, or more stringently enforced, we may incur additional costs in the pursuit of one or more of our carbon capture projects, which costs may be material or may render any one or more of our projects uneconomical.</w:t>
      </w:r>
    </w:p>
    <w:p>
      <w:pPr>
        <w:spacing w:after="0" w:line="137" w:lineRule="exact"/>
        <w:rPr>
          <w:sz w:val="20"/>
          <w:szCs w:val="20"/>
          <w:color w:val="auto"/>
        </w:rPr>
      </w:pPr>
    </w:p>
    <w:p>
      <w:pPr>
        <w:ind w:right="560" w:firstLine="324"/>
        <w:spacing w:after="0" w:line="307" w:lineRule="auto"/>
        <w:rPr>
          <w:sz w:val="20"/>
          <w:szCs w:val="20"/>
          <w:color w:val="auto"/>
        </w:rPr>
      </w:pPr>
      <w:r>
        <w:rPr>
          <w:rFonts w:ascii="Arial" w:cs="Arial" w:eastAsia="Arial" w:hAnsi="Arial"/>
          <w:sz w:val="18"/>
          <w:szCs w:val="18"/>
          <w:b w:val="1"/>
          <w:bCs w:val="1"/>
          <w:i w:val="1"/>
          <w:iCs w:val="1"/>
          <w:color w:val="auto"/>
        </w:rPr>
        <w:t>New and developing regulations related to the CO</w:t>
      </w:r>
      <w:r>
        <w:rPr>
          <w:rFonts w:ascii="Arial" w:cs="Arial" w:eastAsia="Arial" w:hAnsi="Arial"/>
          <w:sz w:val="23"/>
          <w:szCs w:val="23"/>
          <w:b w:val="1"/>
          <w:bCs w:val="1"/>
          <w:i w:val="1"/>
          <w:iCs w:val="1"/>
          <w:color w:val="auto"/>
          <w:vertAlign w:val="subscript"/>
        </w:rPr>
        <w:t>2</w:t>
      </w:r>
      <w:r>
        <w:rPr>
          <w:rFonts w:ascii="Arial" w:cs="Arial" w:eastAsia="Arial" w:hAnsi="Arial"/>
          <w:sz w:val="18"/>
          <w:szCs w:val="18"/>
          <w:b w:val="1"/>
          <w:bCs w:val="1"/>
          <w:i w:val="1"/>
          <w:iCs w:val="1"/>
          <w:color w:val="auto"/>
        </w:rPr>
        <w:t xml:space="preserve"> unitization, permitting and pipeline safety could negatively impact our business, financial condition and results of operations.</w:t>
      </w:r>
    </w:p>
    <w:p>
      <w:pPr>
        <w:spacing w:after="0" w:line="139" w:lineRule="exact"/>
        <w:rPr>
          <w:sz w:val="20"/>
          <w:szCs w:val="20"/>
          <w:color w:val="auto"/>
        </w:rPr>
      </w:pPr>
    </w:p>
    <w:p>
      <w:pPr>
        <w:ind w:right="40" w:firstLine="324"/>
        <w:spacing w:after="0" w:line="242" w:lineRule="auto"/>
        <w:rPr>
          <w:sz w:val="20"/>
          <w:szCs w:val="20"/>
          <w:color w:val="auto"/>
        </w:rPr>
      </w:pPr>
      <w:r>
        <w:rPr>
          <w:rFonts w:ascii="Arial" w:cs="Arial" w:eastAsia="Arial" w:hAnsi="Arial"/>
          <w:sz w:val="18"/>
          <w:szCs w:val="18"/>
          <w:color w:val="auto"/>
        </w:rPr>
        <w:t>Senate Bill No. 905 contemplates the development of unitization, permitting and pipeline safety regulations over a multi-year period to facilitate the development of CCS projects in California, though the legislation does not provide for compulsory unitization. Senate Bill No. 905 also provides for a unified permitting process to simplify the permitting process for CCS projects, although this will be optional for project applicants. Additionally, the law contemplates the implementation of a new regulatory program incorporating standards that are not yet defined and that could affect the timing of future CCS projects in California. The California Air Resources Board has been tasked with developing this proposed framework. We believe our Carbon TerraVault projects will continue to be developed on a timeline consistent with our initial expectations. These initial projects are not reliant on the unitization or permitting regulations being developed. In addition, our Carbon TerraVault projects are expected to either use emitters that are directly sited above these storage facilities or rely on pipelines for transporting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Senate Bill No. 905 provides that pipelines may be used to transport carbon dioxide to or from a carbon dioxide capture, removal or sequestration project only upon conclusion of PHMSA’s rulemaking strengthening safety requirements for carbon dioxide pipelines. Although PHMSA released a notice of proposed rulemaking to this effect in early January 2025, was subsequently withdrawn by the current administration prior to publication in the Federal Register. The lack of these final pipeline safety regulations may impair or prohibit projects that rely on the transportation of CO</w:t>
      </w:r>
      <w:r>
        <w:rPr>
          <w:rFonts w:ascii="Arial" w:cs="Arial" w:eastAsia="Arial" w:hAnsi="Arial"/>
          <w:sz w:val="23"/>
          <w:szCs w:val="23"/>
          <w:color w:val="auto"/>
          <w:vertAlign w:val="subscript"/>
        </w:rPr>
        <w:t>2</w:t>
      </w:r>
      <w:r>
        <w:rPr>
          <w:rFonts w:ascii="Arial" w:cs="Arial" w:eastAsia="Arial" w:hAnsi="Arial"/>
          <w:sz w:val="18"/>
          <w:szCs w:val="18"/>
          <w:color w:val="auto"/>
        </w:rPr>
        <w:t>.</w:t>
      </w:r>
    </w:p>
    <w:p>
      <w:pPr>
        <w:spacing w:after="0" w:line="155" w:lineRule="exact"/>
        <w:rPr>
          <w:sz w:val="20"/>
          <w:szCs w:val="20"/>
          <w:color w:val="auto"/>
        </w:rPr>
      </w:pPr>
    </w:p>
    <w:p>
      <w:pPr>
        <w:jc w:val="both"/>
        <w:ind w:right="240" w:firstLine="324"/>
        <w:spacing w:after="0" w:line="270" w:lineRule="auto"/>
        <w:rPr>
          <w:sz w:val="20"/>
          <w:szCs w:val="20"/>
          <w:color w:val="auto"/>
        </w:rPr>
      </w:pPr>
      <w:r>
        <w:rPr>
          <w:rFonts w:ascii="Arial" w:cs="Arial" w:eastAsia="Arial" w:hAnsi="Arial"/>
          <w:sz w:val="18"/>
          <w:szCs w:val="18"/>
          <w:color w:val="auto"/>
        </w:rPr>
        <w:t>Senate Bill No. 905 also prohibits CCS projects that utilize and permanently sequester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 connection with EOR projects. Although we do not have any existing oil and natural gas production or proved reserves associated with EOR projects, this legislation required us to transition our CalCapture project to target CCS and may require us to make other adjustments to projects in the future.</w:t>
      </w:r>
    </w:p>
    <w:p>
      <w:pPr>
        <w:spacing w:after="0" w:line="194" w:lineRule="exact"/>
        <w:rPr>
          <w:sz w:val="20"/>
          <w:szCs w:val="20"/>
          <w:color w:val="auto"/>
        </w:rPr>
      </w:pPr>
    </w:p>
    <w:p>
      <w:pPr>
        <w:ind w:firstLine="324"/>
        <w:spacing w:after="0" w:line="218" w:lineRule="exact"/>
        <w:rPr>
          <w:sz w:val="20"/>
          <w:szCs w:val="20"/>
          <w:color w:val="auto"/>
        </w:rPr>
      </w:pPr>
      <w:r>
        <w:rPr>
          <w:rFonts w:ascii="Arial" w:cs="Arial" w:eastAsia="Arial" w:hAnsi="Arial"/>
          <w:sz w:val="18"/>
          <w:szCs w:val="18"/>
          <w:color w:val="auto"/>
        </w:rPr>
        <w:t>Senate Bill 614 (SB 614), enacted in October 2025, revises the definition of “pipeline” for purposes of the Elder California Pipeline Safety Act of 1981 to include intrastate pipelines used for the transportation of carbon dioxide (CO</w:t>
      </w:r>
      <w:r>
        <w:rPr>
          <w:rFonts w:ascii="MS PGothic" w:cs="MS PGothic" w:eastAsia="MS PGothic" w:hAnsi="MS PGothic"/>
          <w:sz w:val="18"/>
          <w:szCs w:val="18"/>
          <w:color w:val="auto"/>
        </w:rPr>
        <w:t>₂</w:t>
      </w:r>
      <w:r>
        <w:rPr>
          <w:rFonts w:ascii="Arial" w:cs="Arial" w:eastAsia="Arial" w:hAnsi="Arial"/>
          <w:sz w:val="18"/>
          <w:szCs w:val="18"/>
          <w:color w:val="auto"/>
        </w:rPr>
        <w:t>). The law requires the Office of the State Fire Marshal to adopt implementing regulations regarding the safe transportation of CO</w:t>
      </w:r>
      <w:r>
        <w:rPr>
          <w:rFonts w:ascii="MS PGothic" w:cs="MS PGothic" w:eastAsia="MS PGothic" w:hAnsi="MS PGothic"/>
          <w:sz w:val="18"/>
          <w:szCs w:val="18"/>
          <w:color w:val="auto"/>
        </w:rPr>
        <w:t>₂</w:t>
      </w:r>
      <w:r>
        <w:rPr>
          <w:rFonts w:ascii="Arial" w:cs="Arial" w:eastAsia="Arial" w:hAnsi="Arial"/>
          <w:sz w:val="18"/>
          <w:szCs w:val="18"/>
          <w:color w:val="auto"/>
        </w:rPr>
        <w:t xml:space="preserve"> in pipelines by July 1, 2026, establishing a pathway to lifting the current moratorium on the construction and operation of new CO</w:t>
      </w:r>
      <w:r>
        <w:rPr>
          <w:rFonts w:ascii="MS PGothic" w:cs="MS PGothic" w:eastAsia="MS PGothic" w:hAnsi="MS PGothic"/>
          <w:sz w:val="18"/>
          <w:szCs w:val="18"/>
          <w:color w:val="auto"/>
        </w:rPr>
        <w:t>₂</w:t>
      </w:r>
      <w:r>
        <w:rPr>
          <w:rFonts w:ascii="Arial" w:cs="Arial" w:eastAsia="Arial" w:hAnsi="Arial"/>
          <w:sz w:val="18"/>
          <w:szCs w:val="18"/>
          <w:color w:val="auto"/>
        </w:rPr>
        <w:t xml:space="preserve"> pipeline operations in the state. The legislation mandates stringent design, routing, and disclosure standards consistent with or exceeding a proposed revision to federal requirements under the Pipeline and Hazardous Materials Safety Administration that was subsequently withdrawn prior to federal enactment (Draft PHMSA Regulations). Under SB 614, CO</w:t>
      </w:r>
      <w:r>
        <w:rPr>
          <w:rFonts w:ascii="MS PGothic" w:cs="MS PGothic" w:eastAsia="MS PGothic" w:hAnsi="MS PGothic"/>
          <w:sz w:val="18"/>
          <w:szCs w:val="18"/>
          <w:color w:val="auto"/>
        </w:rPr>
        <w:t>₂</w:t>
      </w:r>
      <w:r>
        <w:rPr>
          <w:rFonts w:ascii="Arial" w:cs="Arial" w:eastAsia="Arial" w:hAnsi="Arial"/>
          <w:sz w:val="18"/>
          <w:szCs w:val="18"/>
          <w:color w:val="auto"/>
        </w:rPr>
        <w:t xml:space="preserve"> pipelines within a single facility and for which construction was permitted before July 1, 2025, shall not be required to subsequently comply with those regulations that pertain to design and construction if the pipeline is constructed to meet the standards of the Draft PHMSA Regulations. The CO</w:t>
      </w:r>
      <w:r>
        <w:rPr>
          <w:rFonts w:ascii="MS PGothic" w:cs="MS PGothic" w:eastAsia="MS PGothic" w:hAnsi="MS PGothic"/>
          <w:sz w:val="18"/>
          <w:szCs w:val="18"/>
          <w:color w:val="auto"/>
        </w:rPr>
        <w:t>₂</w:t>
      </w:r>
      <w:r>
        <w:rPr>
          <w:rFonts w:ascii="Arial" w:cs="Arial" w:eastAsia="Arial" w:hAnsi="Arial"/>
          <w:sz w:val="18"/>
          <w:szCs w:val="18"/>
          <w:color w:val="auto"/>
        </w:rPr>
        <w:t xml:space="preserve"> pipelines comprising our Carbon Terra Vault I (CTV I) project at our Elk Hills field were permitted prior to July 1, 2025, and have been constructed to meet the standards of the Draft PHMSA Regulations. Upon implementation, SB 614 is expected to help enable the development of carbon-capture and storage projects that rely upon capture of carbon dioxide from an emission source that is remote from the facility into which the emissions will be sequestered.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49" w:name="page50"/>
    <w:bookmarkEnd w:id="49"/>
    <w:p>
      <w:pPr>
        <w:ind w:right="400" w:firstLine="324"/>
        <w:spacing w:after="0" w:line="294" w:lineRule="auto"/>
        <w:rPr>
          <w:sz w:val="20"/>
          <w:szCs w:val="20"/>
          <w:color w:val="auto"/>
        </w:rPr>
      </w:pPr>
      <w:r>
        <w:rPr>
          <w:rFonts w:ascii="Arial" w:cs="Arial" w:eastAsia="Arial" w:hAnsi="Arial"/>
          <w:sz w:val="18"/>
          <w:szCs w:val="18"/>
          <w:b w:val="1"/>
          <w:bCs w:val="1"/>
          <w:i w:val="1"/>
          <w:iCs w:val="1"/>
          <w:color w:val="auto"/>
        </w:rPr>
        <w:t>Our operations and financial performance may be negatively affected directly or indirectly by changes in trade policies and tariffs.</w:t>
      </w:r>
    </w:p>
    <w:p>
      <w:pPr>
        <w:spacing w:after="0" w:line="16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United States government has indicated its intent to adopt a new approach to trade policy and in some cases to renegotiate, or potentially terminate, certain existing trade agreements. It has also initiated or is considering the imposition of tariffs on certain foreign goods and products. This has led to the United States increasing tariffs for certain goods, which triggered other nations to also increase tariffs on certain of their goods. While the extent and duration of the such tariffs remain uncertain, these measures, including 50% tariffs on imported steel, are likely to lead to increased material costs.</w:t>
      </w:r>
    </w:p>
    <w:p>
      <w:pPr>
        <w:spacing w:after="0" w:line="208" w:lineRule="exact"/>
        <w:rPr>
          <w:sz w:val="20"/>
          <w:szCs w:val="20"/>
          <w:color w:val="auto"/>
        </w:rPr>
      </w:pPr>
    </w:p>
    <w:p>
      <w:pPr>
        <w:ind w:right="280" w:firstLine="324"/>
        <w:spacing w:after="0" w:line="294" w:lineRule="auto"/>
        <w:rPr>
          <w:sz w:val="20"/>
          <w:szCs w:val="20"/>
          <w:color w:val="auto"/>
        </w:rPr>
      </w:pPr>
      <w:r>
        <w:rPr>
          <w:rFonts w:ascii="Arial" w:cs="Arial" w:eastAsia="Arial" w:hAnsi="Arial"/>
          <w:sz w:val="18"/>
          <w:szCs w:val="18"/>
          <w:b w:val="1"/>
          <w:bCs w:val="1"/>
          <w:i w:val="1"/>
          <w:iCs w:val="1"/>
          <w:color w:val="auto"/>
        </w:rPr>
        <w:t>Concerns about climate change and other environmental issues may prompt governmental action that could have a material adverse effect on our operations or results.</w:t>
      </w:r>
    </w:p>
    <w:p>
      <w:pPr>
        <w:spacing w:after="0" w:line="16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Governmental, scientific and public concern over the threat of climate change arising from GHG emissions, and regulation of GHGs and other air quality issues, may have a material adverse effect on our business in many ways, including increasing the costs to provide our products and services and reducing demand for, and consumption of, our products and services, and we may be unable to recover or pass through a significant portion of our costs. In addition, legislative and regulatory responses to such issues at the federal, state and local level may increase our capital and operating costs and render certain wells or projects uneconomic, and potentially lower the value of our reserves and other assets. Both the EPA and California have implemented laws, regulations and policies that seek to reduce GHG emissions. California’s cap-and-trade program operates under a market system and the costs of such allowances per metric ton of GHG emissions are expected to increase in the future as the CARB tightens program requirements and annually increases the minimum state auction price of allowances and reduces the state’s GHG emissions cap. As the foregoing requirements become more stringent, we may be unable to implement them in a cost-effective manner, or at all.</w:t>
      </w:r>
    </w:p>
    <w:p>
      <w:pPr>
        <w:spacing w:after="0" w:line="212"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In August 2022, President Biden signed the Inflation Reduction Act into law. The Inflation Reduction Act includes a charge on methane emissions that exceed certain thresholds from sources required to report their GHG emissions to the EPA, including certain oil and natural gas operations. In November 2024, the EPA issued a final rule implementing the methane emissions charge, although in February 2025, Congress repealed the rule. Additionally, the One Big Beautiful Bill Act, enacted in July 2025, delays implementation of the methane emissions charge until 2034. We cannot predict if Congress or the current administration may take actions to further repeal or revise the Inflation Reduction Act, including with respect to the methane emissions charge. In fact, the full impact of future climate regulations is uncertain at this time and it is unclear what additional actions may be taken that may have an adverse effect upon our carbon management business and its prospects.</w:t>
      </w:r>
    </w:p>
    <w:p>
      <w:pPr>
        <w:spacing w:after="0" w:line="21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To the extent financial markets view climate change and GHG or other emissions as an increasing financial risk, this could adversely impact our cost of, and access to, capital and the value of our stock and our assets. Current investors in oil and natural gas companies may elect in the future to shift some or all of their investments into other sectors, and institutional lenders may elect not to provide funding for oil and natural gas companies. There is also a risk that financial institutions will be required to adopt policies that have the effect of reducing the funding provided to the fossil fuel sector, although this trend has waned recently and several high-profile banks and institutional investors have withdrawn from various associations that aim to limit financing of industries that emit significant GHG emissions. Additionally, California has enacted new laws requiring additional disclosure with respect to certain climate-related risks and GHG emissions reduction claims. The laws have been challenged and, in November 2025, the United States Court of Appeals for the Ninth Circuit ordered a preliminary injunction on one of the laws (which requires disclosure for certain climate-related risks), which stays enforcement of that law. Oral argument on the laws occurred in January 2026, although the Ninth Circuit has not yet released its decision. (See </w:t>
      </w:r>
      <w:r>
        <w:rPr>
          <w:rFonts w:ascii="Arial" w:cs="Arial" w:eastAsia="Arial" w:hAnsi="Arial"/>
          <w:sz w:val="18"/>
          <w:szCs w:val="18"/>
          <w:i w:val="1"/>
          <w:iCs w:val="1"/>
          <w:color w:val="auto"/>
        </w:rPr>
        <w:t>Part I, Item 1 and 2 – Business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Properties, Regulation of the Industries in Which We Operate, Regulation of Climate Change and Greenhouse Gas (GHG) Emissions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more information). Non-compliance with these new laws may result in the imposition of fines or penalties. Other states are considering similar laws. Any new laws or regulations imposing more stringent requirements on our business related to the disclosure of climate-related risks may result in reputation harms among certain stakeholders if they disagree with our approach to mitigating climate-related risks, additional costs to comply with any such disclosure requirements and increased costs of and restrictions on access to capital.</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50" w:name="page51"/>
    <w:bookmarkEnd w:id="50"/>
    <w:p>
      <w:pPr>
        <w:ind w:right="140" w:firstLine="324"/>
        <w:spacing w:after="0" w:line="256" w:lineRule="auto"/>
        <w:rPr>
          <w:sz w:val="20"/>
          <w:szCs w:val="20"/>
          <w:color w:val="auto"/>
        </w:rPr>
      </w:pPr>
      <w:r>
        <w:rPr>
          <w:rFonts w:ascii="Arial" w:cs="Arial" w:eastAsia="Arial" w:hAnsi="Arial"/>
          <w:sz w:val="18"/>
          <w:szCs w:val="18"/>
          <w:color w:val="auto"/>
        </w:rPr>
        <w:t>We believe, but cannot guarantee, that our local production of oil, NGLs and natural gas will remain essential to meeting California’s energy and feedstock needs for the foreseeable future. We have also established 2030 Sustainability Goals for water recycling, renewables integration, methane emission reduction and carbon capture and sequestration in our life-of-field planning in an attempt to align with the state’s long-term goals and support our ability to continue to efficiently implement federal, state and local laws, regulations and policies, including those relating to air quality and climate, in the future. However, there can be no assurances that we will be able to design, permit, fund and implement such projects in a timely and cost-effective manner or at all, or that we, our customers or end users of our products will be able to satisfy long-term environmental, air quality or climate goals if those are applied as enforceable mandates.</w:t>
      </w:r>
    </w:p>
    <w:p>
      <w:pPr>
        <w:spacing w:after="0" w:line="21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adoption and implementation of new or more stringent international, federal, state or local legislation, regulations or policies that impose more stringent standards for GHG or other emissions from our operations or otherwise restrict the areas in which we may produce oil, natural gas, NGLs or electricity or generate GHG or other emissions could result in increased costs of compliance or costs of consuming, and thereby reduce demand for or the value of our products and services. Additionally, political, litigation and financial risks may result in restricting or canceling oil and natural gas production activities, incurring liability for infrastructure damages or other losses as a result of climate change, or impairing our ability to continue to operate in an economic manner. Moreover, climate change may pose increasing risks of physical impacts to our operations and those of our suppliers, transporters and customers through damage to infrastructure and resources resulting from drought, wildfires, sea level changes, flooding and other natural disasters and other physical disruptions. One or more of these developments could have a material adverse effect on our business, financial condition and results of operations.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law changes could have an adverse effect on our business, financial condition and results of operations.</w:t>
      </w:r>
    </w:p>
    <w:p>
      <w:pPr>
        <w:spacing w:after="0" w:line="250"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We are subject to taxation by various tax authorities at the federal, state and local levels where we do business. New legislation could be enacted by any of these government authorities that could adversely affect our business.</w:t>
      </w:r>
    </w:p>
    <w:p>
      <w:pPr>
        <w:spacing w:after="0" w:line="18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addition, from time to time, legislation has been proposed that would, if enacted into law, make significant changes to U.S. federal income tax laws, including the elimination of certain U.S. federal income tax benefits currently available to oil and natural gas exploration and production companies. Such changes have included, but have not been limited to: (i) the repeal of percentage depletion allowance for oil and natural gas properties; (ii) the elimination of current deductions for intangible drilling and development costs; (iii) an extension of the amortization period for certain geological and geophysical expenditures; (iv) the elimination of certain other tax deductions and relief previously available to oil and natural gas companies; and (v) an increase in the U.S. federal income tax rate applicable to corporations such as us. However, it is unclear whether any such changes will be enacted and, if enacted, how soon any such changes would be effective. Additionally, legislation could be enacted that imposes new fees or increases the taxes on oil and natural gas extraction, which could result in increased operating costs and/or reduced demand for our products. The passage of any such legislation or any other similar change in U.S. federal income tax law could eliminate or postpone certain tax deductions that are currently available with respect to natural gas and oil exploration and development or could increase costs and any such changes could have an adverse effect on our business, financial condition and results of operations. Similarly, legislation could be enacted that changes or terminates the current tax incentives that our CCS projects depend on to be economical. The enactment of any legislation that reduces, eliminates, delays, materially restricts or makes Section 45Q credits subject to more burdensome compliance requirements, could have an adverse effect on our business, financial condition and results of operations.</w:t>
      </w:r>
    </w:p>
    <w:p>
      <w:pPr>
        <w:spacing w:after="0" w:line="210"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In California, there have been numerous state and local proposals for additional income, sales, excise and property taxes, including additional taxes on oil and natural gas production and a windfall profits tax on refineries. Although such proposals targeting the oil and natural gas industry have not become law, campaigns by various interest groups could lead to additional future taxes.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51" w:name="page52"/>
    <w:bookmarkEnd w:id="51"/>
    <w:p>
      <w:pPr>
        <w:ind w:right="20" w:firstLine="324"/>
        <w:spacing w:after="0" w:line="272" w:lineRule="auto"/>
        <w:rPr>
          <w:sz w:val="20"/>
          <w:szCs w:val="20"/>
          <w:color w:val="auto"/>
        </w:rPr>
      </w:pPr>
      <w:r>
        <w:rPr>
          <w:rFonts w:ascii="Arial" w:cs="Arial" w:eastAsia="Arial" w:hAnsi="Arial"/>
          <w:sz w:val="18"/>
          <w:szCs w:val="18"/>
          <w:b w:val="1"/>
          <w:bCs w:val="1"/>
          <w:i w:val="1"/>
          <w:iCs w:val="1"/>
          <w:color w:val="auto"/>
        </w:rPr>
        <w:t>Financial assurance requirements related to plugging and abandonment costs, decommissioning, and site restoration on those who acquire the right to operate wells and production facilities could impact our ability to sell or acquire assets in California or increase our costs in connection with the same.</w:t>
      </w:r>
    </w:p>
    <w:p>
      <w:pPr>
        <w:spacing w:after="0" w:line="18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California law imposes stringent financial assurance requirements on persons who acquire the right to operate a well or production facility in California, requiring them to file either an individual indemnity bond for single-well or production facility acquisitions, or a blanket indemnity bond for multiple wells or production facilities. The bond imposed on the acquirer is an amount determined by the state to sufficiently cover plugging and abandonment costs, decommissioning, and site restoration, and California law prohibits the closing of any acquisition of the right to operate a well or production facility until a determination on the appropriate bond amount has been completed by the state and the bond has been filed. This bonding requirement significantly impacts the economic feasibility of transferring the right to operate wells and production facilities, including transfers from smaller, less-capitalized operators to more financially stable operators such as ourselves. As of the year ended December 31, 2025, our asset retirement obligations were $1,033 million. This law will continue to impact our ability to grow or divest our assets within California.</w:t>
      </w:r>
    </w:p>
    <w:p>
      <w:pPr>
        <w:spacing w:after="0" w:line="210" w:lineRule="exact"/>
        <w:rPr>
          <w:sz w:val="20"/>
          <w:szCs w:val="20"/>
          <w:color w:val="auto"/>
        </w:rPr>
      </w:pPr>
    </w:p>
    <w:p>
      <w:pPr>
        <w:ind w:right="240" w:firstLine="324"/>
        <w:spacing w:after="0" w:line="294" w:lineRule="auto"/>
        <w:rPr>
          <w:sz w:val="20"/>
          <w:szCs w:val="20"/>
          <w:color w:val="auto"/>
        </w:rPr>
      </w:pPr>
      <w:r>
        <w:rPr>
          <w:rFonts w:ascii="Arial" w:cs="Arial" w:eastAsia="Arial" w:hAnsi="Arial"/>
          <w:sz w:val="18"/>
          <w:szCs w:val="18"/>
          <w:b w:val="1"/>
          <w:bCs w:val="1"/>
          <w:i w:val="1"/>
          <w:iCs w:val="1"/>
          <w:color w:val="auto"/>
        </w:rPr>
        <w:t>Our operations in Utah are subject to additional regulatory, permitting and legal risks, including risks associated with federal and tribal lands.</w:t>
      </w:r>
    </w:p>
    <w:p>
      <w:pPr>
        <w:spacing w:after="0" w:line="166" w:lineRule="exact"/>
        <w:rPr>
          <w:sz w:val="20"/>
          <w:szCs w:val="20"/>
          <w:color w:val="auto"/>
        </w:rPr>
      </w:pPr>
    </w:p>
    <w:p>
      <w:pPr>
        <w:jc w:val="both"/>
        <w:ind w:right="40" w:firstLine="324"/>
        <w:spacing w:after="0" w:line="262" w:lineRule="auto"/>
        <w:rPr>
          <w:sz w:val="20"/>
          <w:szCs w:val="20"/>
          <w:color w:val="auto"/>
        </w:rPr>
      </w:pPr>
      <w:r>
        <w:rPr>
          <w:rFonts w:ascii="Arial" w:cs="Arial" w:eastAsia="Arial" w:hAnsi="Arial"/>
          <w:sz w:val="18"/>
          <w:szCs w:val="18"/>
          <w:color w:val="auto"/>
        </w:rPr>
        <w:t>As a result of the Berry Merger, we have oil and gas operations and interests in Utah. Certain of these operations are located on federal lands administered by the U.S. Department of the Interior and the Bureau of Land Management, and certain acreage may be subject to tribal jurisdiction. Oil and gas development on federal and tribal lands is subject to regulatory regimes, approval processes and oversight that differ from those applicable to state or private lands and may be more complex, time-consuming or uncertain.</w:t>
      </w:r>
    </w:p>
    <w:p>
      <w:pPr>
        <w:spacing w:after="0" w:line="20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Development activities on federal lands may require compliance with the National Environmental Policy Act (NEPA) and other federal statutes and regulations, which can result in extended permitting timelines, additional environmental review requirements, increased costs, or litigation risk. Changes in federal laws, regulations, policies, enforcement practices or fiscal terms applicable to federal lands, including royalty rates, bonding requirements, leasing terms or permitting standards, could delay or restrict development activities or adversely affect the economics of our operations.</w:t>
      </w:r>
    </w:p>
    <w:p>
      <w:pPr>
        <w:spacing w:after="0" w:line="20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Operations on tribal lands may be subject to additional approvals, contractual requirements and regulatory authority of tribal governments. Disputes relating to tribal lands may be subject to different legal standards, forums or remedies, including limitations arising from tribal sovereign immunity, which could restrict our ability to enforce contractual rights or obtain judicial relief. Any of these factors could delay operations, increase costs, limit development opportunities or otherwise have a material adverse effect on our business, financial condition, results of operations or cash flows.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54" w:lineRule="exact"/>
        <w:rPr>
          <w:sz w:val="20"/>
          <w:szCs w:val="20"/>
          <w:color w:val="auto"/>
        </w:rPr>
      </w:pPr>
    </w:p>
    <w:p>
      <w:pPr>
        <w:ind w:right="300" w:firstLine="324"/>
        <w:spacing w:after="0" w:line="294" w:lineRule="auto"/>
        <w:rPr>
          <w:sz w:val="20"/>
          <w:szCs w:val="20"/>
          <w:color w:val="auto"/>
        </w:rPr>
      </w:pPr>
      <w:r>
        <w:rPr>
          <w:rFonts w:ascii="Arial" w:cs="Arial" w:eastAsia="Arial" w:hAnsi="Arial"/>
          <w:sz w:val="18"/>
          <w:szCs w:val="18"/>
          <w:b w:val="1"/>
          <w:bCs w:val="1"/>
          <w:i w:val="1"/>
          <w:iCs w:val="1"/>
          <w:color w:val="auto"/>
        </w:rPr>
        <w:t>We may not be able to amend or refinance our existing debt to create more operating and financial flexibility and to enhance shareholder returns</w:t>
      </w:r>
      <w:r>
        <w:rPr>
          <w:rFonts w:ascii="Arial" w:cs="Arial" w:eastAsia="Arial" w:hAnsi="Arial"/>
          <w:sz w:val="18"/>
          <w:szCs w:val="18"/>
          <w:color w:val="auto"/>
        </w:rPr>
        <w:t>.</w:t>
      </w:r>
    </w:p>
    <w:p>
      <w:pPr>
        <w:spacing w:after="0" w:line="166"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Our ability to refinance our debt depends on a variety of factors, including our ability to access the commercial banking and debt capital markets. Changes in interest rates could also impact our ability to refinance our debt. If interest rates increase, the interest expense burden of any refinanced debt or other variable rate debt would increase even though the amount borrowed remained the same. There can be no assurances that we will be successful in amending, replacing or refinancing our existing debt on acceptable terms or at all.</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existing and future indebtedness may adversely affect our business, financial condition and financial flexibility.</w:t>
      </w:r>
    </w:p>
    <w:p>
      <w:pPr>
        <w:spacing w:after="0" w:line="250"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As of December 31, 2025, we had $1,283 million of total long-term debt, net and additional borrowing capacity of $1,284 million under the Revolving Credit Facility (after giving effect to $176 million of outstanding letters of credit). The terms of our Revolving Credit Facility and Senior Notes permit us to incur significant additional debt, some of which may be secured. Our level of future indebtedness could affect our business in several ways, including the following:</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52" w:name="page53"/>
    <w:bookmarkEnd w:id="52"/>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management’s discretion in operating our business and reacting to changes in market conditions;</w:t>
      </w:r>
    </w:p>
    <w:p>
      <w:pPr>
        <w:spacing w:after="0" w:line="252"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us to dedicate a significant portion of our cash flow to debt service, thereby reducing funds available for operations, capital expenditures, acquisitions or shareholder returns;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our vulnerability to commodity price volatility, economic downturns and adverse regulatory developments;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our access to capital markets or increase the cost of future financing;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expose us to borrowing base reductions or interest rate increases that could adversely affect liquidity.</w:t>
      </w:r>
    </w:p>
    <w:p>
      <w:pPr>
        <w:spacing w:after="0" w:line="252" w:lineRule="exact"/>
        <w:rPr>
          <w:sz w:val="20"/>
          <w:szCs w:val="20"/>
          <w:color w:val="auto"/>
        </w:rPr>
      </w:pPr>
    </w:p>
    <w:p>
      <w:pPr>
        <w:ind w:right="660" w:firstLine="324"/>
        <w:spacing w:after="0" w:line="287" w:lineRule="auto"/>
        <w:rPr>
          <w:sz w:val="20"/>
          <w:szCs w:val="20"/>
          <w:color w:val="auto"/>
        </w:rPr>
      </w:pPr>
      <w:r>
        <w:rPr>
          <w:rFonts w:ascii="Arial" w:cs="Arial" w:eastAsia="Arial" w:hAnsi="Arial"/>
          <w:sz w:val="18"/>
          <w:szCs w:val="18"/>
          <w:color w:val="auto"/>
        </w:rPr>
        <w:t>Our ability to execute our business strategy and satisfy our debt obligations depends on our future operating performance and on economic, financial, competitive and other factors, many of which are beyond our control.</w:t>
      </w:r>
    </w:p>
    <w:p>
      <w:pPr>
        <w:spacing w:after="0" w:line="182" w:lineRule="exact"/>
        <w:rPr>
          <w:sz w:val="20"/>
          <w:szCs w:val="20"/>
          <w:color w:val="auto"/>
        </w:rPr>
      </w:pPr>
    </w:p>
    <w:p>
      <w:pPr>
        <w:ind w:right="280" w:firstLine="324"/>
        <w:spacing w:after="0" w:line="294"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the obligations under our indebtedness, which may not be successful.</w:t>
      </w:r>
    </w:p>
    <w:p>
      <w:pPr>
        <w:spacing w:after="0" w:line="166"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earnings and cash flows may vary significantly due to commodity price volatility and other industry factors, and the level of indebtedness that is manageable in some periods may be unsustainable in others. Additionally, our future cash flow may be insufficient to meet our debt obligations and other commitments at that time. Any insufficiency could negatively impact our business. A range of economic, competitive, business and industry factors will affect our future financial performance, and, as a result, our ability to generate cash flow from operations and to pay our debt obligations. Many of these factors, such as oil and natural gas prices, economic and financial conditions in our industry and the global economy and initiatives of our competitors, are beyond our control as discussed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We may be unable to maintain cash flows sufficient to pay the principal, premium, if any, and interest on our indebtedness.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lenders under our Revolving Credit Facility could limit our ability to borrow and restrict our use or access to capital.</w:t>
      </w:r>
    </w:p>
    <w:p>
      <w:pPr>
        <w:spacing w:after="0" w:line="25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Revolving Credit Facility is an important source of our liquidity. Our ability to borrow under our Revolving Credit Facility is limited by our borrowing base, the size of our lenders’ commitments and our ability to comply with covenants. The borrowing base under our Revolving Credit Facility is redetermined semi-annually by our lenders who review the value of our reserves and other factors that may be deemed appropriate. A reduction in our borrowing base below the aggregate commitment amount of our lenders would have a material adverse effect on our liquidity and may hinder our ability to execute on our business strategy.</w:t>
      </w:r>
    </w:p>
    <w:p>
      <w:pPr>
        <w:spacing w:after="0" w:line="208" w:lineRule="exact"/>
        <w:rPr>
          <w:sz w:val="20"/>
          <w:szCs w:val="20"/>
          <w:color w:val="auto"/>
        </w:rPr>
      </w:pPr>
    </w:p>
    <w:p>
      <w:pPr>
        <w:ind w:right="320" w:firstLine="324"/>
        <w:spacing w:after="0" w:line="294" w:lineRule="auto"/>
        <w:rPr>
          <w:sz w:val="20"/>
          <w:szCs w:val="20"/>
          <w:color w:val="auto"/>
        </w:rPr>
      </w:pPr>
      <w:r>
        <w:rPr>
          <w:rFonts w:ascii="Arial" w:cs="Arial" w:eastAsia="Arial" w:hAnsi="Arial"/>
          <w:sz w:val="18"/>
          <w:szCs w:val="18"/>
          <w:b w:val="1"/>
          <w:bCs w:val="1"/>
          <w:i w:val="1"/>
          <w:iCs w:val="1"/>
          <w:color w:val="auto"/>
        </w:rPr>
        <w:t>Restrictive covenants in our Revolving Credit Facility and the indentures governing our Senior Notes may limit our financial and operating flexibility and adversely affect our ability to execute our business strategy.</w:t>
      </w:r>
    </w:p>
    <w:p>
      <w:pPr>
        <w:spacing w:after="0" w:line="16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Revolving Credit Facility and the indentures governing our Senior Notes contain covenants that may adversely effect our business, financial condition or results of operations. These covenants limit our ability to, among other things, incur additional indebtedness, pay dividends or repurchase shares, dispose of assets, or make capital investments. The Revolving Credit Facility also requires us to comply with certain financial maintenance covenants, including a leverage ratio and current ratio. A breach of these covenants could result in a default under the Revolving Credit Facility and/or the Senior Notes. If a default occurs under the Revolving Credit Facility, the lenders may elect to declare all borrowings thereunder outstanding, together with accrued interest and other fees, to be immediately due and payable. If we are unable to repay our indebtedness when due or declared due, the lenders under the Revolving Credit Facility will also have the right to proceed against the collateral pledged to them to secure the indebtedness. An event of default under the Senior Notes may cause all outstanding Senior Notes to become due and payable immediately or give the trustee and the holders the right to declare all outstanding Senior Notes to become due and payable immediately.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3" w:name="page54"/>
    <w:bookmarkEnd w:id="53"/>
    <w:p>
      <w:pPr>
        <w:ind w:right="360" w:firstLine="324"/>
        <w:spacing w:after="0" w:line="294" w:lineRule="auto"/>
        <w:rPr>
          <w:sz w:val="20"/>
          <w:szCs w:val="20"/>
          <w:color w:val="auto"/>
        </w:rPr>
      </w:pPr>
      <w:r>
        <w:rPr>
          <w:rFonts w:ascii="Arial" w:cs="Arial" w:eastAsia="Arial" w:hAnsi="Arial"/>
          <w:sz w:val="18"/>
          <w:szCs w:val="18"/>
          <w:b w:val="1"/>
          <w:bCs w:val="1"/>
          <w:i w:val="1"/>
          <w:iCs w:val="1"/>
          <w:color w:val="auto"/>
        </w:rPr>
        <w:t>Variable rate indebtedness under our Revolving Credit Facility subjects us to interest rate risk, which could cause our debt service obligations to increase significantly.</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Borrowings under our Revolving Credit Facility are at variable rates of interest and expose us to interest rate risk. As of December 31, 2025, we had no amounts borrowed under our Revolving Credit Facility. If in the future we borrow under the Revolving Credit Facility, then our results of operations would be sensitive to movements in interest rates. There are many economic factors outside our control that have in the past and may, in the future, impact rates of interest including publicly announced indices that underlie the interest obligations related to our Revolving Credit Facility. Factors that impact interest rates include governmental monetary policies, inflation, economic conditions, changes in unemployment rates, international disorder and instability in domestic and foreign financial markets. If interest rates increase, our debt service obligations on the variable rate indebtedness would increase even though the amount borrowed remained the same, and our results of operations would be adversely impacted. Such increases in interest rates could have a material adverse effect on our business, financial condition and results of operations if we borrow under the Revolving Credit Facility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pay dividends and repurchase shares of our common stock is subject to certain risks.</w:t>
      </w:r>
    </w:p>
    <w:p>
      <w:pPr>
        <w:spacing w:after="0" w:line="25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have adopted a cash dividend policy which anticipates a total annual dividend of $1.62 per share, payable to shareholders in quarterly increments of $ 0.405 per share of common stock, subject to board authorization and declaration each quarter. Our Board of Directors has authorized a share repurchase program to acquire up to $1.78 billion of our common stock through December 31, 2027. After the increase and shares repurchased in January 2026, approximately $ 600 million remained unused as of February 28, 2026. Any payment of future dividends or repurchasing shares of our common stock will be at the discretion of our Board of Directors and will depend upon, among other things, our earnings, liquidity, capital requirements, financial condition and other factors deemed relevant. Our Revolving Credit Facility and Senior Notes both limit our ability to pay dividends and repurchase shares of our common stock. In addition, cash dividend payments in the future may only be made out of legally available funds and, if we experience substantial losses, such funds may not be available. We can provide no assurances that we will continue to pay dividends at the anticipated rate or repurchase shares of our common stock within the authorized amount or at all.</w:t>
      </w:r>
    </w:p>
    <w:p>
      <w:pPr>
        <w:spacing w:after="0" w:line="214" w:lineRule="exact"/>
        <w:rPr>
          <w:sz w:val="20"/>
          <w:szCs w:val="20"/>
          <w:color w:val="auto"/>
        </w:rPr>
      </w:pPr>
    </w:p>
    <w:p>
      <w:pPr>
        <w:ind w:right="200" w:firstLine="324"/>
        <w:spacing w:after="0" w:line="294" w:lineRule="auto"/>
        <w:rPr>
          <w:sz w:val="20"/>
          <w:szCs w:val="20"/>
          <w:color w:val="auto"/>
        </w:rPr>
      </w:pPr>
      <w:r>
        <w:rPr>
          <w:rFonts w:ascii="Arial" w:cs="Arial" w:eastAsia="Arial" w:hAnsi="Arial"/>
          <w:sz w:val="18"/>
          <w:szCs w:val="18"/>
          <w:b w:val="1"/>
          <w:bCs w:val="1"/>
          <w:i w:val="1"/>
          <w:iCs w:val="1"/>
          <w:color w:val="auto"/>
        </w:rPr>
        <w:t>The trading price of our common stock may decline, and you may not be able to resell shares of our common stock at prices equal to or greater than the price you paid or at all.</w:t>
      </w:r>
    </w:p>
    <w:p>
      <w:pPr>
        <w:spacing w:after="0" w:line="166"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The trading price of our common stock may be volatile and may decline for reasons beyond our control. In the event of a drop in the market price of our common stock, you could lose a substantial part or all of your investment in our common stock. Numerous factors, including changes in our operating results, commodity prices, economic conditions, regulatory developments, capital allocation decisions, analyst estimates and market valuations of comparable companies, could adversely affect our stock price.</w:t>
      </w:r>
    </w:p>
    <w:p>
      <w:pPr>
        <w:spacing w:after="0" w:line="205" w:lineRule="exact"/>
        <w:rPr>
          <w:sz w:val="20"/>
          <w:szCs w:val="20"/>
          <w:color w:val="auto"/>
        </w:rPr>
      </w:pPr>
    </w:p>
    <w:p>
      <w:pPr>
        <w:ind w:right="140" w:firstLine="324"/>
        <w:spacing w:after="0" w:line="294" w:lineRule="auto"/>
        <w:rPr>
          <w:sz w:val="20"/>
          <w:szCs w:val="20"/>
          <w:color w:val="auto"/>
        </w:rPr>
      </w:pPr>
      <w:r>
        <w:rPr>
          <w:rFonts w:ascii="Arial" w:cs="Arial" w:eastAsia="Arial" w:hAnsi="Arial"/>
          <w:sz w:val="18"/>
          <w:szCs w:val="18"/>
          <w:b w:val="1"/>
          <w:bCs w:val="1"/>
          <w:i w:val="1"/>
          <w:iCs w:val="1"/>
          <w:color w:val="auto"/>
        </w:rPr>
        <w:t>Future issuances of our common stock could reduce our stock price, and any additional capital raised by us through the sale of equity or convertible securities may dilute your ownership in us.</w:t>
      </w:r>
    </w:p>
    <w:p>
      <w:pPr>
        <w:spacing w:after="0" w:line="16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may issue shares of common stock or securities convertible into common stock in public or private transactions. We may also issue additional shares of common stock or convertible securities in connection with mergers or acquisitions, such as in December 2025 when we issued 5.6 million shares of common stock in connection with the Berry Merger. We cannot predict the size of other future issuances of our common stock or securities convertible into common stock or the effect, if any, that such other future issuances and sales of shares of our common stock will have on the market price of our common stock. Sales of substantial amounts of our common stock, or the perception that such sales could occur, may adversely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2" w:right="379" w:bottom="1440" w:gutter="0" w:footer="0" w:header="0"/>
        </w:sectPr>
      </w:pPr>
    </w:p>
    <w:bookmarkStart w:id="54" w:name="page55"/>
    <w:bookmarkEnd w:id="54"/>
    <w:p>
      <w:pPr>
        <w:ind w:right="460" w:firstLine="324"/>
        <w:spacing w:after="0" w:line="294" w:lineRule="auto"/>
        <w:rPr>
          <w:sz w:val="20"/>
          <w:szCs w:val="20"/>
          <w:color w:val="auto"/>
        </w:rPr>
      </w:pPr>
      <w:r>
        <w:rPr>
          <w:rFonts w:ascii="Arial" w:cs="Arial" w:eastAsia="Arial" w:hAnsi="Arial"/>
          <w:sz w:val="18"/>
          <w:szCs w:val="18"/>
          <w:b w:val="1"/>
          <w:bCs w:val="1"/>
          <w:i w:val="1"/>
          <w:iCs w:val="1"/>
          <w:color w:val="auto"/>
        </w:rPr>
        <w:t>The ownership position of certain of our stockholders limits other stockholders’ ability to influence corporate matters and could affect the price of our common stock.</w:t>
      </w:r>
    </w:p>
    <w:p>
      <w:pPr>
        <w:spacing w:after="0" w:line="166" w:lineRule="exact"/>
        <w:rPr>
          <w:sz w:val="20"/>
          <w:szCs w:val="20"/>
          <w:color w:val="auto"/>
        </w:rPr>
      </w:pPr>
    </w:p>
    <w:p>
      <w:pPr>
        <w:jc w:val="both"/>
        <w:ind w:right="200" w:firstLine="324"/>
        <w:spacing w:after="0" w:line="262" w:lineRule="auto"/>
        <w:rPr>
          <w:sz w:val="20"/>
          <w:szCs w:val="20"/>
          <w:color w:val="auto"/>
        </w:rPr>
      </w:pPr>
      <w:r>
        <w:rPr>
          <w:rFonts w:ascii="Arial" w:cs="Arial" w:eastAsia="Arial" w:hAnsi="Arial"/>
          <w:sz w:val="18"/>
          <w:szCs w:val="18"/>
          <w:color w:val="auto"/>
        </w:rPr>
        <w:t>As of December 31, 2025, four of our shareholders owned at least 5% each and collectively owned approximately 41% of our common stock. As a result, each of these stockholders, or any entity to which such stockholders sell their stock, may be able to exercise significant control over matters requiring stockholder approval. Further, because of this large ownership position, if these stockholders sell their stock, the sales could depress our share price.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Sales of shares of our common stock by our executive officers could negatively impact the market price for our common stock.</w:t>
      </w:r>
    </w:p>
    <w:p>
      <w:pPr>
        <w:spacing w:after="0" w:line="262"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Sales of our common stock by our executive officers may adversely impact the trading price of our common stock, even when done in compliance with our policies with respect to insider sales. Although we do not expect that the relatively small volume of such sales will itself significantly impact the trading price of our common stock, the market could react negatively to the announcement of such sales, which could in turn affect the trading price of our common stock.</w:t>
      </w:r>
    </w:p>
    <w:p>
      <w:pPr>
        <w:spacing w:after="0" w:line="20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1C</w:t>
      </w:r>
      <w:r>
        <w:rPr>
          <w:sz w:val="20"/>
          <w:szCs w:val="20"/>
          <w:color w:val="auto"/>
        </w:rPr>
        <w:tab/>
      </w:r>
      <w:r>
        <w:rPr>
          <w:rFonts w:ascii="Arial" w:cs="Arial" w:eastAsia="Arial" w:hAnsi="Arial"/>
          <w:sz w:val="17"/>
          <w:szCs w:val="17"/>
          <w:b w:val="1"/>
          <w:bCs w:val="1"/>
          <w:color w:val="auto"/>
        </w:rPr>
        <w:t>CYBERSECURITY</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rely on information systems, computer networks and digital technologies to operate our business, including managing our operations, protecting sensitive data, communicating internally and externally, and preparing financial and operational information. Our cybersecurity program is designed to protect these critical systems and data while supporting business operations and growth objectives.</w:t>
      </w:r>
    </w:p>
    <w:p>
      <w:pPr>
        <w:spacing w:after="0" w:line="19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maintain a comprehensive, risk-based approach to assess, identify and manage material risks from cybersecurity threats. Our controls are based on the NIST Cybersecurity Framework (CSF). Our cybersecurity risk management processes are integrated into our broader enterprise risk management framework and include: (i) regular assessment and monitoring of internal and external cybersecurity threats, (ii) evaluation of potential impacts on business operations, financial performance and stakeholder interests, (iii) periodic evaluation of control effectiveness to determine residual risk levels and guide program improvements, and (iv) integration of cybersecurity considerations into business strategy and technology decisions. Our cybersecurity risk management approach includes external threat analysis, vulnerability scanning and patching, monitoring of alerts, logs, and activities, penetration testing, and external vulnerability assessments. We also have insurance that may reduce the financial impacts of cybersecurity incidents.</w:t>
      </w:r>
    </w:p>
    <w:p>
      <w:pPr>
        <w:spacing w:after="0" w:line="212"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Our cybersecurity framework is evaluated by internal and external experts on an ongoing basis or within the scope of certain projects or engagements. Where we use third-party service providers, we endeavor to ensure that cybersecurity threats are minimized including by establishing contractual protections that include minimum security and breach notification requirements. We regularly evaluate and adjust these processes based on changes in the threat landscape and business environment.</w:t>
      </w:r>
    </w:p>
    <w:p>
      <w:pPr>
        <w:spacing w:after="0" w:line="203"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In accordance with our cybersecurity incident response plan, the severity of cybersecurity incidents is classified based on the degree of adverse impact on our business, scale of penetration, risk of propagation, significance of impact, impact on protected information, and our monitoring capability. Incident response is overseen by a cybersecurity incident response team steering committee comprised of members of management with the responsibility to inform senior management and/or the Audit Committee based on incident severity classification.</w:t>
      </w:r>
    </w:p>
    <w:p>
      <w:pPr>
        <w:spacing w:after="0" w:line="20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Audit Committee of our Board of Directors is responsible for overseeing our risk assessment and risk management activities, including cybersecurity risks. The Audit Committee is briefed by our Chief Digital &amp; Information Officer on cybersecurity risks at regular meetings and separately as circumstances warrant. Cybersecurity risks are also included in our enterprise risk management program which is reported separately to the Audit Committee. We maintain a dedicated cybersecurity team responsible for program implementation and operational security activities.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55" w:name="page56"/>
    <w:bookmarkEnd w:id="55"/>
    <w:p>
      <w:pPr>
        <w:ind w:firstLine="324"/>
        <w:spacing w:after="0" w:line="259" w:lineRule="auto"/>
        <w:rPr>
          <w:sz w:val="20"/>
          <w:szCs w:val="20"/>
          <w:color w:val="auto"/>
        </w:rPr>
      </w:pPr>
      <w:r>
        <w:rPr>
          <w:rFonts w:ascii="Arial" w:cs="Arial" w:eastAsia="Arial" w:hAnsi="Arial"/>
          <w:sz w:val="18"/>
          <w:szCs w:val="18"/>
          <w:color w:val="auto"/>
        </w:rPr>
        <w:t>Our Chief Digital &amp; Information Officer is responsible for assessing and managing our material risks from cybersecurity threats. In carrying out these responsibilities, he is informed about and monitors the prevention, detection, mitigation and remediation of cybersecurity incidents through regular briefings and reporting from our cybersecurity team. He has over 28 years of experience in information technology, including leadership roles responsible for cybersecurity and data privacy. He graduated from California State University, Bakersfield with a Bachelor of Science degree in Computer Science.</w:t>
      </w:r>
    </w:p>
    <w:p>
      <w:pPr>
        <w:spacing w:after="0" w:line="206"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As of the date of this report, though we and our service providers have experienced certain cybersecurity incidents, we are not aware of any risks from cybersecurity threats that have materially affected or are reasonably likely to materially affect our business strategy, results of operations, or financial condition.</w:t>
      </w:r>
    </w:p>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5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 xml:space="preserve">For information regarding legal proceedings, see </w:t>
      </w:r>
      <w:r>
        <w:rPr>
          <w:rFonts w:ascii="Arial" w:cs="Arial" w:eastAsia="Arial" w:hAnsi="Arial"/>
          <w:sz w:val="18"/>
          <w:szCs w:val="18"/>
          <w:i w:val="1"/>
          <w:iCs w:val="1"/>
          <w:color w:val="auto"/>
        </w:rPr>
        <w:t>Part II, Item 7 – 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 Lawsuits, Claims, Commitments and Contingencies </w:t>
      </w:r>
      <w:r>
        <w:rPr>
          <w:rFonts w:ascii="Arial" w:cs="Arial" w:eastAsia="Arial" w:hAnsi="Arial"/>
          <w:sz w:val="18"/>
          <w:szCs w:val="18"/>
          <w:color w:val="auto"/>
        </w:rPr>
        <w:t>and</w:t>
      </w:r>
      <w:r>
        <w:rPr>
          <w:rFonts w:ascii="Arial" w:cs="Arial" w:eastAsia="Arial" w:hAnsi="Arial"/>
          <w:sz w:val="18"/>
          <w:szCs w:val="18"/>
          <w:i w:val="1"/>
          <w:iCs w:val="1"/>
          <w:color w:val="auto"/>
        </w:rPr>
        <w:t xml:space="preserve"> Part II, Item 8 – Financial Statements and Supplementary Data – Note 6 Lawsuits, Claims, Commitments and Contingencies</w:t>
      </w:r>
      <w:r>
        <w:rPr>
          <w:rFonts w:ascii="Arial" w:cs="Arial" w:eastAsia="Arial" w:hAnsi="Arial"/>
          <w:sz w:val="18"/>
          <w:szCs w:val="18"/>
          <w:color w:val="auto"/>
        </w:rPr>
        <w:t>.</w:t>
      </w:r>
    </w:p>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33" w:right="4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1140" w:hanging="1133"/>
        <w:spacing w:after="0" w:line="296" w:lineRule="auto"/>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traded under the symbol "CRC" on the New York Stock Exchange (NYSE).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44"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color w:val="auto"/>
        </w:rPr>
        <w:t>Our common stock was held by 20 stockholders of record at January 31, 2026, which does not include the beneficial owners for whom Cede and Co. or others act as nominees.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5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Board of Directors has approved a cash dividend policy that contemplates a total annual dividend of $ 1.62 per share of common stock, payable to stockholders in quarterly increments of $0.405 per share. This includes a recent amendment in November 2025 to our prior dividend policy that contemplated a total quarterly dividend of $0.3875 per share of common stock. Changes to our dividend policy and all dividends are subject to approval by our Board of Directors and will be determined based on conditions including our earnings, liquidity, capital requirements, financial condition, restrictions under our Revolving Credit Facility and Senior Notes and other factors.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5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 xml:space="preserve">Our Board of Directors authorized a Share Repurchase Program to acquire up to $1.78 billion of our common stock through December 31, 2027. This includes a recent increase of $430 million and extension approved by our Board of Directors on February 24, 2026. For additional information, see </w:t>
      </w:r>
      <w:r>
        <w:rPr>
          <w:rFonts w:ascii="Arial" w:cs="Arial" w:eastAsia="Arial" w:hAnsi="Arial"/>
          <w:sz w:val="18"/>
          <w:szCs w:val="18"/>
          <w:i w:val="1"/>
          <w:iCs w:val="1"/>
          <w:color w:val="auto"/>
        </w:rPr>
        <w:t>Part II, Item 8 – Financial Statements and Supplementary Data, Note 19 Subsequent Events.</w:t>
      </w:r>
      <w:r>
        <w:rPr>
          <w:rFonts w:ascii="Arial" w:cs="Arial" w:eastAsia="Arial" w:hAnsi="Arial"/>
          <w:sz w:val="18"/>
          <w:szCs w:val="18"/>
          <w:color w:val="auto"/>
        </w:rPr>
        <w:t xml:space="preserve"> Our Share Repurchase Program does not obligate us to acquire any number of shares and may be discontinued at any time. For further information regarding our Share Repurchase Program, see </w:t>
      </w:r>
      <w:r>
        <w:rPr>
          <w:rFonts w:ascii="Arial" w:cs="Arial" w:eastAsia="Arial" w:hAnsi="Arial"/>
          <w:sz w:val="18"/>
          <w:szCs w:val="18"/>
          <w:i w:val="1"/>
          <w:iCs w:val="1"/>
          <w:color w:val="auto"/>
        </w:rPr>
        <w:t>Part II, Item 7 – Management's Discussion and Analysis of Financial Results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Transactions Related to Our Common Stock. </w:t>
      </w:r>
      <w:r>
        <w:rPr>
          <w:rFonts w:ascii="Arial" w:cs="Arial" w:eastAsia="Arial" w:hAnsi="Arial"/>
          <w:sz w:val="18"/>
          <w:szCs w:val="18"/>
          <w:color w:val="auto"/>
        </w:rPr>
        <w:t>Our share repurchase activity for the year ended December 31, 2025 was as follows:</w:t>
      </w:r>
    </w:p>
    <w:p>
      <w:pPr>
        <w:sectPr>
          <w:pgSz w:w="11900" w:h="16838" w:orient="portrait"/>
          <w:cols w:equalWidth="0" w:num="1">
            <w:col w:w="11240"/>
          </w:cols>
          <w:pgMar w:left="320" w:top="998" w:right="339" w:bottom="1440" w:gutter="0" w:footer="0" w:header="0"/>
        </w:sect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Total Number</w:t>
            </w:r>
          </w:p>
        </w:tc>
        <w:tc>
          <w:tcPr>
            <w:tcW w:w="12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175"/>
        </w:trPr>
        <w:tc>
          <w:tcPr>
            <w:tcW w:w="4200" w:type="dxa"/>
            <w:vAlign w:val="bottom"/>
            <w:vMerge w:val="restart"/>
          </w:tcPr>
          <w:p>
            <w:pPr>
              <w:ind w:left="1820"/>
              <w:spacing w:after="0"/>
              <w:rPr>
                <w:sz w:val="20"/>
                <w:szCs w:val="20"/>
                <w:color w:val="auto"/>
              </w:rPr>
            </w:pPr>
            <w:r>
              <w:rPr>
                <w:rFonts w:ascii="Arial" w:cs="Arial" w:eastAsia="Arial" w:hAnsi="Arial"/>
                <w:sz w:val="18"/>
                <w:szCs w:val="18"/>
                <w:b w:val="1"/>
                <w:bCs w:val="1"/>
                <w:color w:val="auto"/>
              </w:rPr>
              <w:t>Period</w:t>
            </w:r>
          </w:p>
        </w:tc>
        <w:tc>
          <w:tcPr>
            <w:tcW w:w="13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of Shares</w:t>
            </w:r>
          </w:p>
        </w:tc>
        <w:tc>
          <w:tcPr>
            <w:tcW w:w="10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rPr>
              <w:t>Price Paid</w:t>
            </w:r>
          </w:p>
        </w:tc>
        <w:tc>
          <w:tcPr>
            <w:tcW w:w="0" w:type="dxa"/>
            <w:vAlign w:val="bottom"/>
          </w:tcPr>
          <w:p>
            <w:pPr>
              <w:spacing w:after="0"/>
              <w:rPr>
                <w:sz w:val="1"/>
                <w:szCs w:val="1"/>
                <w:color w:val="auto"/>
              </w:rPr>
            </w:pPr>
          </w:p>
        </w:tc>
      </w:tr>
      <w:tr>
        <w:trPr>
          <w:trHeight w:val="243"/>
        </w:trPr>
        <w:tc>
          <w:tcPr>
            <w:tcW w:w="4200" w:type="dxa"/>
            <w:vAlign w:val="bottom"/>
            <w:vMerge w:val="continue"/>
          </w:tcPr>
          <w:p>
            <w:pPr>
              <w:spacing w:after="0"/>
              <w:rPr>
                <w:sz w:val="21"/>
                <w:szCs w:val="21"/>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Purchased</w:t>
            </w: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218"/>
        </w:trPr>
        <w:tc>
          <w:tcPr>
            <w:tcW w:w="4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January 1, 2025 - March 31, 2025</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2,271,919</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April 1, 2025 - June 30, 2025</w:t>
            </w:r>
          </w:p>
        </w:tc>
        <w:tc>
          <w:tcPr>
            <w:tcW w:w="1260" w:type="dxa"/>
            <w:vAlign w:val="bottom"/>
          </w:tcPr>
          <w:p>
            <w:pPr>
              <w:jc w:val="right"/>
              <w:spacing w:after="0"/>
              <w:rPr>
                <w:sz w:val="20"/>
                <w:szCs w:val="20"/>
                <w:color w:val="auto"/>
              </w:rPr>
            </w:pPr>
            <w:r>
              <w:rPr>
                <w:rFonts w:ascii="Arial" w:cs="Arial" w:eastAsia="Arial" w:hAnsi="Arial"/>
                <w:sz w:val="18"/>
                <w:szCs w:val="18"/>
                <w:color w:val="auto"/>
              </w:rPr>
              <w:t>5,516,050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45.73</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July 1, 2025 - September 30, 2025</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October 1, 2025 - October 31, 2025</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November 1, 2025 - November 30, 2025</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200" w:type="dxa"/>
            <w:vAlign w:val="bottom"/>
          </w:tcPr>
          <w:p>
            <w:pPr>
              <w:ind w:left="20"/>
              <w:spacing w:after="0"/>
              <w:rPr>
                <w:sz w:val="20"/>
                <w:szCs w:val="20"/>
                <w:color w:val="auto"/>
              </w:rPr>
            </w:pPr>
            <w:r>
              <w:rPr>
                <w:rFonts w:ascii="Arial" w:cs="Arial" w:eastAsia="Arial" w:hAnsi="Arial"/>
                <w:sz w:val="18"/>
                <w:szCs w:val="18"/>
                <w:color w:val="auto"/>
              </w:rPr>
              <w:t>December 1, 2025 - December 31, 2025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540,294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0" w:type="dxa"/>
            <w:vAlign w:val="bottom"/>
          </w:tcPr>
          <w:p>
            <w:pPr>
              <w:spacing w:after="0"/>
              <w:rPr>
                <w:sz w:val="1"/>
                <w:szCs w:val="1"/>
                <w:color w:val="auto"/>
              </w:rPr>
            </w:pPr>
          </w:p>
        </w:tc>
      </w:tr>
      <w:tr>
        <w:trPr>
          <w:trHeight w:val="223"/>
        </w:trPr>
        <w:tc>
          <w:tcPr>
            <w:tcW w:w="4200" w:type="dxa"/>
            <w:vAlign w:val="bottom"/>
          </w:tcPr>
          <w:p>
            <w:pPr>
              <w:ind w:left="140"/>
              <w:spacing w:after="0"/>
              <w:rPr>
                <w:sz w:val="20"/>
                <w:szCs w:val="20"/>
                <w:color w:val="auto"/>
              </w:rPr>
            </w:pPr>
            <w:r>
              <w:rPr>
                <w:rFonts w:ascii="Arial" w:cs="Arial" w:eastAsia="Arial" w:hAnsi="Arial"/>
                <w:sz w:val="18"/>
                <w:szCs w:val="18"/>
                <w:color w:val="auto"/>
              </w:rPr>
              <w:t>Total 2025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8,328,263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-1071245</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Total Number of Shares</w:t>
            </w:r>
          </w:p>
        </w:tc>
        <w:tc>
          <w:tcPr>
            <w:tcW w:w="2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Maximum Dollar Value of</w:t>
            </w:r>
          </w:p>
        </w:tc>
      </w:tr>
      <w:tr>
        <w:trPr>
          <w:trHeight w:val="175"/>
        </w:trPr>
        <w:tc>
          <w:tcPr>
            <w:tcW w:w="226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Purchased as Part of</w:t>
            </w:r>
          </w:p>
        </w:tc>
        <w:tc>
          <w:tcPr>
            <w:tcW w:w="160" w:type="dxa"/>
            <w:vAlign w:val="bottom"/>
          </w:tcPr>
          <w:p>
            <w:pPr>
              <w:spacing w:after="0"/>
              <w:rPr>
                <w:sz w:val="15"/>
                <w:szCs w:val="15"/>
                <w:color w:val="auto"/>
              </w:rPr>
            </w:pPr>
          </w:p>
        </w:tc>
        <w:tc>
          <w:tcPr>
            <w:tcW w:w="21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Shares that May Yet be</w:t>
            </w:r>
          </w:p>
        </w:tc>
      </w:tr>
      <w:tr>
        <w:trPr>
          <w:trHeight w:val="184"/>
        </w:trPr>
        <w:tc>
          <w:tcPr>
            <w:tcW w:w="2260" w:type="dxa"/>
            <w:vAlign w:val="bottom"/>
            <w:gridSpan w:val="2"/>
          </w:tcPr>
          <w:p>
            <w:pPr>
              <w:jc w:val="center"/>
              <w:ind w:right="80"/>
              <w:spacing w:after="0" w:line="183" w:lineRule="exact"/>
              <w:rPr>
                <w:sz w:val="20"/>
                <w:szCs w:val="20"/>
                <w:color w:val="auto"/>
              </w:rPr>
            </w:pPr>
            <w:r>
              <w:rPr>
                <w:rFonts w:ascii="Arial" w:cs="Arial" w:eastAsia="Arial" w:hAnsi="Arial"/>
                <w:sz w:val="18"/>
                <w:szCs w:val="18"/>
                <w:b w:val="1"/>
                <w:bCs w:val="1"/>
                <w:color w:val="auto"/>
              </w:rPr>
              <w:t>Publicly Announced</w:t>
            </w:r>
          </w:p>
        </w:tc>
        <w:tc>
          <w:tcPr>
            <w:tcW w:w="160" w:type="dxa"/>
            <w:vAlign w:val="bottom"/>
          </w:tcPr>
          <w:p>
            <w:pPr>
              <w:spacing w:after="0"/>
              <w:rPr>
                <w:sz w:val="15"/>
                <w:szCs w:val="15"/>
                <w:color w:val="auto"/>
              </w:rPr>
            </w:pPr>
          </w:p>
        </w:tc>
        <w:tc>
          <w:tcPr>
            <w:tcW w:w="2180" w:type="dxa"/>
            <w:vAlign w:val="bottom"/>
          </w:tcPr>
          <w:p>
            <w:pPr>
              <w:jc w:val="center"/>
              <w:ind w:right="70"/>
              <w:spacing w:after="0" w:line="183" w:lineRule="exact"/>
              <w:rPr>
                <w:sz w:val="20"/>
                <w:szCs w:val="20"/>
                <w:color w:val="auto"/>
              </w:rPr>
            </w:pPr>
            <w:r>
              <w:rPr>
                <w:rFonts w:ascii="Arial" w:cs="Arial" w:eastAsia="Arial" w:hAnsi="Arial"/>
                <w:sz w:val="18"/>
                <w:szCs w:val="18"/>
                <w:b w:val="1"/>
                <w:bCs w:val="1"/>
                <w:color w:val="auto"/>
              </w:rPr>
              <w:t>Purchased Under the</w:t>
            </w:r>
          </w:p>
        </w:tc>
      </w:tr>
      <w:tr>
        <w:trPr>
          <w:trHeight w:val="235"/>
        </w:trPr>
        <w:tc>
          <w:tcPr>
            <w:tcW w:w="2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Plans or Programs</w:t>
            </w:r>
          </w:p>
        </w:tc>
        <w:tc>
          <w:tcPr>
            <w:tcW w:w="160" w:type="dxa"/>
            <w:vAlign w:val="bottom"/>
          </w:tcPr>
          <w:p>
            <w:pPr>
              <w:spacing w:after="0"/>
              <w:rPr>
                <w:sz w:val="20"/>
                <w:szCs w:val="20"/>
                <w:color w:val="auto"/>
              </w:rPr>
            </w:pPr>
          </w:p>
        </w:tc>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Plans or Programs</w:t>
            </w:r>
          </w:p>
        </w:tc>
      </w:tr>
      <w:tr>
        <w:trPr>
          <w:trHeight w:val="218"/>
        </w:trPr>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2,271,919</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30"/>
        </w:trPr>
        <w:tc>
          <w:tcPr>
            <w:tcW w:w="2160" w:type="dxa"/>
            <w:vAlign w:val="bottom"/>
          </w:tcPr>
          <w:p>
            <w:pPr>
              <w:jc w:val="right"/>
              <w:spacing w:after="0"/>
              <w:rPr>
                <w:sz w:val="20"/>
                <w:szCs w:val="20"/>
                <w:color w:val="auto"/>
              </w:rPr>
            </w:pPr>
            <w:r>
              <w:rPr>
                <w:rFonts w:ascii="Arial" w:cs="Arial" w:eastAsia="Arial" w:hAnsi="Arial"/>
                <w:sz w:val="18"/>
                <w:szCs w:val="18"/>
                <w:color w:val="auto"/>
              </w:rPr>
              <w:t>5,516,050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tcPr>
          <w:p>
            <w:pPr>
              <w:ind w:left="1920"/>
              <w:spacing w:after="0"/>
              <w:rPr>
                <w:sz w:val="20"/>
                <w:szCs w:val="20"/>
                <w:color w:val="auto"/>
              </w:rPr>
            </w:pPr>
            <w:r>
              <w:rPr>
                <w:rFonts w:ascii="Arial" w:cs="Arial" w:eastAsia="Arial" w:hAnsi="Arial"/>
                <w:sz w:val="18"/>
                <w:szCs w:val="18"/>
                <w:color w:val="auto"/>
              </w:rPr>
              <w:t>—</w:t>
            </w:r>
          </w:p>
        </w:tc>
      </w:tr>
      <w:tr>
        <w:trPr>
          <w:trHeight w:val="230"/>
        </w:trPr>
        <w:tc>
          <w:tcPr>
            <w:tcW w:w="2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180" w:type="dxa"/>
            <w:vAlign w:val="bottom"/>
          </w:tcPr>
          <w:p>
            <w:pPr>
              <w:ind w:left="1920"/>
              <w:spacing w:after="0"/>
              <w:rPr>
                <w:sz w:val="20"/>
                <w:szCs w:val="20"/>
                <w:color w:val="auto"/>
              </w:rPr>
            </w:pPr>
            <w:r>
              <w:rPr>
                <w:rFonts w:ascii="Arial" w:cs="Arial" w:eastAsia="Arial" w:hAnsi="Arial"/>
                <w:sz w:val="18"/>
                <w:szCs w:val="18"/>
                <w:color w:val="auto"/>
              </w:rPr>
              <w:t>—</w:t>
            </w:r>
          </w:p>
        </w:tc>
      </w:tr>
      <w:tr>
        <w:trPr>
          <w:trHeight w:val="229"/>
        </w:trPr>
        <w:tc>
          <w:tcPr>
            <w:tcW w:w="2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180" w:type="dxa"/>
            <w:vAlign w:val="bottom"/>
          </w:tcPr>
          <w:p>
            <w:pPr>
              <w:ind w:left="1920"/>
              <w:spacing w:after="0"/>
              <w:rPr>
                <w:sz w:val="20"/>
                <w:szCs w:val="20"/>
                <w:color w:val="auto"/>
              </w:rPr>
            </w:pPr>
            <w:r>
              <w:rPr>
                <w:rFonts w:ascii="Arial" w:cs="Arial" w:eastAsia="Arial" w:hAnsi="Arial"/>
                <w:sz w:val="18"/>
                <w:szCs w:val="18"/>
                <w:color w:val="auto"/>
              </w:rPr>
              <w:t>—</w:t>
            </w:r>
          </w:p>
        </w:tc>
      </w:tr>
      <w:tr>
        <w:trPr>
          <w:trHeight w:val="230"/>
        </w:trPr>
        <w:tc>
          <w:tcPr>
            <w:tcW w:w="2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180" w:type="dxa"/>
            <w:vAlign w:val="bottom"/>
          </w:tcPr>
          <w:p>
            <w:pPr>
              <w:ind w:left="1920"/>
              <w:spacing w:after="0"/>
              <w:rPr>
                <w:sz w:val="20"/>
                <w:szCs w:val="20"/>
                <w:color w:val="auto"/>
              </w:rPr>
            </w:pPr>
            <w:r>
              <w:rPr>
                <w:rFonts w:ascii="Arial" w:cs="Arial" w:eastAsia="Arial" w:hAnsi="Arial"/>
                <w:sz w:val="18"/>
                <w:szCs w:val="18"/>
                <w:color w:val="auto"/>
              </w:rPr>
              <w:t>—</w:t>
            </w:r>
          </w:p>
        </w:tc>
      </w:tr>
      <w:tr>
        <w:trPr>
          <w:trHeight w:val="235"/>
        </w:trPr>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540,294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23"/>
        </w:trPr>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8,328,263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60" w:space="80"/>
            <w:col w:w="4600"/>
          </w:cols>
          <w:pgMar w:left="320" w:top="9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 xml:space="preserve">The following table summarizes the securities available for issuance under equity compensation plans as of December 31, 2025. A description of our stock-based compensation plans can be found in </w:t>
      </w:r>
      <w:r>
        <w:rPr>
          <w:rFonts w:ascii="Arial" w:cs="Arial" w:eastAsia="Arial" w:hAnsi="Arial"/>
          <w:sz w:val="18"/>
          <w:szCs w:val="18"/>
          <w:i w:val="1"/>
          <w:iCs w:val="1"/>
          <w:color w:val="auto"/>
        </w:rPr>
        <w:t>Part II, Item 8 – Financial Statements and Supplementary Data, Note 11</w:t>
      </w:r>
      <w:r>
        <w:rPr>
          <w:rFonts w:ascii="Arial" w:cs="Arial" w:eastAsia="Arial" w:hAnsi="Arial"/>
          <w:sz w:val="18"/>
          <w:szCs w:val="18"/>
          <w:color w:val="auto"/>
        </w:rPr>
        <w:t xml:space="preserve"> </w:t>
      </w:r>
      <w:r>
        <w:rPr>
          <w:rFonts w:ascii="Arial" w:cs="Arial" w:eastAsia="Arial" w:hAnsi="Arial"/>
          <w:sz w:val="18"/>
          <w:szCs w:val="18"/>
          <w:i w:val="1"/>
          <w:iCs w:val="1"/>
          <w:color w:val="auto"/>
        </w:rPr>
        <w:t>Stock-Based Compensation</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rPr>
              <w:t>Number of securities</w:t>
            </w:r>
          </w:p>
        </w:tc>
        <w:tc>
          <w:tcPr>
            <w:tcW w:w="0" w:type="dxa"/>
            <w:vAlign w:val="bottom"/>
          </w:tcPr>
          <w:p>
            <w:pPr>
              <w:spacing w:after="0"/>
              <w:rPr>
                <w:sz w:val="1"/>
                <w:szCs w:val="1"/>
                <w:color w:val="auto"/>
              </w:rPr>
            </w:pPr>
          </w:p>
        </w:tc>
      </w:tr>
      <w:tr>
        <w:trPr>
          <w:trHeight w:val="184"/>
        </w:trPr>
        <w:tc>
          <w:tcPr>
            <w:tcW w:w="4980" w:type="dxa"/>
            <w:vAlign w:val="bottom"/>
          </w:tcPr>
          <w:p>
            <w:pPr>
              <w:spacing w:after="0"/>
              <w:rPr>
                <w:sz w:val="15"/>
                <w:szCs w:val="15"/>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rPr>
              <w:t>Number of securities to</w:t>
            </w:r>
          </w:p>
        </w:tc>
        <w:tc>
          <w:tcPr>
            <w:tcW w:w="100" w:type="dxa"/>
            <w:vAlign w:val="bottom"/>
          </w:tcPr>
          <w:p>
            <w:pPr>
              <w:spacing w:after="0"/>
              <w:rPr>
                <w:sz w:val="15"/>
                <w:szCs w:val="15"/>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Weighted-average</w:t>
            </w:r>
          </w:p>
        </w:tc>
        <w:tc>
          <w:tcPr>
            <w:tcW w:w="2340" w:type="dxa"/>
            <w:vAlign w:val="bottom"/>
          </w:tcPr>
          <w:p>
            <w:pPr>
              <w:jc w:val="center"/>
              <w:spacing w:after="0" w:line="183" w:lineRule="exact"/>
              <w:rPr>
                <w:sz w:val="20"/>
                <w:szCs w:val="20"/>
                <w:color w:val="auto"/>
              </w:rPr>
            </w:pPr>
            <w:r>
              <w:rPr>
                <w:rFonts w:ascii="Arial" w:cs="Arial" w:eastAsia="Arial" w:hAnsi="Arial"/>
                <w:sz w:val="18"/>
                <w:szCs w:val="18"/>
                <w:color w:val="auto"/>
              </w:rPr>
              <w:t>remaining available for</w:t>
            </w:r>
          </w:p>
        </w:tc>
        <w:tc>
          <w:tcPr>
            <w:tcW w:w="0" w:type="dxa"/>
            <w:vAlign w:val="bottom"/>
          </w:tcPr>
          <w:p>
            <w:pPr>
              <w:spacing w:after="0"/>
              <w:rPr>
                <w:sz w:val="1"/>
                <w:szCs w:val="1"/>
                <w:color w:val="auto"/>
              </w:rPr>
            </w:pPr>
          </w:p>
        </w:tc>
      </w:tr>
      <w:tr>
        <w:trPr>
          <w:trHeight w:val="181"/>
        </w:trPr>
        <w:tc>
          <w:tcPr>
            <w:tcW w:w="498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2340" w:type="dxa"/>
            <w:vAlign w:val="bottom"/>
          </w:tcPr>
          <w:p>
            <w:pPr>
              <w:jc w:val="center"/>
              <w:spacing w:after="0" w:line="181" w:lineRule="exact"/>
              <w:rPr>
                <w:sz w:val="20"/>
                <w:szCs w:val="20"/>
                <w:color w:val="auto"/>
              </w:rPr>
            </w:pPr>
            <w:r>
              <w:rPr>
                <w:rFonts w:ascii="Arial" w:cs="Arial" w:eastAsia="Arial" w:hAnsi="Arial"/>
                <w:sz w:val="18"/>
                <w:szCs w:val="18"/>
                <w:color w:val="auto"/>
                <w:w w:val="99"/>
              </w:rPr>
              <w:t>future issuance under equity</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Arial" w:cs="Arial" w:eastAsia="Arial" w:hAnsi="Arial"/>
                <w:sz w:val="18"/>
                <w:szCs w:val="18"/>
                <w:color w:val="auto"/>
                <w:w w:val="99"/>
              </w:rPr>
              <w:t>be issued upon exercise</w:t>
            </w: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exercise price of</w:t>
            </w:r>
          </w:p>
        </w:tc>
        <w:tc>
          <w:tcPr>
            <w:tcW w:w="2340" w:type="dxa"/>
            <w:vAlign w:val="bottom"/>
          </w:tcPr>
          <w:p>
            <w:pPr>
              <w:jc w:val="center"/>
              <w:spacing w:after="0" w:line="176" w:lineRule="exact"/>
              <w:rPr>
                <w:sz w:val="20"/>
                <w:szCs w:val="20"/>
                <w:color w:val="auto"/>
              </w:rPr>
            </w:pPr>
            <w:r>
              <w:rPr>
                <w:rFonts w:ascii="Arial" w:cs="Arial" w:eastAsia="Arial" w:hAnsi="Arial"/>
                <w:sz w:val="18"/>
                <w:szCs w:val="18"/>
                <w:color w:val="auto"/>
                <w:w w:val="99"/>
              </w:rPr>
              <w:t>compensation plans</w:t>
            </w:r>
          </w:p>
        </w:tc>
        <w:tc>
          <w:tcPr>
            <w:tcW w:w="0" w:type="dxa"/>
            <w:vAlign w:val="bottom"/>
          </w:tcPr>
          <w:p>
            <w:pPr>
              <w:spacing w:after="0"/>
              <w:rPr>
                <w:sz w:val="1"/>
                <w:szCs w:val="1"/>
                <w:color w:val="auto"/>
              </w:rPr>
            </w:pPr>
          </w:p>
        </w:tc>
      </w:tr>
      <w:tr>
        <w:trPr>
          <w:trHeight w:val="189"/>
        </w:trPr>
        <w:tc>
          <w:tcPr>
            <w:tcW w:w="4980" w:type="dxa"/>
            <w:vAlign w:val="bottom"/>
            <w:vMerge w:val="restart"/>
          </w:tcPr>
          <w:p>
            <w:pPr>
              <w:ind w:left="1920"/>
              <w:spacing w:after="0"/>
              <w:rPr>
                <w:sz w:val="20"/>
                <w:szCs w:val="20"/>
                <w:color w:val="auto"/>
              </w:rPr>
            </w:pPr>
            <w:r>
              <w:rPr>
                <w:rFonts w:ascii="Arial" w:cs="Arial" w:eastAsia="Arial" w:hAnsi="Arial"/>
                <w:sz w:val="18"/>
                <w:szCs w:val="18"/>
                <w:color w:val="auto"/>
              </w:rPr>
              <w:t>Plan Category</w:t>
            </w:r>
          </w:p>
        </w:tc>
        <w:tc>
          <w:tcPr>
            <w:tcW w:w="2020" w:type="dxa"/>
            <w:vAlign w:val="bottom"/>
          </w:tcPr>
          <w:p>
            <w:pPr>
              <w:jc w:val="center"/>
              <w:spacing w:after="0" w:line="189" w:lineRule="exact"/>
              <w:rPr>
                <w:sz w:val="20"/>
                <w:szCs w:val="20"/>
                <w:color w:val="auto"/>
              </w:rPr>
            </w:pPr>
            <w:r>
              <w:rPr>
                <w:rFonts w:ascii="Arial" w:cs="Arial" w:eastAsia="Arial" w:hAnsi="Arial"/>
                <w:sz w:val="18"/>
                <w:szCs w:val="18"/>
                <w:color w:val="auto"/>
              </w:rPr>
              <w:t>of outstanding options,</w:t>
            </w:r>
          </w:p>
        </w:tc>
        <w:tc>
          <w:tcPr>
            <w:tcW w:w="100" w:type="dxa"/>
            <w:vAlign w:val="bottom"/>
          </w:tcPr>
          <w:p>
            <w:pPr>
              <w:spacing w:after="0"/>
              <w:rPr>
                <w:sz w:val="16"/>
                <w:szCs w:val="16"/>
                <w:color w:val="auto"/>
              </w:rPr>
            </w:pPr>
          </w:p>
        </w:tc>
        <w:tc>
          <w:tcPr>
            <w:tcW w:w="180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rPr>
              <w:t>outstanding options,</w:t>
            </w:r>
          </w:p>
        </w:tc>
        <w:tc>
          <w:tcPr>
            <w:tcW w:w="2340" w:type="dxa"/>
            <w:vAlign w:val="bottom"/>
          </w:tcPr>
          <w:p>
            <w:pPr>
              <w:jc w:val="center"/>
              <w:spacing w:after="0" w:line="189" w:lineRule="exact"/>
              <w:rPr>
                <w:sz w:val="20"/>
                <w:szCs w:val="20"/>
                <w:color w:val="auto"/>
              </w:rPr>
            </w:pPr>
            <w:r>
              <w:rPr>
                <w:rFonts w:ascii="Arial" w:cs="Arial" w:eastAsia="Arial" w:hAnsi="Arial"/>
                <w:sz w:val="18"/>
                <w:szCs w:val="18"/>
                <w:color w:val="auto"/>
                <w:w w:val="99"/>
              </w:rPr>
              <w:t>(excluding securities in</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warrants and rights</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warrants and rights</w:t>
            </w:r>
          </w:p>
        </w:tc>
        <w:tc>
          <w:tcPr>
            <w:tcW w:w="100" w:type="dxa"/>
            <w:vAlign w:val="bottom"/>
          </w:tcPr>
          <w:p>
            <w:pPr>
              <w:spacing w:after="0"/>
              <w:rPr>
                <w:sz w:val="19"/>
                <w:szCs w:val="19"/>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column (a))</w:t>
            </w: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(a)</w:t>
            </w:r>
          </w:p>
        </w:tc>
        <w:tc>
          <w:tcPr>
            <w:tcW w:w="10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color w:val="auto"/>
              </w:rPr>
              <w:t>(b)</w:t>
            </w:r>
          </w:p>
        </w:tc>
        <w:tc>
          <w:tcPr>
            <w:tcW w:w="2340" w:type="dxa"/>
            <w:vAlign w:val="bottom"/>
          </w:tcPr>
          <w:p>
            <w:pPr>
              <w:jc w:val="center"/>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227"/>
        </w:trPr>
        <w:tc>
          <w:tcPr>
            <w:tcW w:w="4980" w:type="dxa"/>
            <w:vAlign w:val="bottom"/>
            <w:tcBorders>
              <w:top w:val="single" w:sz="8" w:color="CCEEFF"/>
            </w:tcBorders>
            <w:shd w:val="clear" w:color="auto" w:fill="CCEEFF"/>
          </w:tcPr>
          <w:p>
            <w:pPr>
              <w:ind w:left="20"/>
              <w:spacing w:after="0" w:line="226" w:lineRule="exact"/>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23"/>
                <w:szCs w:val="23"/>
                <w:color w:val="auto"/>
                <w:vertAlign w:val="superscript"/>
              </w:rPr>
              <w:t>(1)</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1,094,122</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Equity compensation plan not approved by security holders</w:t>
            </w:r>
            <w:r>
              <w:rPr>
                <w:rFonts w:ascii="Arial" w:cs="Arial" w:eastAsia="Arial" w:hAnsi="Arial"/>
                <w:sz w:val="23"/>
                <w:szCs w:val="23"/>
                <w:color w:val="auto"/>
                <w:vertAlign w:val="superscript"/>
              </w:rPr>
              <w:t>(2)</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2,941,018</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gridSpan w:val="2"/>
          </w:tcPr>
          <w:p>
            <w:pPr>
              <w:ind w:left="144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3,911,714</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4,191,018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5,005,836</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260" w:hanging="332"/>
        <w:spacing w:after="0" w:line="261" w:lineRule="auto"/>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shares available under our Employee Stock Purchase Plan for purchase at 85% of the lower of the market price at either (i) the beginning of a quarter or (ii) the end of a quarter.</w:t>
      </w:r>
    </w:p>
    <w:p>
      <w:pPr>
        <w:spacing w:after="0" w:line="1" w:lineRule="exact"/>
        <w:rPr>
          <w:rFonts w:ascii="Arial" w:cs="Arial" w:eastAsia="Arial" w:hAnsi="Arial"/>
          <w:sz w:val="14"/>
          <w:szCs w:val="14"/>
          <w:color w:val="auto"/>
        </w:rPr>
      </w:pPr>
    </w:p>
    <w:p>
      <w:pPr>
        <w:ind w:left="340" w:right="140" w:hanging="332"/>
        <w:spacing w:after="0" w:line="262" w:lineRule="auto"/>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The aggregate number of 9,257,740 shares of our common stock authorized for issuance under our Long-Term Incentive Plan were approved by the Bankruptcy Court as part of the joint plan of reorganization upon our emergence from bankruptcy in 2020. The number of securities to be issued upon vesting of performance stock units assumes all units are earned upon achieving absolute total shareholder returns and total shareholder return relative to the SPDR S&amp;P Oil and Gas Exploration and Production Exchange-Traded Fund listed on the New York Stock Exchange. See </w:t>
      </w:r>
      <w:r>
        <w:rPr>
          <w:rFonts w:ascii="Arial" w:cs="Arial" w:eastAsia="Arial" w:hAnsi="Arial"/>
          <w:sz w:val="14"/>
          <w:szCs w:val="14"/>
          <w:i w:val="1"/>
          <w:iCs w:val="1"/>
          <w:color w:val="auto"/>
        </w:rPr>
        <w:t>Part II, Item 8 – Financial Statements and Supplementary Data, Note 10 Stock-Based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Compensation </w:t>
      </w:r>
      <w:r>
        <w:rPr>
          <w:rFonts w:ascii="Arial" w:cs="Arial" w:eastAsia="Arial" w:hAnsi="Arial"/>
          <w:sz w:val="14"/>
          <w:szCs w:val="14"/>
          <w:color w:val="auto"/>
        </w:rPr>
        <w:t>for more information on these awards.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39" w:lineRule="exact"/>
        <w:rPr>
          <w:sz w:val="20"/>
          <w:szCs w:val="20"/>
          <w:color w:val="auto"/>
        </w:rPr>
      </w:pPr>
    </w:p>
    <w:p>
      <w:pPr>
        <w:ind w:right="100" w:firstLine="324"/>
        <w:spacing w:after="0" w:line="244" w:lineRule="auto"/>
        <w:rPr>
          <w:sz w:val="20"/>
          <w:szCs w:val="20"/>
          <w:color w:val="auto"/>
        </w:rPr>
      </w:pPr>
      <w:r>
        <w:rPr>
          <w:rFonts w:ascii="Arial" w:cs="Arial" w:eastAsia="Arial" w:hAnsi="Arial"/>
          <w:sz w:val="18"/>
          <w:szCs w:val="18"/>
          <w:color w:val="auto"/>
        </w:rPr>
        <w:t>The following graph compares the cumulative total return to stockholders on our common stock relative to the cumulative total returns of the S&amp;P 500 and Dow Jones U.S. Exploration and Production indexes and our peer group. The graph assumes that on December 31, 2020, $100 was invested in our common stock, in each index and in each of the peer group companies' common stock weighted by their relative market capitalization, and that all dividends were reinvested. The results shown are based on historical results and are not intended to suggest future performance.</w:t>
      </w:r>
    </w:p>
    <w:p>
      <w:pPr>
        <w:spacing w:after="0" w:line="203" w:lineRule="exact"/>
        <w:rPr>
          <w:sz w:val="20"/>
          <w:szCs w:val="20"/>
          <w:color w:val="auto"/>
        </w:rPr>
      </w:pPr>
    </w:p>
    <w:p>
      <w:pPr>
        <w:ind w:right="360" w:firstLine="324"/>
        <w:spacing w:after="0" w:line="247" w:lineRule="auto"/>
        <w:rPr>
          <w:sz w:val="20"/>
          <w:szCs w:val="20"/>
          <w:color w:val="auto"/>
        </w:rPr>
      </w:pPr>
      <w:r>
        <w:rPr>
          <w:rFonts w:ascii="Arial" w:cs="Arial" w:eastAsia="Arial" w:hAnsi="Arial"/>
          <w:sz w:val="18"/>
          <w:szCs w:val="18"/>
          <w:color w:val="auto"/>
        </w:rPr>
        <w:t>Our 2025 peer group consisted of APA Corporation; BKV Corporation; Chord Energy Corporation; Civitas Resources, Inc.; Comstock Resources Inc.; Crescent Energy Company; Gulfport Energy Corp; Kosmos Energy Ltd.; Magnolia Oil &amp; Gas Corp; Matador Resources Company; Murphy Oil Corporation; Northern Oil and Gas, Inc.; Range Resources Corporation; Sable Offshore Corporation; SM Energy Company; Talos Energy Inc.; and Vermilion Energy Inc.</w:t>
      </w:r>
    </w:p>
    <w:p>
      <w:pPr>
        <w:spacing w:after="0" w:line="201" w:lineRule="exact"/>
        <w:rPr>
          <w:sz w:val="20"/>
          <w:szCs w:val="20"/>
          <w:color w:val="auto"/>
        </w:rPr>
      </w:pPr>
    </w:p>
    <w:p>
      <w:pPr>
        <w:ind w:right="140" w:firstLine="324"/>
        <w:spacing w:after="0" w:line="237" w:lineRule="auto"/>
        <w:rPr>
          <w:sz w:val="20"/>
          <w:szCs w:val="20"/>
          <w:color w:val="auto"/>
        </w:rPr>
      </w:pPr>
      <w:r>
        <w:rPr>
          <w:rFonts w:ascii="Arial" w:cs="Arial" w:eastAsia="Arial" w:hAnsi="Arial"/>
          <w:sz w:val="18"/>
          <w:szCs w:val="18"/>
          <w:color w:val="auto"/>
        </w:rPr>
        <w:t>Our 2025 peer group changed from 2024. We added Northern Oil and Gas, Inc. and Gulfport Energy Corporation due to their similar market capitalization and operations. We removed Antero Resources Corporation and Permian Resources Corporation from our peer group</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 xml:space="preserve">due to their larger market capitalization. We removed Berry Corporation from our peer group as a result of our merger with them in December 2025. See </w:t>
      </w:r>
      <w:r>
        <w:rPr>
          <w:rFonts w:ascii="Arial" w:cs="Arial" w:eastAsia="Arial" w:hAnsi="Arial"/>
          <w:sz w:val="18"/>
          <w:szCs w:val="18"/>
          <w:i w:val="1"/>
          <w:iCs w:val="1"/>
          <w:color w:val="auto"/>
        </w:rPr>
        <w:t>Part II, Item 8 – Financial Statements and Supplementary Data, Note 2 Business Combinations</w:t>
      </w:r>
      <w:r>
        <w:rPr>
          <w:rFonts w:ascii="Arial" w:cs="Arial" w:eastAsia="Arial" w:hAnsi="Arial"/>
          <w:sz w:val="18"/>
          <w:szCs w:val="18"/>
          <w:color w:val="auto"/>
        </w:rPr>
        <w:t xml:space="preserve"> for additional information.</w:t>
      </w:r>
    </w:p>
    <w:p>
      <w:pPr>
        <w:spacing w:after="0" w:line="199" w:lineRule="exact"/>
        <w:rPr>
          <w:sz w:val="20"/>
          <w:szCs w:val="20"/>
          <w:color w:val="auto"/>
        </w:rPr>
      </w:pPr>
    </w:p>
    <w:p>
      <w:pPr>
        <w:ind w:right="80" w:firstLine="324"/>
        <w:spacing w:after="0" w:line="247" w:lineRule="auto"/>
        <w:rPr>
          <w:sz w:val="20"/>
          <w:szCs w:val="20"/>
          <w:color w:val="auto"/>
        </w:rPr>
      </w:pPr>
      <w:r>
        <w:rPr>
          <w:rFonts w:ascii="Arial" w:cs="Arial" w:eastAsia="Arial" w:hAnsi="Arial"/>
          <w:sz w:val="18"/>
          <w:szCs w:val="18"/>
          <w:color w:val="auto"/>
        </w:rPr>
        <w:t>Our 2024 peer group consisted of Antero Resources Corporation; APA Corporation; Berry Corporation; BKV Corporation; Chord Energy Corporation; Civitas Resources, Inc.; Comstock Resources Inc.; Crescent Energy Company; Kosmos Energy Ltd.; Magnolia Oil &amp; Gas Corp; Matador Resources Company; Murphy Oil Corporation; Permian Resources Corporation; Range Resources Corporation; Sable Offshore Corporation; SM Energy Company; Talos Energy Inc.; and Vermilion Energy Inc.</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577850</wp:posOffset>
            </wp:positionV>
            <wp:extent cx="6035040" cy="4869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035040" cy="486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4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12/31/20</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12/31/21</w:t>
            </w:r>
          </w:p>
        </w:tc>
        <w:tc>
          <w:tcPr>
            <w:tcW w:w="1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12/31/22</w:t>
            </w: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12/31/23</w:t>
            </w:r>
          </w:p>
        </w:tc>
        <w:tc>
          <w:tcPr>
            <w:tcW w:w="1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12/31/24</w:t>
            </w:r>
          </w:p>
        </w:tc>
        <w:tc>
          <w:tcPr>
            <w:tcW w:w="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12/31/25</w:t>
            </w:r>
          </w:p>
        </w:tc>
      </w:tr>
      <w:tr>
        <w:trPr>
          <w:trHeight w:val="357"/>
        </w:trPr>
        <w:tc>
          <w:tcPr>
            <w:tcW w:w="4460" w:type="dxa"/>
            <w:vAlign w:val="bottom"/>
          </w:tcPr>
          <w:p>
            <w:pPr>
              <w:spacing w:after="0"/>
              <w:rPr>
                <w:sz w:val="20"/>
                <w:szCs w:val="20"/>
                <w:color w:val="auto"/>
              </w:rPr>
            </w:pPr>
            <w:r>
              <w:rPr>
                <w:rFonts w:ascii="Arial" w:cs="Arial" w:eastAsia="Arial" w:hAnsi="Arial"/>
                <w:sz w:val="14"/>
                <w:szCs w:val="14"/>
                <w:b w:val="1"/>
                <w:bCs w:val="1"/>
                <w:color w:val="auto"/>
              </w:rPr>
              <w:t>California Resources Corp</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$100.00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$181.84</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$188.50</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$242.89</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$236.66</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$211.03</w:t>
            </w:r>
          </w:p>
        </w:tc>
      </w:tr>
      <w:tr>
        <w:trPr>
          <w:trHeight w:val="203"/>
        </w:trPr>
        <w:tc>
          <w:tcPr>
            <w:tcW w:w="4460" w:type="dxa"/>
            <w:vAlign w:val="bottom"/>
          </w:tcPr>
          <w:p>
            <w:pPr>
              <w:spacing w:after="0"/>
              <w:rPr>
                <w:sz w:val="20"/>
                <w:szCs w:val="20"/>
                <w:color w:val="auto"/>
              </w:rPr>
            </w:pPr>
            <w:r>
              <w:rPr>
                <w:rFonts w:ascii="Arial" w:cs="Arial" w:eastAsia="Arial" w:hAnsi="Arial"/>
                <w:sz w:val="14"/>
                <w:szCs w:val="14"/>
                <w:b w:val="1"/>
                <w:bCs w:val="1"/>
                <w:color w:val="auto"/>
              </w:rPr>
              <w:t>S&amp;P 500</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$100.00</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$128.71</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$105.40</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$133.10</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$166.40</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$196.16</w:t>
            </w:r>
          </w:p>
        </w:tc>
      </w:tr>
      <w:tr>
        <w:trPr>
          <w:trHeight w:val="203"/>
        </w:trPr>
        <w:tc>
          <w:tcPr>
            <w:tcW w:w="4460" w:type="dxa"/>
            <w:vAlign w:val="bottom"/>
          </w:tcPr>
          <w:p>
            <w:pPr>
              <w:spacing w:after="0"/>
              <w:rPr>
                <w:sz w:val="20"/>
                <w:szCs w:val="20"/>
                <w:color w:val="auto"/>
              </w:rPr>
            </w:pPr>
            <w:r>
              <w:rPr>
                <w:rFonts w:ascii="Arial" w:cs="Arial" w:eastAsia="Arial" w:hAnsi="Arial"/>
                <w:sz w:val="14"/>
                <w:szCs w:val="14"/>
                <w:b w:val="1"/>
                <w:bCs w:val="1"/>
                <w:color w:val="auto"/>
              </w:rPr>
              <w:t>Dow Jones US Exploration &amp; Production</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$100.00</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$170.92</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$272.74</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$285.07</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$280.73</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$295.11</w:t>
            </w:r>
          </w:p>
        </w:tc>
      </w:tr>
      <w:tr>
        <w:trPr>
          <w:trHeight w:val="203"/>
        </w:trPr>
        <w:tc>
          <w:tcPr>
            <w:tcW w:w="4460" w:type="dxa"/>
            <w:vAlign w:val="bottom"/>
          </w:tcPr>
          <w:p>
            <w:pPr>
              <w:spacing w:after="0"/>
              <w:rPr>
                <w:sz w:val="20"/>
                <w:szCs w:val="20"/>
                <w:color w:val="auto"/>
              </w:rPr>
            </w:pPr>
            <w:r>
              <w:rPr>
                <w:rFonts w:ascii="Arial" w:cs="Arial" w:eastAsia="Arial" w:hAnsi="Arial"/>
                <w:sz w:val="14"/>
                <w:szCs w:val="14"/>
                <w:b w:val="1"/>
                <w:bCs w:val="1"/>
                <w:color w:val="auto"/>
              </w:rPr>
              <w:t>2024 Peer Group</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$100.00</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$247.35</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$383.48</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$381.39</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$376.47</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$343.91</w:t>
            </w:r>
          </w:p>
        </w:tc>
      </w:tr>
      <w:tr>
        <w:trPr>
          <w:trHeight w:val="203"/>
        </w:trPr>
        <w:tc>
          <w:tcPr>
            <w:tcW w:w="4460" w:type="dxa"/>
            <w:vAlign w:val="bottom"/>
          </w:tcPr>
          <w:p>
            <w:pPr>
              <w:spacing w:after="0"/>
              <w:rPr>
                <w:sz w:val="20"/>
                <w:szCs w:val="20"/>
                <w:color w:val="auto"/>
              </w:rPr>
            </w:pPr>
            <w:r>
              <w:rPr>
                <w:rFonts w:ascii="Arial" w:cs="Arial" w:eastAsia="Arial" w:hAnsi="Arial"/>
                <w:sz w:val="14"/>
                <w:szCs w:val="14"/>
                <w:b w:val="1"/>
                <w:bCs w:val="1"/>
                <w:color w:val="auto"/>
              </w:rPr>
              <w:t>2025 Peer Group</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$100.00</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$237.14</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$356.11</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$362.06</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$338.68</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$299.13</w:t>
            </w:r>
          </w:p>
        </w:tc>
      </w:tr>
    </w:tbl>
    <w:p>
      <w:pPr>
        <w:spacing w:after="0" w:line="317" w:lineRule="exact"/>
        <w:rPr>
          <w:sz w:val="20"/>
          <w:szCs w:val="20"/>
          <w:color w:val="auto"/>
        </w:rPr>
      </w:pPr>
    </w:p>
    <w:p>
      <w:pPr>
        <w:ind w:right="40" w:firstLine="8"/>
        <w:spacing w:after="0" w:line="283" w:lineRule="auto"/>
        <w:tabs>
          <w:tab w:leader="none" w:pos="96"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This performance graph shall not be deemed “soliciting material” or to be “filed” with the SEC for purposes of Section 18 of the Securities Exchange Act of 1934, as amended (Exchange Act), or otherwise subject to the liabilities under that Section, and shall not be deemed to be incorporated by reference into any filing of CRC under the Securities Act of 1933, as amended, or the Exchange Act except to the extent that we specifically request it be treated as soliciting material or specifically incorporate it by reference.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0" w:right="1440" w:bottom="1440" w:gutter="0" w:footer="0" w:header="0"/>
        </w:sectPr>
      </w:pPr>
    </w:p>
    <w:bookmarkStart w:id="60" w:name="page61"/>
    <w:bookmarkEnd w:id="60"/>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 xml:space="preserve">The following discussion should be read in conjunction with other sections of this report, including but not limited to, </w:t>
      </w:r>
      <w:r>
        <w:rPr>
          <w:rFonts w:ascii="Arial" w:cs="Arial" w:eastAsia="Arial" w:hAnsi="Arial"/>
          <w:sz w:val="18"/>
          <w:szCs w:val="18"/>
          <w:i w:val="1"/>
          <w:iCs w:val="1"/>
          <w:color w:val="auto"/>
        </w:rPr>
        <w:t>Part I, Item 1 and 2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and Properties </w:t>
      </w:r>
      <w:r>
        <w:rPr>
          <w:rFonts w:ascii="Arial" w:cs="Arial" w:eastAsia="Arial" w:hAnsi="Arial"/>
          <w:sz w:val="18"/>
          <w:szCs w:val="18"/>
          <w:color w:val="auto"/>
        </w:rPr>
        <w:t>and</w:t>
      </w:r>
      <w:r>
        <w:rPr>
          <w:rFonts w:ascii="Arial" w:cs="Arial" w:eastAsia="Arial" w:hAnsi="Arial"/>
          <w:sz w:val="18"/>
          <w:szCs w:val="18"/>
          <w:i w:val="1"/>
          <w:iCs w:val="1"/>
          <w:color w:val="auto"/>
        </w:rPr>
        <w:t xml:space="preserve"> Part II, Item 8 – Financial Statements and Supplementary Data.</w:t>
      </w:r>
    </w:p>
    <w:p>
      <w:pPr>
        <w:spacing w:after="0" w:line="180" w:lineRule="exact"/>
        <w:rPr>
          <w:sz w:val="20"/>
          <w:szCs w:val="20"/>
          <w:color w:val="auto"/>
        </w:rPr>
      </w:pPr>
    </w:p>
    <w:p>
      <w:pPr>
        <w:jc w:val="both"/>
        <w:ind w:right="220" w:firstLine="324"/>
        <w:spacing w:after="0" w:line="268"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7 – Management's Discussion and Analysis of Financial Condition and Results of Operations</w:t>
      </w:r>
      <w:r>
        <w:rPr>
          <w:rFonts w:ascii="Arial" w:cs="Arial" w:eastAsia="Arial" w:hAnsi="Arial"/>
          <w:sz w:val="18"/>
          <w:szCs w:val="18"/>
          <w:color w:val="auto"/>
        </w:rPr>
        <w:t xml:space="preserve"> in our Annual Report on Form 10-K for the year ended December 31, 2024 (2024 Annual Report) for our analysis of the changes in our consolidated statements of operations and statements of cash flows for the year ended December 31, 2024 compared to December 31,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All financial information presented consists of our consolidated results of operations, financial position and cash flows unless otherwise indicated. We have eliminated all intercompany transactions and accounts. We account for our share of oil and natural gas production activities, in which we have a direct working interest by reporting our proportionate share of assets, liabilities, revenues, costs and cash flows within the relevant lines on our balance sheets and statements of operations and cash flows. In applying the equity method of accounting, our investments in our unconsolidated subsidiaries are recognized either at cost, as is the case with Carbon TerraVault JV HoldCo, LLC, or at fair value if acquired in a business combination, as is the case for Midway Sunset Cogeneration Company. These investments are then adjusted for our proportionate share of income or loss in addition to contributions and distributions.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and Inflation</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continued to experience relatively flat pricing from our suppliers during the year ended December 31, 2025 compared to the prior year. U.S. tariff policy regarding both country of origin and material type remains highly uncertain and subject to future changes. During 2025, the United States expanded tariff rates on imported goods including a 50% tariff on the steel and aluminum value of imported products. If sustained, these expanded tariff rates could increase our cost of oilfield goods and extend delivery lead times over the longer term. We have taken measures to limit the effects of potential price increases caused by the recent expansion of U.S. tariffs by entering into fixed price contracts with terms of one to three years for a significant majority of our materials and services based on our current expected development plans. We also pre-purchased inventory prior to the implementation of the tariffs and continue to purchase from vendors who source domestic content to limit the impact of foreign tariffs on our business. Overall, we expect minimal impact from tariffs on our supply chain in 2026. However, if the current tariff regime persists or expands, our inventory, capital and operating costs could increase over the long term.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Analysis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5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 xml:space="preserve">Our consolidated results of operations include the results of Berry beginning December 18, 2025, the closing date of the Berry Merger. Our consolidated results of operations include the results of Aera beginning July 1, 2024, the closing date of the Aera Merger. For more information on the Berry Merger and the Aera Merger, see </w:t>
      </w:r>
      <w:r>
        <w:rPr>
          <w:rFonts w:ascii="Arial" w:cs="Arial" w:eastAsia="Arial" w:hAnsi="Arial"/>
          <w:sz w:val="18"/>
          <w:szCs w:val="18"/>
          <w:i w:val="1"/>
          <w:iCs w:val="1"/>
          <w:color w:val="auto"/>
        </w:rPr>
        <w:t>Part II, Item 8 – Financial Statements and Supplementary Data, Note 2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The Aera Merger and related integration activities significantly impacted the comparability of our financial results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2025 compared to the prior year.</w:t>
      </w:r>
    </w:p>
    <w:p>
      <w:pPr>
        <w:spacing w:after="0" w:line="206"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 xml:space="preserve">For financial information related to our subsidiaries designated as Unrestricted Subsidiaries under the 2026 Senior Notes Indenture, 2029 Senior Notes Indenture and 2034 Senior Notes Indenture, see </w:t>
      </w:r>
      <w:r>
        <w:rPr>
          <w:rFonts w:ascii="Arial" w:cs="Arial" w:eastAsia="Arial" w:hAnsi="Arial"/>
          <w:sz w:val="18"/>
          <w:szCs w:val="18"/>
          <w:i w:val="1"/>
          <w:iCs w:val="1"/>
          <w:color w:val="auto"/>
        </w:rPr>
        <w:t>Part II, Item 8 – Financial Statements and Supplementary Data, Note 18</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Consolidating Financial Information.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Year Ended December 31, 2025 vs. 2024</w:t>
            </w: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330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83"/>
        </w:trPr>
        <w:tc>
          <w:tcPr>
            <w:tcW w:w="7200" w:type="dxa"/>
            <w:vAlign w:val="bottom"/>
            <w:gridSpan w:val="2"/>
          </w:tcPr>
          <w:p>
            <w:pPr>
              <w:ind w:left="340"/>
              <w:spacing w:after="0"/>
              <w:rPr>
                <w:sz w:val="20"/>
                <w:szCs w:val="20"/>
                <w:color w:val="auto"/>
              </w:rPr>
            </w:pPr>
            <w:r>
              <w:rPr>
                <w:rFonts w:ascii="Arial" w:cs="Arial" w:eastAsia="Arial" w:hAnsi="Arial"/>
                <w:sz w:val="18"/>
                <w:szCs w:val="18"/>
                <w:color w:val="auto"/>
              </w:rPr>
              <w:t>The following table presents our consolidated operating revenues:</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42"/>
        </w:trPr>
        <w:tc>
          <w:tcPr>
            <w:tcW w:w="33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Year ended</w:t>
            </w:r>
          </w:p>
        </w:tc>
        <w:tc>
          <w:tcPr>
            <w:tcW w:w="360" w:type="dxa"/>
            <w:vAlign w:val="bottom"/>
          </w:tcPr>
          <w:p>
            <w:pPr>
              <w:spacing w:after="0"/>
              <w:rPr>
                <w:sz w:val="24"/>
                <w:szCs w:val="24"/>
                <w:color w:val="auto"/>
              </w:rPr>
            </w:pPr>
          </w:p>
        </w:tc>
        <w:tc>
          <w:tcPr>
            <w:tcW w:w="1600" w:type="dxa"/>
            <w:vAlign w:val="bottom"/>
          </w:tcPr>
          <w:p>
            <w:pPr>
              <w:jc w:val="center"/>
              <w:ind w:right="270"/>
              <w:spacing w:after="0"/>
              <w:rPr>
                <w:sz w:val="20"/>
                <w:szCs w:val="20"/>
                <w:color w:val="auto"/>
              </w:rPr>
            </w:pPr>
            <w:r>
              <w:rPr>
                <w:rFonts w:ascii="Arial" w:cs="Arial" w:eastAsia="Arial" w:hAnsi="Arial"/>
                <w:sz w:val="18"/>
                <w:szCs w:val="18"/>
                <w:b w:val="1"/>
                <w:bCs w:val="1"/>
                <w:color w:val="auto"/>
                <w:w w:val="98"/>
              </w:rPr>
              <w:t>Year ended</w:t>
            </w:r>
          </w:p>
        </w:tc>
      </w:tr>
      <w:tr>
        <w:trPr>
          <w:trHeight w:val="243"/>
        </w:trPr>
        <w:tc>
          <w:tcPr>
            <w:tcW w:w="33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December 31,</w:t>
            </w:r>
          </w:p>
        </w:tc>
        <w:tc>
          <w:tcPr>
            <w:tcW w:w="360" w:type="dxa"/>
            <w:vAlign w:val="bottom"/>
          </w:tcPr>
          <w:p>
            <w:pPr>
              <w:spacing w:after="0"/>
              <w:rPr>
                <w:sz w:val="21"/>
                <w:szCs w:val="21"/>
                <w:color w:val="auto"/>
              </w:rPr>
            </w:pPr>
          </w:p>
        </w:tc>
        <w:tc>
          <w:tcPr>
            <w:tcW w:w="1600" w:type="dxa"/>
            <w:vAlign w:val="bottom"/>
          </w:tcPr>
          <w:p>
            <w:pPr>
              <w:jc w:val="center"/>
              <w:ind w:right="29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33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99"/>
              </w:rPr>
              <w:t>2025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9"/>
              </w:rPr>
              <w:t>2024</w:t>
            </w:r>
          </w:p>
        </w:tc>
      </w:tr>
      <w:tr>
        <w:trPr>
          <w:trHeight w:val="233"/>
        </w:trPr>
        <w:tc>
          <w:tcPr>
            <w:tcW w:w="33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600" w:type="dxa"/>
            <w:vAlign w:val="bottom"/>
          </w:tcPr>
          <w:p>
            <w:pPr>
              <w:spacing w:after="0"/>
              <w:rPr>
                <w:sz w:val="20"/>
                <w:szCs w:val="20"/>
                <w:color w:val="auto"/>
              </w:rPr>
            </w:pPr>
          </w:p>
        </w:tc>
      </w:tr>
      <w:tr>
        <w:trPr>
          <w:trHeight w:val="233"/>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Oil, natural gas and natural gas liquids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r>
      <w:tr>
        <w:trPr>
          <w:trHeight w:val="229"/>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Net gain from commodity derivatives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30"/>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from marketing of purchased commodities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29"/>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Electricity revenue</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7200" w:type="dxa"/>
            <w:vAlign w:val="bottom"/>
            <w:gridSpan w:val="2"/>
          </w:tcPr>
          <w:p>
            <w:pPr>
              <w:ind w:left="240"/>
              <w:spacing w:after="0"/>
              <w:rPr>
                <w:sz w:val="20"/>
                <w:szCs w:val="20"/>
                <w:color w:val="auto"/>
              </w:rPr>
            </w:pPr>
            <w:r>
              <w:rPr>
                <w:rFonts w:ascii="Arial" w:cs="Arial" w:eastAsia="Arial" w:hAnsi="Arial"/>
                <w:sz w:val="18"/>
                <w:szCs w:val="18"/>
                <w:color w:val="auto"/>
              </w:rPr>
              <w:t>Total operating 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w:t>
            </w:r>
          </w:p>
        </w:tc>
      </w:tr>
      <w:tr>
        <w:trPr>
          <w:trHeight w:val="21"/>
        </w:trPr>
        <w:tc>
          <w:tcPr>
            <w:tcW w:w="3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40" w:firstLine="324"/>
        <w:spacing w:after="0" w:line="262" w:lineRule="auto"/>
        <w:rPr>
          <w:sz w:val="20"/>
          <w:szCs w:val="20"/>
          <w:color w:val="auto"/>
        </w:rPr>
      </w:pPr>
      <w:r>
        <w:rPr>
          <w:rFonts w:ascii="Arial" w:cs="Arial" w:eastAsia="Arial" w:hAnsi="Arial"/>
          <w:sz w:val="18"/>
          <w:szCs w:val="18"/>
          <w:b w:val="1"/>
          <w:bCs w:val="1"/>
          <w:i w:val="1"/>
          <w:iCs w:val="1"/>
          <w:color w:val="auto"/>
        </w:rPr>
        <w:t xml:space="preserve">Oil, natural gas and natural gas liquids sales </w:t>
      </w:r>
      <w:r>
        <w:rPr>
          <w:rFonts w:ascii="Arial" w:cs="Arial" w:eastAsia="Arial" w:hAnsi="Arial"/>
          <w:sz w:val="18"/>
          <w:szCs w:val="18"/>
          <w:color w:val="auto"/>
        </w:rPr>
        <w:t>– Oil, natural gas and natural gas liquids sales, excluding the effects of cash settlements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commodity derivative contracts, were $2,910 million for the year ended December 31, 2025, which is an increase of $ 373 million from $2,537 million for the year ended December 31, 2024. The following table shows changes in oil, natural gas and natural gas liquids sales for the year ended December 31, 2025 compared to the year ended December 31,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Oil</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NGLs</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Natural Gas</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33"/>
        </w:trPr>
        <w:tc>
          <w:tcPr>
            <w:tcW w:w="4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40" w:type="dxa"/>
            <w:vAlign w:val="bottom"/>
            <w:gridSpan w:val="3"/>
          </w:tcPr>
          <w:p>
            <w:pPr>
              <w:jc w:val="right"/>
              <w:ind w:right="370"/>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2024</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 and other</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Changes in intersegment revenues</w:t>
            </w:r>
          </w:p>
        </w:tc>
        <w:tc>
          <w:tcPr>
            <w:tcW w:w="9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2025</w:t>
            </w:r>
          </w:p>
        </w:tc>
        <w:tc>
          <w:tcPr>
            <w:tcW w:w="98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right="60"/>
        <w:spacing w:after="0" w:line="305" w:lineRule="auto"/>
        <w:rPr>
          <w:sz w:val="20"/>
          <w:szCs w:val="20"/>
          <w:color w:val="auto"/>
        </w:rPr>
      </w:pPr>
      <w:r>
        <w:rPr>
          <w:rFonts w:ascii="Arial" w:cs="Arial" w:eastAsia="Arial" w:hAnsi="Arial"/>
          <w:sz w:val="14"/>
          <w:szCs w:val="14"/>
          <w:color w:val="auto"/>
        </w:rPr>
        <w:t xml:space="preserve">Note: See Results of Our Oil and Natural Gas Operations </w:t>
      </w:r>
      <w:r>
        <w:rPr>
          <w:rFonts w:ascii="Arial" w:cs="Arial" w:eastAsia="Arial" w:hAnsi="Arial"/>
          <w:sz w:val="14"/>
          <w:szCs w:val="14"/>
          <w:i w:val="1"/>
          <w:iCs w:val="1"/>
          <w:color w:val="auto"/>
        </w:rPr>
        <w:t>Production</w:t>
      </w:r>
      <w:r>
        <w:rPr>
          <w:rFonts w:ascii="Arial" w:cs="Arial" w:eastAsia="Arial" w:hAnsi="Arial"/>
          <w:sz w:val="14"/>
          <w:szCs w:val="14"/>
          <w:color w:val="auto"/>
        </w:rPr>
        <w:t xml:space="preserve"> for volumes by commodity type and </w:t>
      </w:r>
      <w:r>
        <w:rPr>
          <w:rFonts w:ascii="Arial" w:cs="Arial" w:eastAsia="Arial" w:hAnsi="Arial"/>
          <w:sz w:val="14"/>
          <w:szCs w:val="14"/>
          <w:i w:val="1"/>
          <w:iCs w:val="1"/>
          <w:color w:val="auto"/>
        </w:rPr>
        <w:t>Prices and Realizations</w:t>
      </w:r>
      <w:r>
        <w:rPr>
          <w:rFonts w:ascii="Arial" w:cs="Arial" w:eastAsia="Arial" w:hAnsi="Arial"/>
          <w:sz w:val="14"/>
          <w:szCs w:val="14"/>
          <w:color w:val="auto"/>
        </w:rPr>
        <w:t xml:space="preserve"> for index and average realized prices for each period.</w:t>
      </w:r>
    </w:p>
    <w:p>
      <w:pPr>
        <w:spacing w:after="0" w:line="17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b w:val="1"/>
          <w:bCs w:val="1"/>
          <w:i w:val="1"/>
          <w:iCs w:val="1"/>
          <w:color w:val="auto"/>
        </w:rPr>
        <w:t xml:space="preserve">Net gain from commodity derivatives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 gains and losses on our derivative contracts related to our oil production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activities in operating revenue. Net gain from commodity derivatives was $266 million for the year ended December 31, 2025 compared to a net gain of $241 million for the year ended December 31, 2024. The change primarily resulted from payments to settle commodity derivative contracts and the non-cash changes in the fair value of our outstanding commodity derivatives from the positions held at the end of each measurement period. Gains and losses from our commodity derivative contracts are shown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Year ended</w:t>
            </w:r>
          </w:p>
        </w:tc>
        <w:tc>
          <w:tcPr>
            <w:tcW w:w="340" w:type="dxa"/>
            <w:vAlign w:val="bottom"/>
          </w:tcPr>
          <w:p>
            <w:pPr>
              <w:spacing w:after="0"/>
              <w:rPr>
                <w:sz w:val="18"/>
                <w:szCs w:val="18"/>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8"/>
              </w:rPr>
              <w:t>Year ended</w:t>
            </w:r>
          </w:p>
        </w:tc>
      </w:tr>
      <w:tr>
        <w:trPr>
          <w:trHeight w:val="243"/>
        </w:trPr>
        <w:tc>
          <w:tcPr>
            <w:tcW w:w="7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21"/>
                <w:szCs w:val="21"/>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74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center"/>
              <w:ind w:right="113"/>
              <w:spacing w:after="0"/>
              <w:rPr>
                <w:sz w:val="20"/>
                <w:szCs w:val="20"/>
                <w:color w:val="auto"/>
              </w:rPr>
            </w:pPr>
            <w:r>
              <w:rPr>
                <w:rFonts w:ascii="Arial" w:cs="Arial" w:eastAsia="Arial" w:hAnsi="Arial"/>
                <w:sz w:val="18"/>
                <w:szCs w:val="18"/>
                <w:b w:val="1"/>
                <w:bCs w:val="1"/>
                <w:color w:val="auto"/>
                <w:w w:val="99"/>
              </w:rPr>
              <w:t>2025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2024</w:t>
            </w:r>
          </w:p>
        </w:tc>
      </w:tr>
      <w:tr>
        <w:trPr>
          <w:trHeight w:val="233"/>
        </w:trPr>
        <w:tc>
          <w:tcPr>
            <w:tcW w:w="7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20"/>
                <w:szCs w:val="20"/>
                <w:color w:val="auto"/>
              </w:rPr>
            </w:pPr>
          </w:p>
        </w:tc>
      </w:tr>
      <w:tr>
        <w:trPr>
          <w:trHeight w:val="23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commodity derivative gain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proceeds (settlements) and premium amortization</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48"/>
        </w:trPr>
        <w:tc>
          <w:tcPr>
            <w:tcW w:w="7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gain from commodity derivatives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b w:val="1"/>
          <w:bCs w:val="1"/>
          <w:i w:val="1"/>
          <w:iCs w:val="1"/>
          <w:color w:val="auto"/>
        </w:rPr>
        <w:t xml:space="preserve">Electricity revenue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Electricity revenue increased by $74 million to $233 million during the year ended December 31, 2025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$159 million for the year ended December 31, 2024. This increase was primarily a result of higher pricing from resource adequacy contracts and additional electricity sales in 2025 as a result of scheduled maintenance and unplanned downtime at our Elk Hills power plant in 2024.</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62" w:name="page63"/>
    <w:bookmarkEnd w:id="62"/>
    <w:p>
      <w:pPr>
        <w:ind w:right="400" w:firstLine="324"/>
        <w:spacing w:after="0" w:line="287" w:lineRule="auto"/>
        <w:rPr>
          <w:sz w:val="20"/>
          <w:szCs w:val="20"/>
          <w:color w:val="auto"/>
        </w:rPr>
      </w:pPr>
      <w:r>
        <w:rPr>
          <w:rFonts w:ascii="Arial" w:cs="Arial" w:eastAsia="Arial" w:hAnsi="Arial"/>
          <w:sz w:val="18"/>
          <w:szCs w:val="18"/>
          <w:color w:val="auto"/>
        </w:rPr>
        <w:t>The following table presents our consolidated operating and non-operating expenses and income for the years ended December 31,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Year ended</w:t>
            </w:r>
          </w:p>
        </w:tc>
        <w:tc>
          <w:tcPr>
            <w:tcW w:w="220" w:type="dxa"/>
            <w:vAlign w:val="bottom"/>
          </w:tcPr>
          <w:p>
            <w:pPr>
              <w:spacing w:after="0"/>
              <w:rPr>
                <w:sz w:val="17"/>
                <w:szCs w:val="17"/>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Year ended</w:t>
            </w:r>
          </w:p>
        </w:tc>
      </w:tr>
      <w:tr>
        <w:trPr>
          <w:trHeight w:val="243"/>
        </w:trPr>
        <w:tc>
          <w:tcPr>
            <w:tcW w:w="7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1"/>
                <w:szCs w:val="21"/>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7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9"/>
              </w:rPr>
              <w:t>2025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2024</w:t>
            </w:r>
          </w:p>
        </w:tc>
      </w:tr>
      <w:tr>
        <w:trPr>
          <w:trHeight w:val="233"/>
        </w:trPr>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80" w:type="dxa"/>
            <w:vAlign w:val="bottom"/>
            <w:gridSpan w:val="4"/>
          </w:tcPr>
          <w:p>
            <w:pPr>
              <w:jc w:val="right"/>
              <w:ind w:right="1390"/>
              <w:spacing w:after="0"/>
              <w:rPr>
                <w:sz w:val="20"/>
                <w:szCs w:val="20"/>
                <w:color w:val="auto"/>
              </w:rPr>
            </w:pPr>
            <w:r>
              <w:rPr>
                <w:rFonts w:ascii="Arial" w:cs="Arial" w:eastAsia="Arial" w:hAnsi="Arial"/>
                <w:sz w:val="14"/>
                <w:szCs w:val="14"/>
                <w:color w:val="auto"/>
              </w:rPr>
              <w:t>(in millions)</w:t>
            </w:r>
          </w:p>
        </w:tc>
      </w:tr>
      <w:tr>
        <w:trPr>
          <w:trHeight w:val="23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Operating costs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966</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related to marketing of purchased commodities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Electricity generation expenses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costs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Accretion expense</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on natural gas purchase derivatives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Measurement period adjustments, net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 net</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3"/>
        </w:trPr>
        <w:tc>
          <w:tcPr>
            <w:tcW w:w="75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asset divestitures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75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r>
      <w:tr>
        <w:trPr>
          <w:trHeight w:val="196"/>
        </w:trPr>
        <w:tc>
          <w:tcPr>
            <w:tcW w:w="7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Non-operating (expenses) income</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debt expense, net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Loss on early extinguishment of debt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loss from unconsolidated subsidiaries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30"/>
        </w:trPr>
        <w:tc>
          <w:tcPr>
            <w:tcW w:w="7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provision</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48"/>
        </w:trPr>
        <w:tc>
          <w:tcPr>
            <w:tcW w:w="7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 xml:space="preserve">Operating costs </w:t>
      </w:r>
      <w:r>
        <w:rPr>
          <w:rFonts w:ascii="Arial" w:cs="Arial" w:eastAsia="Arial" w:hAnsi="Arial"/>
          <w:sz w:val="18"/>
          <w:szCs w:val="18"/>
          <w:color w:val="auto"/>
        </w:rPr>
        <w:t>- The following table presents our operating costs for the years ended December 31, 2025 and December 31,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Year ended</w:t>
            </w:r>
          </w:p>
        </w:tc>
        <w:tc>
          <w:tcPr>
            <w:tcW w:w="220" w:type="dxa"/>
            <w:vAlign w:val="bottom"/>
          </w:tcPr>
          <w:p>
            <w:pPr>
              <w:spacing w:after="0"/>
              <w:rPr>
                <w:sz w:val="18"/>
                <w:szCs w:val="18"/>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Year ended</w:t>
            </w:r>
          </w:p>
        </w:tc>
      </w:tr>
      <w:tr>
        <w:trPr>
          <w:trHeight w:val="243"/>
        </w:trPr>
        <w:tc>
          <w:tcPr>
            <w:tcW w:w="7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1"/>
                <w:szCs w:val="21"/>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7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9"/>
              </w:rPr>
              <w:t>2025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2024</w:t>
            </w:r>
          </w:p>
        </w:tc>
      </w:tr>
      <w:tr>
        <w:trPr>
          <w:trHeight w:val="233"/>
        </w:trPr>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80" w:type="dxa"/>
            <w:vAlign w:val="bottom"/>
            <w:gridSpan w:val="4"/>
          </w:tcPr>
          <w:p>
            <w:pPr>
              <w:jc w:val="right"/>
              <w:ind w:right="1390"/>
              <w:spacing w:after="0"/>
              <w:rPr>
                <w:sz w:val="20"/>
                <w:szCs w:val="20"/>
                <w:color w:val="auto"/>
              </w:rPr>
            </w:pPr>
            <w:r>
              <w:rPr>
                <w:rFonts w:ascii="Arial" w:cs="Arial" w:eastAsia="Arial" w:hAnsi="Arial"/>
                <w:sz w:val="14"/>
                <w:szCs w:val="14"/>
                <w:color w:val="auto"/>
              </w:rPr>
              <w:t>(in millions)</w:t>
            </w:r>
          </w:p>
        </w:tc>
      </w:tr>
      <w:tr>
        <w:trPr>
          <w:trHeight w:val="23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operating costs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Gas processing costs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Non-energy operating costs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23"/>
        </w:trPr>
        <w:tc>
          <w:tcPr>
            <w:tcW w:w="7560" w:type="dxa"/>
            <w:vAlign w:val="bottom"/>
          </w:tcPr>
          <w:p>
            <w:pPr>
              <w:ind w:left="240"/>
              <w:spacing w:after="0"/>
              <w:rPr>
                <w:sz w:val="20"/>
                <w:szCs w:val="20"/>
                <w:color w:val="auto"/>
              </w:rPr>
            </w:pPr>
            <w:r>
              <w:rPr>
                <w:rFonts w:ascii="Arial" w:cs="Arial" w:eastAsia="Arial" w:hAnsi="Arial"/>
                <w:sz w:val="18"/>
                <w:szCs w:val="18"/>
                <w:color w:val="auto"/>
              </w:rPr>
              <w:t>Operating costs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r>
      <w:tr>
        <w:trPr>
          <w:trHeight w:val="20"/>
        </w:trPr>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Energy operating costs consist of purchased natural gas used to generate electricity for our operations and steam for our steamfloods, purchased electricity and internal costs to generate electricity used in our operations. Gas processing costs include costs associated with compression, maintenance and other activities needed to run our gas processing facilities at Elk Hills. Non-energy operating costs equal total operating costs less energy operating costs and gas processing costs.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3" w:name="page64"/>
    <w:bookmarkEnd w:id="63"/>
    <w:p>
      <w:pPr>
        <w:ind w:right="20" w:firstLine="324"/>
        <w:spacing w:after="0" w:line="256" w:lineRule="auto"/>
        <w:rPr>
          <w:sz w:val="20"/>
          <w:szCs w:val="20"/>
          <w:color w:val="auto"/>
        </w:rPr>
      </w:pPr>
      <w:r>
        <w:rPr>
          <w:rFonts w:ascii="Arial" w:cs="Arial" w:eastAsia="Arial" w:hAnsi="Arial"/>
          <w:sz w:val="18"/>
          <w:szCs w:val="18"/>
          <w:i w:val="1"/>
          <w:iCs w:val="1"/>
          <w:color w:val="auto"/>
        </w:rPr>
        <w:t xml:space="preserve">Energy operating costs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Energy operating costs for the year ended December 31, 2025 were $374 million, which was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$95 million from $ 279 million for the year ended December 31, 2024. Approximately $94 million of this increase is related to the addition of the Aera fields for the full year of 2025 compared to only six months in 2024. The remaining increase primarily related to higher energy prices partially offset by savings related to the additional supply of electricity generated at our Elk Hills power plant which is used at our Elk Hills field in 2025. During the year ended December 31, 2024, our Elk Hills power plant experienced unplanned downtime and scheduled maintenance resulting in lower electricity generation available the Elk Hills field. For more information on our natural gas market prices, see </w:t>
      </w:r>
      <w:r>
        <w:rPr>
          <w:rFonts w:ascii="Arial" w:cs="Arial" w:eastAsia="Arial" w:hAnsi="Arial"/>
          <w:sz w:val="18"/>
          <w:szCs w:val="18"/>
          <w:i w:val="1"/>
          <w:iCs w:val="1"/>
          <w:color w:val="auto"/>
        </w:rPr>
        <w:t xml:space="preserve">Segment Results of Oil and Natural Gas Operations, Production, Prices and Realizations </w:t>
      </w:r>
      <w:r>
        <w:rPr>
          <w:rFonts w:ascii="Arial" w:cs="Arial" w:eastAsia="Arial" w:hAnsi="Arial"/>
          <w:sz w:val="18"/>
          <w:szCs w:val="18"/>
          <w:color w:val="auto"/>
        </w:rPr>
        <w:t>below.</w:t>
      </w:r>
    </w:p>
    <w:p>
      <w:pPr>
        <w:spacing w:after="0" w:line="210"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i w:val="1"/>
          <w:iCs w:val="1"/>
          <w:color w:val="auto"/>
        </w:rPr>
        <w:t xml:space="preserve">Non-energy operating costs </w:t>
      </w:r>
      <w:r>
        <w:rPr>
          <w:rFonts w:ascii="Arial" w:cs="Arial" w:eastAsia="Arial" w:hAnsi="Arial"/>
          <w:sz w:val="18"/>
          <w:szCs w:val="18"/>
          <w:color w:val="auto"/>
        </w:rPr>
        <w:t>– Non-energy operating costs for the year ended December 31, 2025 were $859 million, which was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$188 million from $671 million for the year ended December 31, 2024. Of this increase, $ 191 million related to the operation of the Aera fields for the full year ended December 31, 2025 compared to only six months in 2024. This increase was partially offset by lower maintenance activity during the year ended December 31, 2025 as compared to 2024.</w:t>
      </w:r>
    </w:p>
    <w:p>
      <w:pPr>
        <w:spacing w:after="0" w:line="203"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 General and administrative expenses were $333 million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2025, which was an increase of $12 million from $321 million for the year ended December 31, 2024. The increase was primarily a result of additional compensation-related expense and other corporate expenses resulting from the Aera Merger.</w:t>
      </w:r>
    </w:p>
    <w:p>
      <w:pPr>
        <w:spacing w:after="0" w:line="19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 Depreciation, depletion and amortization increased $ 123 million to $511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2025 from $388 million for the same prior year period. The increase was primarily the result of the addition of the Aera assets included in the full year ended December 31, 2025.</w:t>
      </w:r>
    </w:p>
    <w:p>
      <w:pPr>
        <w:spacing w:after="0" w:line="198"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b w:val="1"/>
          <w:bCs w:val="1"/>
          <w:i w:val="1"/>
          <w:iCs w:val="1"/>
          <w:color w:val="auto"/>
        </w:rPr>
        <w:t xml:space="preserve">Asset impairment </w:t>
      </w:r>
      <w:r>
        <w:rPr>
          <w:rFonts w:ascii="Arial" w:cs="Arial" w:eastAsia="Arial" w:hAnsi="Arial"/>
          <w:sz w:val="18"/>
          <w:szCs w:val="18"/>
          <w:color w:val="auto"/>
        </w:rPr>
        <w:t>– We recognized a $59 million asset impairment during the year ended December 31, 2025 of which $57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related to the write-down of our proved natural gas properties in the Sacramento basin. For more information on the impairment of natural gas properties in the Sacramento basin, see </w:t>
      </w:r>
      <w:r>
        <w:rPr>
          <w:rFonts w:ascii="Arial" w:cs="Arial" w:eastAsia="Arial" w:hAnsi="Arial"/>
          <w:sz w:val="18"/>
          <w:szCs w:val="18"/>
          <w:i w:val="1"/>
          <w:iCs w:val="1"/>
          <w:color w:val="auto"/>
        </w:rPr>
        <w:t>Part II, Item 8 – Financial Statements and Supplementary Data, Note 3 Property, Plant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Equipment. </w:t>
      </w:r>
      <w:r>
        <w:rPr>
          <w:rFonts w:ascii="Arial" w:cs="Arial" w:eastAsia="Arial" w:hAnsi="Arial"/>
          <w:sz w:val="18"/>
          <w:szCs w:val="18"/>
          <w:color w:val="auto"/>
        </w:rPr>
        <w:t>During the year ended December 31, 2024, we recognized a $ 14 million impairment primarily related to excess and obsolete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materials and supplies related to our oilfield operations. See </w:t>
      </w:r>
      <w:r>
        <w:rPr>
          <w:rFonts w:ascii="Arial" w:cs="Arial" w:eastAsia="Arial" w:hAnsi="Arial"/>
          <w:sz w:val="18"/>
          <w:szCs w:val="18"/>
          <w:i w:val="1"/>
          <w:iCs w:val="1"/>
          <w:color w:val="auto"/>
        </w:rPr>
        <w:t>Part II, Item 8 – Financial Statements and Supplementary Data, Note 1 Nature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Business, Summary of Significant Accounting Policies and Other </w:t>
      </w:r>
      <w:r>
        <w:rPr>
          <w:rFonts w:ascii="Arial" w:cs="Arial" w:eastAsia="Arial" w:hAnsi="Arial"/>
          <w:sz w:val="18"/>
          <w:szCs w:val="18"/>
          <w:color w:val="auto"/>
        </w:rPr>
        <w:t>for more information.</w:t>
      </w:r>
    </w:p>
    <w:p>
      <w:pPr>
        <w:spacing w:after="0" w:line="209" w:lineRule="exact"/>
        <w:rPr>
          <w:sz w:val="20"/>
          <w:szCs w:val="20"/>
          <w:color w:val="auto"/>
        </w:rPr>
      </w:pPr>
    </w:p>
    <w:p>
      <w:pPr>
        <w:jc w:val="both"/>
        <w:ind w:right="100" w:firstLine="324"/>
        <w:spacing w:after="0" w:line="268" w:lineRule="auto"/>
        <w:rPr>
          <w:sz w:val="20"/>
          <w:szCs w:val="20"/>
          <w:color w:val="auto"/>
        </w:rPr>
      </w:pPr>
      <w:r>
        <w:rPr>
          <w:rFonts w:ascii="Arial" w:cs="Arial" w:eastAsia="Arial" w:hAnsi="Arial"/>
          <w:sz w:val="18"/>
          <w:szCs w:val="18"/>
          <w:b w:val="1"/>
          <w:bCs w:val="1"/>
          <w:i w:val="1"/>
          <w:iCs w:val="1"/>
          <w:color w:val="auto"/>
        </w:rPr>
        <w:t xml:space="preserve">Accretion expense </w:t>
      </w:r>
      <w:r>
        <w:rPr>
          <w:rFonts w:ascii="Arial" w:cs="Arial" w:eastAsia="Arial" w:hAnsi="Arial"/>
          <w:sz w:val="18"/>
          <w:szCs w:val="18"/>
          <w:color w:val="auto"/>
        </w:rPr>
        <w:t>– Accretion expense was $114 million for the year ended December 31, 2025, which was an increase of $27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$87 million for the year ended December 31, 2024. The increase was primarily due to the addition of the Aera asset retirement liability related to the Aera fields in connection with the Aera Merger.</w:t>
      </w:r>
    </w:p>
    <w:p>
      <w:pPr>
        <w:spacing w:after="0" w:line="198"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b w:val="1"/>
          <w:bCs w:val="1"/>
          <w:i w:val="1"/>
          <w:iCs w:val="1"/>
          <w:color w:val="auto"/>
        </w:rPr>
        <w:t xml:space="preserve">Net loss on natural gas purchase derivatives </w:t>
      </w:r>
      <w:r>
        <w:rPr>
          <w:rFonts w:ascii="Arial" w:cs="Arial" w:eastAsia="Arial" w:hAnsi="Arial"/>
          <w:sz w:val="18"/>
          <w:szCs w:val="18"/>
          <w:color w:val="auto"/>
        </w:rPr>
        <w:t>– Net loss on natural gas purchase derivatives was $50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December 31, 2025. For the same prior year period, we recognized a net loss of $ 30 million. The change primarily resulted from changes in the fair value of our outstanding commodity derivatives from the positions held, as well as the relationship between contract prices and the associated forward curves at the end of each measurement period. We added derivative positions held by Berry at December 18, 2025 and recognized a change in fair value between legal close and December 31, 2025. Gains and losses from our commodity derivative contracts are shown in the table below. For more information on our derivatives, see </w:t>
      </w:r>
      <w:r>
        <w:rPr>
          <w:rFonts w:ascii="Arial" w:cs="Arial" w:eastAsia="Arial" w:hAnsi="Arial"/>
          <w:sz w:val="18"/>
          <w:szCs w:val="18"/>
          <w:i w:val="1"/>
          <w:iCs w:val="1"/>
          <w:color w:val="auto"/>
        </w:rPr>
        <w:t>Part II, Item 8 – Financial Statements and Supplementary Data,</w:t>
      </w:r>
      <w:r>
        <w:rPr>
          <w:rFonts w:ascii="Arial" w:cs="Arial" w:eastAsia="Arial" w:hAnsi="Arial"/>
          <w:sz w:val="18"/>
          <w:szCs w:val="18"/>
          <w:color w:val="auto"/>
        </w:rPr>
        <w:t xml:space="preserve"> </w:t>
      </w:r>
      <w:r>
        <w:rPr>
          <w:rFonts w:ascii="Arial" w:cs="Arial" w:eastAsia="Arial" w:hAnsi="Arial"/>
          <w:sz w:val="18"/>
          <w:szCs w:val="18"/>
          <w:i w:val="1"/>
          <w:iCs w:val="1"/>
          <w:color w:val="auto"/>
        </w:rPr>
        <w:t>Note 7 Derivatives.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8"/>
                <w:szCs w:val="18"/>
                <w:color w:val="auto"/>
              </w:rPr>
            </w:pPr>
          </w:p>
        </w:tc>
        <w:tc>
          <w:tcPr>
            <w:tcW w:w="1540" w:type="dxa"/>
            <w:vAlign w:val="bottom"/>
          </w:tcPr>
          <w:p>
            <w:pPr>
              <w:jc w:val="center"/>
              <w:ind w:left="250"/>
              <w:spacing w:after="0"/>
              <w:rPr>
                <w:sz w:val="20"/>
                <w:szCs w:val="20"/>
                <w:color w:val="auto"/>
              </w:rPr>
            </w:pPr>
            <w:r>
              <w:rPr>
                <w:rFonts w:ascii="Arial" w:cs="Arial" w:eastAsia="Arial" w:hAnsi="Arial"/>
                <w:sz w:val="18"/>
                <w:szCs w:val="18"/>
                <w:b w:val="1"/>
                <w:bCs w:val="1"/>
                <w:color w:val="auto"/>
                <w:w w:val="98"/>
              </w:rPr>
              <w:t>Year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8"/>
              </w:rPr>
              <w:t>Year ended</w:t>
            </w:r>
          </w:p>
        </w:tc>
      </w:tr>
      <w:tr>
        <w:trPr>
          <w:trHeight w:val="243"/>
        </w:trPr>
        <w:tc>
          <w:tcPr>
            <w:tcW w:w="7400" w:type="dxa"/>
            <w:vAlign w:val="bottom"/>
          </w:tcPr>
          <w:p>
            <w:pPr>
              <w:spacing w:after="0"/>
              <w:rPr>
                <w:sz w:val="21"/>
                <w:szCs w:val="21"/>
                <w:color w:val="auto"/>
              </w:rPr>
            </w:pPr>
          </w:p>
        </w:tc>
        <w:tc>
          <w:tcPr>
            <w:tcW w:w="154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7400" w:type="dxa"/>
            <w:vAlign w:val="bottom"/>
          </w:tcPr>
          <w:p>
            <w:pPr>
              <w:spacing w:after="0"/>
              <w:rPr>
                <w:sz w:val="19"/>
                <w:szCs w:val="19"/>
                <w:color w:val="auto"/>
              </w:rPr>
            </w:pPr>
          </w:p>
        </w:tc>
        <w:tc>
          <w:tcPr>
            <w:tcW w:w="15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9"/>
              </w:rPr>
              <w:t>2025</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2024</w:t>
            </w:r>
          </w:p>
        </w:tc>
      </w:tr>
      <w:tr>
        <w:trPr>
          <w:trHeight w:val="232"/>
        </w:trPr>
        <w:tc>
          <w:tcPr>
            <w:tcW w:w="7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20"/>
                <w:szCs w:val="20"/>
                <w:color w:val="auto"/>
              </w:rPr>
            </w:pPr>
          </w:p>
        </w:tc>
      </w:tr>
      <w:tr>
        <w:trPr>
          <w:trHeight w:val="234"/>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loss (gain) on natural gas purchase derivatives</w:t>
            </w:r>
          </w:p>
        </w:tc>
        <w:tc>
          <w:tcPr>
            <w:tcW w:w="154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Settlements</w:t>
            </w:r>
          </w:p>
        </w:tc>
        <w:tc>
          <w:tcPr>
            <w:tcW w:w="15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48"/>
        </w:trPr>
        <w:tc>
          <w:tcPr>
            <w:tcW w:w="7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 on natural gas purchase derivatives</w:t>
            </w:r>
          </w:p>
        </w:tc>
        <w:tc>
          <w:tcPr>
            <w:tcW w:w="1540" w:type="dxa"/>
            <w:vAlign w:val="bottom"/>
            <w:tcBorders>
              <w:bottom w:val="single" w:sz="8" w:color="auto"/>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4" w:name="page65"/>
    <w:bookmarkEnd w:id="64"/>
    <w:p>
      <w:pPr>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Measurement period adjustments, net </w:t>
      </w:r>
      <w:r>
        <w:rPr>
          <w:rFonts w:ascii="Arial" w:cs="Arial" w:eastAsia="Arial" w:hAnsi="Arial"/>
          <w:sz w:val="18"/>
          <w:szCs w:val="18"/>
          <w:color w:val="auto"/>
        </w:rPr>
        <w:t>– Measurement period adjustments relate to changes made to the initial accounting for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acquired and liabilities assumed in the Aera Merger. The adjustments for the year ended December 31, 2025 included adjustments to depreciation, depletion and amortization expense resulting from changes to the initial purchase price allocation. The adjustments for the year ended December 31, 2024 related to accretion expense related to asset retirement obligations and depreciation, depletion and amortization expense resulting from changes to the initial purchase price allocation.</w:t>
      </w:r>
    </w:p>
    <w:p>
      <w:pPr>
        <w:spacing w:after="0" w:line="206" w:lineRule="exact"/>
        <w:rPr>
          <w:sz w:val="20"/>
          <w:szCs w:val="20"/>
          <w:color w:val="auto"/>
        </w:rPr>
      </w:pPr>
    </w:p>
    <w:p>
      <w:pPr>
        <w:ind w:right="1140" w:firstLine="324"/>
        <w:spacing w:after="0" w:line="287" w:lineRule="auto"/>
        <w:rPr>
          <w:sz w:val="20"/>
          <w:szCs w:val="20"/>
          <w:color w:val="auto"/>
        </w:rPr>
      </w:pPr>
      <w:r>
        <w:rPr>
          <w:rFonts w:ascii="Arial" w:cs="Arial" w:eastAsia="Arial" w:hAnsi="Arial"/>
          <w:sz w:val="18"/>
          <w:szCs w:val="18"/>
          <w:b w:val="1"/>
          <w:bCs w:val="1"/>
          <w:i w:val="1"/>
          <w:iCs w:val="1"/>
          <w:color w:val="auto"/>
        </w:rPr>
        <w:t xml:space="preserve">Other operating expenses, net </w:t>
      </w:r>
      <w:r>
        <w:rPr>
          <w:rFonts w:ascii="Arial" w:cs="Arial" w:eastAsia="Arial" w:hAnsi="Arial"/>
          <w:sz w:val="18"/>
          <w:szCs w:val="18"/>
          <w:color w:val="auto"/>
        </w:rPr>
        <w:t>– Other operating expenses, net decreased $30 million to $209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2025 compared to $239 million for the year ended December 31, 2024.</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years ended December 31, 2025 and 2024, other operating expenses, net includes the following:</w:t>
      </w:r>
    </w:p>
    <w:p>
      <w:pPr>
        <w:spacing w:after="0" w:line="279"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Year ended</w:t>
      </w:r>
    </w:p>
    <w:p>
      <w:pPr>
        <w:jc w:val="center"/>
        <w:ind w:left="7420"/>
        <w:spacing w:after="0"/>
        <w:rPr>
          <w:sz w:val="20"/>
          <w:szCs w:val="20"/>
          <w:color w:val="auto"/>
        </w:rPr>
      </w:pPr>
      <w:r>
        <w:rPr>
          <w:rFonts w:ascii="Arial" w:cs="Arial" w:eastAsia="Arial" w:hAnsi="Arial"/>
          <w:sz w:val="18"/>
          <w:szCs w:val="18"/>
          <w:b w:val="1"/>
          <w:bCs w:val="1"/>
          <w:color w:val="auto"/>
        </w:rPr>
        <w:t>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r>
      <w:tr>
        <w:trPr>
          <w:trHeight w:val="192"/>
        </w:trPr>
        <w:tc>
          <w:tcPr>
            <w:tcW w:w="7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gridSpan w:val="3"/>
          </w:tcPr>
          <w:p>
            <w:pPr>
              <w:jc w:val="right"/>
              <w:ind w:right="110"/>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16"/>
                <w:szCs w:val="16"/>
                <w:color w:val="auto"/>
              </w:rPr>
            </w:pPr>
          </w:p>
        </w:tc>
      </w:tr>
      <w:tr>
        <w:trPr>
          <w:trHeight w:val="233"/>
        </w:trPr>
        <w:tc>
          <w:tcPr>
            <w:tcW w:w="748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Carbon management expenses</w:t>
            </w:r>
            <w:r>
              <w:rPr>
                <w:rFonts w:ascii="Arial" w:cs="Arial" w:eastAsia="Arial" w:hAnsi="Arial"/>
                <w:sz w:val="23"/>
                <w:szCs w:val="23"/>
                <w:color w:val="auto"/>
                <w:vertAlign w:val="superscript"/>
              </w:rPr>
              <w:t>(a)</w:t>
            </w: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Transaction and integration costs</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Incremental energy costs due to downtime at our Elk Hills power plant</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Severance and termination costs</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Litigation and settlement related expenses</w:t>
            </w:r>
            <w:r>
              <w:rPr>
                <w:rFonts w:ascii="Arial" w:cs="Arial" w:eastAsia="Arial" w:hAnsi="Arial"/>
                <w:sz w:val="23"/>
                <w:szCs w:val="23"/>
                <w:color w:val="auto"/>
                <w:vertAlign w:val="superscript"/>
              </w:rPr>
              <w:t>(b)</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Offshore platforms maintenance and abandonment costs</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Information technology infrastructure</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Environmental remediation</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7480" w:type="dxa"/>
            <w:vAlign w:val="bottom"/>
          </w:tcPr>
          <w:p>
            <w:pPr>
              <w:ind w:left="240"/>
              <w:spacing w:after="0"/>
              <w:rPr>
                <w:sz w:val="20"/>
                <w:szCs w:val="20"/>
                <w:color w:val="auto"/>
              </w:rPr>
            </w:pPr>
            <w:r>
              <w:rPr>
                <w:rFonts w:ascii="Arial" w:cs="Arial" w:eastAsia="Arial" w:hAnsi="Arial"/>
                <w:sz w:val="18"/>
                <w:szCs w:val="18"/>
                <w:color w:val="auto"/>
              </w:rPr>
              <w:t>Total operating expenses, net</w:t>
            </w:r>
          </w:p>
        </w:tc>
        <w:tc>
          <w:tcPr>
            <w:tcW w:w="12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0"/>
        </w:trPr>
        <w:tc>
          <w:tcPr>
            <w:tcW w:w="7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right="140" w:hanging="332"/>
        <w:spacing w:after="0" w:line="261" w:lineRule="auto"/>
        <w:tabs>
          <w:tab w:leader="none" w:pos="3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Carbon management expenses relates to the development of our carbon management business and includes operating lease costs, payroll costs related to our technical teams and is included in other segment expenses. For more information on our carbon management segment, refer to </w:t>
      </w:r>
      <w:r>
        <w:rPr>
          <w:rFonts w:ascii="Arial" w:cs="Arial" w:eastAsia="Arial" w:hAnsi="Arial"/>
          <w:sz w:val="14"/>
          <w:szCs w:val="14"/>
          <w:i w:val="1"/>
          <w:iCs w:val="1"/>
          <w:color w:val="auto"/>
        </w:rPr>
        <w:t>Part II, Item 8 – Financial Statements and</w:t>
      </w:r>
      <w:r>
        <w:rPr>
          <w:rFonts w:ascii="Arial" w:cs="Arial" w:eastAsia="Arial" w:hAnsi="Arial"/>
          <w:sz w:val="14"/>
          <w:szCs w:val="14"/>
          <w:color w:val="auto"/>
        </w:rPr>
        <w:t xml:space="preserve"> </w:t>
      </w:r>
      <w:r>
        <w:rPr>
          <w:rFonts w:ascii="Arial" w:cs="Arial" w:eastAsia="Arial" w:hAnsi="Arial"/>
          <w:sz w:val="14"/>
          <w:szCs w:val="14"/>
          <w:i w:val="1"/>
          <w:iCs w:val="1"/>
          <w:color w:val="auto"/>
        </w:rPr>
        <w:t>Supplementary Data, Note 16 Segment Information.</w:t>
      </w:r>
    </w:p>
    <w:p>
      <w:pPr>
        <w:spacing w:after="0" w:line="1" w:lineRule="exact"/>
        <w:rPr>
          <w:rFonts w:ascii="Arial" w:cs="Arial" w:eastAsia="Arial" w:hAnsi="Arial"/>
          <w:sz w:val="14"/>
          <w:szCs w:val="14"/>
          <w:color w:val="auto"/>
        </w:rPr>
      </w:pPr>
    </w:p>
    <w:p>
      <w:pPr>
        <w:ind w:left="340" w:right="400" w:hanging="332"/>
        <w:spacing w:after="0" w:line="284" w:lineRule="auto"/>
        <w:tabs>
          <w:tab w:leader="none" w:pos="3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Part II, Item 8 – Financial Statements and Supplementary Data, Note 6 Lawsuits, Claims, Commitments and Contingencies</w:t>
      </w:r>
      <w:r>
        <w:rPr>
          <w:rFonts w:ascii="Arial" w:cs="Arial" w:eastAsia="Arial" w:hAnsi="Arial"/>
          <w:sz w:val="14"/>
          <w:szCs w:val="14"/>
          <w:color w:val="auto"/>
        </w:rPr>
        <w:t xml:space="preserve"> for more information on a $25 million payment we made to CalGEM.</w:t>
      </w:r>
    </w:p>
    <w:p>
      <w:pPr>
        <w:spacing w:after="0" w:line="189"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b w:val="1"/>
          <w:bCs w:val="1"/>
          <w:i w:val="1"/>
          <w:iCs w:val="1"/>
          <w:color w:val="auto"/>
        </w:rPr>
        <w:t xml:space="preserve">(Loss) gain on asset divestitures </w:t>
      </w:r>
      <w:r>
        <w:rPr>
          <w:rFonts w:ascii="Arial" w:cs="Arial" w:eastAsia="Arial" w:hAnsi="Arial"/>
          <w:sz w:val="17"/>
          <w:szCs w:val="17"/>
          <w:color w:val="auto"/>
        </w:rPr>
        <w:t>– Our loss on asset divestitures for the year ended December 31, 2025 was $1 million primarily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to the final purchase price adjustment related to the sale of oil and gas assets located in Ventura. Gain on asset divestitures for the year ended December 31, 2024 was $11 million primarily related to the divestiture of non-core assets and our Ventura divestiture. For more</w:t>
      </w:r>
    </w:p>
    <w:p>
      <w:pPr>
        <w:spacing w:after="0" w:line="1" w:lineRule="exact"/>
        <w:rPr>
          <w:sz w:val="20"/>
          <w:szCs w:val="20"/>
          <w:color w:val="auto"/>
        </w:rPr>
      </w:pPr>
    </w:p>
    <w:p>
      <w:pPr>
        <w:ind w:right="900"/>
        <w:spacing w:after="0" w:line="266" w:lineRule="auto"/>
        <w:rPr>
          <w:sz w:val="20"/>
          <w:szCs w:val="20"/>
          <w:color w:val="auto"/>
        </w:rPr>
      </w:pPr>
      <w:r>
        <w:rPr>
          <w:rFonts w:ascii="Arial" w:cs="Arial" w:eastAsia="Arial" w:hAnsi="Arial"/>
          <w:sz w:val="18"/>
          <w:szCs w:val="18"/>
          <w:color w:val="auto"/>
        </w:rPr>
        <w:t xml:space="preserve">information on our asset divestitures, see </w:t>
      </w:r>
      <w:r>
        <w:rPr>
          <w:rFonts w:ascii="Arial" w:cs="Arial" w:eastAsia="Arial" w:hAnsi="Arial"/>
          <w:sz w:val="18"/>
          <w:szCs w:val="18"/>
          <w:i w:val="1"/>
          <w:iCs w:val="1"/>
          <w:color w:val="auto"/>
        </w:rPr>
        <w:t>Part II, Item 8 – Financial Statements and Supplementary Data, Note 9 Divestitures and</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and debt expense, net </w:t>
      </w:r>
      <w:r>
        <w:rPr>
          <w:rFonts w:ascii="Arial" w:cs="Arial" w:eastAsia="Arial" w:hAnsi="Arial"/>
          <w:sz w:val="18"/>
          <w:szCs w:val="18"/>
          <w:color w:val="auto"/>
        </w:rPr>
        <w:t>– Interest and debt expense, net was $106 million for the year ended December 31, 2025, which was</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an increase of $19 million from $ 87 million for the year ended December 31, 2024. The increase was predominately due to higher outstanding debt for the full year ended 2025 compared to 2024. Our 2029 Senior Notes were outstanding for only part of 2024 compared to</w:t>
      </w:r>
    </w:p>
    <w:p>
      <w:pPr>
        <w:spacing w:after="0" w:line="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 xml:space="preserve">the full year in 2025, as $600 million was issued in June 2024 and $300 million was issued in August 2024 in a follow-on issuance. Outstanding debt was also higher in 2025 due to the issuance of $400 million of our 2034 Senior Notes completed in October 2025 resulting in increased interest expense. This increase in interest expense was partially offset by lower interest expense resulting from debt repayments, including the redemption of $123 million of our 2026 Senior Notes in February 2025 and the redemption of the remaining $122 million of the 2026 Senior Notes in October 2025, which reduced outstanding principal and related interest expense. See </w:t>
      </w:r>
      <w:r>
        <w:rPr>
          <w:rFonts w:ascii="Arial" w:cs="Arial" w:eastAsia="Arial" w:hAnsi="Arial"/>
          <w:sz w:val="18"/>
          <w:szCs w:val="18"/>
          <w:i w:val="1"/>
          <w:iCs w:val="1"/>
          <w:color w:val="auto"/>
        </w:rPr>
        <w:t>Part II, Item 8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and Supplementary Data, Note 5 Debt </w:t>
      </w:r>
      <w:r>
        <w:rPr>
          <w:rFonts w:ascii="Arial" w:cs="Arial" w:eastAsia="Arial" w:hAnsi="Arial"/>
          <w:sz w:val="18"/>
          <w:szCs w:val="18"/>
          <w:color w:val="auto"/>
        </w:rPr>
        <w:t>for information on our recent financings.</w:t>
      </w:r>
    </w:p>
    <w:p>
      <w:pPr>
        <w:spacing w:after="0" w:line="208" w:lineRule="exact"/>
        <w:rPr>
          <w:sz w:val="20"/>
          <w:szCs w:val="20"/>
          <w:color w:val="auto"/>
        </w:rPr>
      </w:pPr>
    </w:p>
    <w:p>
      <w:pPr>
        <w:ind w:right="120" w:firstLine="324"/>
        <w:spacing w:after="0" w:line="244" w:lineRule="auto"/>
        <w:rPr>
          <w:sz w:val="20"/>
          <w:szCs w:val="20"/>
          <w:color w:val="auto"/>
        </w:rPr>
      </w:pPr>
      <w:r>
        <w:rPr>
          <w:rFonts w:ascii="Arial" w:cs="Arial" w:eastAsia="Arial" w:hAnsi="Arial"/>
          <w:sz w:val="18"/>
          <w:szCs w:val="18"/>
          <w:b w:val="1"/>
          <w:bCs w:val="1"/>
          <w:i w:val="1"/>
          <w:iCs w:val="1"/>
          <w:color w:val="auto"/>
        </w:rPr>
        <w:t xml:space="preserve">Other non-operating income (expenses), net </w:t>
      </w:r>
      <w:r>
        <w:rPr>
          <w:rFonts w:ascii="Arial" w:cs="Arial" w:eastAsia="Arial" w:hAnsi="Arial"/>
          <w:sz w:val="18"/>
          <w:szCs w:val="18"/>
          <w:color w:val="auto"/>
        </w:rPr>
        <w:t>– We recognized $15 million other non-operating income during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2025 primarily related to actuarial gains on plan assets held in our pension and postretirement benefit plan. During the year ended December 31, 2024, we recognized $2 million other non-operating expense primarily relating to the write-off of financing fees related to a bridge loan we entered into in connection with the Aera Merger which was partially offset by a prior service cost gain on our postretirement benefit plan.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Segment Results of Oil and Natural Gas Operations</w:t>
      </w:r>
    </w:p>
    <w:p>
      <w:pPr>
        <w:spacing w:after="0" w:line="252"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 xml:space="preserve">The following tables includes financial results and key operating data for our oil and natural gas segment for the years ended December 31, 2025, 2024 and 2023. Our results of operations for the oil and natural gas segment include the financial and operating results of Aera beginning on July 1, 2024, the closing date of the Aera Merger. For more information on the Aera Merger, see </w:t>
      </w:r>
      <w:r>
        <w:rPr>
          <w:rFonts w:ascii="Arial" w:cs="Arial" w:eastAsia="Arial" w:hAnsi="Arial"/>
          <w:sz w:val="18"/>
          <w:szCs w:val="18"/>
          <w:i w:val="1"/>
          <w:iCs w:val="1"/>
          <w:color w:val="auto"/>
        </w:rPr>
        <w:t>Part II, Item 8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and Supplementary Data, Note 2 Business Combinations.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8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oil and gas segment financial data</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2024</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9"/>
        </w:trPr>
        <w:tc>
          <w:tcPr>
            <w:tcW w:w="508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3320" w:type="dxa"/>
            <w:vAlign w:val="bottom"/>
            <w:gridSpan w:val="4"/>
          </w:tcPr>
          <w:p>
            <w:pPr>
              <w:jc w:val="center"/>
              <w:ind w:left="112"/>
              <w:spacing w:after="0"/>
              <w:rPr>
                <w:sz w:val="20"/>
                <w:szCs w:val="20"/>
                <w:color w:val="auto"/>
              </w:rPr>
            </w:pPr>
            <w:r>
              <w:rPr>
                <w:rFonts w:ascii="Arial" w:cs="Arial" w:eastAsia="Arial" w:hAnsi="Arial"/>
                <w:sz w:val="14"/>
                <w:szCs w:val="14"/>
                <w:color w:val="auto"/>
              </w:rPr>
              <w:t>(in millions, except as otherwise stated)</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production sold (MBoe/d)</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Total operating revenues</w:t>
            </w: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2,967</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2,572</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profit</w:t>
            </w:r>
          </w:p>
        </w:tc>
        <w:tc>
          <w:tcPr>
            <w:tcW w:w="13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815</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57"/>
        </w:trPr>
        <w:tc>
          <w:tcPr>
            <w:tcW w:w="50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affecting comparability:</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40"/>
              <w:spacing w:after="0" w:line="230" w:lineRule="exact"/>
              <w:rPr>
                <w:sz w:val="20"/>
                <w:szCs w:val="20"/>
                <w:color w:val="auto"/>
              </w:rPr>
            </w:pPr>
            <w:r>
              <w:rPr>
                <w:rFonts w:ascii="Arial" w:cs="Arial" w:eastAsia="Arial" w:hAnsi="Arial"/>
                <w:sz w:val="18"/>
                <w:szCs w:val="18"/>
                <w:color w:val="auto"/>
              </w:rPr>
              <w:t>Asset impairments</w:t>
            </w:r>
            <w:r>
              <w:rPr>
                <w:rFonts w:ascii="Arial" w:cs="Arial" w:eastAsia="Arial" w:hAnsi="Arial"/>
                <w:sz w:val="23"/>
                <w:szCs w:val="23"/>
                <w:color w:val="auto"/>
                <w:vertAlign w:val="superscript"/>
              </w:rPr>
              <w:t>(a)</w:t>
            </w: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Net (loss) gain on asset divestitures</w:t>
            </w:r>
            <w:r>
              <w:rPr>
                <w:rFonts w:ascii="Arial" w:cs="Arial" w:eastAsia="Arial" w:hAnsi="Arial"/>
                <w:sz w:val="23"/>
                <w:szCs w:val="23"/>
                <w:color w:val="auto"/>
                <w:vertAlign w:val="superscript"/>
              </w:rPr>
              <w:t>(b)</w:t>
            </w:r>
          </w:p>
        </w:tc>
        <w:tc>
          <w:tcPr>
            <w:tcW w:w="13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7"/>
        </w:trPr>
        <w:tc>
          <w:tcPr>
            <w:tcW w:w="50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Key operating expenses per Boe</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Operating costs</w:t>
            </w: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25.42</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24.51</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 after hedges on purchased natural gas</w:t>
            </w:r>
          </w:p>
        </w:tc>
        <w:tc>
          <w:tcPr>
            <w:tcW w:w="13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25.31</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line="230" w:lineRule="exact"/>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3"/>
                <w:szCs w:val="23"/>
                <w:color w:val="auto"/>
                <w:vertAlign w:val="superscript"/>
              </w:rPr>
              <w:t>(c)</w:t>
            </w: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0.85</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1.07</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Depreciation, depletion and amortization</w:t>
            </w:r>
            <w:r>
              <w:rPr>
                <w:rFonts w:ascii="Arial" w:cs="Arial" w:eastAsia="Arial" w:hAnsi="Arial"/>
                <w:sz w:val="23"/>
                <w:szCs w:val="23"/>
                <w:color w:val="auto"/>
                <w:vertAlign w:val="superscript"/>
              </w:rPr>
              <w:t>(d)</w:t>
            </w:r>
          </w:p>
        </w:tc>
        <w:tc>
          <w:tcPr>
            <w:tcW w:w="13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8.83</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4.03</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5.16</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transportation expenses</w:t>
            </w:r>
          </w:p>
        </w:tc>
        <w:tc>
          <w:tcPr>
            <w:tcW w:w="13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0.90</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40" w:hanging="332"/>
        <w:spacing w:after="0" w:line="261"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Asset impairment for the year ended December 31, 2025 includes the write-down of our proved properties in the Sacramento basin. Asset impairment for the year ended December 31, 2024 related to the write-off of excess and obsolete materials and supplies, generally requisitioned for wells and capitalized as part of drilling and completion activities. The table above excludes asset impairments that were not related to the oil and natural gas segment.</w:t>
      </w:r>
    </w:p>
    <w:p>
      <w:pPr>
        <w:spacing w:after="0" w:line="1" w:lineRule="exact"/>
        <w:rPr>
          <w:rFonts w:ascii="Arial" w:cs="Arial" w:eastAsia="Arial" w:hAnsi="Arial"/>
          <w:sz w:val="14"/>
          <w:szCs w:val="14"/>
          <w:color w:val="auto"/>
        </w:rPr>
      </w:pPr>
    </w:p>
    <w:p>
      <w:pPr>
        <w:ind w:left="340" w:right="160" w:hanging="332"/>
        <w:spacing w:after="0" w:line="256"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Loss on asset divestitures for the year ended December 31, 2025 related to the sale of our West Montalvo property in Ventura County, California. Gain on asset divestitures for the year ended December 31, 2024 related to the sale of our 0.9-acre Fort Apache real estate property in Huntington Beach, California as well as the remaining portion of our Ventura assets which were classified as held for sale. Gain on asset divestitures for the year ended December 31, 2023 related to the sale of our non-operated interest in the Round Mountain Unit and a non-producing asset in exchange for the assumption of liabilities.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Only includes general and administrative expenses allocated to our oil and natural gas segment.</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Excludes depreciation, depletion and amortization related to our corporate assets and Elk Hills power plant.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Prices and Realizations</w:t>
      </w:r>
    </w:p>
    <w:p>
      <w:pPr>
        <w:spacing w:after="0" w:line="234"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The amounts in the production tables below show volumes from CRC's operated and non-operated fields for each of the periods presented. These amounts include volumes produced from Berry's operated and non-operated fields during the period from December 18, 2025 through December 31, 2025, and volumes produced from Aera's operated and non-operated fields beginning July 1, 2024.</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u w:val="single" w:color="auto"/>
          <w:color w:val="auto"/>
        </w:rPr>
        <w:t>Net Production Sold</w:t>
      </w:r>
    </w:p>
    <w:p>
      <w:pPr>
        <w:spacing w:after="0" w:line="250"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The following table presents our net production sold per day in each of the basins in which we operate for the periods presented. The amounts in the production table below include volumes produced from operated and non-operated fields for each of the periods presented.</w:t>
      </w:r>
    </w:p>
    <w:p>
      <w:pPr>
        <w:spacing w:after="0" w:line="72"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146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2024</w:t>
            </w:r>
          </w:p>
        </w:tc>
        <w:tc>
          <w:tcPr>
            <w:tcW w:w="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(MBbl/d)</w:t>
            </w:r>
          </w:p>
        </w:tc>
        <w:tc>
          <w:tcPr>
            <w:tcW w:w="9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NGLs (MBbl/d)</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(MMcf/d)</w:t>
            </w: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23"/>
        </w:trPr>
        <w:tc>
          <w:tcPr>
            <w:tcW w:w="79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Daily Net Production (MBoe/d)</w:t>
            </w:r>
          </w:p>
        </w:tc>
        <w:tc>
          <w:tcPr>
            <w:tcW w:w="42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
        </w:trPr>
        <w:tc>
          <w:tcPr>
            <w:tcW w:w="70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changes to our total daily net production per day for the periods presented:</w:t>
      </w:r>
    </w:p>
    <w:p>
      <w:pPr>
        <w:spacing w:after="0" w:line="293"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r>
      <w:tr>
        <w:trPr>
          <w:trHeight w:val="233"/>
        </w:trPr>
        <w:tc>
          <w:tcPr>
            <w:tcW w:w="5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2"/>
          </w:tcPr>
          <w:p>
            <w:pPr>
              <w:ind w:left="600"/>
              <w:spacing w:after="0"/>
              <w:rPr>
                <w:sz w:val="20"/>
                <w:szCs w:val="20"/>
                <w:color w:val="auto"/>
              </w:rPr>
            </w:pPr>
            <w:r>
              <w:rPr>
                <w:rFonts w:ascii="Arial" w:cs="Arial" w:eastAsia="Arial" w:hAnsi="Arial"/>
                <w:sz w:val="14"/>
                <w:szCs w:val="14"/>
                <w:color w:val="auto"/>
              </w:rPr>
              <w:t>(MBoe/d)</w:t>
            </w:r>
          </w:p>
        </w:tc>
        <w:tc>
          <w:tcPr>
            <w:tcW w:w="1760" w:type="dxa"/>
            <w:vAlign w:val="bottom"/>
          </w:tcPr>
          <w:p>
            <w:pPr>
              <w:spacing w:after="0"/>
              <w:rPr>
                <w:sz w:val="20"/>
                <w:szCs w:val="20"/>
                <w:color w:val="auto"/>
              </w:rPr>
            </w:pPr>
          </w:p>
        </w:tc>
      </w:tr>
      <w:tr>
        <w:trPr>
          <w:trHeight w:val="233"/>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of the year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70"/>
        </w:trPr>
        <w:tc>
          <w:tcPr>
            <w:tcW w:w="57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29"/>
        </w:trPr>
        <w:tc>
          <w:tcPr>
            <w:tcW w:w="69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Divestitures</w:t>
            </w:r>
            <w:r>
              <w:rPr>
                <w:rFonts w:ascii="Arial" w:cs="Arial" w:eastAsia="Arial" w:hAnsi="Arial"/>
                <w:sz w:val="23"/>
                <w:szCs w:val="23"/>
                <w:color w:val="auto"/>
                <w:vertAlign w:val="superscript"/>
              </w:rPr>
              <w:t>(a)</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Plant downtime</w:t>
            </w:r>
            <w:r>
              <w:rPr>
                <w:rFonts w:ascii="Arial" w:cs="Arial" w:eastAsia="Arial" w:hAnsi="Arial"/>
                <w:sz w:val="23"/>
                <w:szCs w:val="23"/>
                <w:color w:val="auto"/>
                <w:vertAlign w:val="superscript"/>
              </w:rPr>
              <w:t>(b)</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Acquisitions</w:t>
            </w:r>
            <w:r>
              <w:rPr>
                <w:rFonts w:ascii="Arial" w:cs="Arial" w:eastAsia="Arial" w:hAnsi="Arial"/>
                <w:sz w:val="23"/>
                <w:szCs w:val="23"/>
                <w:color w:val="auto"/>
                <w:vertAlign w:val="superscript"/>
              </w:rPr>
              <w:t>(c)</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PSC effect</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Natural decline and other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change</w:t>
            </w:r>
          </w:p>
        </w:tc>
        <w:tc>
          <w:tcPr>
            <w:tcW w:w="12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574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spacing w:after="0"/>
              <w:rPr>
                <w:sz w:val="21"/>
                <w:szCs w:val="21"/>
                <w:color w:val="auto"/>
              </w:rPr>
            </w:pP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End of the year</w:t>
            </w:r>
          </w:p>
        </w:tc>
        <w:tc>
          <w:tcPr>
            <w:tcW w:w="54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57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500" w:right="40" w:hanging="492"/>
        <w:spacing w:after="0" w:line="261" w:lineRule="auto"/>
        <w:tabs>
          <w:tab w:leader="none" w:pos="487"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Part II, Item 8 – Financial Statements and Supplementary Data, Note 9 Divestitures and Acquisitions</w:t>
      </w:r>
      <w:r>
        <w:rPr>
          <w:rFonts w:ascii="Arial" w:cs="Arial" w:eastAsia="Arial" w:hAnsi="Arial"/>
          <w:sz w:val="14"/>
          <w:szCs w:val="14"/>
          <w:color w:val="auto"/>
        </w:rPr>
        <w:t xml:space="preserve"> for more information. Note that for the year ended December 31, 2023, our divestitures did not have a significant impact on our production volumes because the sale of our non-operated working interest in the Round Mountain Unit closed on December 29, 2023 and we sold a non-producing asset during the year.</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Included scheduled maintenance and unplanned downtime at our Elk Hills power plant for the year ended December 31, 2024.</w:t>
      </w:r>
    </w:p>
    <w:p>
      <w:pPr>
        <w:spacing w:after="0" w:line="14" w:lineRule="exact"/>
        <w:rPr>
          <w:rFonts w:ascii="Arial" w:cs="Arial" w:eastAsia="Arial" w:hAnsi="Arial"/>
          <w:sz w:val="14"/>
          <w:szCs w:val="14"/>
          <w:color w:val="auto"/>
        </w:rPr>
      </w:pPr>
    </w:p>
    <w:p>
      <w:pPr>
        <w:ind w:left="500" w:right="520" w:hanging="492"/>
        <w:spacing w:after="0" w:line="284" w:lineRule="auto"/>
        <w:tabs>
          <w:tab w:leader="none" w:pos="492"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We completed the Aera Merger on July 1, 2024 and the amount of production shown in the table above is averaged over a 12-month period. See </w:t>
      </w:r>
      <w:r>
        <w:rPr>
          <w:rFonts w:ascii="Arial" w:cs="Arial" w:eastAsia="Arial" w:hAnsi="Arial"/>
          <w:sz w:val="14"/>
          <w:szCs w:val="14"/>
          <w:i w:val="1"/>
          <w:iCs w:val="1"/>
          <w:color w:val="auto"/>
        </w:rPr>
        <w:t>Part II, Item 8 –</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Financial Statements and Supplementary Data, Note 2 Business Combinations </w:t>
      </w:r>
      <w:r>
        <w:rPr>
          <w:rFonts w:ascii="Arial" w:cs="Arial" w:eastAsia="Arial" w:hAnsi="Arial"/>
          <w:sz w:val="14"/>
          <w:szCs w:val="14"/>
          <w:color w:val="auto"/>
        </w:rPr>
        <w:t>for more information.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u w:val="single" w:color="auto"/>
          <w:color w:val="auto"/>
        </w:rPr>
        <w:t>Prices and Realizations</w:t>
      </w:r>
    </w:p>
    <w:p>
      <w:pPr>
        <w:spacing w:after="0" w:line="250"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Our operating results and those of the oil and natural gas industry as a whole are heavily influenced by commodity prices. Oil and natural gas prices and differentials may fluctuate significantly as a result of numerous market-related variables. These and other factors make it impossible to predict realized prices reliably. The following tables set forth average benchmark prices, average realized prices and price realizations as a percentage of average benchmark prices for our products for the periods indicated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2025</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2024</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2023</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3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Oil ($ per Bbl)</w:t>
            </w:r>
          </w:p>
        </w:tc>
        <w:tc>
          <w:tcPr>
            <w:tcW w:w="260" w:type="dxa"/>
            <w:vAlign w:val="bottom"/>
          </w:tcPr>
          <w:p>
            <w:pPr>
              <w:spacing w:after="0"/>
              <w:rPr>
                <w:sz w:val="19"/>
                <w:szCs w:val="19"/>
                <w:color w:val="auto"/>
              </w:rPr>
            </w:pPr>
          </w:p>
        </w:tc>
        <w:tc>
          <w:tcPr>
            <w:tcW w:w="1220" w:type="dxa"/>
            <w:vAlign w:val="bottom"/>
            <w:gridSpan w:val="3"/>
          </w:tcPr>
          <w:p>
            <w:pPr>
              <w:jc w:val="right"/>
              <w:ind w:right="660"/>
              <w:spacing w:after="0"/>
              <w:rPr>
                <w:sz w:val="20"/>
                <w:szCs w:val="20"/>
                <w:color w:val="auto"/>
              </w:rPr>
            </w:pPr>
            <w:r>
              <w:rPr>
                <w:rFonts w:ascii="Arial" w:cs="Arial" w:eastAsia="Arial" w:hAnsi="Arial"/>
                <w:sz w:val="17"/>
                <w:szCs w:val="17"/>
                <w:b w:val="1"/>
                <w:bCs w:val="1"/>
                <w:color w:val="auto"/>
              </w:rPr>
              <w:t>Price</w:t>
            </w:r>
          </w:p>
        </w:tc>
        <w:tc>
          <w:tcPr>
            <w:tcW w:w="1080" w:type="dxa"/>
            <w:vAlign w:val="bottom"/>
          </w:tcPr>
          <w:p>
            <w:pPr>
              <w:spacing w:after="0"/>
              <w:rPr>
                <w:sz w:val="20"/>
                <w:szCs w:val="20"/>
                <w:color w:val="auto"/>
              </w:rPr>
            </w:pPr>
            <w:r>
              <w:rPr>
                <w:rFonts w:ascii="Arial" w:cs="Arial" w:eastAsia="Arial" w:hAnsi="Arial"/>
                <w:sz w:val="17"/>
                <w:szCs w:val="17"/>
                <w:b w:val="1"/>
                <w:bCs w:val="1"/>
                <w:color w:val="auto"/>
              </w:rPr>
              <w:t>Realization</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jc w:val="right"/>
              <w:ind w:right="640"/>
              <w:spacing w:after="0"/>
              <w:rPr>
                <w:sz w:val="20"/>
                <w:szCs w:val="20"/>
                <w:color w:val="auto"/>
              </w:rPr>
            </w:pPr>
            <w:r>
              <w:rPr>
                <w:rFonts w:ascii="Arial" w:cs="Arial" w:eastAsia="Arial" w:hAnsi="Arial"/>
                <w:sz w:val="17"/>
                <w:szCs w:val="17"/>
                <w:b w:val="1"/>
                <w:bCs w:val="1"/>
                <w:color w:val="auto"/>
              </w:rPr>
              <w:t>Price</w:t>
            </w:r>
          </w:p>
        </w:tc>
        <w:tc>
          <w:tcPr>
            <w:tcW w:w="1080" w:type="dxa"/>
            <w:vAlign w:val="bottom"/>
          </w:tcPr>
          <w:p>
            <w:pPr>
              <w:ind w:left="20"/>
              <w:spacing w:after="0"/>
              <w:rPr>
                <w:sz w:val="20"/>
                <w:szCs w:val="20"/>
                <w:color w:val="auto"/>
              </w:rPr>
            </w:pPr>
            <w:r>
              <w:rPr>
                <w:rFonts w:ascii="Arial" w:cs="Arial" w:eastAsia="Arial" w:hAnsi="Arial"/>
                <w:sz w:val="17"/>
                <w:szCs w:val="17"/>
                <w:b w:val="1"/>
                <w:bCs w:val="1"/>
                <w:color w:val="auto"/>
              </w:rPr>
              <w:t>Realization</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jc w:val="right"/>
              <w:ind w:right="660"/>
              <w:spacing w:after="0"/>
              <w:rPr>
                <w:sz w:val="20"/>
                <w:szCs w:val="20"/>
                <w:color w:val="auto"/>
              </w:rPr>
            </w:pPr>
            <w:r>
              <w:rPr>
                <w:rFonts w:ascii="Arial" w:cs="Arial" w:eastAsia="Arial" w:hAnsi="Arial"/>
                <w:sz w:val="17"/>
                <w:szCs w:val="17"/>
                <w:b w:val="1"/>
                <w:bCs w:val="1"/>
                <w:color w:val="auto"/>
              </w:rPr>
              <w:t>Price</w:t>
            </w:r>
          </w:p>
        </w:tc>
        <w:tc>
          <w:tcPr>
            <w:tcW w:w="1080" w:type="dxa"/>
            <w:vAlign w:val="bottom"/>
          </w:tcPr>
          <w:p>
            <w:pPr>
              <w:spacing w:after="0"/>
              <w:rPr>
                <w:sz w:val="20"/>
                <w:szCs w:val="20"/>
                <w:color w:val="auto"/>
              </w:rPr>
            </w:pPr>
            <w:r>
              <w:rPr>
                <w:rFonts w:ascii="Arial" w:cs="Arial" w:eastAsia="Arial" w:hAnsi="Arial"/>
                <w:sz w:val="17"/>
                <w:szCs w:val="17"/>
                <w:b w:val="1"/>
                <w:bCs w:val="1"/>
                <w:color w:val="auto"/>
              </w:rPr>
              <w:t>Realization</w:t>
            </w:r>
          </w:p>
        </w:tc>
        <w:tc>
          <w:tcPr>
            <w:tcW w:w="0" w:type="dxa"/>
            <w:vAlign w:val="bottom"/>
          </w:tcPr>
          <w:p>
            <w:pPr>
              <w:spacing w:after="0"/>
              <w:rPr>
                <w:sz w:val="1"/>
                <w:szCs w:val="1"/>
                <w:color w:val="auto"/>
              </w:rPr>
            </w:pPr>
          </w:p>
        </w:tc>
      </w:tr>
      <w:tr>
        <w:trPr>
          <w:trHeight w:val="208"/>
        </w:trPr>
        <w:tc>
          <w:tcPr>
            <w:tcW w:w="338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Brent</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38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Realized price without derivative</w:t>
            </w:r>
          </w:p>
        </w:tc>
        <w:tc>
          <w:tcPr>
            <w:tcW w:w="26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66.52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center"/>
              <w:ind w:right="75"/>
              <w:spacing w:after="0"/>
              <w:rPr>
                <w:sz w:val="20"/>
                <w:szCs w:val="20"/>
                <w:color w:val="auto"/>
              </w:rPr>
            </w:pPr>
            <w:r>
              <w:rPr>
                <w:rFonts w:ascii="Arial" w:cs="Arial" w:eastAsia="Arial" w:hAnsi="Arial"/>
                <w:sz w:val="17"/>
                <w:szCs w:val="17"/>
                <w:color w:val="auto"/>
              </w:rPr>
              <w:t>98%</w:t>
            </w:r>
          </w:p>
        </w:tc>
        <w:tc>
          <w:tcPr>
            <w:tcW w:w="8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76.92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center"/>
              <w:ind w:right="55"/>
              <w:spacing w:after="0"/>
              <w:rPr>
                <w:sz w:val="20"/>
                <w:szCs w:val="20"/>
                <w:color w:val="auto"/>
              </w:rPr>
            </w:pPr>
            <w:r>
              <w:rPr>
                <w:rFonts w:ascii="Arial" w:cs="Arial" w:eastAsia="Arial" w:hAnsi="Arial"/>
                <w:sz w:val="17"/>
                <w:szCs w:val="17"/>
                <w:color w:val="auto"/>
                <w:w w:val="99"/>
              </w:rPr>
              <w:t>96%</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80.41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center"/>
              <w:ind w:right="75"/>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settlements</w:t>
            </w: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Derivative settlements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ind w:right="75"/>
              <w:spacing w:after="0"/>
              <w:rPr>
                <w:sz w:val="20"/>
                <w:szCs w:val="20"/>
                <w:color w:val="auto"/>
              </w:rPr>
            </w:pPr>
            <w:r>
              <w:rPr>
                <w:rFonts w:ascii="Arial" w:cs="Arial" w:eastAsia="Arial" w:hAnsi="Arial"/>
                <w:sz w:val="17"/>
                <w:szCs w:val="17"/>
                <w:color w:val="auto"/>
              </w:rPr>
              <w:t>99%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ind w:right="55"/>
              <w:spacing w:after="0"/>
              <w:rPr>
                <w:sz w:val="20"/>
                <w:szCs w:val="20"/>
                <w:color w:val="auto"/>
              </w:rPr>
            </w:pPr>
            <w:r>
              <w:rPr>
                <w:rFonts w:ascii="Arial" w:cs="Arial" w:eastAsia="Arial" w:hAnsi="Arial"/>
                <w:sz w:val="17"/>
                <w:szCs w:val="17"/>
                <w:color w:val="auto"/>
                <w:w w:val="99"/>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ind w:right="75"/>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WTI</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38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Realized price without derivative</w:t>
            </w:r>
          </w:p>
        </w:tc>
        <w:tc>
          <w:tcPr>
            <w:tcW w:w="26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66.52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center"/>
              <w:ind w:right="75"/>
              <w:spacing w:after="0"/>
              <w:rPr>
                <w:sz w:val="20"/>
                <w:szCs w:val="20"/>
                <w:color w:val="auto"/>
              </w:rPr>
            </w:pPr>
            <w:r>
              <w:rPr>
                <w:rFonts w:ascii="Arial" w:cs="Arial" w:eastAsia="Arial" w:hAnsi="Arial"/>
                <w:sz w:val="17"/>
                <w:szCs w:val="17"/>
                <w:color w:val="auto"/>
              </w:rPr>
              <w:t>103%</w:t>
            </w:r>
          </w:p>
        </w:tc>
        <w:tc>
          <w:tcPr>
            <w:tcW w:w="8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76.92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center"/>
              <w:ind w:right="75"/>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80.41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center"/>
              <w:ind w:right="75"/>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settlements</w:t>
            </w: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8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67.51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75"/>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75.66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75"/>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65.97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75"/>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8"/>
        </w:trPr>
        <w:tc>
          <w:tcPr>
            <w:tcW w:w="3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Arial" w:cs="Arial" w:eastAsia="Arial" w:hAnsi="Arial"/>
                <w:sz w:val="17"/>
                <w:szCs w:val="17"/>
                <w:b w:val="1"/>
                <w:bCs w:val="1"/>
                <w:color w:val="auto"/>
              </w:rPr>
              <w:t>Natural Gas Liquids ($ per Bbl)</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 of Brent)</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75"/>
              <w:spacing w:after="0"/>
              <w:rPr>
                <w:sz w:val="20"/>
                <w:szCs w:val="20"/>
                <w:color w:val="auto"/>
              </w:rPr>
            </w:pPr>
            <w:r>
              <w:rPr>
                <w:rFonts w:ascii="Arial" w:cs="Arial" w:eastAsia="Arial" w:hAnsi="Arial"/>
                <w:sz w:val="17"/>
                <w:szCs w:val="17"/>
                <w:color w:val="auto"/>
              </w:rPr>
              <w:t>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55"/>
              <w:spacing w:after="0"/>
              <w:rPr>
                <w:sz w:val="20"/>
                <w:szCs w:val="20"/>
                <w:color w:val="auto"/>
              </w:rPr>
            </w:pPr>
            <w:r>
              <w:rPr>
                <w:rFonts w:ascii="Arial" w:cs="Arial" w:eastAsia="Arial" w:hAnsi="Arial"/>
                <w:sz w:val="17"/>
                <w:szCs w:val="17"/>
                <w:color w:val="auto"/>
                <w:w w:val="99"/>
              </w:rPr>
              <w:t>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75"/>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27"/>
        </w:trPr>
        <w:tc>
          <w:tcPr>
            <w:tcW w:w="3380" w:type="dxa"/>
            <w:vAlign w:val="bottom"/>
          </w:tcPr>
          <w:p>
            <w:pPr>
              <w:ind w:left="20"/>
              <w:spacing w:after="0"/>
              <w:rPr>
                <w:sz w:val="20"/>
                <w:szCs w:val="20"/>
                <w:color w:val="auto"/>
              </w:rPr>
            </w:pPr>
            <w:r>
              <w:rPr>
                <w:rFonts w:ascii="Arial" w:cs="Arial" w:eastAsia="Arial" w:hAnsi="Arial"/>
                <w:sz w:val="17"/>
                <w:szCs w:val="17"/>
                <w:color w:val="auto"/>
              </w:rPr>
              <w:t>Realized price (% of WTI)</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45.30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75"/>
              <w:spacing w:after="0"/>
              <w:rPr>
                <w:sz w:val="20"/>
                <w:szCs w:val="20"/>
                <w:color w:val="auto"/>
              </w:rPr>
            </w:pPr>
            <w:r>
              <w:rPr>
                <w:rFonts w:ascii="Arial" w:cs="Arial" w:eastAsia="Arial" w:hAnsi="Arial"/>
                <w:sz w:val="17"/>
                <w:szCs w:val="17"/>
                <w:color w:val="auto"/>
              </w:rPr>
              <w:t>70%</w:t>
            </w:r>
          </w:p>
        </w:tc>
        <w:tc>
          <w:tcPr>
            <w:tcW w:w="8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48.93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55"/>
              <w:spacing w:after="0"/>
              <w:rPr>
                <w:sz w:val="20"/>
                <w:szCs w:val="20"/>
                <w:color w:val="auto"/>
              </w:rPr>
            </w:pPr>
            <w:r>
              <w:rPr>
                <w:rFonts w:ascii="Arial" w:cs="Arial" w:eastAsia="Arial" w:hAnsi="Arial"/>
                <w:sz w:val="17"/>
                <w:szCs w:val="17"/>
                <w:color w:val="auto"/>
                <w:w w:val="99"/>
              </w:rPr>
              <w:t>65%</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48.94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75"/>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18"/>
        </w:trPr>
        <w:tc>
          <w:tcPr>
            <w:tcW w:w="3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Arial" w:cs="Arial" w:eastAsia="Arial" w:hAnsi="Arial"/>
                <w:sz w:val="17"/>
                <w:szCs w:val="17"/>
                <w:b w:val="1"/>
                <w:bCs w:val="1"/>
                <w:color w:val="auto"/>
              </w:rPr>
              <w:t>Natural gas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NYMEX Henry Hub ($/MMBtu)</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Realized price ($/Mcf)</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ind w:right="75"/>
              <w:spacing w:after="0"/>
              <w:rPr>
                <w:sz w:val="20"/>
                <w:szCs w:val="20"/>
                <w:color w:val="auto"/>
              </w:rPr>
            </w:pPr>
            <w:r>
              <w:rPr>
                <w:rFonts w:ascii="Arial" w:cs="Arial" w:eastAsia="Arial" w:hAnsi="Arial"/>
                <w:sz w:val="17"/>
                <w:szCs w:val="17"/>
                <w:color w:val="auto"/>
              </w:rPr>
              <w:t>104%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ind w:right="75"/>
              <w:spacing w:after="0"/>
              <w:rPr>
                <w:sz w:val="20"/>
                <w:szCs w:val="20"/>
                <w:color w:val="auto"/>
              </w:rPr>
            </w:pPr>
            <w:r>
              <w:rPr>
                <w:rFonts w:ascii="Arial" w:cs="Arial" w:eastAsia="Arial" w:hAnsi="Arial"/>
                <w:sz w:val="17"/>
                <w:szCs w:val="17"/>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ind w:right="75"/>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i w:val="1"/>
          <w:iCs w:val="1"/>
          <w:color w:val="auto"/>
        </w:rPr>
        <w:t xml:space="preserve">Oil </w:t>
      </w:r>
      <w:r>
        <w:rPr>
          <w:rFonts w:ascii="Arial" w:cs="Arial" w:eastAsia="Arial" w:hAnsi="Arial"/>
          <w:sz w:val="18"/>
          <w:szCs w:val="18"/>
          <w:color w:val="auto"/>
        </w:rPr>
        <w:t>— Brent and our average realized price without derivative settlements were lower for the year ended December 31, 2025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prior year period largely due to an increase in global oil production beginning in later 2025 as both OPEC+ and non-OPEC countries increased production.</w:t>
      </w:r>
    </w:p>
    <w:p>
      <w:pPr>
        <w:spacing w:after="0" w:line="198"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i w:val="1"/>
          <w:iCs w:val="1"/>
          <w:color w:val="auto"/>
        </w:rPr>
        <w:t xml:space="preserve">NGLs </w:t>
      </w:r>
      <w:r>
        <w:rPr>
          <w:rFonts w:ascii="Arial" w:cs="Arial" w:eastAsia="Arial" w:hAnsi="Arial"/>
          <w:sz w:val="18"/>
          <w:szCs w:val="18"/>
          <w:color w:val="auto"/>
        </w:rPr>
        <w:t>— Prices for natural gas liquids were lower for the year ended December 31, 2025 compared to the prior year which is consistent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broader declines in oil commodity prices. The California market continued to carry a premium as compared to other markets in 2025.</w:t>
      </w:r>
    </w:p>
    <w:p>
      <w:pPr>
        <w:spacing w:after="0" w:line="180"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Average realized prices for our natural gas during the year ended December 31, 2025 were higher than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2024 as demand for U.S. natural gas reached record levels.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Results of Our Carbon Management Segment</w:t>
      </w:r>
    </w:p>
    <w:p>
      <w:pPr>
        <w:spacing w:after="0" w:line="252" w:lineRule="exact"/>
        <w:rPr>
          <w:sz w:val="20"/>
          <w:szCs w:val="20"/>
          <w:color w:val="auto"/>
        </w:rPr>
      </w:pPr>
    </w:p>
    <w:p>
      <w:pPr>
        <w:ind w:right="100" w:firstLine="324"/>
        <w:spacing w:after="0" w:line="229" w:lineRule="auto"/>
        <w:rPr>
          <w:sz w:val="20"/>
          <w:szCs w:val="20"/>
          <w:color w:val="auto"/>
        </w:rPr>
      </w:pPr>
      <w:r>
        <w:rPr>
          <w:rFonts w:ascii="Arial" w:cs="Arial" w:eastAsia="Arial" w:hAnsi="Arial"/>
          <w:sz w:val="18"/>
          <w:szCs w:val="18"/>
          <w:color w:val="auto"/>
        </w:rPr>
        <w:t>Our carbon management segment, which we refer to as Carbon TerraVault, primarily pursues the development of CCS projects. We expect that our Carbon TerraVault CCS projects will inject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captured from industrial, power, agriculture and other emissions sources into subsurface reservoirs and permanently store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deep underground. We also expect to invest in projects that rely on CCS technology in connection with reducing our own emissions. In addition, we may participate in the development of projects that are the source of these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Our carbon management segment is in its early stages of development, and did not have any revenue for the years ended December 31, 2025, 2024 or 2023. We recently completed construction of our first carbon capture project at our cryogenic gas processing facility and expect first injection in spring 2026, subject to commissioning and final regulatory approval. We define carbon management expense to be our direct operating costs to run our carbon management segment.</w:t>
      </w:r>
    </w:p>
    <w:p>
      <w:pPr>
        <w:spacing w:after="0" w:line="226"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The following tables include results for our carbon management segment, excluding unallocated corporate expenses for the years ended December 31, 2025, 2024 and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8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2024</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2023</w:t>
            </w:r>
          </w:p>
        </w:tc>
      </w:tr>
      <w:tr>
        <w:trPr>
          <w:trHeight w:val="192"/>
        </w:trPr>
        <w:tc>
          <w:tcPr>
            <w:tcW w:w="50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40" w:type="dxa"/>
            <w:vAlign w:val="bottom"/>
            <w:gridSpan w:val="4"/>
          </w:tcPr>
          <w:p>
            <w:pPr>
              <w:jc w:val="center"/>
              <w:ind w:left="36"/>
              <w:spacing w:after="0"/>
              <w:rPr>
                <w:sz w:val="20"/>
                <w:szCs w:val="20"/>
                <w:color w:val="auto"/>
              </w:rPr>
            </w:pPr>
            <w:r>
              <w:rPr>
                <w:rFonts w:ascii="Arial" w:cs="Arial" w:eastAsia="Arial" w:hAnsi="Arial"/>
                <w:sz w:val="14"/>
                <w:szCs w:val="14"/>
                <w:color w:val="auto"/>
              </w:rPr>
              <w:t>(in millions, except as otherwise stated)</w:t>
            </w:r>
          </w:p>
        </w:tc>
        <w:tc>
          <w:tcPr>
            <w:tcW w:w="1520" w:type="dxa"/>
            <w:vAlign w:val="bottom"/>
          </w:tcPr>
          <w:p>
            <w:pPr>
              <w:spacing w:after="0"/>
              <w:rPr>
                <w:sz w:val="16"/>
                <w:szCs w:val="16"/>
                <w:color w:val="auto"/>
              </w:rPr>
            </w:pPr>
          </w:p>
        </w:tc>
      </w:tr>
      <w:tr>
        <w:trPr>
          <w:trHeight w:val="23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loss</w:t>
            </w:r>
          </w:p>
        </w:tc>
        <w:tc>
          <w:tcPr>
            <w:tcW w:w="140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(94)</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57"/>
        </w:trPr>
        <w:tc>
          <w:tcPr>
            <w:tcW w:w="50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affecting comparability:</w:t>
            </w:r>
          </w:p>
        </w:tc>
        <w:tc>
          <w:tcPr>
            <w:tcW w:w="14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311"/>
        </w:trPr>
        <w:tc>
          <w:tcPr>
            <w:tcW w:w="5080" w:type="dxa"/>
            <w:vAlign w:val="bottom"/>
          </w:tcPr>
          <w:p>
            <w:pPr>
              <w:ind w:left="140"/>
              <w:spacing w:after="0"/>
              <w:rPr>
                <w:sz w:val="20"/>
                <w:szCs w:val="20"/>
                <w:color w:val="auto"/>
              </w:rPr>
            </w:pPr>
            <w:r>
              <w:rPr>
                <w:rFonts w:ascii="Arial" w:cs="Arial" w:eastAsia="Arial" w:hAnsi="Arial"/>
                <w:sz w:val="18"/>
                <w:szCs w:val="18"/>
                <w:color w:val="auto"/>
              </w:rPr>
              <w:t>Asset impairments</w:t>
            </w:r>
            <w:r>
              <w:rPr>
                <w:rFonts w:ascii="Arial" w:cs="Arial" w:eastAsia="Arial" w:hAnsi="Arial"/>
                <w:sz w:val="23"/>
                <w:szCs w:val="23"/>
                <w:color w:val="auto"/>
                <w:vertAlign w:val="superscript"/>
              </w:rPr>
              <w:t>(a)</w:t>
            </w:r>
          </w:p>
        </w:tc>
        <w:tc>
          <w:tcPr>
            <w:tcW w:w="1400" w:type="dxa"/>
            <w:vAlign w:val="bottom"/>
          </w:tcPr>
          <w:p>
            <w:pPr>
              <w:jc w:val="right"/>
              <w:ind w:right="121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4" w:lineRule="exact"/>
        <w:rPr>
          <w:sz w:val="20"/>
          <w:szCs w:val="20"/>
          <w:color w:val="auto"/>
        </w:rPr>
      </w:pPr>
    </w:p>
    <w:p>
      <w:pPr>
        <w:ind w:left="340" w:right="140" w:hanging="332"/>
        <w:spacing w:after="0" w:line="285" w:lineRule="auto"/>
        <w:tabs>
          <w:tab w:leader="none" w:pos="327" w:val="left"/>
        </w:tabs>
        <w:numPr>
          <w:ilvl w:val="0"/>
          <w:numId w:val="35"/>
        </w:numPr>
        <w:rPr>
          <w:rFonts w:ascii="Arial" w:cs="Arial" w:eastAsia="Arial" w:hAnsi="Arial"/>
          <w:sz w:val="14"/>
          <w:szCs w:val="14"/>
          <w:color w:val="auto"/>
        </w:rPr>
      </w:pPr>
      <w:r>
        <w:rPr>
          <w:rFonts w:ascii="Arial" w:cs="Arial" w:eastAsia="Arial" w:hAnsi="Arial"/>
          <w:sz w:val="14"/>
          <w:szCs w:val="14"/>
          <w:color w:val="auto"/>
        </w:rPr>
        <w:t>Asset impairment for the years ended December 31, 2025, 2024 and 2023 related to land acquired for our carbon management activities. The table above excludes asset impairments that were not related to the carbon management segment.</w:t>
      </w:r>
    </w:p>
    <w:p>
      <w:pPr>
        <w:spacing w:after="0" w:line="189"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 xml:space="preserve">We recognized our share of losses for the years ended December 31, 2025, 2024 and 2023 related to our Carbon TerraVault joint venture, as shown in the table below. See </w:t>
      </w:r>
      <w:r>
        <w:rPr>
          <w:rFonts w:ascii="Arial" w:cs="Arial" w:eastAsia="Arial" w:hAnsi="Arial"/>
          <w:sz w:val="18"/>
          <w:szCs w:val="18"/>
          <w:i w:val="1"/>
          <w:iCs w:val="1"/>
          <w:color w:val="auto"/>
        </w:rPr>
        <w:t>Part II, Item 8 – Financial Statements and Supplementary Data, Note 4 Investments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Party Transactions </w:t>
      </w:r>
      <w:r>
        <w:rPr>
          <w:rFonts w:ascii="Arial" w:cs="Arial" w:eastAsia="Arial" w:hAnsi="Arial"/>
          <w:sz w:val="18"/>
          <w:szCs w:val="18"/>
          <w:color w:val="auto"/>
        </w:rPr>
        <w:t>for more information on our Carbon TerraVault joint venture. Carbon management expense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 for the years ended December 31, 2025, 2024 and 2023 are included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0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5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r>
      <w:tr>
        <w:trPr>
          <w:trHeight w:val="223"/>
        </w:trPr>
        <w:tc>
          <w:tcPr>
            <w:tcW w:w="4600" w:type="dxa"/>
            <w:vAlign w:val="bottom"/>
          </w:tcPr>
          <w:p>
            <w:pPr>
              <w:spacing w:after="0"/>
              <w:rPr>
                <w:sz w:val="19"/>
                <w:szCs w:val="19"/>
                <w:color w:val="auto"/>
              </w:rPr>
            </w:pP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right="394"/>
              <w:spacing w:after="0"/>
              <w:rPr>
                <w:sz w:val="20"/>
                <w:szCs w:val="20"/>
                <w:color w:val="auto"/>
              </w:rPr>
            </w:pPr>
            <w:r>
              <w:rPr>
                <w:rFonts w:ascii="Arial" w:cs="Arial" w:eastAsia="Arial" w:hAnsi="Arial"/>
                <w:sz w:val="18"/>
                <w:szCs w:val="18"/>
                <w:b w:val="1"/>
                <w:bCs w:val="1"/>
                <w:color w:val="auto"/>
                <w:w w:val="99"/>
              </w:rPr>
              <w:t>2024</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2023</w:t>
            </w:r>
          </w:p>
        </w:tc>
      </w:tr>
      <w:tr>
        <w:trPr>
          <w:trHeight w:val="192"/>
        </w:trPr>
        <w:tc>
          <w:tcPr>
            <w:tcW w:w="4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0" w:type="dxa"/>
            <w:vAlign w:val="bottom"/>
          </w:tcPr>
          <w:p>
            <w:pPr>
              <w:jc w:val="center"/>
              <w:ind w:right="394"/>
              <w:spacing w:after="0"/>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Carbon management expenses</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56</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Segment general and administrative expense</w:t>
            </w:r>
          </w:p>
        </w:tc>
        <w:tc>
          <w:tcPr>
            <w:tcW w:w="1560" w:type="dxa"/>
            <w:vAlign w:val="bottom"/>
          </w:tcPr>
          <w:p>
            <w:pPr>
              <w:jc w:val="right"/>
              <w:ind w:right="13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74"/>
              <w:spacing w:after="0"/>
              <w:rPr>
                <w:sz w:val="20"/>
                <w:szCs w:val="20"/>
                <w:color w:val="auto"/>
              </w:rPr>
            </w:pPr>
            <w:r>
              <w:rPr>
                <w:rFonts w:ascii="Arial" w:cs="Arial" w:eastAsia="Arial" w:hAnsi="Arial"/>
                <w:sz w:val="18"/>
                <w:szCs w:val="18"/>
                <w:color w:val="auto"/>
              </w:rPr>
              <w:t>15</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investment in the Carbon TerraVault JV</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bl>
    <w:p>
      <w:pPr>
        <w:spacing w:after="0" w:line="319"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Carbon management expenses decreased in 2025 compared to 2024 as a result of lower community development activities which were partially offset by higher costs related to feasibility studies that were undertaken.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primary sources of liquidity and capital resources are cash flows from operations, available cash and cash equivalents, proceeds from the issuance of our senior notes and available borrowing capacity under our Revolving Credit Facility. We consider our low leverage and ability to control costs to be a core strength and strategic advantage, which we are focused on maintaining. Our primary uses of operating cash flow for the year ended December 31, 2025 were for capital investments, redemption of our 2026 Senior Notes, repurchase of our common stock, and payment of dividends.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9" w:name="page70"/>
    <w:bookmarkEnd w:id="69"/>
    <w:p>
      <w:pPr>
        <w:ind w:left="340"/>
        <w:spacing w:after="0"/>
        <w:rPr>
          <w:sz w:val="20"/>
          <w:szCs w:val="20"/>
          <w:color w:val="auto"/>
        </w:rPr>
      </w:pPr>
      <w:r>
        <w:rPr>
          <w:rFonts w:ascii="Arial" w:cs="Arial" w:eastAsia="Arial" w:hAnsi="Arial"/>
          <w:sz w:val="18"/>
          <w:szCs w:val="18"/>
          <w:color w:val="auto"/>
        </w:rPr>
        <w:t>The following table summarizes our liquidity: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b w:val="1"/>
                <w:bCs w:val="1"/>
                <w:color w:val="auto"/>
              </w:rPr>
              <w:t>December 31, 2025</w:t>
            </w:r>
          </w:p>
        </w:tc>
        <w:tc>
          <w:tcPr>
            <w:tcW w:w="0" w:type="dxa"/>
            <w:vAlign w:val="bottom"/>
          </w:tcPr>
          <w:p>
            <w:pPr>
              <w:spacing w:after="0"/>
              <w:rPr>
                <w:sz w:val="1"/>
                <w:szCs w:val="1"/>
                <w:color w:val="auto"/>
              </w:rPr>
            </w:pPr>
          </w:p>
        </w:tc>
      </w:tr>
      <w:tr>
        <w:trPr>
          <w:trHeight w:val="233"/>
        </w:trPr>
        <w:tc>
          <w:tcPr>
            <w:tcW w:w="8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60" w:type="dxa"/>
            <w:vAlign w:val="bottom"/>
          </w:tcPr>
          <w:p>
            <w:pPr>
              <w:jc w:val="right"/>
              <w:ind w:right="1033"/>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3"/>
        </w:trPr>
        <w:tc>
          <w:tcPr>
            <w:tcW w:w="828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Available cash and cash equivalents</w:t>
            </w:r>
            <w:r>
              <w:rPr>
                <w:rFonts w:ascii="Arial" w:cs="Arial" w:eastAsia="Arial" w:hAnsi="Arial"/>
                <w:sz w:val="23"/>
                <w:szCs w:val="23"/>
                <w:color w:val="auto"/>
                <w:vertAlign w:val="superscript"/>
              </w:rPr>
              <w:t>(a)</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4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 capacity</w:t>
            </w:r>
          </w:p>
        </w:tc>
        <w:tc>
          <w:tcPr>
            <w:tcW w:w="40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Outstanding letters of credit</w:t>
            </w:r>
          </w:p>
        </w:tc>
        <w:tc>
          <w:tcPr>
            <w:tcW w:w="4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Availability</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8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Liquidity</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(a)  Excludes restricted cash of $15 million.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2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50"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Significant changes in oil and natural gas prices may have a material impact on our liquidity. Declining commodity prices negatively affect our operating cash flow, and the inverse applies during periods of rising commodity prices. Our hedging strategy seeks to mitigate our exposure to commodity price volatility and ensure our financial strength and liquidity by protecting our cash flows. We will continue to evaluate our hedging strategy based upon prevailing market prices and conditions.</w:t>
      </w:r>
    </w:p>
    <w:p>
      <w:pPr>
        <w:spacing w:after="0" w:line="203"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Unless otherwise indicated, we use the term “hedge” to describe derivative instruments that are designed to achieve our hedging requirements and program goals, even though they are not accounted for as cash-flow or fair-value hedges. We did not have any commodity derivatives designated as accounting hedges as of and for the year ended December 31, 2025.</w:t>
      </w:r>
    </w:p>
    <w:p>
      <w:pPr>
        <w:spacing w:after="0" w:line="19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Part II, Item 8 – Financial Statements and Supplementary Data, Note 7 Derivatives</w:t>
      </w:r>
      <w:r>
        <w:rPr>
          <w:rFonts w:ascii="Arial" w:cs="Arial" w:eastAsia="Arial" w:hAnsi="Arial"/>
          <w:sz w:val="18"/>
          <w:szCs w:val="18"/>
          <w:color w:val="auto"/>
        </w:rPr>
        <w:t xml:space="preserve"> for more information on our open derivative contracts as of December 31, 2025 and </w:t>
      </w:r>
      <w:r>
        <w:rPr>
          <w:rFonts w:ascii="Arial" w:cs="Arial" w:eastAsia="Arial" w:hAnsi="Arial"/>
          <w:sz w:val="18"/>
          <w:szCs w:val="18"/>
          <w:i w:val="1"/>
          <w:iCs w:val="1"/>
          <w:color w:val="auto"/>
        </w:rPr>
        <w:t>Note 5 Debt</w:t>
      </w:r>
      <w:r>
        <w:rPr>
          <w:rFonts w:ascii="Arial" w:cs="Arial" w:eastAsia="Arial" w:hAnsi="Arial"/>
          <w:sz w:val="18"/>
          <w:szCs w:val="18"/>
          <w:color w:val="auto"/>
        </w:rPr>
        <w:t xml:space="preserve"> for more information on the hedging requirements included in our Revolving Credit Facility.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52"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 xml:space="preserve">Our long-term debt consists of borrowings and indebtedness under our Revolving Credit Facility, 2029 Senior Notes and 2034 Senior Notes. Our previously issued 2026 Senior Notes were redeemed in full in 2025. For more information regarding our Revolving Credit Facility, 2026 Senior Notes, 2029 Senior Notes and 2034 Senior Notes, refer to </w:t>
      </w:r>
      <w:r>
        <w:rPr>
          <w:rFonts w:ascii="Arial" w:cs="Arial" w:eastAsia="Arial" w:hAnsi="Arial"/>
          <w:sz w:val="18"/>
          <w:szCs w:val="18"/>
          <w:i w:val="1"/>
          <w:iCs w:val="1"/>
          <w:color w:val="auto"/>
        </w:rPr>
        <w:t>Part II, Item 8 – Financial Statements and Supplementary Data, Note</w:t>
      </w:r>
      <w:r>
        <w:rPr>
          <w:rFonts w:ascii="Arial" w:cs="Arial" w:eastAsia="Arial" w:hAnsi="Arial"/>
          <w:sz w:val="18"/>
          <w:szCs w:val="18"/>
          <w:color w:val="auto"/>
        </w:rPr>
        <w:t xml:space="preserve"> </w:t>
      </w:r>
      <w:r>
        <w:rPr>
          <w:rFonts w:ascii="Arial" w:cs="Arial" w:eastAsia="Arial" w:hAnsi="Arial"/>
          <w:sz w:val="18"/>
          <w:szCs w:val="18"/>
          <w:i w:val="1"/>
          <w:iCs w:val="1"/>
          <w:color w:val="auto"/>
        </w:rPr>
        <w:t>5 Debt.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0" w:lineRule="exact"/>
        <w:rPr>
          <w:sz w:val="20"/>
          <w:szCs w:val="20"/>
          <w:color w:val="auto"/>
        </w:rPr>
      </w:pPr>
    </w:p>
    <w:p>
      <w:pPr>
        <w:ind w:right="300" w:firstLine="324"/>
        <w:spacing w:after="0" w:line="282" w:lineRule="auto"/>
        <w:rPr>
          <w:sz w:val="20"/>
          <w:szCs w:val="20"/>
          <w:color w:val="auto"/>
        </w:rPr>
      </w:pPr>
      <w:r>
        <w:rPr>
          <w:rFonts w:ascii="Arial" w:cs="Arial" w:eastAsia="Arial" w:hAnsi="Arial"/>
          <w:sz w:val="17"/>
          <w:szCs w:val="17"/>
          <w:color w:val="auto"/>
        </w:rPr>
        <w:t xml:space="preserve">On April 26, 2023, we entered into an Amended and Restated Credit Agreement (Revolving Credit Facility) with Citibank, N.A., as administrative agent, and certain other lenders, which amended and restated in its entirety the prior credit agreement dated October 27, 2020. As of December 31, 2025, we were in compliance with all of the covenants of our Revolving Credit Facility. Refer to </w:t>
      </w:r>
      <w:r>
        <w:rPr>
          <w:rFonts w:ascii="Arial" w:cs="Arial" w:eastAsia="Arial" w:hAnsi="Arial"/>
          <w:sz w:val="17"/>
          <w:szCs w:val="17"/>
          <w:i w:val="1"/>
          <w:iCs w:val="1"/>
          <w:color w:val="auto"/>
        </w:rPr>
        <w:t>Part II, Item 8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Statements and Supplementary Data, Note 5 Debt </w:t>
      </w:r>
      <w:r>
        <w:rPr>
          <w:rFonts w:ascii="Arial" w:cs="Arial" w:eastAsia="Arial" w:hAnsi="Arial"/>
          <w:sz w:val="17"/>
          <w:szCs w:val="17"/>
          <w:color w:val="auto"/>
        </w:rPr>
        <w:t>for more information on recent amendments to our Revolving Credit Facility.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2034 Senior Notes</w:t>
      </w:r>
    </w:p>
    <w:p>
      <w:pPr>
        <w:spacing w:after="0" w:line="250"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On October 8, 2025, we completed an offering of $ 400 million in an aggregate principal amount of 7.000% senior notes due 2034 (2034 Senior Notes). The terms of the 2034 Senior Notes are governed by the Indenture, dated as of October 8, 2025, by and among us, our subsidiary guarantors and Wilmington Trust, National Association, as trustee (2034 Senior Notes Indenture). The net proceeds of $393 million, after $7 million of debt issuance costs, were used to repay Berry's long-term debt at closing of the Berry Merger.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2029 Senior Notes</w:t>
      </w:r>
    </w:p>
    <w:p>
      <w:pPr>
        <w:spacing w:after="0" w:line="25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June 5, 2024, we completed an offering of $600 million in aggregate principal amount of 8.25% senior notes due 2029 (2029 Senior Notes). The terms of the 2029 Senior Notes are governed by the Indenture, dated as of June 5, 2024, by and among us, our subsidiary guarantors and Wilmington Trust, National Association, as trustee (2029 Senior Notes Indenture). The net proceeds of $590 million, after $10 million of debt discount and issuance costs, were used along with available cash to repay all of Aera's outstanding debt at closing of the Aera Merger.</w:t>
      </w:r>
    </w:p>
    <w:p>
      <w:pPr>
        <w:spacing w:after="0" w:line="206"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On August 22, 2024, we completed a follow-on offering of $300 million in aggregate principal amount of 2029 Senior Notes. The net proceeds from this offering of $298 million, after $3 million of debt premium and $5 million of debt issuance costs, were used to repurchase a portion of our outstanding 2026 Senior Notes as described below. The follow-on 2029 Senior Notes issued on August 22, 2024 are governed by the same indenture as the $600 million of 2029 Senior Notes that were previously issued on June 5, 2024.</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Senior Notes</w:t>
      </w:r>
    </w:p>
    <w:p>
      <w:pPr>
        <w:spacing w:after="0" w:line="250"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In the year ended December 31, 2025, we redeemed $ 245 million of our 7.125% Senior Notes due 2026 (2026 Senior Notes) at 100% of the principal amount, resulting in an extinguishment loss in the amount of $1 million for the write-off of unamortized debt issuance costs. Following this redemption, none of our 2026 Senior Notes were outstanding.</w:t>
      </w:r>
    </w:p>
    <w:p>
      <w:pPr>
        <w:spacing w:after="0" w:line="198"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In the year ended December 31, 2024, we repurchased $300 million in face value of our 2026 Senior Notes for $303 million resulting in a loss on early extinguishment of debt in the amount of $5 million which includes a $2 million write-off of unamortized debt issuance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Related to Our Common Stock</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changes in our outstanding shares of our common stock during the year ended December 31, 2025:</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500" w:type="dxa"/>
            <w:vAlign w:val="bottom"/>
          </w:tcPr>
          <w:p>
            <w:pPr>
              <w:spacing w:after="0"/>
              <w:rPr>
                <w:sz w:val="20"/>
                <w:szCs w:val="20"/>
                <w:color w:val="auto"/>
              </w:rPr>
            </w:pPr>
          </w:p>
        </w:tc>
        <w:tc>
          <w:tcPr>
            <w:tcW w:w="27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Common Stock</w:t>
            </w:r>
          </w:p>
        </w:tc>
      </w:tr>
      <w:tr>
        <w:trPr>
          <w:trHeight w:val="34"/>
        </w:trPr>
        <w:tc>
          <w:tcPr>
            <w:tcW w:w="850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91,100,322</w:t>
            </w:r>
          </w:p>
        </w:tc>
      </w:tr>
      <w:tr>
        <w:trPr>
          <w:trHeight w:val="229"/>
        </w:trPr>
        <w:tc>
          <w:tcPr>
            <w:tcW w:w="8500" w:type="dxa"/>
            <w:vAlign w:val="bottom"/>
          </w:tcPr>
          <w:p>
            <w:pPr>
              <w:ind w:left="240"/>
              <w:spacing w:after="0" w:line="230" w:lineRule="exact"/>
              <w:rPr>
                <w:sz w:val="20"/>
                <w:szCs w:val="20"/>
                <w:color w:val="auto"/>
              </w:rPr>
            </w:pPr>
            <w:r>
              <w:rPr>
                <w:rFonts w:ascii="Arial" w:cs="Arial" w:eastAsia="Arial" w:hAnsi="Arial"/>
                <w:sz w:val="18"/>
                <w:szCs w:val="18"/>
                <w:color w:val="auto"/>
              </w:rPr>
              <w:t>Issued as part of the Berry Merger</w:t>
            </w:r>
            <w:r>
              <w:rPr>
                <w:rFonts w:ascii="Arial" w:cs="Arial" w:eastAsia="Arial" w:hAnsi="Arial"/>
                <w:sz w:val="23"/>
                <w:szCs w:val="23"/>
                <w:color w:val="auto"/>
                <w:vertAlign w:val="superscript"/>
              </w:rPr>
              <w:t>(a)</w:t>
            </w:r>
          </w:p>
        </w:tc>
        <w:tc>
          <w:tcPr>
            <w:tcW w:w="2740" w:type="dxa"/>
            <w:vAlign w:val="bottom"/>
          </w:tcPr>
          <w:p>
            <w:pPr>
              <w:jc w:val="right"/>
              <w:spacing w:after="0"/>
              <w:rPr>
                <w:sz w:val="20"/>
                <w:szCs w:val="20"/>
                <w:color w:val="auto"/>
              </w:rPr>
            </w:pPr>
            <w:r>
              <w:rPr>
                <w:rFonts w:ascii="Arial" w:cs="Arial" w:eastAsia="Arial" w:hAnsi="Arial"/>
                <w:sz w:val="18"/>
                <w:szCs w:val="18"/>
                <w:color w:val="auto"/>
              </w:rPr>
              <w:t>5,572,115</w:t>
            </w:r>
          </w:p>
        </w:tc>
      </w:tr>
      <w:tr>
        <w:trPr>
          <w:trHeight w:val="230"/>
        </w:trPr>
        <w:tc>
          <w:tcPr>
            <w:tcW w:w="85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Shares issued related to the Aera Merger</w:t>
            </w:r>
            <w:r>
              <w:rPr>
                <w:rFonts w:ascii="Arial" w:cs="Arial" w:eastAsia="Arial" w:hAnsi="Arial"/>
                <w:sz w:val="23"/>
                <w:szCs w:val="23"/>
                <w:color w:val="auto"/>
                <w:vertAlign w:val="superscript"/>
              </w:rPr>
              <w:t>(a)</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107,265</w:t>
            </w:r>
          </w:p>
        </w:tc>
      </w:tr>
      <w:tr>
        <w:trPr>
          <w:trHeight w:val="230"/>
        </w:trPr>
        <w:tc>
          <w:tcPr>
            <w:tcW w:w="8500" w:type="dxa"/>
            <w:vAlign w:val="bottom"/>
          </w:tcPr>
          <w:p>
            <w:pPr>
              <w:ind w:left="240"/>
              <w:spacing w:after="0"/>
              <w:rPr>
                <w:sz w:val="20"/>
                <w:szCs w:val="20"/>
                <w:color w:val="auto"/>
              </w:rPr>
            </w:pPr>
            <w:r>
              <w:rPr>
                <w:rFonts w:ascii="Arial" w:cs="Arial" w:eastAsia="Arial" w:hAnsi="Arial"/>
                <w:sz w:val="18"/>
                <w:szCs w:val="18"/>
                <w:color w:val="auto"/>
              </w:rPr>
              <w:t>Shares issued under ESPP</w:t>
            </w:r>
          </w:p>
        </w:tc>
        <w:tc>
          <w:tcPr>
            <w:tcW w:w="2740" w:type="dxa"/>
            <w:vAlign w:val="bottom"/>
          </w:tcPr>
          <w:p>
            <w:pPr>
              <w:jc w:val="right"/>
              <w:spacing w:after="0"/>
              <w:rPr>
                <w:sz w:val="20"/>
                <w:szCs w:val="20"/>
                <w:color w:val="auto"/>
              </w:rPr>
            </w:pPr>
            <w:r>
              <w:rPr>
                <w:rFonts w:ascii="Arial" w:cs="Arial" w:eastAsia="Arial" w:hAnsi="Arial"/>
                <w:sz w:val="18"/>
                <w:szCs w:val="18"/>
                <w:color w:val="auto"/>
              </w:rPr>
              <w:t>60,128</w:t>
            </w:r>
          </w:p>
        </w:tc>
      </w:tr>
      <w:tr>
        <w:trPr>
          <w:trHeight w:val="230"/>
        </w:trPr>
        <w:tc>
          <w:tcPr>
            <w:tcW w:w="8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Shares issued under stock-based compensation arrangements</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478,609</w:t>
            </w:r>
          </w:p>
        </w:tc>
      </w:tr>
      <w:tr>
        <w:trPr>
          <w:trHeight w:val="229"/>
        </w:trPr>
        <w:tc>
          <w:tcPr>
            <w:tcW w:w="8500" w:type="dxa"/>
            <w:vAlign w:val="bottom"/>
          </w:tcPr>
          <w:p>
            <w:pPr>
              <w:ind w:left="240"/>
              <w:spacing w:after="0"/>
              <w:rPr>
                <w:sz w:val="20"/>
                <w:szCs w:val="20"/>
                <w:color w:val="auto"/>
              </w:rPr>
            </w:pPr>
            <w:r>
              <w:rPr>
                <w:rFonts w:ascii="Arial" w:cs="Arial" w:eastAsia="Arial" w:hAnsi="Arial"/>
                <w:sz w:val="18"/>
                <w:szCs w:val="18"/>
                <w:color w:val="auto"/>
              </w:rPr>
              <w:t>Repurchased shares held as treasury stock</w:t>
            </w:r>
          </w:p>
        </w:tc>
        <w:tc>
          <w:tcPr>
            <w:tcW w:w="2740" w:type="dxa"/>
            <w:vAlign w:val="bottom"/>
          </w:tcPr>
          <w:p>
            <w:pPr>
              <w:jc w:val="right"/>
              <w:spacing w:after="0"/>
              <w:rPr>
                <w:sz w:val="20"/>
                <w:szCs w:val="20"/>
                <w:color w:val="auto"/>
              </w:rPr>
            </w:pPr>
            <w:r>
              <w:rPr>
                <w:rFonts w:ascii="Arial" w:cs="Arial" w:eastAsia="Arial" w:hAnsi="Arial"/>
                <w:sz w:val="18"/>
                <w:szCs w:val="18"/>
                <w:color w:val="auto"/>
              </w:rPr>
              <w:t>(3,378,263)</w:t>
            </w:r>
          </w:p>
        </w:tc>
      </w:tr>
      <w:tr>
        <w:trPr>
          <w:trHeight w:val="230"/>
        </w:trPr>
        <w:tc>
          <w:tcPr>
            <w:tcW w:w="8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Repurchased shares cancelled</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(4,950,000)</w:t>
            </w:r>
          </w:p>
        </w:tc>
      </w:tr>
      <w:tr>
        <w:trPr>
          <w:trHeight w:val="230"/>
        </w:trPr>
        <w:tc>
          <w:tcPr>
            <w:tcW w:w="850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Shares cancelled for taxes</w:t>
            </w:r>
            <w:r>
              <w:rPr>
                <w:rFonts w:ascii="Arial" w:cs="Arial" w:eastAsia="Arial" w:hAnsi="Arial"/>
                <w:sz w:val="23"/>
                <w:szCs w:val="23"/>
                <w:color w:val="auto"/>
                <w:vertAlign w:val="superscript"/>
              </w:rPr>
              <w:t>(b)</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(236,011)</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2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88,754,165</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Refer to </w:t>
      </w:r>
      <w:r>
        <w:rPr>
          <w:rFonts w:ascii="Arial" w:cs="Arial" w:eastAsia="Arial" w:hAnsi="Arial"/>
          <w:sz w:val="14"/>
          <w:szCs w:val="14"/>
          <w:i w:val="1"/>
          <w:iCs w:val="1"/>
          <w:color w:val="auto"/>
        </w:rPr>
        <w:t>Part II, Item 8 – Financial Statements and Supplementary Data, Note 2 Business Combinations</w:t>
      </w:r>
      <w:r>
        <w:rPr>
          <w:rFonts w:ascii="Arial" w:cs="Arial" w:eastAsia="Arial" w:hAnsi="Arial"/>
          <w:sz w:val="14"/>
          <w:szCs w:val="14"/>
          <w:color w:val="auto"/>
        </w:rPr>
        <w:t xml:space="preserve"> for additional information.</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connection with the vesting of equity awards, we withheld and cancelled shares to satisfy applicable tax-withholding requirements.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Issued as Part of the Berry Merger</w:t>
      </w:r>
    </w:p>
    <w:p>
      <w:pPr>
        <w:spacing w:after="0" w:line="250"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We issued 5,572,115 shares of CRC common stock in connection with the Berry Merger. The shares issued were registered under the Securities Act of 1933, as amended, pursuant to a registration statement on Form S-4 (File No. 333-290871) filed by CRC with the Securities and Exchange Commission on October 14, 2025, which became effective on November 3, 2025.</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0"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Once declared, dividends are payable to shareholders in cash on a quarterly basis. The actual declaration of future cash dividends, and the establishment of record and payment dates, is subject to final determination by our Board of Directors each quarter after reviewing our financial performance.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71" w:name="page72"/>
    <w:bookmarkEnd w:id="71"/>
    <w:p>
      <w:pPr>
        <w:ind w:right="360" w:firstLine="324"/>
        <w:spacing w:after="0" w:line="287" w:lineRule="auto"/>
        <w:rPr>
          <w:sz w:val="20"/>
          <w:szCs w:val="20"/>
          <w:color w:val="auto"/>
        </w:rPr>
      </w:pPr>
      <w:r>
        <w:rPr>
          <w:rFonts w:ascii="Arial" w:cs="Arial" w:eastAsia="Arial" w:hAnsi="Arial"/>
          <w:sz w:val="18"/>
          <w:szCs w:val="18"/>
          <w:color w:val="auto"/>
        </w:rPr>
        <w:t>On March 1, 2026, our Board of Directors declared a cash dividend of $0.405 per share of common stock. The dividend is payable to shareholders of record at the close of business on March 13, 2026 and is expected to be paid on March 20, 2026.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80" w:type="dxa"/>
            <w:vAlign w:val="bottom"/>
          </w:tcPr>
          <w:p>
            <w:pPr>
              <w:ind w:left="340"/>
              <w:spacing w:after="0"/>
              <w:rPr>
                <w:sz w:val="20"/>
                <w:szCs w:val="20"/>
                <w:color w:val="auto"/>
              </w:rPr>
            </w:pPr>
            <w:r>
              <w:rPr>
                <w:rFonts w:ascii="Arial" w:cs="Arial" w:eastAsia="Arial" w:hAnsi="Arial"/>
                <w:sz w:val="18"/>
                <w:szCs w:val="18"/>
                <w:color w:val="auto"/>
              </w:rPr>
              <w:t>We paid the following cash dividends for each of the periods presented.</w:t>
            </w:r>
          </w:p>
        </w:tc>
        <w:tc>
          <w:tcPr>
            <w:tcW w:w="1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96"/>
        </w:trPr>
        <w:tc>
          <w:tcPr>
            <w:tcW w:w="6780" w:type="dxa"/>
            <w:vAlign w:val="bottom"/>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 Dividend</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8"/>
                <w:szCs w:val="18"/>
                <w:b w:val="1"/>
                <w:bCs w:val="1"/>
                <w:color w:val="auto"/>
              </w:rPr>
              <w:t>Annual Rate Per Share</w:t>
            </w:r>
          </w:p>
        </w:tc>
      </w:tr>
      <w:tr>
        <w:trPr>
          <w:trHeight w:val="233"/>
        </w:trPr>
        <w:tc>
          <w:tcPr>
            <w:tcW w:w="6780" w:type="dxa"/>
            <w:vAlign w:val="bottom"/>
          </w:tcPr>
          <w:p>
            <w:pPr>
              <w:spacing w:after="0"/>
              <w:rPr>
                <w:sz w:val="20"/>
                <w:szCs w:val="20"/>
                <w:color w:val="auto"/>
              </w:rPr>
            </w:pPr>
          </w:p>
        </w:tc>
        <w:tc>
          <w:tcPr>
            <w:tcW w:w="1740" w:type="dxa"/>
            <w:vAlign w:val="bottom"/>
          </w:tcPr>
          <w:p>
            <w:pPr>
              <w:jc w:val="right"/>
              <w:ind w:right="215"/>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595"/>
              <w:spacing w:after="0"/>
              <w:rPr>
                <w:sz w:val="20"/>
                <w:szCs w:val="20"/>
                <w:color w:val="auto"/>
              </w:rPr>
            </w:pPr>
            <w:r>
              <w:rPr>
                <w:rFonts w:ascii="Arial" w:cs="Arial" w:eastAsia="Arial" w:hAnsi="Arial"/>
                <w:sz w:val="14"/>
                <w:szCs w:val="14"/>
                <w:color w:val="auto"/>
              </w:rPr>
              <w:t>per share)</w:t>
            </w:r>
          </w:p>
        </w:tc>
      </w:tr>
      <w:tr>
        <w:trPr>
          <w:trHeight w:val="23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2023</w:t>
            </w:r>
          </w:p>
        </w:tc>
        <w:tc>
          <w:tcPr>
            <w:tcW w:w="1740" w:type="dxa"/>
            <w:vAlign w:val="bottom"/>
            <w:shd w:val="clear" w:color="auto" w:fill="CCEEFF"/>
          </w:tcPr>
          <w:p>
            <w:pPr>
              <w:jc w:val="right"/>
              <w:ind w:right="155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9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1.1575</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Year ended December 31, 2024</w:t>
            </w:r>
          </w:p>
        </w:tc>
        <w:tc>
          <w:tcPr>
            <w:tcW w:w="1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113</w:t>
            </w:r>
          </w:p>
        </w:tc>
        <w:tc>
          <w:tcPr>
            <w:tcW w:w="9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1.3950</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2025</w:t>
            </w:r>
          </w:p>
        </w:tc>
        <w:tc>
          <w:tcPr>
            <w:tcW w:w="1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9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1.5675</w:t>
            </w:r>
          </w:p>
        </w:tc>
      </w:tr>
      <w:tr>
        <w:trPr>
          <w:trHeight w:val="223"/>
        </w:trPr>
        <w:tc>
          <w:tcPr>
            <w:tcW w:w="6780" w:type="dxa"/>
            <w:vAlign w:val="bottom"/>
          </w:tcPr>
          <w:p>
            <w:pPr>
              <w:spacing w:after="0"/>
              <w:rPr>
                <w:sz w:val="19"/>
                <w:szCs w:val="19"/>
                <w:color w:val="auto"/>
              </w:rPr>
            </w:pPr>
          </w:p>
        </w:tc>
        <w:tc>
          <w:tcPr>
            <w:tcW w:w="1740" w:type="dxa"/>
            <w:vAlign w:val="bottom"/>
            <w:tcBorders>
              <w:bottom w:val="single" w:sz="8" w:color="auto"/>
            </w:tcBorders>
          </w:tcPr>
          <w:p>
            <w:pPr>
              <w:jc w:val="right"/>
              <w:ind w:right="155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
        </w:trPr>
        <w:tc>
          <w:tcPr>
            <w:tcW w:w="67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50"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 xml:space="preserve">Our Board of Directors authorized a Share Repurchase Program to acquire up to $1.78 billion of our common stock through December 31, 2027. This includes a recent increase of $430 million and extension approved by our Board of Directors on February 24, 2026. After the increase and shares repurchased in January 2026, we had approximately $600 million of remaining unused capacity under this program as of February 28, 2026. For additional information, see </w:t>
      </w:r>
      <w:r>
        <w:rPr>
          <w:rFonts w:ascii="Arial" w:cs="Arial" w:eastAsia="Arial" w:hAnsi="Arial"/>
          <w:sz w:val="18"/>
          <w:szCs w:val="18"/>
          <w:i w:val="1"/>
          <w:iCs w:val="1"/>
          <w:color w:val="auto"/>
        </w:rPr>
        <w:t>Part II, Item 8 – Financial Statements and Supplementary Data, Note 19 Subsequent</w:t>
      </w:r>
      <w:r>
        <w:rPr>
          <w:rFonts w:ascii="Arial" w:cs="Arial" w:eastAsia="Arial" w:hAnsi="Arial"/>
          <w:sz w:val="18"/>
          <w:szCs w:val="18"/>
          <w:color w:val="auto"/>
        </w:rPr>
        <w:t xml:space="preserve"> </w:t>
      </w:r>
      <w:r>
        <w:rPr>
          <w:rFonts w:ascii="Arial" w:cs="Arial" w:eastAsia="Arial" w:hAnsi="Arial"/>
          <w:sz w:val="18"/>
          <w:szCs w:val="18"/>
          <w:i w:val="1"/>
          <w:iCs w:val="1"/>
          <w:color w:val="auto"/>
        </w:rPr>
        <w:t>Events.</w:t>
      </w:r>
    </w:p>
    <w:p>
      <w:pPr>
        <w:spacing w:after="0" w:line="206"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The following is a summary of our share repurchases, held as treasury stock,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8"/>
                <w:szCs w:val="18"/>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Total Number of Shares</w:t>
            </w:r>
          </w:p>
        </w:tc>
        <w:tc>
          <w:tcPr>
            <w:tcW w:w="120" w:type="dxa"/>
            <w:vAlign w:val="bottom"/>
          </w:tcPr>
          <w:p>
            <w:pPr>
              <w:spacing w:after="0"/>
              <w:rPr>
                <w:sz w:val="18"/>
                <w:szCs w:val="18"/>
                <w:color w:val="auto"/>
              </w:rPr>
            </w:pPr>
          </w:p>
        </w:tc>
        <w:tc>
          <w:tcPr>
            <w:tcW w:w="2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Dollar Value of Shares</w:t>
            </w:r>
          </w:p>
        </w:tc>
        <w:tc>
          <w:tcPr>
            <w:tcW w:w="2180" w:type="dxa"/>
            <w:vAlign w:val="bottom"/>
            <w:gridSpan w:val="2"/>
          </w:tcPr>
          <w:p>
            <w:pPr>
              <w:jc w:val="right"/>
              <w:ind w:right="13"/>
              <w:spacing w:after="0"/>
              <w:rPr>
                <w:sz w:val="20"/>
                <w:szCs w:val="20"/>
                <w:color w:val="auto"/>
              </w:rPr>
            </w:pPr>
            <w:r>
              <w:rPr>
                <w:rFonts w:ascii="Arial" w:cs="Arial" w:eastAsia="Arial" w:hAnsi="Arial"/>
                <w:sz w:val="18"/>
                <w:szCs w:val="18"/>
                <w:b w:val="1"/>
                <w:bCs w:val="1"/>
                <w:color w:val="auto"/>
              </w:rPr>
              <w:t>Average Price Paid per</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right="33"/>
              <w:spacing w:after="0"/>
              <w:rPr>
                <w:sz w:val="20"/>
                <w:szCs w:val="20"/>
                <w:color w:val="auto"/>
              </w:rPr>
            </w:pPr>
            <w:r>
              <w:rPr>
                <w:rFonts w:ascii="Arial" w:cs="Arial" w:eastAsia="Arial" w:hAnsi="Arial"/>
                <w:sz w:val="18"/>
                <w:szCs w:val="18"/>
                <w:b w:val="1"/>
                <w:bCs w:val="1"/>
                <w:color w:val="auto"/>
                <w:w w:val="99"/>
              </w:rPr>
              <w:t>Purchased</w:t>
            </w:r>
          </w:p>
        </w:tc>
        <w:tc>
          <w:tcPr>
            <w:tcW w:w="20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Share</w:t>
            </w:r>
          </w:p>
        </w:tc>
        <w:tc>
          <w:tcPr>
            <w:tcW w:w="0" w:type="dxa"/>
            <w:vAlign w:val="bottom"/>
          </w:tcPr>
          <w:p>
            <w:pPr>
              <w:spacing w:after="0"/>
              <w:rPr>
                <w:sz w:val="1"/>
                <w:szCs w:val="1"/>
                <w:color w:val="auto"/>
              </w:rPr>
            </w:pPr>
          </w:p>
        </w:tc>
      </w:tr>
      <w:tr>
        <w:trPr>
          <w:trHeight w:val="233"/>
        </w:trPr>
        <w:tc>
          <w:tcPr>
            <w:tcW w:w="4320" w:type="dxa"/>
            <w:vAlign w:val="bottom"/>
          </w:tcPr>
          <w:p>
            <w:pPr>
              <w:spacing w:after="0"/>
              <w:rPr>
                <w:sz w:val="20"/>
                <w:szCs w:val="20"/>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4"/>
                <w:szCs w:val="14"/>
                <w:color w:val="auto"/>
              </w:rPr>
              <w:t>(number of shares)</w:t>
            </w:r>
          </w:p>
        </w:tc>
        <w:tc>
          <w:tcPr>
            <w:tcW w:w="120" w:type="dxa"/>
            <w:vAlign w:val="bottom"/>
          </w:tcPr>
          <w:p>
            <w:pPr>
              <w:spacing w:after="0"/>
              <w:rPr>
                <w:sz w:val="20"/>
                <w:szCs w:val="20"/>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14"/>
                <w:szCs w:val="14"/>
                <w:color w:val="auto"/>
              </w:rPr>
              <w:t>(in millions)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ind w:left="20"/>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2023</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3,407,655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Year ended December 31, 2024</w:t>
            </w:r>
          </w:p>
        </w:tc>
        <w:tc>
          <w:tcPr>
            <w:tcW w:w="2160" w:type="dxa"/>
            <w:vAlign w:val="bottom"/>
          </w:tcPr>
          <w:p>
            <w:pPr>
              <w:jc w:val="right"/>
              <w:spacing w:after="0"/>
              <w:rPr>
                <w:sz w:val="20"/>
                <w:szCs w:val="20"/>
                <w:color w:val="auto"/>
              </w:rPr>
            </w:pPr>
            <w:r>
              <w:rPr>
                <w:rFonts w:ascii="Arial" w:cs="Arial" w:eastAsia="Arial" w:hAnsi="Arial"/>
                <w:sz w:val="18"/>
                <w:szCs w:val="18"/>
                <w:color w:val="auto"/>
              </w:rPr>
              <w:t>3,649,348</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9"/>
                <w:szCs w:val="19"/>
                <w:color w:val="auto"/>
              </w:rPr>
            </w:pPr>
          </w:p>
        </w:tc>
        <w:tc>
          <w:tcPr>
            <w:tcW w:w="820" w:type="dxa"/>
            <w:vAlign w:val="bottom"/>
          </w:tcPr>
          <w:p>
            <w:pPr>
              <w:jc w:val="right"/>
              <w:ind w:right="613"/>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2025</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8,328,263</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Inception of Program (May 2021) through</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26,841,526</w:t>
            </w:r>
          </w:p>
        </w:tc>
        <w:tc>
          <w:tcPr>
            <w:tcW w:w="2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2025</w:t>
            </w:r>
          </w:p>
        </w:tc>
        <w:tc>
          <w:tcPr>
            <w:tcW w:w="216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204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Note: The total value of shares purchased includes approximately $2 million and $1 million in the years ended December 31, 2024 and 2023 related to excise taxes on share repurchases. Excise taxes in 2025 were insignificant and include a reversal for 2024 excise taxes that were no longer due. Commissions paid were not significant in all periods presented.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Uses of Cash</w:t>
      </w:r>
    </w:p>
    <w:p>
      <w:pPr>
        <w:spacing w:after="0" w:line="252"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At current commodity prices, we expect to generate operating cash flow to support and invest in our assets as part of our planned 2026 capital program described below. We regularly review our financial position, commodity prices, market conditions and other considerations to evaluate and optimize the deployment of our cash. We believe we have sufficient sources of liquidity to meet our obligations for the next twelve months.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Capital Program</w:t>
      </w:r>
    </w:p>
    <w:p>
      <w:pPr>
        <w:spacing w:after="0" w:line="25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 xml:space="preserve">We expect our total 2026 capital program to range between $430 million and $470 million. Of this amount, $410 million to $435 million is related to our oil and natural gas segment, $ 12 million to $20 million is for our carbon management segment and $8 million to $15 million is for corporate and other activities. The above amounts related to carbon management projects do not include amounts funded by Brookfield through the Carbon TerraVault JV, such as drilling injection and monitoring wells at our 26R reservoir. See </w:t>
      </w:r>
      <w:r>
        <w:rPr>
          <w:rFonts w:ascii="Arial" w:cs="Arial" w:eastAsia="Arial" w:hAnsi="Arial"/>
          <w:sz w:val="18"/>
          <w:szCs w:val="18"/>
          <w:i w:val="1"/>
          <w:iCs w:val="1"/>
          <w:color w:val="auto"/>
        </w:rPr>
        <w:t>Part II, Item 8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and Supplementary Data, Note 4 Investments and Related Party Transactions </w:t>
      </w:r>
      <w:r>
        <w:rPr>
          <w:rFonts w:ascii="Arial" w:cs="Arial" w:eastAsia="Arial" w:hAnsi="Arial"/>
          <w:sz w:val="18"/>
          <w:szCs w:val="18"/>
          <w:color w:val="auto"/>
        </w:rPr>
        <w:t>for more information on our joint venture with</w:t>
      </w:r>
      <w:r>
        <w:rPr>
          <w:rFonts w:ascii="Arial" w:cs="Arial" w:eastAsia="Arial" w:hAnsi="Arial"/>
          <w:sz w:val="18"/>
          <w:szCs w:val="18"/>
          <w:i w:val="1"/>
          <w:iCs w:val="1"/>
          <w:color w:val="auto"/>
        </w:rPr>
        <w:t xml:space="preserve"> </w:t>
      </w:r>
      <w:r>
        <w:rPr>
          <w:rFonts w:ascii="Arial" w:cs="Arial" w:eastAsia="Arial" w:hAnsi="Arial"/>
          <w:sz w:val="18"/>
          <w:szCs w:val="18"/>
          <w:color w:val="auto"/>
        </w:rPr>
        <w:t>Brookfield.</w:t>
      </w:r>
    </w:p>
    <w:p>
      <w:pPr>
        <w:spacing w:after="0" w:line="209"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i w:val="1"/>
          <w:iCs w:val="1"/>
          <w:color w:val="auto"/>
        </w:rPr>
        <w:t xml:space="preserve">Oil and natural gas segment – </w:t>
      </w:r>
      <w:r>
        <w:rPr>
          <w:rFonts w:ascii="Arial" w:cs="Arial" w:eastAsia="Arial" w:hAnsi="Arial"/>
          <w:sz w:val="18"/>
          <w:szCs w:val="18"/>
          <w:color w:val="auto"/>
        </w:rPr>
        <w:t>With respect to oil and natural gas development, we expect to run a four rig program in 2026. We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hold the majority of permits necessary to undertake our 2026 capital program. We expect to obtain additional new well permits for the remainder of our 2026 capital program on a timely basis. For more information on permitting, refer to </w:t>
      </w:r>
      <w:r>
        <w:rPr>
          <w:rFonts w:ascii="Arial" w:cs="Arial" w:eastAsia="Arial" w:hAnsi="Arial"/>
          <w:sz w:val="18"/>
          <w:szCs w:val="18"/>
          <w:i w:val="1"/>
          <w:iCs w:val="1"/>
          <w:color w:val="auto"/>
        </w:rPr>
        <w:t>Part I, Item 1 and 2 – Business and</w:t>
      </w:r>
      <w:r>
        <w:rPr>
          <w:rFonts w:ascii="Arial" w:cs="Arial" w:eastAsia="Arial" w:hAnsi="Arial"/>
          <w:sz w:val="18"/>
          <w:szCs w:val="18"/>
          <w:color w:val="auto"/>
        </w:rPr>
        <w:t xml:space="preserve"> </w:t>
      </w:r>
      <w:r>
        <w:rPr>
          <w:rFonts w:ascii="Arial" w:cs="Arial" w:eastAsia="Arial" w:hAnsi="Arial"/>
          <w:sz w:val="18"/>
          <w:szCs w:val="18"/>
          <w:i w:val="1"/>
          <w:iCs w:val="1"/>
          <w:color w:val="auto"/>
        </w:rPr>
        <w:t>Properties, Regulation of the Industries in Which We Operate, Regulation of Exploration and Production Activities</w:t>
      </w:r>
      <w:r>
        <w:rPr>
          <w:rFonts w:ascii="Arial" w:cs="Arial" w:eastAsia="Arial" w:hAnsi="Arial"/>
          <w:sz w:val="18"/>
          <w:szCs w:val="18"/>
          <w:color w:val="auto"/>
        </w:rPr>
        <w:t>.</w:t>
      </w:r>
    </w:p>
    <w:p>
      <w:pPr>
        <w:spacing w:after="0" w:line="203"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i w:val="1"/>
          <w:iCs w:val="1"/>
          <w:color w:val="auto"/>
        </w:rPr>
        <w:t xml:space="preserve">Carbon management segment – </w:t>
      </w:r>
      <w:r>
        <w:rPr>
          <w:rFonts w:ascii="Arial" w:cs="Arial" w:eastAsia="Arial" w:hAnsi="Arial"/>
          <w:sz w:val="18"/>
          <w:szCs w:val="18"/>
          <w:color w:val="auto"/>
        </w:rPr>
        <w:t>Our 2026 capital for carbon management projects includes approximately $15 million for the completion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carbon capture project at our cryogenic gas processing facility at Elk Hills. This gas processing facility is adjacent to the 26R storage reservoir held by Carbon TerraVault JV. For more information this project, refer to </w:t>
      </w:r>
      <w:r>
        <w:rPr>
          <w:rFonts w:ascii="Arial" w:cs="Arial" w:eastAsia="Arial" w:hAnsi="Arial"/>
          <w:sz w:val="18"/>
          <w:szCs w:val="18"/>
          <w:i w:val="1"/>
          <w:iCs w:val="1"/>
          <w:color w:val="auto"/>
        </w:rPr>
        <w:t>Part I, Item 1 and 2 – Business and Properties, Carbon</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Segment</w:t>
      </w:r>
      <w:r>
        <w:rPr>
          <w:rFonts w:ascii="Arial" w:cs="Arial" w:eastAsia="Arial" w:hAnsi="Arial"/>
          <w:sz w:val="18"/>
          <w:szCs w:val="18"/>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Uses of Cash</w:t>
      </w:r>
    </w:p>
    <w:p>
      <w:pPr>
        <w:spacing w:after="0" w:line="25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Other than our 2026 capital program, our expected material uses of cash during 2026 may include, subject to available liquidity, commodity prices, market conditions and other considerations, one or more of the following: (1) operating expenses; (2) dividends, share and debt repurchases; (3) settlements on commodity derivative contracts; (4) income taxes and other taxes not on income; (5) settlement of asset retirement obligations; and (6) costs related to advancing our carbon management activities not included in our capital program, such as employee costs and front-end engineering and design studies.</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long-term material uses of cash include the following:</w:t>
      </w:r>
    </w:p>
    <w:p>
      <w:pPr>
        <w:spacing w:after="0" w:line="234" w:lineRule="exact"/>
        <w:rPr>
          <w:sz w:val="20"/>
          <w:szCs w:val="20"/>
          <w:color w:val="auto"/>
        </w:rPr>
      </w:pPr>
    </w:p>
    <w:p>
      <w:pPr>
        <w:ind w:left="660" w:right="80" w:hanging="328"/>
        <w:spacing w:after="0" w:line="26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repayment of principal and interest on our 2029 Senior Notes and 2034 Senior Notes (see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 Note 5 Debt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operating lease liabilities including our commercial office space, fleet vehicles, easements and certain facilities (see </w:t>
      </w:r>
      <w:r>
        <w:rPr>
          <w:rFonts w:ascii="Arial" w:cs="Arial" w:eastAsia="Arial" w:hAnsi="Arial"/>
          <w:sz w:val="18"/>
          <w:szCs w:val="18"/>
          <w:i w:val="1"/>
          <w:iCs w:val="1"/>
          <w:color w:val="auto"/>
        </w:rPr>
        <w:t>Part II, Item 8 –</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and Supplementary Data, Note 13 Leases)</w:t>
      </w:r>
    </w:p>
    <w:p>
      <w:pPr>
        <w:ind w:left="660" w:right="300" w:hanging="328"/>
        <w:spacing w:after="0" w:line="25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obligations associated with our defined benefit and post-employment benefit plans (see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 Note 14 Pension and Postretirement Benefit Plans</w:t>
      </w:r>
      <w:r>
        <w:rPr>
          <w:rFonts w:ascii="Arial" w:cs="Arial" w:eastAsia="Arial" w:hAnsi="Arial"/>
          <w:sz w:val="18"/>
          <w:szCs w:val="18"/>
          <w:color w:val="auto"/>
        </w:rPr>
        <w:t>)</w:t>
      </w:r>
    </w:p>
    <w:p>
      <w:pPr>
        <w:ind w:left="660" w:right="60" w:hanging="328"/>
        <w:spacing w:after="0" w:line="266"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asset retirement obligations over the longer term (see </w:t>
      </w:r>
      <w:r>
        <w:rPr>
          <w:rFonts w:ascii="Arial" w:cs="Arial" w:eastAsia="Arial" w:hAnsi="Arial"/>
          <w:sz w:val="18"/>
          <w:szCs w:val="18"/>
          <w:i w:val="1"/>
          <w:iCs w:val="1"/>
          <w:color w:val="auto"/>
        </w:rPr>
        <w:t>Part II, Item 8 – Financial Statements and Supplementary Data, Note 1 Nature</w:t>
      </w:r>
      <w:r>
        <w:rPr>
          <w:rFonts w:ascii="Arial" w:cs="Arial" w:eastAsia="Arial" w:hAnsi="Arial"/>
          <w:sz w:val="18"/>
          <w:szCs w:val="18"/>
          <w:color w:val="auto"/>
        </w:rPr>
        <w:t xml:space="preserve"> </w:t>
      </w:r>
      <w:r>
        <w:rPr>
          <w:rFonts w:ascii="Arial" w:cs="Arial" w:eastAsia="Arial" w:hAnsi="Arial"/>
          <w:sz w:val="18"/>
          <w:szCs w:val="18"/>
          <w:i w:val="1"/>
          <w:iCs w:val="1"/>
          <w:color w:val="auto"/>
        </w:rPr>
        <w:t>of Business, Summary of Significant Accounting Policies and Other, Asset Retirement Obligations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3" w:name="page74"/>
    <w:bookmarkEnd w:id="73"/>
    <w:p>
      <w:pPr>
        <w:ind w:right="260" w:firstLine="324"/>
        <w:spacing w:after="0" w:line="262" w:lineRule="auto"/>
        <w:rPr>
          <w:sz w:val="20"/>
          <w:szCs w:val="20"/>
          <w:color w:val="auto"/>
        </w:rPr>
      </w:pPr>
      <w:r>
        <w:rPr>
          <w:rFonts w:ascii="Arial" w:cs="Arial" w:eastAsia="Arial" w:hAnsi="Arial"/>
          <w:sz w:val="18"/>
          <w:szCs w:val="18"/>
          <w:color w:val="auto"/>
        </w:rPr>
        <w:t>We have certain off-balance sheet commitments under contracts, including purchase commitments for goods and services used in the normal course of business such as pipeline transportation capacity, oil and natural gas leases, obligations under long-term service agreements and field equipment. The table below summarizes our undiscounted current and long-term purchase obligations as of December 31, 2025.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tcPr>
          <w:p>
            <w:pPr>
              <w:spacing w:after="0"/>
              <w:rPr>
                <w:sz w:val="17"/>
                <w:szCs w:val="17"/>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One Year or Less</w:t>
            </w:r>
          </w:p>
        </w:tc>
        <w:tc>
          <w:tcPr>
            <w:tcW w:w="1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More Than One</w:t>
            </w:r>
          </w:p>
        </w:tc>
        <w:tc>
          <w:tcPr>
            <w:tcW w:w="360" w:type="dxa"/>
            <w:vAlign w:val="bottom"/>
          </w:tcPr>
          <w:p>
            <w:pPr>
              <w:spacing w:after="0"/>
              <w:rPr>
                <w:sz w:val="17"/>
                <w:szCs w:val="17"/>
                <w:color w:val="auto"/>
              </w:rPr>
            </w:pPr>
          </w:p>
        </w:tc>
        <w:tc>
          <w:tcPr>
            <w:tcW w:w="12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1"/>
                <w:szCs w:val="21"/>
                <w:color w:val="auto"/>
              </w:rPr>
            </w:pPr>
          </w:p>
        </w:tc>
        <w:tc>
          <w:tcPr>
            <w:tcW w:w="1620" w:type="dxa"/>
            <w:vAlign w:val="bottom"/>
            <w:tcBorders>
              <w:bottom w:val="single" w:sz="8" w:color="auto"/>
            </w:tcBorders>
            <w:gridSpan w:val="2"/>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7"/>
              </w:rPr>
              <w:t>Year</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16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Oil and gas leases, surface easements and pipeline right-of-way</w:t>
            </w:r>
            <w:r>
              <w:rPr>
                <w:rFonts w:ascii="Arial" w:cs="Arial" w:eastAsia="Arial" w:hAnsi="Arial"/>
                <w:sz w:val="23"/>
                <w:szCs w:val="23"/>
                <w:color w:val="auto"/>
                <w:vertAlign w:val="superscript"/>
              </w:rPr>
              <w:t>(a)</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160" w:type="dxa"/>
            <w:vAlign w:val="bottom"/>
          </w:tcPr>
          <w:p>
            <w:pPr>
              <w:ind w:left="40"/>
              <w:spacing w:after="0" w:line="230" w:lineRule="exact"/>
              <w:rPr>
                <w:sz w:val="20"/>
                <w:szCs w:val="20"/>
                <w:color w:val="auto"/>
              </w:rPr>
            </w:pPr>
            <w:r>
              <w:rPr>
                <w:rFonts w:ascii="Arial" w:cs="Arial" w:eastAsia="Arial" w:hAnsi="Arial"/>
                <w:sz w:val="18"/>
                <w:szCs w:val="18"/>
                <w:color w:val="auto"/>
              </w:rPr>
              <w:t>Oil and gas transportation, throughput and storage arrangements</w:t>
            </w:r>
            <w:r>
              <w:rPr>
                <w:rFonts w:ascii="Arial" w:cs="Arial" w:eastAsia="Arial" w:hAnsi="Arial"/>
                <w:sz w:val="23"/>
                <w:szCs w:val="23"/>
                <w:color w:val="auto"/>
                <w:vertAlign w:val="superscript"/>
              </w:rPr>
              <w:t>(b)</w:t>
            </w:r>
          </w:p>
        </w:tc>
        <w:tc>
          <w:tcPr>
            <w:tcW w:w="7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licenses and other contracts</w:t>
            </w: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line="230" w:lineRule="exact"/>
              <w:rPr>
                <w:sz w:val="20"/>
                <w:szCs w:val="20"/>
                <w:color w:val="auto"/>
              </w:rPr>
            </w:pPr>
            <w:r>
              <w:rPr>
                <w:rFonts w:ascii="Arial" w:cs="Arial" w:eastAsia="Arial" w:hAnsi="Arial"/>
                <w:sz w:val="18"/>
                <w:szCs w:val="18"/>
                <w:color w:val="auto"/>
              </w:rPr>
              <w:t>Contracts related to our carbon management segment</w:t>
            </w:r>
            <w:r>
              <w:rPr>
                <w:rFonts w:ascii="Arial" w:cs="Arial" w:eastAsia="Arial" w:hAnsi="Arial"/>
                <w:sz w:val="23"/>
                <w:szCs w:val="23"/>
                <w:color w:val="auto"/>
                <w:vertAlign w:val="superscript"/>
              </w:rPr>
              <w:t>(c)</w:t>
            </w:r>
          </w:p>
        </w:tc>
        <w:tc>
          <w:tcPr>
            <w:tcW w:w="7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61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Oil and natural gas leases reflect obligations for fixed payments under our contracts.</w:t>
      </w:r>
    </w:p>
    <w:p>
      <w:pPr>
        <w:spacing w:after="0" w:line="15" w:lineRule="exact"/>
        <w:rPr>
          <w:rFonts w:ascii="Arial" w:cs="Arial" w:eastAsia="Arial" w:hAnsi="Arial"/>
          <w:sz w:val="14"/>
          <w:szCs w:val="14"/>
          <w:color w:val="auto"/>
        </w:rPr>
      </w:pPr>
    </w:p>
    <w:p>
      <w:pPr>
        <w:ind w:left="340" w:right="40" w:hanging="332"/>
        <w:spacing w:after="0" w:line="284" w:lineRule="auto"/>
        <w:tabs>
          <w:tab w:leader="none" w:pos="327" w:val="left"/>
        </w:tabs>
        <w:numPr>
          <w:ilvl w:val="0"/>
          <w:numId w:val="38"/>
        </w:numPr>
        <w:rPr>
          <w:rFonts w:ascii="Arial" w:cs="Arial" w:eastAsia="Arial" w:hAnsi="Arial"/>
          <w:sz w:val="14"/>
          <w:szCs w:val="14"/>
          <w:color w:val="auto"/>
        </w:rPr>
      </w:pPr>
      <w:r>
        <w:rPr>
          <w:rFonts w:ascii="Arial" w:cs="Arial" w:eastAsia="Arial" w:hAnsi="Arial"/>
          <w:sz w:val="14"/>
          <w:szCs w:val="14"/>
          <w:color w:val="auto"/>
        </w:rPr>
        <w:t>Purchase obligations for pipeline capacity include ship or pay arrangements that are based on contractual volumes and current market rates for firm transportation capacity during the contract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25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b w:val="1"/>
          <w:bCs w:val="1"/>
          <w:i w:val="1"/>
          <w:iCs w:val="1"/>
          <w:color w:val="auto"/>
        </w:rPr>
        <w:t xml:space="preserve">Cash flows from operating activities </w:t>
      </w:r>
      <w:r>
        <w:rPr>
          <w:rFonts w:ascii="Arial" w:cs="Arial" w:eastAsia="Arial" w:hAnsi="Arial"/>
          <w:sz w:val="18"/>
          <w:szCs w:val="18"/>
          <w:color w:val="auto"/>
        </w:rPr>
        <w:t>– Our net cash provided by operating activities is sensitive to many variables, particularly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commodity prices. Commodity price movements may also lead to changes in other variables in our business, including adjustments to our capital program. We experienced peak pricing for resource adequacy contracts in 2025 as compared to 2024. However, market prices for 2026 resource adequacy contracts declined due to growth in available resource adequacy-eligible capacity in the California market. As a result, we expect that our 2026 revenues from resource adequacy contracts will decrease between $125 million to $135 million in 2026 as compared to 2025.</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operating cash flow for the year ended December 31, 2025 was $865 million, which was an increase of $255 million, from</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$610 million for the year ended December 31, 2024. The increase was primarily driven by increased production after the Aera Merger which occurred on July 1, 2024. For the year ended December 31, 2025 we produced 138 MBoe/d, which was an increase of 37 MBoe/d from 110 MBoe/d for the year ended December 31, 2024. Our oil production increased to 109 MBbl/d for the year ended December 31, 2025 compared to 80 MBbl/d for the year ended December 31, 2024. Increases in production were partially offset by lower realized oil prices in 2025. Our average realized price for oil without the effects of derivative settlements decreased by $10.40 to $66.52 for the year ended December 31, 2025 compared to $76.92 for the same prior year period. For more information on our production and price changes, see </w:t>
      </w:r>
      <w:r>
        <w:rPr>
          <w:rFonts w:ascii="Arial" w:cs="Arial" w:eastAsia="Arial" w:hAnsi="Arial"/>
          <w:sz w:val="18"/>
          <w:szCs w:val="18"/>
          <w:i w:val="1"/>
          <w:iCs w:val="1"/>
          <w:color w:val="auto"/>
        </w:rPr>
        <w:t xml:space="preserve">Segment Results of Oil and Natural Gas Operations </w:t>
      </w:r>
      <w:r>
        <w:rPr>
          <w:rFonts w:ascii="Arial" w:cs="Arial" w:eastAsia="Arial" w:hAnsi="Arial"/>
          <w:sz w:val="18"/>
          <w:szCs w:val="18"/>
          <w:color w:val="auto"/>
        </w:rPr>
        <w:t>above.</w:t>
      </w:r>
    </w:p>
    <w:p>
      <w:pPr>
        <w:spacing w:after="0" w:line="210" w:lineRule="exact"/>
        <w:rPr>
          <w:sz w:val="20"/>
          <w:szCs w:val="20"/>
          <w:color w:val="auto"/>
        </w:rPr>
      </w:pPr>
    </w:p>
    <w:p>
      <w:pPr>
        <w:jc w:val="both"/>
        <w:ind w:right="580" w:firstLine="324"/>
        <w:spacing w:after="0" w:line="268" w:lineRule="auto"/>
        <w:rPr>
          <w:sz w:val="20"/>
          <w:szCs w:val="20"/>
          <w:color w:val="auto"/>
        </w:rPr>
      </w:pPr>
      <w:r>
        <w:rPr>
          <w:rFonts w:ascii="Arial" w:cs="Arial" w:eastAsia="Arial" w:hAnsi="Arial"/>
          <w:sz w:val="18"/>
          <w:szCs w:val="18"/>
          <w:color w:val="auto"/>
        </w:rPr>
        <w:t xml:space="preserve">Settlement proceeds from our derivative contracts increased $79 million from $64 million settlement payments for the year ended December 31, 2024 to $15 million settlement proceeds for the year ended December 31, 2025. For more information on our derivative contracts see, </w:t>
      </w:r>
      <w:r>
        <w:rPr>
          <w:rFonts w:ascii="Arial" w:cs="Arial" w:eastAsia="Arial" w:hAnsi="Arial"/>
          <w:sz w:val="18"/>
          <w:szCs w:val="18"/>
          <w:i w:val="1"/>
          <w:iCs w:val="1"/>
          <w:color w:val="auto"/>
        </w:rPr>
        <w:t>Part II, Item 8 – Financial Statements and Supplementary Data, Note 7 Derivatives.</w:t>
      </w:r>
    </w:p>
    <w:p>
      <w:pPr>
        <w:spacing w:after="0" w:line="198"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Operating costs and general and administrative expenses increased in 2025 as compared to 2024 primarily due to the addition of Aera's operations for the full year. As a result, we had higher compensation-related costs and additional costs related to surface maintenance, energy and purchase injectant.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4" w:name="page75"/>
    <w:bookmarkEnd w:id="74"/>
    <w:p>
      <w:pPr>
        <w:ind w:left="340"/>
        <w:spacing w:after="0"/>
        <w:rPr>
          <w:sz w:val="20"/>
          <w:szCs w:val="20"/>
          <w:color w:val="auto"/>
        </w:rPr>
      </w:pPr>
      <w:r>
        <w:rPr>
          <w:rFonts w:ascii="Arial" w:cs="Arial" w:eastAsia="Arial" w:hAnsi="Arial"/>
          <w:sz w:val="18"/>
          <w:szCs w:val="18"/>
          <w:b w:val="1"/>
          <w:bCs w:val="1"/>
          <w:i w:val="1"/>
          <w:iCs w:val="1"/>
          <w:color w:val="auto"/>
        </w:rPr>
        <w:t xml:space="preserve">Cash flows used in investing activities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provides a comparative summary of net cash used in investing activities: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80" w:type="dxa"/>
            <w:vAlign w:val="bottom"/>
          </w:tcPr>
          <w:p>
            <w:pPr>
              <w:spacing w:after="0"/>
              <w:rPr>
                <w:sz w:val="20"/>
                <w:szCs w:val="20"/>
                <w:color w:val="auto"/>
              </w:rPr>
            </w:pPr>
          </w:p>
        </w:tc>
        <w:tc>
          <w:tcPr>
            <w:tcW w:w="33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r>
      <w:tr>
        <w:trPr>
          <w:trHeight w:val="223"/>
        </w:trPr>
        <w:tc>
          <w:tcPr>
            <w:tcW w:w="7180" w:type="dxa"/>
            <w:vAlign w:val="bottom"/>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r>
      <w:tr>
        <w:trPr>
          <w:trHeight w:val="233"/>
        </w:trPr>
        <w:tc>
          <w:tcPr>
            <w:tcW w:w="7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0" w:type="dxa"/>
            <w:vAlign w:val="bottom"/>
            <w:gridSpan w:val="3"/>
          </w:tcPr>
          <w:p>
            <w:pPr>
              <w:jc w:val="right"/>
              <w:ind w:right="870"/>
              <w:spacing w:after="0"/>
              <w:rPr>
                <w:sz w:val="20"/>
                <w:szCs w:val="20"/>
                <w:color w:val="auto"/>
              </w:rPr>
            </w:pPr>
            <w:r>
              <w:rPr>
                <w:rFonts w:ascii="Arial" w:cs="Arial" w:eastAsia="Arial" w:hAnsi="Arial"/>
                <w:sz w:val="14"/>
                <w:szCs w:val="14"/>
                <w:color w:val="auto"/>
              </w:rPr>
              <w:t>(in millions)</w:t>
            </w:r>
          </w:p>
        </w:tc>
        <w:tc>
          <w:tcPr>
            <w:tcW w:w="700" w:type="dxa"/>
            <w:vAlign w:val="bottom"/>
          </w:tcPr>
          <w:p>
            <w:pPr>
              <w:spacing w:after="0"/>
              <w:rPr>
                <w:sz w:val="20"/>
                <w:szCs w:val="20"/>
                <w:color w:val="auto"/>
              </w:rPr>
            </w:pPr>
          </w:p>
        </w:tc>
      </w:tr>
      <w:tr>
        <w:trPr>
          <w:trHeight w:val="23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investments</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Changes in accrued capital investments</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asset divestitures</w:t>
            </w: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Purchase of a business, net of cash acquired</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acquisitions</w:t>
            </w:r>
          </w:p>
        </w:tc>
        <w:tc>
          <w:tcPr>
            <w:tcW w:w="13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1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For the years ended December 31, 2025 and 2024, purchase of a business, net of cash acquired includes our investing activities related to the Berry Merger and the Aera Merger, respectively. In connection with the Berry Merger, we repaid $449 million of Berry’s outstanding long-term debt and acquired cash of $12 million (after a $3 million payment for settlement of certain stock-based compensation awards). Additionally, we increased our 2025 capital program following the Aera Merger. See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Supplementary Data, Note 2 Business Combinations </w:t>
      </w:r>
      <w:r>
        <w:rPr>
          <w:rFonts w:ascii="Arial" w:cs="Arial" w:eastAsia="Arial" w:hAnsi="Arial"/>
          <w:sz w:val="18"/>
          <w:szCs w:val="18"/>
          <w:color w:val="auto"/>
        </w:rPr>
        <w:t>for more information on these transactions.</w:t>
      </w:r>
    </w:p>
    <w:p>
      <w:pPr>
        <w:spacing w:after="0" w:line="20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Proceeds from asset divestitures for the year ended December 31, 2025 primarily included the sale of properties for carbon management activities. Proceeds from asset divestitures for the year ended December 31, 2024 included the sale of our 0.9-acre Fort Apache real estate property in Huntington Beach, California as well as the remaining portion of our Ventura assets which were classified as held for sale. In the year ended December 31, 2024, the acquisitions shown in the table above related to purchasing storage reservoirs for our carbon management segment. </w:t>
      </w:r>
      <w:r>
        <w:rPr>
          <w:rFonts w:ascii="Arial" w:cs="Arial" w:eastAsia="Arial" w:hAnsi="Arial"/>
          <w:sz w:val="18"/>
          <w:szCs w:val="18"/>
          <w:i w:val="1"/>
          <w:iCs w:val="1"/>
          <w:color w:val="auto"/>
        </w:rPr>
        <w:t>Part II, Item 8 – Financial Statements and Supplementary Data, Note 9 Divestitures and Acquisitions</w:t>
      </w:r>
      <w:r>
        <w:rPr>
          <w:rFonts w:ascii="Arial" w:cs="Arial" w:eastAsia="Arial" w:hAnsi="Arial"/>
          <w:sz w:val="18"/>
          <w:szCs w:val="18"/>
          <w:color w:val="auto"/>
        </w:rPr>
        <w:t xml:space="preserve"> for more information on our divestitures and acquisitions.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Cash flows used in financing activities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provides a comparative summary of net cash used in financing activities: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80" w:type="dxa"/>
            <w:vAlign w:val="bottom"/>
          </w:tcPr>
          <w:p>
            <w:pPr>
              <w:spacing w:after="0"/>
              <w:rPr>
                <w:sz w:val="20"/>
                <w:szCs w:val="20"/>
                <w:color w:val="auto"/>
              </w:rPr>
            </w:pPr>
          </w:p>
        </w:tc>
        <w:tc>
          <w:tcPr>
            <w:tcW w:w="34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r>
      <w:tr>
        <w:trPr>
          <w:trHeight w:val="223"/>
        </w:trPr>
        <w:tc>
          <w:tcPr>
            <w:tcW w:w="7180" w:type="dxa"/>
            <w:vAlign w:val="bottom"/>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r>
      <w:tr>
        <w:trPr>
          <w:trHeight w:val="232"/>
        </w:trPr>
        <w:tc>
          <w:tcPr>
            <w:tcW w:w="7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80" w:type="dxa"/>
            <w:vAlign w:val="bottom"/>
            <w:gridSpan w:val="3"/>
          </w:tcPr>
          <w:p>
            <w:pPr>
              <w:jc w:val="right"/>
              <w:ind w:right="950"/>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20"/>
                <w:szCs w:val="20"/>
                <w:color w:val="auto"/>
              </w:rPr>
            </w:pPr>
          </w:p>
        </w:tc>
      </w:tr>
      <w:tr>
        <w:trPr>
          <w:trHeight w:val="234"/>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Revolving Credit Facility</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Repayments of Revolving Credit Facility</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2029 Senior Notes, net</w:t>
            </w:r>
          </w:p>
        </w:tc>
        <w:tc>
          <w:tcPr>
            <w:tcW w:w="13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Proceeds from 2034 Senior Notes, net</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Repurchases of common stock</w:t>
            </w:r>
            <w:r>
              <w:rPr>
                <w:rFonts w:ascii="Arial" w:cs="Arial" w:eastAsia="Arial" w:hAnsi="Arial"/>
                <w:sz w:val="23"/>
                <w:szCs w:val="23"/>
                <w:color w:val="auto"/>
                <w:vertAlign w:val="superscript"/>
              </w:rPr>
              <w:t>(a)</w:t>
            </w: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Common stock dividends</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equivalents on equity-settled awards</w:t>
            </w: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Issuance of common stock</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Bridge loan commitment costs</w:t>
            </w:r>
          </w:p>
        </w:tc>
        <w:tc>
          <w:tcPr>
            <w:tcW w:w="13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Debt redemption</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amendment costs</w:t>
            </w: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Stock warrants exercised</w:t>
            </w:r>
          </w:p>
        </w:tc>
        <w:tc>
          <w:tcPr>
            <w:tcW w:w="13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cancelled for taxes</w:t>
            </w:r>
          </w:p>
        </w:tc>
        <w:tc>
          <w:tcPr>
            <w:tcW w:w="1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7180" w:type="dxa"/>
            <w:vAlign w:val="bottom"/>
          </w:tcPr>
          <w:p>
            <w:pPr>
              <w:ind w:left="180"/>
              <w:spacing w:after="0"/>
              <w:rPr>
                <w:sz w:val="20"/>
                <w:szCs w:val="20"/>
                <w:color w:val="auto"/>
              </w:rPr>
            </w:pPr>
            <w:r>
              <w:rPr>
                <w:rFonts w:ascii="Arial" w:cs="Arial" w:eastAsia="Arial" w:hAnsi="Arial"/>
                <w:sz w:val="18"/>
                <w:szCs w:val="18"/>
                <w:color w:val="auto"/>
              </w:rPr>
              <w:t>Net cash (used in) provided by financing activities</w:t>
            </w:r>
          </w:p>
        </w:tc>
        <w:tc>
          <w:tcPr>
            <w:tcW w:w="13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21"/>
        </w:trPr>
        <w:tc>
          <w:tcPr>
            <w:tcW w:w="7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340" w:right="340" w:hanging="332"/>
        <w:spacing w:after="0" w:line="283" w:lineRule="auto"/>
        <w:tabs>
          <w:tab w:leader="none" w:pos="327"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total value of shares purchased reported on our statement of cash flows includes approximately $2 million in the year ended December 31, 2024, related to excise taxes on share repurchases. Excise taxes in 2025 were insignificant and include a reversal for 2024 excise taxes that were no longer due. Commissions paid on share repurchases were not significant in all periods presented.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5" w:name="page76"/>
    <w:bookmarkEnd w:id="75"/>
    <w:p>
      <w:pPr>
        <w:ind w:right="20" w:firstLine="324"/>
        <w:spacing w:after="0" w:line="259" w:lineRule="auto"/>
        <w:rPr>
          <w:sz w:val="20"/>
          <w:szCs w:val="20"/>
          <w:color w:val="auto"/>
        </w:rPr>
      </w:pPr>
      <w:r>
        <w:rPr>
          <w:rFonts w:ascii="Arial" w:cs="Arial" w:eastAsia="Arial" w:hAnsi="Arial"/>
          <w:sz w:val="18"/>
          <w:szCs w:val="18"/>
          <w:color w:val="auto"/>
        </w:rPr>
        <w:t xml:space="preserve">As noted above 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in October 2025, we completed an offering of $400 million in aggregate principal amount of our 7.000% 2034 Senior Notes. We also redeemed $245 million of our 2026 Senior Notes at 100% of the principal amount. In the year ended December 31, 2024, we completed an initial offering and a follow-on offering for our 2029 Senior Notes and we repurchased $300 million in face value of our 2026 Senior Notes at a premium. See </w:t>
      </w:r>
      <w:r>
        <w:rPr>
          <w:rFonts w:ascii="Arial" w:cs="Arial" w:eastAsia="Arial" w:hAnsi="Arial"/>
          <w:sz w:val="18"/>
          <w:szCs w:val="18"/>
          <w:i w:val="1"/>
          <w:iCs w:val="1"/>
          <w:color w:val="auto"/>
        </w:rPr>
        <w:t>Part II, Item 8 – Financial Statements and Supplementary Data, Note 5 Debt</w:t>
      </w:r>
      <w:r>
        <w:rPr>
          <w:rFonts w:ascii="Arial" w:cs="Arial" w:eastAsia="Arial" w:hAnsi="Arial"/>
          <w:sz w:val="18"/>
          <w:szCs w:val="18"/>
          <w:color w:val="auto"/>
        </w:rPr>
        <w:t xml:space="preserve"> for more information on our financing arrangements.</w:t>
      </w:r>
    </w:p>
    <w:p>
      <w:pPr>
        <w:spacing w:after="0" w:line="206"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 xml:space="preserve">Cash used for repurchases of our common stock under our Share Repurchase Program increased in 2025 as compared to 2024. Additionally, our Board of Directors increased the quarterly dividend rate on our common stock during 2025. See </w:t>
      </w:r>
      <w:r>
        <w:rPr>
          <w:rFonts w:ascii="Arial" w:cs="Arial" w:eastAsia="Arial" w:hAnsi="Arial"/>
          <w:sz w:val="18"/>
          <w:szCs w:val="18"/>
          <w:i w:val="1"/>
          <w:iCs w:val="1"/>
          <w:color w:val="auto"/>
        </w:rPr>
        <w:t>Part II, Item 8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and Supplementary Data, Note 11 Stockholders' Equity </w:t>
      </w:r>
      <w:r>
        <w:rPr>
          <w:rFonts w:ascii="Arial" w:cs="Arial" w:eastAsia="Arial" w:hAnsi="Arial"/>
          <w:sz w:val="18"/>
          <w:szCs w:val="18"/>
          <w:color w:val="auto"/>
        </w:rPr>
        <w:t>for more information on our Share Repurchase Program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 and Acquisitions</w:t>
      </w:r>
    </w:p>
    <w:p>
      <w:pPr>
        <w:spacing w:after="0" w:line="252"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color w:val="auto"/>
        </w:rPr>
        <w:t xml:space="preserve">From time to time, we review our extensive portfolio of assets for potential divestitures. See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Supplementary Data, Note 9 Divestitures and Acquisitions </w:t>
      </w:r>
      <w:r>
        <w:rPr>
          <w:rFonts w:ascii="Arial" w:cs="Arial" w:eastAsia="Arial" w:hAnsi="Arial"/>
          <w:sz w:val="18"/>
          <w:szCs w:val="18"/>
          <w:color w:val="auto"/>
        </w:rPr>
        <w:t>for more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Claims, Commitments and Contingencies</w:t>
      </w:r>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198" w:lineRule="exact"/>
        <w:rPr>
          <w:sz w:val="20"/>
          <w:szCs w:val="20"/>
          <w:color w:val="auto"/>
        </w:rPr>
      </w:pPr>
    </w:p>
    <w:p>
      <w:pPr>
        <w:jc w:val="both"/>
        <w:ind w:right="160" w:firstLine="324"/>
        <w:spacing w:after="0" w:line="268"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December 31, 2025 and 2024 were not material to our consolidated balance sheets as of such dates.</w:t>
      </w:r>
    </w:p>
    <w:p>
      <w:pPr>
        <w:spacing w:after="0" w:line="19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challenged BSEE's order. Oxy notified us of the claim under the indemnification provisions of the Separation and Distribution Agreement between us and Oxy. In September 2021, we accepted the indemnification claim from Oxy and we are challenging the order from BSEE. In March 2024, we entered into a cost sharing agreement with former lessees to share in ongoing maintenance costs during the pendency of the challenge to the BSEE order. In September 2025, the parties amended the cost sharing agreement to include well abandonment work. As of December 31, 2025, we recognized a liability of $12 million, included in accrued liabilities in our consolidated balance sheet related to this abandonment work.</w:t>
      </w:r>
    </w:p>
    <w:p>
      <w:pPr>
        <w:spacing w:after="0" w:line="212"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color w:val="auto"/>
        </w:rPr>
        <w:t>We also evaluate the amount of reasonably possible losses that we could incur as a result of these matters. We believe that reasonably possible losses that we could incur in excess of reserves cannot be accurately determined.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8 – Financial Statements and Supplementary Data, Note 6 Lawsuits, Claims, Commitments and Contingencies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2" w:lineRule="exact"/>
        <w:rPr>
          <w:sz w:val="20"/>
          <w:szCs w:val="20"/>
          <w:color w:val="auto"/>
        </w:rPr>
      </w:pPr>
    </w:p>
    <w:p>
      <w:pPr>
        <w:ind w:right="620" w:firstLine="324"/>
        <w:spacing w:after="0" w:line="287" w:lineRule="auto"/>
        <w:rPr>
          <w:sz w:val="20"/>
          <w:szCs w:val="20"/>
          <w:color w:val="auto"/>
        </w:rPr>
      </w:pPr>
      <w:r>
        <w:rPr>
          <w:rFonts w:ascii="Arial" w:cs="Arial" w:eastAsia="Arial" w:hAnsi="Arial"/>
          <w:sz w:val="18"/>
          <w:szCs w:val="18"/>
          <w:color w:val="auto"/>
        </w:rPr>
        <w:t>Our critical accounting estimates that could result in a material impact to the consolidated financial statements due to the levels of subjectivity and management judgment include the following:</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6" w:name="page77"/>
    <w:bookmarkEnd w:id="76"/>
    <w:p>
      <w:pPr>
        <w:ind w:left="520"/>
        <w:spacing w:after="0"/>
        <w:rPr>
          <w:sz w:val="20"/>
          <w:szCs w:val="20"/>
          <w:color w:val="auto"/>
        </w:rPr>
      </w:pPr>
      <w:r>
        <w:rPr>
          <w:rFonts w:ascii="Arial" w:cs="Arial" w:eastAsia="Arial" w:hAnsi="Arial"/>
          <w:sz w:val="16"/>
          <w:szCs w:val="16"/>
          <w:b w:val="1"/>
          <w:bCs w:val="1"/>
          <w:color w:val="auto"/>
        </w:rPr>
        <w:t>Title</w:t>
      </w:r>
    </w:p>
    <w:p>
      <w:pPr>
        <w:spacing w:after="0" w:line="4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Oil and Natural Gas Properties</w:t>
      </w:r>
    </w:p>
    <w:p>
      <w:pPr>
        <w:spacing w:after="0" w:line="20" w:lineRule="exact"/>
        <w:rPr>
          <w:sz w:val="20"/>
          <w:szCs w:val="20"/>
          <w:color w:val="auto"/>
        </w:rPr>
      </w:pPr>
      <w:r>
        <w:rPr>
          <w:sz w:val="20"/>
          <w:szCs w:val="20"/>
          <w:color w:val="auto"/>
        </w:rPr>
        <w:br w:type="column"/>
      </w:r>
    </w:p>
    <w:p>
      <w:pPr>
        <w:ind w:left="1280"/>
        <w:spacing w:after="0"/>
        <w:rPr>
          <w:sz w:val="20"/>
          <w:szCs w:val="20"/>
          <w:color w:val="auto"/>
        </w:rPr>
      </w:pPr>
      <w:r>
        <w:rPr>
          <w:rFonts w:ascii="Arial" w:cs="Arial" w:eastAsia="Arial" w:hAnsi="Arial"/>
          <w:sz w:val="16"/>
          <w:szCs w:val="16"/>
          <w:b w:val="1"/>
          <w:bCs w:val="1"/>
          <w:color w:val="auto"/>
        </w:rPr>
        <w:t>Description</w:t>
      </w:r>
    </w:p>
    <w:p>
      <w:pPr>
        <w:spacing w:after="0" w:line="5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carrying value of our property, plant and equipment represents the costs incurred to acquire or develop the asset, including any asset retirement obligations, net of accumulated depreciation, depletion and amortization. For assets acquired in a business combination, PP&amp;E cost is based on fair values at the acquisition date. We use the successful efforts method of accounting for our oil and natural gas producing activities. Under this method, we capitalize the cost of acquiring properties, development costs and the costs of drilling successful exploration wells.</w:t>
      </w:r>
    </w:p>
    <w:p>
      <w:pPr>
        <w:spacing w:after="0" w:line="206"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estimated amount of proved reserve volumes is used as the basis for recording depletion expense. We determine depletion on our oil and natural gas producing properties using the unit-of-production method. Under this method, acquisition costs are amortized based on total proved oil and gas reserves and capitalized development and successful exploration costs are depleted based on proved developed oil and natural gas reserves.</w:t>
      </w:r>
    </w:p>
    <w:p>
      <w:pPr>
        <w:spacing w:after="0" w:line="209"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Accounting for business combinations requires the allocation of the purchase price to the various assets and liabilities of the acquired business and recording deferred taxes for any differences between the allocated values and tax basis of assets and liabilities. Any excess of the purchase price over the amounts assigned to assets and liabilities is recorded as goodwill. The preliminary fair value of Berry's proved reserves acquired in the acquisition approximated $637 million. We do not have significant capitalized costs related to unproved properties and have not identified significant unproved properties as a result of the acquisition of Berry.</w:t>
      </w:r>
    </w:p>
    <w:p>
      <w:pPr>
        <w:spacing w:after="0" w:line="20" w:lineRule="exact"/>
        <w:rPr>
          <w:sz w:val="20"/>
          <w:szCs w:val="20"/>
          <w:color w:val="auto"/>
        </w:rPr>
      </w:pPr>
      <w:r>
        <w:rPr>
          <w:sz w:val="20"/>
          <w:szCs w:val="20"/>
          <w:color w:val="auto"/>
        </w:rPr>
        <w:br w:type="column"/>
      </w:r>
    </w:p>
    <w:p>
      <w:pPr>
        <w:jc w:val="center"/>
        <w:ind w:left="-39"/>
        <w:spacing w:after="0"/>
        <w:rPr>
          <w:sz w:val="20"/>
          <w:szCs w:val="20"/>
          <w:color w:val="auto"/>
        </w:rPr>
      </w:pPr>
      <w:r>
        <w:rPr>
          <w:rFonts w:ascii="Arial" w:cs="Arial" w:eastAsia="Arial" w:hAnsi="Arial"/>
          <w:sz w:val="16"/>
          <w:szCs w:val="16"/>
          <w:b w:val="1"/>
          <w:bCs w:val="1"/>
          <w:color w:val="auto"/>
        </w:rPr>
        <w:t>Estimation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20955</wp:posOffset>
            </wp:positionV>
            <wp:extent cx="7132320" cy="63950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6395085"/>
                    </a:xfrm>
                    <a:prstGeom prst="rect">
                      <a:avLst/>
                    </a:prstGeom>
                    <a:noFill/>
                  </pic:spPr>
                </pic:pic>
              </a:graphicData>
            </a:graphic>
          </wp:anchor>
        </w:drawing>
      </w:r>
    </w:p>
    <w:p>
      <w:pPr>
        <w:spacing w:after="0" w:line="3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determination of quantities of proved reserves is a highly technical process performed by our engineers and geoscientists. The analysis is based on drilling results, reservoir performance, subsurface interpretation and future development plans. Production rate forecasts are primarily derived from estimates from decline-curve analysis and type-curve analysis. Secondary inputs may include material balance calculations, which consider the volumes of substances replacing the volumes produced and associated reservoir pressure changes. Additional inputs may also include seismic analysis and computer simulations of reservoir performance. These field-tested technologies have demonstrated reasonably certain results with consistency and repeatability in the formations being evaluated or in analogous formations. The data for a given reservoir may also change over time as a result of numerous factors including, but not limited to, additional development activity and future development costs, production history and continuous reassessment of the viability of future production volumes under varying economic conditions.</w:t>
      </w:r>
    </w:p>
    <w:p>
      <w:pPr>
        <w:spacing w:after="0" w:line="226"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Several other factors could change our proved oil and gas reserves including changes in energy costs, inflation, deflation and the political and regulatory environment, all of which are beyond our control.</w:t>
      </w:r>
    </w:p>
    <w:p>
      <w:pPr>
        <w:spacing w:after="0" w:line="217"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We estimated the fair value of Berry’s proved reserves at the acquisition date using the expected present value of discounted future cash flows, on an after-tax basis, and applying a reasonable discount rate. We have used all available information to make a fair value determination, including assistance from third-party valuation experts. The assumptions used are believed to be reasonable but could change. This would have the effect of increasing or decreasing the amount of DD&amp;A we recognized on acquired assets.</w:t>
      </w:r>
    </w:p>
    <w:p>
      <w:pPr>
        <w:spacing w:after="0" w:line="20" w:lineRule="exact"/>
        <w:rPr>
          <w:sz w:val="20"/>
          <w:szCs w:val="20"/>
          <w:color w:val="auto"/>
        </w:rPr>
      </w:pPr>
      <w:r>
        <w:rPr>
          <w:sz w:val="20"/>
          <w:szCs w:val="20"/>
          <w:color w:val="auto"/>
        </w:rPr>
        <w:br w:type="column"/>
      </w:r>
    </w:p>
    <w:p>
      <w:pPr>
        <w:ind w:left="940"/>
        <w:spacing w:after="0"/>
        <w:rPr>
          <w:sz w:val="20"/>
          <w:szCs w:val="20"/>
          <w:color w:val="auto"/>
        </w:rPr>
      </w:pPr>
      <w:r>
        <w:rPr>
          <w:rFonts w:ascii="Arial" w:cs="Arial" w:eastAsia="Arial" w:hAnsi="Arial"/>
          <w:sz w:val="16"/>
          <w:szCs w:val="16"/>
          <w:b w:val="1"/>
          <w:bCs w:val="1"/>
          <w:color w:val="auto"/>
        </w:rPr>
        <w:t>Sensitivities</w:t>
      </w:r>
    </w:p>
    <w:p>
      <w:pPr>
        <w:spacing w:after="0" w:line="5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total proved reserves were 654 MMBoe and our total proved developed reserves were 541 MMBoe at December 31, 2025. We estimate our 2026 depletion rate for oil and natural gas producing properties using the unit-of-production method will be approximately $9/Boe. A 5% change in our reserves would increase or decrease this DD&amp;A rate by approximately $0.47/Boe.</w:t>
      </w:r>
    </w:p>
    <w:p>
      <w:pPr>
        <w:spacing w:after="0" w:line="8070" w:lineRule="exact"/>
        <w:rPr>
          <w:sz w:val="20"/>
          <w:szCs w:val="20"/>
          <w:color w:val="auto"/>
        </w:rPr>
      </w:pPr>
    </w:p>
    <w:p>
      <w:pPr>
        <w:sectPr>
          <w:pgSz w:w="11900" w:h="16838" w:orient="portrait"/>
          <w:cols w:equalWidth="0" w:num="4">
            <w:col w:w="1080" w:space="400"/>
            <w:col w:w="3440" w:space="140"/>
            <w:col w:w="3160" w:space="160"/>
            <w:col w:w="2780"/>
          </w:cols>
          <w:pgMar w:left="340" w:top="935" w:right="39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80645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935" w:right="39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17"/>
        </w:trPr>
        <w:tc>
          <w:tcPr>
            <w:tcW w:w="1480" w:type="dxa"/>
            <w:vAlign w:val="bottom"/>
            <w:gridSpan w:val="2"/>
          </w:tcPr>
          <w:p>
            <w:pPr>
              <w:ind w:left="540"/>
              <w:spacing w:after="0"/>
              <w:rPr>
                <w:sz w:val="20"/>
                <w:szCs w:val="20"/>
                <w:color w:val="auto"/>
              </w:rPr>
            </w:pPr>
            <w:r>
              <w:rPr>
                <w:rFonts w:ascii="Arial" w:cs="Arial" w:eastAsia="Arial" w:hAnsi="Arial"/>
                <w:sz w:val="16"/>
                <w:szCs w:val="16"/>
                <w:b w:val="1"/>
                <w:bCs w:val="1"/>
                <w:color w:val="auto"/>
              </w:rPr>
              <w:t>Title</w:t>
            </w:r>
          </w:p>
        </w:tc>
        <w:tc>
          <w:tcPr>
            <w:tcW w:w="3500" w:type="dxa"/>
            <w:vAlign w:val="bottom"/>
          </w:tcPr>
          <w:p>
            <w:pPr>
              <w:ind w:left="1300"/>
              <w:spacing w:after="0"/>
              <w:rPr>
                <w:sz w:val="20"/>
                <w:szCs w:val="20"/>
                <w:color w:val="auto"/>
              </w:rPr>
            </w:pPr>
            <w:r>
              <w:rPr>
                <w:rFonts w:ascii="Arial" w:cs="Arial" w:eastAsia="Arial" w:hAnsi="Arial"/>
                <w:sz w:val="16"/>
                <w:szCs w:val="16"/>
                <w:b w:val="1"/>
                <w:bCs w:val="1"/>
                <w:color w:val="auto"/>
              </w:rPr>
              <w:t>Description</w:t>
            </w:r>
          </w:p>
        </w:tc>
      </w:tr>
      <w:tr>
        <w:trPr>
          <w:trHeight w:val="156"/>
        </w:trPr>
        <w:tc>
          <w:tcPr>
            <w:tcW w:w="138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6"/>
                <w:szCs w:val="16"/>
                <w:color w:val="auto"/>
              </w:rPr>
              <w:t>Asset Retirement</w:t>
            </w:r>
          </w:p>
        </w:tc>
        <w:tc>
          <w:tcPr>
            <w:tcW w:w="100" w:type="dxa"/>
            <w:vAlign w:val="bottom"/>
          </w:tcPr>
          <w:p>
            <w:pPr>
              <w:spacing w:after="0"/>
              <w:rPr>
                <w:sz w:val="13"/>
                <w:szCs w:val="13"/>
                <w:color w:val="auto"/>
              </w:rPr>
            </w:pPr>
          </w:p>
        </w:tc>
        <w:tc>
          <w:tcPr>
            <w:tcW w:w="350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6"/>
                <w:szCs w:val="16"/>
                <w:color w:val="auto"/>
              </w:rPr>
              <w:t>Our asset retirement obligations relate to the</w:t>
            </w:r>
          </w:p>
        </w:tc>
      </w:tr>
      <w:tr>
        <w:trPr>
          <w:trHeight w:val="202"/>
        </w:trPr>
        <w:tc>
          <w:tcPr>
            <w:tcW w:w="1480" w:type="dxa"/>
            <w:vAlign w:val="bottom"/>
            <w:gridSpan w:val="2"/>
          </w:tcPr>
          <w:p>
            <w:pPr>
              <w:ind w:left="20"/>
              <w:spacing w:after="0"/>
              <w:rPr>
                <w:sz w:val="20"/>
                <w:szCs w:val="20"/>
                <w:color w:val="auto"/>
              </w:rPr>
            </w:pPr>
            <w:r>
              <w:rPr>
                <w:rFonts w:ascii="Arial" w:cs="Arial" w:eastAsia="Arial" w:hAnsi="Arial"/>
                <w:sz w:val="16"/>
                <w:szCs w:val="16"/>
                <w:color w:val="auto"/>
              </w:rPr>
              <w:t>Obligations</w:t>
            </w:r>
          </w:p>
        </w:tc>
        <w:tc>
          <w:tcPr>
            <w:tcW w:w="3500" w:type="dxa"/>
            <w:vAlign w:val="bottom"/>
          </w:tcPr>
          <w:p>
            <w:pPr>
              <w:ind w:left="20"/>
              <w:spacing w:after="0"/>
              <w:rPr>
                <w:sz w:val="20"/>
                <w:szCs w:val="20"/>
                <w:color w:val="auto"/>
              </w:rPr>
            </w:pPr>
            <w:r>
              <w:rPr>
                <w:rFonts w:ascii="Arial" w:cs="Arial" w:eastAsia="Arial" w:hAnsi="Arial"/>
                <w:sz w:val="16"/>
                <w:szCs w:val="16"/>
                <w:color w:val="auto"/>
              </w:rPr>
              <w:t>plugging and abandonment of oil and natural</w:t>
            </w:r>
          </w:p>
        </w:tc>
      </w:tr>
      <w:tr>
        <w:trPr>
          <w:trHeight w:val="176"/>
        </w:trPr>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00" w:type="dxa"/>
            <w:vAlign w:val="bottom"/>
          </w:tcPr>
          <w:p>
            <w:pPr>
              <w:ind w:left="20"/>
              <w:spacing w:after="0" w:line="175" w:lineRule="exact"/>
              <w:rPr>
                <w:sz w:val="20"/>
                <w:szCs w:val="20"/>
                <w:color w:val="auto"/>
              </w:rPr>
            </w:pPr>
            <w:r>
              <w:rPr>
                <w:rFonts w:ascii="Arial" w:cs="Arial" w:eastAsia="Arial" w:hAnsi="Arial"/>
                <w:sz w:val="16"/>
                <w:szCs w:val="16"/>
                <w:color w:val="auto"/>
              </w:rPr>
              <w:t>gas wells and facilities used in the oil and</w:t>
            </w:r>
          </w:p>
        </w:tc>
      </w:tr>
      <w:tr>
        <w:trPr>
          <w:trHeight w:val="215"/>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natural gas segment.</w:t>
            </w:r>
          </w:p>
        </w:tc>
      </w:tr>
      <w:tr>
        <w:trPr>
          <w:trHeight w:val="393"/>
        </w:trPr>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We determine our asset retirement obligation,</w:t>
            </w:r>
          </w:p>
        </w:tc>
      </w:tr>
      <w:tr>
        <w:trPr>
          <w:trHeight w:val="189"/>
        </w:trPr>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including the obligations related to Berry's</w:t>
            </w:r>
          </w:p>
        </w:tc>
      </w:tr>
      <w:tr>
        <w:trPr>
          <w:trHeight w:val="175"/>
        </w:trPr>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00" w:type="dxa"/>
            <w:vAlign w:val="bottom"/>
          </w:tcPr>
          <w:p>
            <w:pPr>
              <w:ind w:left="20"/>
              <w:spacing w:after="0" w:line="175" w:lineRule="exact"/>
              <w:rPr>
                <w:sz w:val="20"/>
                <w:szCs w:val="20"/>
                <w:color w:val="auto"/>
              </w:rPr>
            </w:pPr>
            <w:r>
              <w:rPr>
                <w:rFonts w:ascii="Arial" w:cs="Arial" w:eastAsia="Arial" w:hAnsi="Arial"/>
                <w:sz w:val="16"/>
                <w:szCs w:val="16"/>
                <w:color w:val="auto"/>
              </w:rPr>
              <w:t>assets we acquired, by calculating the present</w:t>
            </w:r>
          </w:p>
        </w:tc>
      </w:tr>
      <w:tr>
        <w:trPr>
          <w:trHeight w:val="189"/>
        </w:trPr>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value of estimated future cash outflows related</w:t>
            </w:r>
          </w:p>
        </w:tc>
      </w:tr>
      <w:tr>
        <w:trPr>
          <w:trHeight w:val="215"/>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to the abandonment obligation.</w:t>
            </w:r>
          </w:p>
        </w:tc>
      </w:tr>
      <w:tr>
        <w:trPr>
          <w:trHeight w:val="379"/>
        </w:trPr>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The asset retirement cost is capitalized as part</w:t>
            </w:r>
          </w:p>
        </w:tc>
      </w:tr>
      <w:tr>
        <w:trPr>
          <w:trHeight w:val="189"/>
        </w:trPr>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of the carrying amount of the related long-lived</w:t>
            </w:r>
          </w:p>
        </w:tc>
      </w:tr>
      <w:tr>
        <w:trPr>
          <w:trHeight w:val="175"/>
        </w:trPr>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00" w:type="dxa"/>
            <w:vAlign w:val="bottom"/>
          </w:tcPr>
          <w:p>
            <w:pPr>
              <w:ind w:left="20"/>
              <w:spacing w:after="0" w:line="175" w:lineRule="exact"/>
              <w:rPr>
                <w:sz w:val="20"/>
                <w:szCs w:val="20"/>
                <w:color w:val="auto"/>
              </w:rPr>
            </w:pPr>
            <w:r>
              <w:rPr>
                <w:rFonts w:ascii="Arial" w:cs="Arial" w:eastAsia="Arial" w:hAnsi="Arial"/>
                <w:sz w:val="16"/>
                <w:szCs w:val="16"/>
                <w:color w:val="auto"/>
              </w:rPr>
              <w:t>asset or included in the fair value estimate in a</w:t>
            </w:r>
          </w:p>
        </w:tc>
      </w:tr>
      <w:tr>
        <w:trPr>
          <w:trHeight w:val="189"/>
        </w:trPr>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business combination. In periods subsequent to</w:t>
            </w:r>
          </w:p>
        </w:tc>
      </w:tr>
      <w:tr>
        <w:trPr>
          <w:trHeight w:val="176"/>
        </w:trPr>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00" w:type="dxa"/>
            <w:vAlign w:val="bottom"/>
          </w:tcPr>
          <w:p>
            <w:pPr>
              <w:ind w:left="20"/>
              <w:spacing w:after="0" w:line="175" w:lineRule="exact"/>
              <w:rPr>
                <w:sz w:val="20"/>
                <w:szCs w:val="20"/>
                <w:color w:val="auto"/>
              </w:rPr>
            </w:pPr>
            <w:r>
              <w:rPr>
                <w:rFonts w:ascii="Arial" w:cs="Arial" w:eastAsia="Arial" w:hAnsi="Arial"/>
                <w:sz w:val="16"/>
                <w:szCs w:val="16"/>
                <w:color w:val="auto"/>
              </w:rPr>
              <w:t>initial measurement, the asset retirement cost is</w:t>
            </w:r>
          </w:p>
        </w:tc>
      </w:tr>
      <w:tr>
        <w:trPr>
          <w:trHeight w:val="189"/>
        </w:trPr>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depreciated using the unit-of-production</w:t>
            </w:r>
          </w:p>
        </w:tc>
      </w:tr>
      <w:tr>
        <w:trPr>
          <w:trHeight w:val="176"/>
        </w:trPr>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00" w:type="dxa"/>
            <w:vAlign w:val="bottom"/>
          </w:tcPr>
          <w:p>
            <w:pPr>
              <w:ind w:left="20"/>
              <w:spacing w:after="0" w:line="175" w:lineRule="exact"/>
              <w:rPr>
                <w:sz w:val="20"/>
                <w:szCs w:val="20"/>
                <w:color w:val="auto"/>
              </w:rPr>
            </w:pPr>
            <w:r>
              <w:rPr>
                <w:rFonts w:ascii="Arial" w:cs="Arial" w:eastAsia="Arial" w:hAnsi="Arial"/>
                <w:sz w:val="16"/>
                <w:szCs w:val="16"/>
                <w:color w:val="auto"/>
              </w:rPr>
              <w:t>method, while increases in the ARO liability</w:t>
            </w:r>
          </w:p>
        </w:tc>
      </w:tr>
      <w:tr>
        <w:trPr>
          <w:trHeight w:val="175"/>
        </w:trPr>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00" w:type="dxa"/>
            <w:vAlign w:val="bottom"/>
          </w:tcPr>
          <w:p>
            <w:pPr>
              <w:ind w:left="20"/>
              <w:spacing w:after="0" w:line="175" w:lineRule="exact"/>
              <w:rPr>
                <w:sz w:val="20"/>
                <w:szCs w:val="20"/>
                <w:color w:val="auto"/>
              </w:rPr>
            </w:pPr>
            <w:r>
              <w:rPr>
                <w:rFonts w:ascii="Arial" w:cs="Arial" w:eastAsia="Arial" w:hAnsi="Arial"/>
                <w:sz w:val="16"/>
                <w:szCs w:val="16"/>
                <w:color w:val="auto"/>
              </w:rPr>
              <w:t>resulting from the passage of time (accretion</w:t>
            </w:r>
          </w:p>
        </w:tc>
      </w:tr>
      <w:tr>
        <w:trPr>
          <w:trHeight w:val="189"/>
        </w:trPr>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expense) is included in operating expenses on</w:t>
            </w:r>
          </w:p>
        </w:tc>
      </w:tr>
      <w:tr>
        <w:trPr>
          <w:trHeight w:val="215"/>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our consolidated statements of operations.</w:t>
            </w:r>
          </w:p>
        </w:tc>
      </w:tr>
    </w:tbl>
    <w:p>
      <w:pPr>
        <w:spacing w:after="0" w:line="20" w:lineRule="exact"/>
        <w:rPr>
          <w:sz w:val="20"/>
          <w:szCs w:val="20"/>
          <w:color w:val="auto"/>
        </w:rPr>
      </w:pPr>
      <w:r>
        <w:rPr>
          <w:sz w:val="20"/>
          <w:szCs w:val="20"/>
          <w:color w:val="auto"/>
        </w:rPr>
        <w:br w:type="column"/>
      </w:r>
    </w:p>
    <w:p>
      <w:pPr>
        <w:jc w:val="center"/>
        <w:ind w:left="-39"/>
        <w:spacing w:after="0"/>
        <w:rPr>
          <w:sz w:val="20"/>
          <w:szCs w:val="20"/>
          <w:color w:val="auto"/>
        </w:rPr>
      </w:pPr>
      <w:r>
        <w:rPr>
          <w:rFonts w:ascii="Arial" w:cs="Arial" w:eastAsia="Arial" w:hAnsi="Arial"/>
          <w:sz w:val="16"/>
          <w:szCs w:val="16"/>
          <w:b w:val="1"/>
          <w:bCs w:val="1"/>
          <w:color w:val="auto"/>
        </w:rPr>
        <w:t>Estimation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2040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26"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The recognition of an asset retirement obligation requires us to make assumptions including an estimate of future abandonment costs and inflation rates, timing of activity and our credit-adjusted discount rate among others. Changes in the legal, regulatory and political environment could also affect our estimated future cash outflows.</w:t>
      </w:r>
    </w:p>
    <w:p>
      <w:pPr>
        <w:spacing w:after="0" w:line="20" w:lineRule="exact"/>
        <w:rPr>
          <w:sz w:val="20"/>
          <w:szCs w:val="20"/>
          <w:color w:val="auto"/>
        </w:rPr>
      </w:pPr>
      <w:r>
        <w:rPr>
          <w:sz w:val="20"/>
          <w:szCs w:val="20"/>
          <w:color w:val="auto"/>
        </w:rPr>
        <w:br w:type="column"/>
      </w:r>
    </w:p>
    <w:p>
      <w:pPr>
        <w:ind w:left="940"/>
        <w:spacing w:after="0"/>
        <w:rPr>
          <w:sz w:val="20"/>
          <w:szCs w:val="20"/>
          <w:color w:val="auto"/>
        </w:rPr>
      </w:pPr>
      <w:r>
        <w:rPr>
          <w:rFonts w:ascii="Arial" w:cs="Arial" w:eastAsia="Arial" w:hAnsi="Arial"/>
          <w:sz w:val="16"/>
          <w:szCs w:val="16"/>
          <w:b w:val="1"/>
          <w:bCs w:val="1"/>
          <w:color w:val="auto"/>
        </w:rPr>
        <w:t>Sensitivities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18173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As of December 31, 2025 and 2024, we had asset retirement obligations of $1,033 million and $1,129 million, respectively.</w:t>
      </w:r>
    </w:p>
    <w:p>
      <w:pPr>
        <w:spacing w:after="0" w:line="21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A 1% increase in the inflation rate would increase our liability by $94 million and a 1% decrease in the inflation rate would decrease our liability by $89 million as of December 31, 2025.</w:t>
      </w:r>
    </w:p>
    <w:p>
      <w:pPr>
        <w:spacing w:after="0" w:line="1927" w:lineRule="exact"/>
        <w:rPr>
          <w:sz w:val="20"/>
          <w:szCs w:val="20"/>
          <w:color w:val="auto"/>
        </w:rPr>
      </w:pPr>
    </w:p>
    <w:p>
      <w:pPr>
        <w:sectPr>
          <w:pgSz w:w="11900" w:h="16838" w:orient="portrait"/>
          <w:cols w:equalWidth="0" w:num="3">
            <w:col w:w="4980" w:space="100"/>
            <w:col w:w="3160" w:space="160"/>
            <w:col w:w="2720"/>
          </w:cols>
          <w:pgMar w:left="320" w:top="93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35" w:right="45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Forward-Looking Statements</w:t>
      </w:r>
    </w:p>
    <w:p>
      <w:pPr>
        <w:spacing w:after="0" w:line="14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 Additionally, the information in this report contains forward-looking statements related to the recently announced Aera merger.</w:t>
      </w:r>
    </w:p>
    <w:p>
      <w:pPr>
        <w:spacing w:after="0" w:line="21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sectPr>
          <w:pgSz w:w="11900" w:h="16838" w:orient="portrait"/>
          <w:cols w:equalWidth="0" w:num="1">
            <w:col w:w="11140"/>
          </w:cols>
          <w:pgMar w:left="320" w:top="1039" w:right="439" w:bottom="1440" w:gutter="0" w:footer="0" w:header="0"/>
        </w:sectPr>
      </w:pPr>
    </w:p>
    <w:p>
      <w:pPr>
        <w:spacing w:after="0" w:line="206" w:lineRule="exact"/>
        <w:rPr>
          <w:sz w:val="20"/>
          <w:szCs w:val="20"/>
          <w:color w:val="auto"/>
        </w:rPr>
      </w:pPr>
    </w:p>
    <w:p>
      <w:pPr>
        <w:ind w:left="660" w:right="569" w:hanging="328"/>
        <w:spacing w:after="0" w:line="255"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fluctuations in commodity prices, including supply and demand considerations for our products and services, and the impact of such fluctuations on revenues and operating expenses;</w:t>
      </w:r>
    </w:p>
    <w:p>
      <w:pPr>
        <w:spacing w:after="0" w:line="2" w:lineRule="exact"/>
        <w:rPr>
          <w:rFonts w:ascii="Arial" w:cs="Arial" w:eastAsia="Arial" w:hAnsi="Arial"/>
          <w:sz w:val="18"/>
          <w:szCs w:val="18"/>
          <w:color w:val="auto"/>
        </w:rPr>
      </w:pPr>
    </w:p>
    <w:p>
      <w:pPr>
        <w:ind w:left="660" w:right="889" w:hanging="328"/>
        <w:spacing w:after="0" w:line="250"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decisions as to production levels and/or pricing by OPEC+ or U.S. producers in future periods;</w:t>
      </w:r>
    </w:p>
    <w:p>
      <w:pPr>
        <w:ind w:left="660" w:right="529" w:hanging="328"/>
        <w:spacing w:after="0" w:line="250"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government policy, war and political conditions and events, including the military conflicts in Israel and Ukraine and geopolitical uncertainty in the Middle East and Venezuela;</w:t>
      </w:r>
    </w:p>
    <w:p>
      <w:pPr>
        <w:spacing w:after="0" w:line="1" w:lineRule="exact"/>
        <w:rPr>
          <w:rFonts w:ascii="Arial" w:cs="Arial" w:eastAsia="Arial" w:hAnsi="Arial"/>
          <w:sz w:val="18"/>
          <w:szCs w:val="18"/>
          <w:color w:val="auto"/>
        </w:rPr>
      </w:pPr>
    </w:p>
    <w:p>
      <w:pPr>
        <w:ind w:left="660" w:right="369" w:hanging="328"/>
        <w:spacing w:after="0" w:line="250"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to successfully execute integration efforts in connection with the Berry Merger, and achieve projected synergies and ensure that such synergies are sustainable;</w:t>
      </w:r>
    </w:p>
    <w:p>
      <w:pPr>
        <w:spacing w:after="0" w:line="1" w:lineRule="exact"/>
        <w:rPr>
          <w:rFonts w:ascii="Arial" w:cs="Arial" w:eastAsia="Arial" w:hAnsi="Arial"/>
          <w:sz w:val="18"/>
          <w:szCs w:val="18"/>
          <w:color w:val="auto"/>
        </w:rPr>
      </w:pPr>
    </w:p>
    <w:p>
      <w:pPr>
        <w:ind w:left="660" w:right="309" w:hanging="328"/>
        <w:spacing w:after="0" w:line="250"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actions and changes that affect the oil and gas industry generally and us in particular, including (1) the availability or timing of, or conditions imposed on, EPA and other governmental permits and approvals necessary for drilling or development activities or our carbon management segment; (2) the management of energy, water, land, greenhouse gases (GHGs) or other emissions, (3) the protection of health, safety and the environment, or (4) the transportation, marketing and sale of our products;</w:t>
      </w:r>
    </w:p>
    <w:p>
      <w:pPr>
        <w:spacing w:after="0" w:line="3" w:lineRule="exact"/>
        <w:rPr>
          <w:rFonts w:ascii="Arial" w:cs="Arial" w:eastAsia="Arial" w:hAnsi="Arial"/>
          <w:sz w:val="18"/>
          <w:szCs w:val="18"/>
          <w:color w:val="auto"/>
        </w:rPr>
      </w:pPr>
    </w:p>
    <w:p>
      <w:pPr>
        <w:ind w:left="660" w:right="289" w:hanging="328"/>
        <w:spacing w:after="0" w:line="250"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refinery closures and reductions in pipeline transportation capacity;</w:t>
      </w:r>
    </w:p>
    <w:p>
      <w:pPr>
        <w:ind w:left="660" w:right="549" w:hanging="328"/>
        <w:spacing w:after="0" w:line="250"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expected timing and resumption of the issuance of well permits following the enactment of SB 237;</w:t>
      </w:r>
    </w:p>
    <w:p>
      <w:pPr>
        <w:ind w:left="660" w:right="369" w:hanging="328"/>
        <w:spacing w:after="0" w:line="280" w:lineRule="auto"/>
        <w:tabs>
          <w:tab w:leader="none" w:pos="65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efforts of activists to delay prevent oil and gas activities or the development of our carbon management segment through a variety of tactics, including litigation;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331" w:right="100" w:hanging="331"/>
        <w:spacing w:after="0" w:line="257" w:lineRule="auto"/>
        <w:tabs>
          <w:tab w:leader="none" w:pos="3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impact of inflation, tariffs and changes in domestic or global trade policies on future expenses and changes generally in the prices of goods and services;</w:t>
      </w:r>
    </w:p>
    <w:p>
      <w:pPr>
        <w:spacing w:after="0" w:line="1" w:lineRule="exact"/>
        <w:rPr>
          <w:rFonts w:ascii="Arial" w:cs="Arial" w:eastAsia="Arial" w:hAnsi="Arial"/>
          <w:sz w:val="18"/>
          <w:szCs w:val="18"/>
          <w:color w:val="auto"/>
        </w:rPr>
      </w:pPr>
    </w:p>
    <w:p>
      <w:pPr>
        <w:jc w:val="both"/>
        <w:ind w:left="331" w:right="60" w:hanging="331"/>
        <w:spacing w:after="0" w:line="265" w:lineRule="auto"/>
        <w:tabs>
          <w:tab w:leader="none" w:pos="326" w:val="left"/>
        </w:tabs>
        <w:numPr>
          <w:ilvl w:val="0"/>
          <w:numId w:val="41"/>
        </w:numPr>
        <w:rPr>
          <w:rFonts w:ascii="Arial" w:cs="Arial" w:eastAsia="Arial" w:hAnsi="Arial"/>
          <w:sz w:val="17"/>
          <w:szCs w:val="17"/>
          <w:color w:val="auto"/>
        </w:rPr>
      </w:pPr>
      <w:r>
        <w:rPr>
          <w:rFonts w:ascii="Arial" w:cs="Arial" w:eastAsia="Arial" w:hAnsi="Arial"/>
          <w:sz w:val="17"/>
          <w:szCs w:val="17"/>
          <w:color w:val="auto"/>
        </w:rPr>
        <w:t>changes in business strategy and the ability and financial resources to execute our capital plan in a timely manner;</w:t>
      </w:r>
    </w:p>
    <w:p>
      <w:pPr>
        <w:ind w:left="331" w:right="120" w:hanging="331"/>
        <w:spacing w:after="0" w:line="250" w:lineRule="auto"/>
        <w:tabs>
          <w:tab w:leader="none" w:pos="3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lower-than-expected production or higher-than-expected production decline rates;</w:t>
      </w:r>
    </w:p>
    <w:p>
      <w:pPr>
        <w:ind w:left="331" w:right="60" w:hanging="331"/>
        <w:spacing w:after="0" w:line="250" w:lineRule="auto"/>
        <w:tabs>
          <w:tab w:leader="none" w:pos="3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to our estimates of reserves and related future cash flows, including changes arising from our inability to develop such reserves in a timely manner, and any inability to replace such reserves;</w:t>
      </w:r>
    </w:p>
    <w:p>
      <w:pPr>
        <w:spacing w:after="0" w:line="1" w:lineRule="exact"/>
        <w:rPr>
          <w:rFonts w:ascii="Arial" w:cs="Arial" w:eastAsia="Arial" w:hAnsi="Arial"/>
          <w:sz w:val="18"/>
          <w:szCs w:val="18"/>
          <w:color w:val="auto"/>
        </w:rPr>
      </w:pPr>
    </w:p>
    <w:p>
      <w:pPr>
        <w:ind w:left="331" w:right="140" w:hanging="331"/>
        <w:spacing w:after="0" w:line="250" w:lineRule="auto"/>
        <w:tabs>
          <w:tab w:leader="none" w:pos="3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recoverability of resources and unexpected geologic conditions;</w:t>
      </w:r>
    </w:p>
    <w:p>
      <w:pPr>
        <w:ind w:left="331" w:right="380" w:hanging="331"/>
        <w:spacing w:after="0" w:line="250" w:lineRule="auto"/>
        <w:tabs>
          <w:tab w:leader="none" w:pos="3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conditions and trends, including conditions in the worldwide financial, trade and credit markets;</w:t>
      </w:r>
    </w:p>
    <w:p>
      <w:pPr>
        <w:spacing w:after="0" w:line="1" w:lineRule="exact"/>
        <w:rPr>
          <w:rFonts w:ascii="Arial" w:cs="Arial" w:eastAsia="Arial" w:hAnsi="Arial"/>
          <w:sz w:val="18"/>
          <w:szCs w:val="18"/>
          <w:color w:val="auto"/>
        </w:rPr>
      </w:pPr>
    </w:p>
    <w:p>
      <w:pPr>
        <w:ind w:left="331" w:right="220" w:hanging="331"/>
        <w:spacing w:after="0" w:line="250" w:lineRule="auto"/>
        <w:tabs>
          <w:tab w:leader="none" w:pos="3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production-sharing contracts' effects on production and operating costs;</w:t>
      </w:r>
    </w:p>
    <w:p>
      <w:pPr>
        <w:ind w:left="331" w:right="360" w:hanging="331"/>
        <w:spacing w:after="0" w:line="250" w:lineRule="auto"/>
        <w:tabs>
          <w:tab w:leader="none" w:pos="3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lack of available equipment, service or labor price inflation;</w:t>
      </w:r>
    </w:p>
    <w:p>
      <w:pPr>
        <w:ind w:left="331" w:right="180" w:hanging="331"/>
        <w:spacing w:after="0" w:line="250" w:lineRule="auto"/>
        <w:tabs>
          <w:tab w:leader="none" w:pos="3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limitations on transportation or storage capacity and the need to shut-in wells;</w:t>
      </w:r>
    </w:p>
    <w:p>
      <w:pPr>
        <w:ind w:left="311" w:hanging="311"/>
        <w:spacing w:after="0"/>
        <w:tabs>
          <w:tab w:leader="none" w:pos="3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failure of risk management;</w:t>
      </w:r>
    </w:p>
    <w:p>
      <w:pPr>
        <w:spacing w:after="0" w:line="9" w:lineRule="exact"/>
        <w:rPr>
          <w:rFonts w:ascii="Arial" w:cs="Arial" w:eastAsia="Arial" w:hAnsi="Arial"/>
          <w:sz w:val="18"/>
          <w:szCs w:val="18"/>
          <w:color w:val="auto"/>
        </w:rPr>
      </w:pPr>
    </w:p>
    <w:p>
      <w:pPr>
        <w:ind w:left="331" w:right="140" w:hanging="331"/>
        <w:spacing w:after="0" w:line="250" w:lineRule="auto"/>
        <w:tabs>
          <w:tab w:leader="none" w:pos="3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from operations and competition in the industries in which we operate;</w:t>
      </w:r>
    </w:p>
    <w:p>
      <w:pPr>
        <w:ind w:left="331" w:right="120" w:hanging="331"/>
        <w:spacing w:after="0" w:line="250" w:lineRule="auto"/>
        <w:tabs>
          <w:tab w:leader="none" w:pos="3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realize the anticipated benefits from prior or future efforts to reduce costs;</w:t>
      </w:r>
    </w:p>
    <w:p>
      <w:pPr>
        <w:ind w:left="331" w:right="200" w:hanging="331"/>
        <w:spacing w:after="0" w:line="250" w:lineRule="auto"/>
        <w:tabs>
          <w:tab w:leader="none" w:pos="3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environmental risks and liability under federal, regional, state, provincial, tribal, local and international environmental laws and regulations (including remedial actions);</w:t>
      </w:r>
    </w:p>
    <w:p>
      <w:pPr>
        <w:spacing w:after="0" w:line="1" w:lineRule="exact"/>
        <w:rPr>
          <w:rFonts w:ascii="Arial" w:cs="Arial" w:eastAsia="Arial" w:hAnsi="Arial"/>
          <w:sz w:val="18"/>
          <w:szCs w:val="18"/>
          <w:color w:val="auto"/>
        </w:rPr>
      </w:pPr>
    </w:p>
    <w:p>
      <w:pPr>
        <w:ind w:left="331" w:right="180" w:hanging="331"/>
        <w:spacing w:after="0" w:line="265" w:lineRule="auto"/>
        <w:tabs>
          <w:tab w:leader="none" w:pos="32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creditworthiness and performance of our counterparties, including financial institutions, operating partners, CCS project participants and other parties;</w:t>
      </w:r>
    </w:p>
    <w:p>
      <w:pPr>
        <w:ind w:left="311" w:hanging="311"/>
        <w:spacing w:after="0"/>
        <w:tabs>
          <w:tab w:leader="none" w:pos="3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reorganization or restructuring of our operations;</w:t>
      </w:r>
    </w:p>
    <w:p>
      <w:pPr>
        <w:spacing w:after="0" w:line="200" w:lineRule="exact"/>
        <w:rPr>
          <w:sz w:val="20"/>
          <w:szCs w:val="20"/>
          <w:color w:val="auto"/>
        </w:rPr>
      </w:pPr>
    </w:p>
    <w:p>
      <w:pPr>
        <w:sectPr>
          <w:pgSz w:w="11900" w:h="16838" w:orient="portrait"/>
          <w:cols w:equalWidth="0" w:num="2">
            <w:col w:w="5509" w:space="720"/>
            <w:col w:w="4911"/>
          </w:cols>
          <w:pgMar w:left="320" w:top="1039" w:right="439" w:bottom="1440" w:gutter="0" w:footer="0" w:header="0"/>
          <w:type w:val="continuous"/>
        </w:sect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9" w:right="439" w:bottom="1440" w:gutter="0" w:footer="0" w:header="0"/>
          <w:type w:val="continuous"/>
        </w:sectPr>
      </w:pPr>
    </w:p>
    <w:bookmarkStart w:id="79" w:name="page80"/>
    <w:bookmarkEnd w:id="79"/>
    <w:p>
      <w:pPr>
        <w:ind w:left="660" w:right="1009" w:hanging="328"/>
        <w:spacing w:after="0" w:line="260"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claim and utilize tax credits or other incentives in connection with our CCS projects;</w:t>
      </w:r>
    </w:p>
    <w:p>
      <w:pPr>
        <w:spacing w:after="0" w:line="1" w:lineRule="exact"/>
        <w:rPr>
          <w:rFonts w:ascii="Arial" w:cs="Arial" w:eastAsia="Arial" w:hAnsi="Arial"/>
          <w:sz w:val="18"/>
          <w:szCs w:val="18"/>
          <w:color w:val="auto"/>
        </w:rPr>
      </w:pPr>
    </w:p>
    <w:p>
      <w:pPr>
        <w:ind w:left="660" w:right="309" w:hanging="328"/>
        <w:spacing w:after="0" w:line="250"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realize the benefits contemplated by our energy transition strategies and initiatives, including CCS projects and other renewable energy efforts;</w:t>
      </w:r>
    </w:p>
    <w:p>
      <w:pPr>
        <w:spacing w:after="0" w:line="1" w:lineRule="exact"/>
        <w:rPr>
          <w:rFonts w:ascii="Arial" w:cs="Arial" w:eastAsia="Arial" w:hAnsi="Arial"/>
          <w:sz w:val="18"/>
          <w:szCs w:val="18"/>
          <w:color w:val="auto"/>
        </w:rPr>
      </w:pPr>
    </w:p>
    <w:p>
      <w:pPr>
        <w:ind w:left="660" w:right="349" w:hanging="328"/>
        <w:spacing w:after="0" w:line="250"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successfully identify, develop and finance carbon capture and storage projects, power projects and other renewable energy efforts, including those in connection with the Carbon TerraVault JV, and our ability to convert our MOUs and CDMAs to definitive agreements and enter into other offtake agreements;</w:t>
      </w:r>
    </w:p>
    <w:p>
      <w:pPr>
        <w:spacing w:after="0" w:line="2" w:lineRule="exact"/>
        <w:rPr>
          <w:rFonts w:ascii="Arial" w:cs="Arial" w:eastAsia="Arial" w:hAnsi="Arial"/>
          <w:sz w:val="18"/>
          <w:szCs w:val="18"/>
          <w:color w:val="auto"/>
        </w:rPr>
      </w:pPr>
    </w:p>
    <w:p>
      <w:pPr>
        <w:ind w:left="660" w:right="409" w:hanging="328"/>
        <w:spacing w:after="0" w:line="250"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grow and develop our carbon management segment and achieve projected injection and storage rates;</w:t>
      </w:r>
    </w:p>
    <w:p>
      <w:pPr>
        <w:spacing w:after="0" w:line="1" w:lineRule="exact"/>
        <w:rPr>
          <w:rFonts w:ascii="Arial" w:cs="Arial" w:eastAsia="Arial" w:hAnsi="Arial"/>
          <w:sz w:val="18"/>
          <w:szCs w:val="18"/>
          <w:color w:val="auto"/>
        </w:rPr>
      </w:pPr>
    </w:p>
    <w:p>
      <w:pPr>
        <w:ind w:left="660" w:right="409" w:hanging="328"/>
        <w:spacing w:after="0" w:line="250"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successfully develop infrastructure projects and enter into third party contracts on contemplated terms;</w:t>
      </w:r>
    </w:p>
    <w:p>
      <w:pPr>
        <w:spacing w:after="0" w:line="1" w:lineRule="exact"/>
        <w:rPr>
          <w:rFonts w:ascii="Arial" w:cs="Arial" w:eastAsia="Arial" w:hAnsi="Arial"/>
          <w:sz w:val="18"/>
          <w:szCs w:val="18"/>
          <w:color w:val="auto"/>
        </w:rPr>
      </w:pPr>
    </w:p>
    <w:p>
      <w:pPr>
        <w:ind w:left="660" w:right="429" w:hanging="328"/>
        <w:spacing w:after="0" w:line="250"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uncertainty around the accounting of emissions and our ability to successfully gather and verify emissions data and other environmental impacts;</w:t>
      </w:r>
    </w:p>
    <w:p>
      <w:pPr>
        <w:spacing w:after="0" w:line="1" w:lineRule="exact"/>
        <w:rPr>
          <w:rFonts w:ascii="Arial" w:cs="Arial" w:eastAsia="Arial" w:hAnsi="Arial"/>
          <w:sz w:val="18"/>
          <w:szCs w:val="18"/>
          <w:color w:val="auto"/>
        </w:rPr>
      </w:pPr>
    </w:p>
    <w:p>
      <w:pPr>
        <w:jc w:val="both"/>
        <w:ind w:left="660" w:right="589" w:hanging="328"/>
        <w:spacing w:after="0" w:line="250"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to our dividend policy and share repurchase program, and our ability to declare future dividends or repurchase shares under our debt agreements;</w:t>
      </w:r>
    </w:p>
    <w:p>
      <w:pPr>
        <w:spacing w:after="0" w:line="1" w:lineRule="exact"/>
        <w:rPr>
          <w:rFonts w:ascii="Arial" w:cs="Arial" w:eastAsia="Arial" w:hAnsi="Arial"/>
          <w:sz w:val="18"/>
          <w:szCs w:val="18"/>
          <w:color w:val="auto"/>
        </w:rPr>
      </w:pPr>
    </w:p>
    <w:p>
      <w:pPr>
        <w:ind w:left="660" w:right="489" w:hanging="328"/>
        <w:spacing w:after="0" w:line="250"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limitations on our financial flexibility due to existing and future debt;</w:t>
      </w:r>
    </w:p>
    <w:p>
      <w:pPr>
        <w:ind w:left="660" w:right="429" w:hanging="328"/>
        <w:spacing w:after="0" w:line="296" w:lineRule="auto"/>
        <w:tabs>
          <w:tab w:leader="none" w:pos="6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insufficient cash flow to fund our capital plan and other planned investments and return capital to shareholders;</w:t>
      </w:r>
    </w:p>
    <w:p>
      <w:pPr>
        <w:spacing w:after="0" w:line="20" w:lineRule="exact"/>
        <w:rPr>
          <w:sz w:val="20"/>
          <w:szCs w:val="20"/>
          <w:color w:val="auto"/>
        </w:rPr>
      </w:pPr>
      <w:r>
        <w:rPr>
          <w:sz w:val="20"/>
          <w:szCs w:val="20"/>
          <w:color w:val="auto"/>
        </w:rPr>
        <w:br w:type="column"/>
      </w:r>
    </w:p>
    <w:p>
      <w:pPr>
        <w:ind w:left="311" w:hanging="311"/>
        <w:spacing w:after="0"/>
        <w:tabs>
          <w:tab w:leader="none" w:pos="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27" w:lineRule="exact"/>
        <w:rPr>
          <w:rFonts w:ascii="Arial" w:cs="Arial" w:eastAsia="Arial" w:hAnsi="Arial"/>
          <w:sz w:val="18"/>
          <w:szCs w:val="18"/>
          <w:color w:val="auto"/>
        </w:rPr>
      </w:pPr>
    </w:p>
    <w:p>
      <w:pPr>
        <w:ind w:left="331" w:right="300" w:hanging="331"/>
        <w:spacing w:after="0" w:line="250" w:lineRule="auto"/>
        <w:tabs>
          <w:tab w:leader="none" w:pos="326"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access to and the terms of credit in commercial banking and capital markets, including our ability to refinance our debt or obtain separate financing for our carbon management segment;</w:t>
      </w:r>
    </w:p>
    <w:p>
      <w:pPr>
        <w:spacing w:after="0" w:line="1" w:lineRule="exact"/>
        <w:rPr>
          <w:rFonts w:ascii="Arial" w:cs="Arial" w:eastAsia="Arial" w:hAnsi="Arial"/>
          <w:sz w:val="18"/>
          <w:szCs w:val="18"/>
          <w:color w:val="auto"/>
        </w:rPr>
      </w:pPr>
    </w:p>
    <w:p>
      <w:pPr>
        <w:jc w:val="both"/>
        <w:ind w:left="331" w:right="500" w:hanging="331"/>
        <w:spacing w:after="0" w:line="265" w:lineRule="auto"/>
        <w:tabs>
          <w:tab w:leader="none" w:pos="326" w:val="left"/>
        </w:tabs>
        <w:numPr>
          <w:ilvl w:val="0"/>
          <w:numId w:val="43"/>
        </w:numPr>
        <w:rPr>
          <w:rFonts w:ascii="Arial" w:cs="Arial" w:eastAsia="Arial" w:hAnsi="Arial"/>
          <w:sz w:val="17"/>
          <w:szCs w:val="17"/>
          <w:color w:val="auto"/>
        </w:rPr>
      </w:pPr>
      <w:r>
        <w:rPr>
          <w:rFonts w:ascii="Arial" w:cs="Arial" w:eastAsia="Arial" w:hAnsi="Arial"/>
          <w:sz w:val="17"/>
          <w:szCs w:val="17"/>
          <w:color w:val="auto"/>
        </w:rPr>
        <w:t>changes in state, federal or international tax rates, including our ability to utilize our net operating loss carryforwards to reduce our income tax obligations;</w:t>
      </w:r>
    </w:p>
    <w:p>
      <w:pPr>
        <w:ind w:left="311" w:hanging="311"/>
        <w:spacing w:after="0"/>
        <w:tabs>
          <w:tab w:leader="none" w:pos="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9" w:lineRule="exact"/>
        <w:rPr>
          <w:rFonts w:ascii="Arial" w:cs="Arial" w:eastAsia="Arial" w:hAnsi="Arial"/>
          <w:sz w:val="18"/>
          <w:szCs w:val="18"/>
          <w:color w:val="auto"/>
        </w:rPr>
      </w:pPr>
    </w:p>
    <w:p>
      <w:pPr>
        <w:ind w:left="331" w:right="440" w:hanging="331"/>
        <w:spacing w:after="0" w:line="250" w:lineRule="auto"/>
        <w:tabs>
          <w:tab w:leader="none" w:pos="32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 of our stock price on costs associated with incentive compensation;</w:t>
      </w:r>
    </w:p>
    <w:p>
      <w:pPr>
        <w:ind w:left="331" w:right="380" w:hanging="331"/>
        <w:spacing w:after="0" w:line="265" w:lineRule="auto"/>
        <w:tabs>
          <w:tab w:leader="none" w:pos="326"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inability to enter into desirable transactions, including joint ventures, divestitures of oil and natural gas properties and real estate, and acquisitions, and our ability to achieve any expected synergies;</w:t>
      </w:r>
    </w:p>
    <w:p>
      <w:pPr>
        <w:ind w:left="331" w:right="220" w:hanging="331"/>
        <w:spacing w:after="0" w:line="250" w:lineRule="auto"/>
        <w:tabs>
          <w:tab w:leader="none" w:pos="326"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spacing w:after="0" w:line="2" w:lineRule="exact"/>
        <w:rPr>
          <w:rFonts w:ascii="Arial" w:cs="Arial" w:eastAsia="Arial" w:hAnsi="Arial"/>
          <w:sz w:val="18"/>
          <w:szCs w:val="18"/>
          <w:color w:val="auto"/>
        </w:rPr>
      </w:pPr>
    </w:p>
    <w:p>
      <w:pPr>
        <w:ind w:left="331" w:right="140" w:hanging="331"/>
        <w:spacing w:after="0" w:line="250" w:lineRule="auto"/>
        <w:tabs>
          <w:tab w:leader="none" w:pos="326"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pandemics, epidemics, outbreaks, or other public health events, such as the COVID-19 pandemic;</w:t>
      </w:r>
    </w:p>
    <w:p>
      <w:pPr>
        <w:ind w:left="311" w:hanging="311"/>
        <w:spacing w:after="0"/>
        <w:tabs>
          <w:tab w:leader="none" w:pos="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transaction costs;</w:t>
      </w:r>
    </w:p>
    <w:p>
      <w:pPr>
        <w:spacing w:after="0" w:line="9" w:lineRule="exact"/>
        <w:rPr>
          <w:rFonts w:ascii="Arial" w:cs="Arial" w:eastAsia="Arial" w:hAnsi="Arial"/>
          <w:sz w:val="18"/>
          <w:szCs w:val="18"/>
          <w:color w:val="auto"/>
        </w:rPr>
      </w:pPr>
    </w:p>
    <w:p>
      <w:pPr>
        <w:ind w:left="311" w:hanging="311"/>
        <w:spacing w:after="0"/>
        <w:tabs>
          <w:tab w:leader="none" w:pos="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unknown liabilities; and</w:t>
      </w:r>
    </w:p>
    <w:p>
      <w:pPr>
        <w:spacing w:after="0" w:line="9" w:lineRule="exact"/>
        <w:rPr>
          <w:rFonts w:ascii="Arial" w:cs="Arial" w:eastAsia="Arial" w:hAnsi="Arial"/>
          <w:sz w:val="18"/>
          <w:szCs w:val="18"/>
          <w:color w:val="auto"/>
        </w:rPr>
      </w:pPr>
    </w:p>
    <w:p>
      <w:pPr>
        <w:ind w:left="311" w:hanging="311"/>
        <w:spacing w:after="0"/>
        <w:tabs>
          <w:tab w:leader="none" w:pos="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other factors discussed in </w:t>
      </w:r>
      <w:r>
        <w:rPr>
          <w:rFonts w:ascii="Arial" w:cs="Arial" w:eastAsia="Arial" w:hAnsi="Arial"/>
          <w:sz w:val="18"/>
          <w:szCs w:val="18"/>
          <w:i w:val="1"/>
          <w:iCs w:val="1"/>
          <w:color w:val="auto"/>
        </w:rPr>
        <w:t>Part I, Item 1A – Risk Factors.</w:t>
      </w:r>
    </w:p>
    <w:p>
      <w:pPr>
        <w:spacing w:after="0" w:line="475" w:lineRule="exact"/>
        <w:rPr>
          <w:sz w:val="20"/>
          <w:szCs w:val="20"/>
          <w:color w:val="auto"/>
        </w:rPr>
      </w:pPr>
    </w:p>
    <w:p>
      <w:pPr>
        <w:sectPr>
          <w:pgSz w:w="11900" w:h="16838" w:orient="portrait"/>
          <w:cols w:equalWidth="0" w:num="2">
            <w:col w:w="5509" w:space="720"/>
            <w:col w:w="4911"/>
          </w:cols>
          <w:pgMar w:left="320" w:top="890" w:right="439" w:bottom="1440" w:gutter="0" w:footer="0" w:header="0"/>
        </w:sectPr>
      </w:pPr>
    </w:p>
    <w:p>
      <w:pPr>
        <w:spacing w:after="0" w:line="245"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caution you not to place undue reliance on forward-looking statements contained in this document, which speak only as of the filing date, and we undertake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w:t>
      </w: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type w:val="continuous"/>
        </w:sectPr>
      </w:pPr>
    </w:p>
    <w:bookmarkStart w:id="80" w:name="page81"/>
    <w:bookmarkEnd w:id="80"/>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financial results are sensitive to fluctuations in oil, NGL and natural gas prices. These commodity price changes also impact volumes under PSCs. We maintain a commodity hedging program focused on crude oil and natural gas to help protect our cash flows, margins and capital program from the volatility of crude oil and natural gas prices. We have not designated any instruments as hedges for accounting purposes and we do not enter into such instruments for speculative trading purposes. We believe we have limited price volatility risk in the near term as a result of our current hedges in place. As of December 31, 2025, we had hedges on approximately 65% of our anticipated oil production through 2026 and approximately 40% through 2027.</w:t>
      </w:r>
    </w:p>
    <w:p>
      <w:pPr>
        <w:spacing w:after="0" w:line="20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primary market risk relating to our derivative contracts relates to fluctuations in market prices as compared to the fixed contract price for a notional amount of our production. As of December 31, 2025, we had net assets of $229 million for our derivative commodity positions which are carried at fair value, using industry-standard models with various inputs, including the forward curve for the relevant price index. We estimate that a $ 10/bbl increase in Brent oil forward prices could increase our settlement payments by $179 million in 2026, limiting our upside. We estimate that a $ 10/bbl decrease in Brent oil forward prices could decrease our settlement payments by $294 million in 2026, negating the downside price movement for hedged volumes.</w:t>
      </w:r>
    </w:p>
    <w:p>
      <w:pPr>
        <w:spacing w:after="0" w:line="209"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 xml:space="preserve">A summary of our Brent-based crude oil derivative contracts at December 31, 2025 are included in </w:t>
      </w:r>
      <w:r>
        <w:rPr>
          <w:rFonts w:ascii="Arial" w:cs="Arial" w:eastAsia="Arial" w:hAnsi="Arial"/>
          <w:sz w:val="18"/>
          <w:szCs w:val="18"/>
          <w:i w:val="1"/>
          <w:iCs w:val="1"/>
          <w:color w:val="auto"/>
        </w:rPr>
        <w:t>Part II, Item 8 – 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Supplementary Data, Note 7 Derivatives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 Credit Risk</w:t>
      </w:r>
    </w:p>
    <w:p>
      <w:pPr>
        <w:spacing w:after="0" w:line="25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counterparty credit risk relates primarily to trade receivables and derivative financial instruments. Credit exposure for each counterparty is monitored for outstanding balances and current activity. Counterparty credit limits have been established based upon the financial health of counterparties, and these limits are actively monitored. In the event counterparty credit risk is heightened, we may request collateral or accelerate payment dates for product deliveries. Approximately 79% of our production during 2025 was oil which was sold predominately to refineries in California. Trade receivables for all commodities are collected within 30 to 60 days following the month of delivery. For derivative instruments entered into as part of our hedging program, we are subject to counterparty credit risk to the extent the counterparty is unable to meet its settlement commitments. We have master netting agreements with each of our derivative counterparties, which allow us to net our settlement payments for the same commodity with the same counterparty. Therefore, our loss is limited to the net amount due from a defaulting counterparty. The majority of our credit exposure was with investment grade counterparties. Concentration of credit risk is regularly reviewed to ensure that counterparty credit risk is adequately diversified.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Interest-Rate Risk</w:t>
      </w:r>
    </w:p>
    <w:p>
      <w:pPr>
        <w:spacing w:after="0" w:line="252"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Changes in interest rates may affect the amount of interest we pay on our long-term debt. However, we had no variable-rate debt outstanding as of December 31, 2025. Our 2029 Senior Notes bear interest at a fixed rate of 8.250% per annum. Our 2034 Senior Notes bear interest at a fixed rate of 7.000% per annum.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Competition Risk</w:t>
      </w:r>
    </w:p>
    <w:p>
      <w:pPr>
        <w:spacing w:after="0" w:line="252"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We face competition in our oil and natural gas segment from other sources of energy, including wind and solar power. These products compete directly with the electricity we generate from certain power plants we own, including our Elk Hills power plant, and indirectly as substitutes for oil, natural gas and NGLs. We expect competition from these sources to intensify in the future due to technological advances and as California may continue to develop renewable energy and implement climate-related policies.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81" w:name="page82"/>
    <w:bookmarkEnd w:id="81"/>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California Resources Corporation: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California Resources Corporation and subsidiaries (the Company) as of December 31, 2025 and 2024, the related consolidated statements of operations, comprehensive income (loss), changes in stockholders’ equity (deficit), and cash flows for each of the years in the three-year period ended December 31, 2025, and the related notes (collectively, the consolidated financial statements). We also have audited the Company’s internal control over financial reporting as of December 31, 2025,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0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acquired Berry Corporation during 2025, and management excluded from its assessment of the effectiveness of the Company’s internal control over financial reporting as of December 31, 2025, Berry Corporation’s internal control over financial reporting associated with approximately 12% of total assets and less than 1% of total revenues included in the consolidated financial statements of the Company as of and for the year ended December 31, 2025. Our audit of internal control over financial reporting of the Company also excluded an evaluation of the internal control over financial reporting of Berry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Assessment of and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Impact of estimated oil and gas reserves on depletion expense for proved oil and gas properties</w:t>
      </w:r>
    </w:p>
    <w:p>
      <w:pPr>
        <w:spacing w:after="0" w:line="102" w:lineRule="exact"/>
        <w:rPr>
          <w:sz w:val="20"/>
          <w:szCs w:val="20"/>
          <w:color w:val="auto"/>
        </w:rPr>
      </w:pPr>
    </w:p>
    <w:p>
      <w:pPr>
        <w:ind w:left="340"/>
        <w:spacing w:after="0" w:line="262" w:lineRule="auto"/>
        <w:rPr>
          <w:sz w:val="20"/>
          <w:szCs w:val="20"/>
          <w:color w:val="auto"/>
        </w:rPr>
      </w:pPr>
      <w:r>
        <w:rPr>
          <w:rFonts w:ascii="Arial" w:cs="Arial" w:eastAsia="Arial" w:hAnsi="Arial"/>
          <w:sz w:val="18"/>
          <w:szCs w:val="18"/>
          <w:color w:val="auto"/>
        </w:rPr>
        <w:t>As discussed in Note 1 to the consolidated financial statements, the Company determines depletion of oil and gas producing properties by the unit-of-production method. Under this method, acquisition costs are amortized based on total proved oil and gas reserves and capitalized development and successful exploration costs are amortized based on proved developed oil and gas reserves. The Company recorded depreciation, depletion, and amortization expense of $511 million for the year ended December 31, 2025.</w:t>
      </w:r>
    </w:p>
    <w:p>
      <w:pPr>
        <w:spacing w:after="0" w:line="203" w:lineRule="exact"/>
        <w:rPr>
          <w:sz w:val="20"/>
          <w:szCs w:val="20"/>
          <w:color w:val="auto"/>
        </w:rPr>
      </w:pPr>
    </w:p>
    <w:p>
      <w:pPr>
        <w:ind w:left="340" w:right="40"/>
        <w:spacing w:after="0" w:line="255" w:lineRule="auto"/>
        <w:rPr>
          <w:sz w:val="20"/>
          <w:szCs w:val="20"/>
          <w:color w:val="auto"/>
        </w:rPr>
      </w:pPr>
      <w:r>
        <w:rPr>
          <w:rFonts w:ascii="Arial" w:cs="Arial" w:eastAsia="Arial" w:hAnsi="Arial"/>
          <w:sz w:val="18"/>
          <w:szCs w:val="18"/>
          <w:color w:val="auto"/>
        </w:rPr>
        <w:t>Estimating proved oil and gas reserves requires the expertise of professional petroleum reservoir engineers, who take into consideration estimates of future production, operating and development costs and commodity prices. The Company employs personnel who possess technical expertise, such as reservoir engineers and geoscientists, who estimate proved oil and gas reserves. The Company also engages independent reservoir engineering specialists to perform an independent evaluation of the Company’s proved oil and gas reserves estimates. We identified the assessment of estimated proved oil and gas reserves on the determination of depreciation, depletion and amortization expense for proved oil and gas properties as a critical audit matter. Subjective auditor judgment was required to evaluate the Company's estimate of proved oil and gas reserves, which is an input to the determination of depreciation, depletion, and amortization expense. Specifically, auditor judgment was required to evaluate the assumptions used by the Company related to estimated future oil and gas production and future operating and development costs.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83" w:name="page84"/>
    <w:bookmarkEnd w:id="83"/>
    <w:p>
      <w:pPr>
        <w:ind w:left="340" w:right="40"/>
        <w:spacing w:after="0" w:line="254"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depletion process, including controls related to the estimation of proved oil and gas reserves. We evaluated (1) the professional qualifications of the Company’s internal reserve engineers, as well as the external reserve engineers and external engineering firm, (2) the knowledge, skills, and ability of the Company’s internal and external reserve engineers, and (3) the relationship of the external reserve engineers and external engineering firm to the Company. We evaluated the process and assessed the methodology used by the Company’s internal reservoir engineers and the independent reservoir engineering specialist to estimate the reserves used in the determination of depreciation, depletion and amortization expense for compliance with industry and regulatory standards. We compared estimated future oil and gas production and estimated future operating and development costs estimated by the technical personnel employed by the Company to historical results. We read and considered the reports of the independent reservoir engineering specialist in connection with our evaluation of the Company’s proved oil and gas reserves estimates.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Evaluation of the fair value measurement of oil and gas properties acquired in the Berry Corporation business combination</w:t>
      </w:r>
    </w:p>
    <w:p>
      <w:pPr>
        <w:spacing w:after="0" w:line="102"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As discussed in Note 2 to the consolidated financial statements, on December 18, 2025, the Company completed a merger with Berry Corporation for cash and equity consideration of approximately $709 million. The transaction was accounted for as a business combination using the acquisition method, with the Company being identified as the accounting acquirer. Under the acquisition method of accounting the assets acquired and liabilities assumed are recorded at their respective fair values as of the acquisition date. As a result of the transaction, the Company acquired proved oil and gas properties which were recognized at their acquisition date fair value of $709 million.</w:t>
      </w:r>
    </w:p>
    <w:p>
      <w:pPr>
        <w:spacing w:after="0" w:line="209" w:lineRule="exact"/>
        <w:rPr>
          <w:sz w:val="20"/>
          <w:szCs w:val="20"/>
          <w:color w:val="auto"/>
        </w:rPr>
      </w:pPr>
    </w:p>
    <w:p>
      <w:pPr>
        <w:ind w:left="340" w:right="220"/>
        <w:spacing w:after="0" w:line="256" w:lineRule="auto"/>
        <w:rPr>
          <w:sz w:val="20"/>
          <w:szCs w:val="20"/>
          <w:color w:val="auto"/>
        </w:rPr>
      </w:pPr>
      <w:r>
        <w:rPr>
          <w:rFonts w:ascii="Arial" w:cs="Arial" w:eastAsia="Arial" w:hAnsi="Arial"/>
          <w:sz w:val="18"/>
          <w:szCs w:val="18"/>
          <w:color w:val="auto"/>
        </w:rPr>
        <w:t>We identified the evaluation of the initial fair value measurement of the oil and gas properties acquired in the Berry transaction as a critical audit matter. Subjective auditor judgment was required in evaluating the key assumptions used to estimate the fair value of the proved oil and gas properties as changes to those assumptions could have had a significant effect on the fair value. The key assumptions used by the Company to determine fair value included forecasted commodity prices, reserve category risk adjustment factors, estimated future oil and gas production, estimated future operating and capital costs and discount rate. Additionally, the audit effort associated with evaluating the forecasted commodity prices, reserve category risk adjustment factors, and discount rate required specialized skills and knowledge.</w:t>
      </w:r>
    </w:p>
    <w:p>
      <w:pPr>
        <w:spacing w:after="0" w:line="210" w:lineRule="exact"/>
        <w:rPr>
          <w:sz w:val="20"/>
          <w:szCs w:val="20"/>
          <w:color w:val="auto"/>
        </w:rPr>
      </w:pPr>
    </w:p>
    <w:p>
      <w:pPr>
        <w:ind w:left="340"/>
        <w:spacing w:after="0" w:line="253"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acquisition-date valuation process, including controls related to the determination of the key assumptions, as noted above, used to measure the initial fair value of the acquired proved oil and gas properties. We evaluated the professional qualifications of the Company's internal reservoir engineers and their knowledge, skills, and ability relative to the valuation process. We evaluated the process and assessed the methodology used by the Company's internal reservoir engineers to estimate the proved future production volumes for compliance with industry and regulatory standards. We compared the estimated future proved oil and gas production and estimated future operating and capital costs determined by the technical personnel employed by the Company to historical Berry production volumes and historical costs. In addition, we involved valuation professionals with specialized skills and knowledge, who assisted in: 1) evaluating the Company's discount rate by comparing it to a discount rate range that was independently developed using publicly available market data for comparable entities, 2) evaluating the reserve category risk adjustment factors used by the Company by comparing them to third party publications of risk adjustment factors utilized by market participants, 3) evaluating the forecasted commodity price assumption by comparing it to an independently developed range of forward price estimates using data from analysts and other industry sources.</w:t>
      </w:r>
    </w:p>
    <w:p>
      <w:pPr>
        <w:spacing w:after="0" w:line="200" w:lineRule="exact"/>
        <w:rPr>
          <w:sz w:val="20"/>
          <w:szCs w:val="20"/>
          <w:color w:val="auto"/>
        </w:rPr>
      </w:pPr>
    </w:p>
    <w:p>
      <w:pPr>
        <w:spacing w:after="0" w:line="32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KPMG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2, 2026</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2025 and 2024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CURRENT ASSETS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3"/>
        </w:trPr>
        <w:tc>
          <w:tcPr>
            <w:tcW w:w="782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Trade receivables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Assets held for sale</w:t>
            </w:r>
          </w:p>
        </w:tc>
        <w:tc>
          <w:tcPr>
            <w:tcW w:w="10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 from affiliate</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 net</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6,738</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depreciation, depletion and amortization</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23"/>
        </w:trPr>
        <w:tc>
          <w:tcPr>
            <w:tcW w:w="7820" w:type="dxa"/>
            <w:vAlign w:val="bottom"/>
          </w:tcPr>
          <w:p>
            <w:pPr>
              <w:ind w:left="680"/>
              <w:spacing w:after="0"/>
              <w:rPr>
                <w:sz w:val="20"/>
                <w:szCs w:val="20"/>
                <w:color w:val="auto"/>
              </w:rPr>
            </w:pPr>
            <w:r>
              <w:rPr>
                <w:rFonts w:ascii="Arial" w:cs="Arial" w:eastAsia="Arial" w:hAnsi="Arial"/>
                <w:sz w:val="18"/>
                <w:szCs w:val="18"/>
                <w:color w:val="auto"/>
              </w:rPr>
              <w:t>Total property, plant and equipment, net</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IN UNCONSOLIDATED SUBSIDIARIES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7,135</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Accrued liabilities</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net</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Asset retirement obligations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liabilities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7820" w:type="dxa"/>
            <w:vAlign w:val="bottom"/>
          </w:tcPr>
          <w:p>
            <w:pPr>
              <w:ind w:left="360"/>
              <w:spacing w:after="0"/>
              <w:rPr>
                <w:sz w:val="20"/>
                <w:szCs w:val="20"/>
                <w:color w:val="auto"/>
              </w:rPr>
            </w:pPr>
            <w:r>
              <w:rPr>
                <w:rFonts w:ascii="Arial" w:cs="Arial" w:eastAsia="Arial" w:hAnsi="Arial"/>
                <w:sz w:val="18"/>
                <w:szCs w:val="18"/>
                <w:color w:val="auto"/>
              </w:rPr>
              <w:t>Other long-term liabilities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20" w:type="dxa"/>
            <w:vAlign w:val="bottom"/>
          </w:tcPr>
          <w:p>
            <w:pPr>
              <w:ind w:left="360"/>
              <w:spacing w:after="0" w:line="176" w:lineRule="exact"/>
              <w:rPr>
                <w:sz w:val="20"/>
                <w:szCs w:val="20"/>
                <w:color w:val="auto"/>
              </w:rPr>
            </w:pPr>
            <w:r>
              <w:rPr>
                <w:rFonts w:ascii="Arial" w:cs="Arial" w:eastAsia="Arial" w:hAnsi="Arial"/>
                <w:sz w:val="18"/>
                <w:szCs w:val="18"/>
                <w:color w:val="auto"/>
              </w:rPr>
              <w:t>Preferred stock (20,000,000 shares authorized at $0.01 par value); no shares outstanding at</w:t>
            </w:r>
          </w:p>
        </w:tc>
        <w:tc>
          <w:tcPr>
            <w:tcW w:w="1040" w:type="dxa"/>
            <w:vAlign w:val="bottom"/>
          </w:tcPr>
          <w:p>
            <w:pPr>
              <w:spacing w:after="0"/>
              <w:rPr>
                <w:sz w:val="15"/>
                <w:szCs w:val="15"/>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December 31, 2025 and 2024</w:t>
            </w:r>
          </w:p>
        </w:tc>
        <w:tc>
          <w:tcPr>
            <w:tcW w:w="104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8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Common stock (200,000,000 shares authorized at $0.01 par value); (110,645,691 and</w:t>
            </w: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109,613,585 shares issued; 88,754,165 and 91,100,322 shares outstanding at December 31,</w:t>
            </w:r>
          </w:p>
        </w:tc>
        <w:tc>
          <w:tcPr>
            <w:tcW w:w="10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2025 and 2024, respectively)</w:t>
            </w:r>
          </w:p>
        </w:tc>
        <w:tc>
          <w:tcPr>
            <w:tcW w:w="1040" w:type="dxa"/>
            <w:vAlign w:val="bottom"/>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820" w:type="dxa"/>
            <w:vAlign w:val="bottom"/>
          </w:tcPr>
          <w:p>
            <w:pPr>
              <w:ind w:left="360"/>
              <w:spacing w:after="0" w:line="176" w:lineRule="exact"/>
              <w:rPr>
                <w:sz w:val="20"/>
                <w:szCs w:val="20"/>
                <w:color w:val="auto"/>
              </w:rPr>
            </w:pPr>
            <w:r>
              <w:rPr>
                <w:rFonts w:ascii="Arial" w:cs="Arial" w:eastAsia="Arial" w:hAnsi="Arial"/>
                <w:sz w:val="18"/>
                <w:szCs w:val="18"/>
                <w:color w:val="auto"/>
              </w:rPr>
              <w:t>Treasury stock (21,891,526 shares held at cost at December 31, 2025 and 18,513,263</w:t>
            </w:r>
          </w:p>
        </w:tc>
        <w:tc>
          <w:tcPr>
            <w:tcW w:w="10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shares held at December 31, 2024)</w:t>
            </w:r>
          </w:p>
        </w:tc>
        <w:tc>
          <w:tcPr>
            <w:tcW w:w="104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equity</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7,135</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20" w:right="5520" w:hanging="5515"/>
        <w:spacing w:after="0"/>
        <w:rPr>
          <w:sz w:val="20"/>
          <w:szCs w:val="20"/>
          <w:color w:val="auto"/>
        </w:rPr>
      </w:pPr>
      <w:r>
        <w:rPr>
          <w:rFonts w:ascii="Arial" w:cs="Arial" w:eastAsia="Arial" w:hAnsi="Arial"/>
          <w:sz w:val="14"/>
          <w:szCs w:val="14"/>
          <w:color w:val="auto"/>
        </w:rPr>
        <w:t xml:space="preserve">The accompanying notes are an integral part of these consolidated financial statements. </w:t>
      </w: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2025, 2024 and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682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Oil, natural gas and natural gas liquids sales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Net gain (loss) from commodity derivatives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Revenue from marketing of purchased commodities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Electricity revenue</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revenue</w:t>
            </w:r>
          </w:p>
        </w:tc>
        <w:tc>
          <w:tcPr>
            <w:tcW w:w="9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operating revenues</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2,801</w:t>
            </w:r>
          </w:p>
        </w:tc>
        <w:tc>
          <w:tcPr>
            <w:tcW w:w="0" w:type="dxa"/>
            <w:vAlign w:val="bottom"/>
          </w:tcPr>
          <w:p>
            <w:pPr>
              <w:spacing w:after="0"/>
              <w:rPr>
                <w:sz w:val="1"/>
                <w:szCs w:val="1"/>
                <w:color w:val="auto"/>
              </w:rPr>
            </w:pPr>
          </w:p>
        </w:tc>
      </w:tr>
      <w:tr>
        <w:trPr>
          <w:trHeight w:val="75"/>
        </w:trPr>
        <w:tc>
          <w:tcPr>
            <w:tcW w:w="68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costs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General and administrative expenses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depletion and amortization</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Asset impairment</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Taxes other than on income</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Costs related to marketing of purchased commodities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Electricity generation expenses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Transportation costs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Accretion expense</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Net loss on natural gas purchase derivatives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Measurement period adjustments, net</w:t>
            </w:r>
          </w:p>
        </w:tc>
        <w:tc>
          <w:tcPr>
            <w:tcW w:w="9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operating expenses, net</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operating expenses</w:t>
            </w:r>
          </w:p>
        </w:tc>
        <w:tc>
          <w:tcPr>
            <w:tcW w:w="9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(Loss) gain on asset divestitures</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95"/>
        </w:trPr>
        <w:tc>
          <w:tcPr>
            <w:tcW w:w="6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NON-OPERATING (EXPENSES) INCOME</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Interest and debt expense, net</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on early extinguishment of debt</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Equity loss from unconsolidated subsidiaries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non-operating income (expense), net</w:t>
            </w:r>
          </w:p>
        </w:tc>
        <w:tc>
          <w:tcPr>
            <w:tcW w:w="9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15"/>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9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Net income per share</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215"/>
        </w:trPr>
        <w:tc>
          <w:tcPr>
            <w:tcW w:w="6820" w:type="dxa"/>
            <w:vAlign w:val="bottom"/>
          </w:tcPr>
          <w:p>
            <w:pPr>
              <w:ind w:left="20"/>
              <w:spacing w:after="0"/>
              <w:rPr>
                <w:sz w:val="20"/>
                <w:szCs w:val="20"/>
                <w:color w:val="auto"/>
              </w:rPr>
            </w:pPr>
            <w:r>
              <w:rPr>
                <w:rFonts w:ascii="Arial" w:cs="Arial" w:eastAsia="Arial" w:hAnsi="Arial"/>
                <w:sz w:val="16"/>
                <w:szCs w:val="16"/>
                <w:color w:val="auto"/>
              </w:rPr>
              <w:t>Diluted</w:t>
            </w:r>
          </w:p>
        </w:tc>
        <w:tc>
          <w:tcPr>
            <w:tcW w:w="90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95"/>
        </w:trPr>
        <w:tc>
          <w:tcPr>
            <w:tcW w:w="68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Weighted-average common shares outstanding</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15"/>
        </w:trPr>
        <w:tc>
          <w:tcPr>
            <w:tcW w:w="6820" w:type="dxa"/>
            <w:vAlign w:val="bottom"/>
          </w:tcPr>
          <w:p>
            <w:pPr>
              <w:ind w:left="20"/>
              <w:spacing w:after="0"/>
              <w:rPr>
                <w:sz w:val="20"/>
                <w:szCs w:val="20"/>
                <w:color w:val="auto"/>
              </w:rPr>
            </w:pPr>
            <w:r>
              <w:rPr>
                <w:rFonts w:ascii="Arial" w:cs="Arial" w:eastAsia="Arial" w:hAnsi="Arial"/>
                <w:sz w:val="16"/>
                <w:szCs w:val="16"/>
                <w:color w:val="auto"/>
              </w:rPr>
              <w:t>Diluted</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5520" w:right="5520" w:hanging="5515"/>
        <w:spacing w:after="0"/>
        <w:rPr>
          <w:sz w:val="20"/>
          <w:szCs w:val="20"/>
          <w:color w:val="auto"/>
        </w:rPr>
      </w:pPr>
      <w:r>
        <w:rPr>
          <w:rFonts w:ascii="Arial" w:cs="Arial" w:eastAsia="Arial" w:hAnsi="Arial"/>
          <w:sz w:val="14"/>
          <w:szCs w:val="14"/>
          <w:color w:val="auto"/>
        </w:rPr>
        <w:t xml:space="preserve">The accompanying notes are an integral part of these consolidated financial statements. </w:t>
      </w: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2025, 2024 and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00" w:type="dxa"/>
            <w:vAlign w:val="bottom"/>
          </w:tcPr>
          <w:p>
            <w:pPr>
              <w:spacing w:after="0"/>
              <w:rPr>
                <w:sz w:val="18"/>
                <w:szCs w:val="18"/>
                <w:color w:val="auto"/>
              </w:rPr>
            </w:pPr>
          </w:p>
        </w:tc>
        <w:tc>
          <w:tcPr>
            <w:tcW w:w="3000" w:type="dxa"/>
            <w:vAlign w:val="bottom"/>
            <w:tcBorders>
              <w:bottom w:val="single" w:sz="8" w:color="auto"/>
            </w:tcBorders>
            <w:gridSpan w:val="7"/>
          </w:tcPr>
          <w:p>
            <w:pPr>
              <w:jc w:val="right"/>
              <w:ind w:right="279"/>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Borders>
              <w:bottom w:val="single" w:sz="8" w:color="auto"/>
            </w:tcBorders>
          </w:tcPr>
          <w:p>
            <w:pPr>
              <w:spacing w:after="0"/>
              <w:rPr>
                <w:sz w:val="18"/>
                <w:szCs w:val="18"/>
                <w:color w:val="auto"/>
              </w:rPr>
            </w:pPr>
          </w:p>
        </w:tc>
      </w:tr>
      <w:tr>
        <w:trPr>
          <w:trHeight w:val="210"/>
        </w:trPr>
        <w:tc>
          <w:tcPr>
            <w:tcW w:w="79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r>
      <w:tr>
        <w:trPr>
          <w:trHeight w:val="20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363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376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564</w:t>
            </w:r>
          </w:p>
        </w:tc>
      </w:tr>
      <w:tr>
        <w:trPr>
          <w:trHeight w:val="216"/>
        </w:trPr>
        <w:tc>
          <w:tcPr>
            <w:tcW w:w="7900" w:type="dxa"/>
            <w:vAlign w:val="bottom"/>
          </w:tcPr>
          <w:p>
            <w:pPr>
              <w:ind w:left="20"/>
              <w:spacing w:after="0" w:line="216" w:lineRule="exact"/>
              <w:rPr>
                <w:sz w:val="20"/>
                <w:szCs w:val="20"/>
                <w:color w:val="auto"/>
              </w:rPr>
            </w:pPr>
            <w:r>
              <w:rPr>
                <w:rFonts w:ascii="Arial" w:cs="Arial" w:eastAsia="Arial" w:hAnsi="Arial"/>
                <w:sz w:val="16"/>
                <w:szCs w:val="16"/>
                <w:color w:val="auto"/>
              </w:rPr>
              <w:t>Other comprehensive income</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Actuarial gain (loss) associated with pension and postretirement plans</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900" w:type="dxa"/>
            <w:vAlign w:val="bottom"/>
          </w:tcPr>
          <w:p>
            <w:pPr>
              <w:ind w:left="360"/>
              <w:spacing w:after="0"/>
              <w:rPr>
                <w:sz w:val="20"/>
                <w:szCs w:val="20"/>
                <w:color w:val="auto"/>
              </w:rPr>
            </w:pPr>
            <w:r>
              <w:rPr>
                <w:rFonts w:ascii="Arial" w:cs="Arial" w:eastAsia="Arial" w:hAnsi="Arial"/>
                <w:sz w:val="16"/>
                <w:szCs w:val="16"/>
                <w:color w:val="auto"/>
              </w:rPr>
              <w:t>Prior service credit</w:t>
            </w:r>
          </w:p>
        </w:tc>
        <w:tc>
          <w:tcPr>
            <w:tcW w:w="7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Recognition of net actuarial gain due to settlement</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00" w:type="dxa"/>
            <w:vAlign w:val="bottom"/>
          </w:tcPr>
          <w:p>
            <w:pPr>
              <w:ind w:left="360"/>
              <w:spacing w:after="0"/>
              <w:rPr>
                <w:sz w:val="20"/>
                <w:szCs w:val="20"/>
                <w:color w:val="auto"/>
              </w:rPr>
            </w:pPr>
            <w:r>
              <w:rPr>
                <w:rFonts w:ascii="Arial" w:cs="Arial" w:eastAsia="Arial" w:hAnsi="Arial"/>
                <w:sz w:val="16"/>
                <w:szCs w:val="16"/>
                <w:color w:val="auto"/>
              </w:rPr>
              <w:t>Recognition of prior service credit due to curtailment</w:t>
            </w:r>
          </w:p>
        </w:tc>
        <w:tc>
          <w:tcPr>
            <w:tcW w:w="7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Recognition of net actuarial loss due to curtailment</w:t>
            </w:r>
          </w:p>
        </w:tc>
        <w:tc>
          <w:tcPr>
            <w:tcW w:w="7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00" w:type="dxa"/>
            <w:vAlign w:val="bottom"/>
          </w:tcPr>
          <w:p>
            <w:pPr>
              <w:ind w:left="360"/>
              <w:spacing w:after="0"/>
              <w:rPr>
                <w:sz w:val="20"/>
                <w:szCs w:val="20"/>
                <w:color w:val="auto"/>
              </w:rPr>
            </w:pPr>
            <w:r>
              <w:rPr>
                <w:rFonts w:ascii="Arial" w:cs="Arial" w:eastAsia="Arial" w:hAnsi="Arial"/>
                <w:sz w:val="16"/>
                <w:szCs w:val="16"/>
                <w:color w:val="auto"/>
              </w:rPr>
              <w:t>Recognition of net actuarial gain due to special termination benefits</w:t>
            </w:r>
          </w:p>
        </w:tc>
        <w:tc>
          <w:tcPr>
            <w:tcW w:w="70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prior service cost credit included in net periodic benefit cost</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7900" w:type="dxa"/>
            <w:vAlign w:val="bottom"/>
          </w:tcPr>
          <w:p>
            <w:pPr>
              <w:ind w:left="360"/>
              <w:spacing w:after="0"/>
              <w:rPr>
                <w:sz w:val="20"/>
                <w:szCs w:val="20"/>
                <w:color w:val="auto"/>
              </w:rPr>
            </w:pPr>
            <w:r>
              <w:rPr>
                <w:rFonts w:ascii="Arial" w:cs="Arial" w:eastAsia="Arial" w:hAnsi="Arial"/>
                <w:sz w:val="16"/>
                <w:szCs w:val="16"/>
                <w:color w:val="auto"/>
              </w:rPr>
              <w:t>Amortization of net actuarial gain</w:t>
            </w: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 (loss)</w:t>
            </w: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375</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377</w:t>
            </w: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557</w:t>
            </w:r>
          </w:p>
        </w:tc>
      </w:tr>
      <w:tr>
        <w:trPr>
          <w:trHeight w:val="20"/>
        </w:trPr>
        <w:tc>
          <w:tcPr>
            <w:tcW w:w="7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right="320" w:hanging="332"/>
        <w:spacing w:after="0" w:line="305" w:lineRule="auto"/>
        <w:tabs>
          <w:tab w:leader="none" w:pos="327" w:val="left"/>
        </w:tabs>
        <w:numPr>
          <w:ilvl w:val="0"/>
          <w:numId w:val="44"/>
        </w:numPr>
        <w:rPr>
          <w:rFonts w:ascii="Arial" w:cs="Arial" w:eastAsia="Arial" w:hAnsi="Arial"/>
          <w:sz w:val="14"/>
          <w:szCs w:val="14"/>
          <w:color w:val="auto"/>
        </w:rPr>
      </w:pPr>
      <w:r>
        <w:rPr>
          <w:rFonts w:ascii="Arial" w:cs="Arial" w:eastAsia="Arial" w:hAnsi="Arial"/>
          <w:sz w:val="14"/>
          <w:szCs w:val="14"/>
          <w:color w:val="auto"/>
        </w:rPr>
        <w:t>Amounts are net of a tax provision of $5 million, tax provision of $1 million, and tax benefit of $3 million in tax for the years ended December 31, 2025, 2024, and 2023,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7" w:name="page88"/>
    <w:bookmarkEnd w:id="87"/>
    <w:p>
      <w:pPr>
        <w:jc w:val="center"/>
        <w:ind w:left="340" w:right="2620"/>
        <w:spacing w:after="0" w:line="265" w:lineRule="auto"/>
        <w:rPr>
          <w:sz w:val="20"/>
          <w:szCs w:val="20"/>
          <w:color w:val="auto"/>
        </w:rPr>
      </w:pPr>
      <w:r>
        <w:rPr>
          <w:rFonts w:ascii="Arial" w:cs="Arial" w:eastAsia="Arial" w:hAnsi="Arial"/>
          <w:sz w:val="18"/>
          <w:szCs w:val="18"/>
          <w:b w:val="1"/>
          <w:bCs w:val="1"/>
          <w:color w:val="auto"/>
        </w:rPr>
        <w:t xml:space="preserve">CALIFORNIA RESOURCES CORPORATION AND SUBSIDIARIES Consolidated Statements of Changes in Stockholders' Equity (Deficit) For the years ended December 31, 2025, 2024 and 2023 </w:t>
      </w:r>
      <w:r>
        <w:rPr>
          <w:rFonts w:ascii="Arial" w:cs="Arial" w:eastAsia="Arial" w:hAnsi="Arial"/>
          <w:sz w:val="18"/>
          <w:szCs w:val="18"/>
          <w:color w:val="auto"/>
        </w:rPr>
        <w:t>(in millions)</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 Paid-</w:t>
            </w:r>
          </w:p>
        </w:tc>
        <w:tc>
          <w:tcPr>
            <w:tcW w:w="18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Treasury Stock</w:t>
            </w:r>
          </w:p>
        </w:tc>
        <w:tc>
          <w:tcPr>
            <w:tcW w:w="12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Balance, December 31, 2022</w:t>
            </w: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(461)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1,864</w:t>
            </w:r>
          </w:p>
        </w:tc>
        <w:tc>
          <w:tcPr>
            <w:tcW w:w="0" w:type="dxa"/>
            <w:vAlign w:val="bottom"/>
          </w:tcPr>
          <w:p>
            <w:pPr>
              <w:spacing w:after="0"/>
              <w:rPr>
                <w:sz w:val="1"/>
                <w:szCs w:val="1"/>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5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Share-based compensation</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6"/>
                <w:szCs w:val="16"/>
                <w:color w:val="auto"/>
              </w:rPr>
              <w:t>Repurchases of common stock</w:t>
            </w:r>
          </w:p>
        </w:tc>
        <w:tc>
          <w:tcPr>
            <w:tcW w:w="5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720" w:type="dxa"/>
            <w:vAlign w:val="bottom"/>
          </w:tcPr>
          <w:p>
            <w:pPr>
              <w:ind w:left="320"/>
              <w:spacing w:after="0"/>
              <w:rPr>
                <w:sz w:val="20"/>
                <w:szCs w:val="20"/>
                <w:color w:val="auto"/>
              </w:rPr>
            </w:pPr>
            <w:r>
              <w:rPr>
                <w:rFonts w:ascii="Arial" w:cs="Arial" w:eastAsia="Arial" w:hAnsi="Arial"/>
                <w:sz w:val="16"/>
                <w:szCs w:val="16"/>
                <w:color w:val="auto"/>
              </w:rPr>
              <w:t>(143)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dividends</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6"/>
                <w:szCs w:val="16"/>
                <w:color w:val="auto"/>
              </w:rPr>
              <w:t>Shares cancelled for taxes</w:t>
            </w:r>
          </w:p>
        </w:tc>
        <w:tc>
          <w:tcPr>
            <w:tcW w:w="5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common stock</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6"/>
                <w:szCs w:val="16"/>
                <w:color w:val="auto"/>
              </w:rPr>
              <w:t>Other comprehensive income, net of tax</w:t>
            </w:r>
          </w:p>
        </w:tc>
        <w:tc>
          <w:tcPr>
            <w:tcW w:w="5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3740" w:type="dxa"/>
            <w:vAlign w:val="bottom"/>
          </w:tcPr>
          <w:p>
            <w:pPr>
              <w:ind w:left="120"/>
              <w:spacing w:after="0"/>
              <w:rPr>
                <w:sz w:val="20"/>
                <w:szCs w:val="20"/>
                <w:color w:val="auto"/>
              </w:rPr>
            </w:pPr>
            <w:r>
              <w:rPr>
                <w:rFonts w:ascii="Arial" w:cs="Arial" w:eastAsia="Arial" w:hAnsi="Arial"/>
                <w:sz w:val="16"/>
                <w:szCs w:val="16"/>
                <w:b w:val="1"/>
                <w:bCs w:val="1"/>
                <w:color w:val="auto"/>
              </w:rPr>
              <w:t>Balance, December 31, 2023</w:t>
            </w: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420" w:type="dxa"/>
            <w:vAlign w:val="bottom"/>
            <w:tcBorders>
              <w:top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ind w:left="320"/>
              <w:spacing w:after="0"/>
              <w:rPr>
                <w:sz w:val="20"/>
                <w:szCs w:val="20"/>
                <w:color w:val="auto"/>
              </w:rPr>
            </w:pPr>
            <w:r>
              <w:rPr>
                <w:rFonts w:ascii="Arial" w:cs="Arial" w:eastAsia="Arial" w:hAnsi="Arial"/>
                <w:sz w:val="16"/>
                <w:szCs w:val="16"/>
                <w:color w:val="auto"/>
              </w:rPr>
              <w:t>(604)</w:t>
            </w:r>
          </w:p>
        </w:tc>
        <w:tc>
          <w:tcPr>
            <w:tcW w:w="8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1,329</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1,419</w:t>
            </w:r>
          </w:p>
        </w:tc>
        <w:tc>
          <w:tcPr>
            <w:tcW w:w="8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5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Repurchases of common stock</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(192)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6"/>
                <w:szCs w:val="16"/>
                <w:color w:val="auto"/>
              </w:rPr>
              <w:t>Shares issued for warrants</w:t>
            </w:r>
          </w:p>
        </w:tc>
        <w:tc>
          <w:tcPr>
            <w:tcW w:w="5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Shares issued for Aera Merger</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w:t>
            </w:r>
          </w:p>
        </w:tc>
        <w:tc>
          <w:tcPr>
            <w:tcW w:w="0" w:type="dxa"/>
            <w:vAlign w:val="bottom"/>
          </w:tcPr>
          <w:p>
            <w:pPr>
              <w:spacing w:after="0"/>
              <w:rPr>
                <w:sz w:val="1"/>
                <w:szCs w:val="1"/>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6"/>
                <w:szCs w:val="16"/>
                <w:color w:val="auto"/>
              </w:rPr>
              <w:t>Cash dividends</w:t>
            </w:r>
          </w:p>
        </w:tc>
        <w:tc>
          <w:tcPr>
            <w:tcW w:w="5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Shares cancelled for taxes</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6"/>
                <w:szCs w:val="16"/>
                <w:color w:val="auto"/>
              </w:rPr>
              <w:t>Other comprehensive income, net of tax</w:t>
            </w:r>
          </w:p>
        </w:tc>
        <w:tc>
          <w:tcPr>
            <w:tcW w:w="5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Balance, December 31, 2024</w:t>
            </w: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(796)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3,538</w:t>
            </w:r>
          </w:p>
        </w:tc>
        <w:tc>
          <w:tcPr>
            <w:tcW w:w="0" w:type="dxa"/>
            <w:vAlign w:val="bottom"/>
          </w:tcPr>
          <w:p>
            <w:pPr>
              <w:spacing w:after="0"/>
              <w:rPr>
                <w:sz w:val="1"/>
                <w:szCs w:val="1"/>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5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Share-based compensation</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6"/>
                <w:szCs w:val="16"/>
                <w:color w:val="auto"/>
              </w:rPr>
              <w:t>Repurchases of common stock</w:t>
            </w:r>
          </w:p>
        </w:tc>
        <w:tc>
          <w:tcPr>
            <w:tcW w:w="5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720" w:type="dxa"/>
            <w:vAlign w:val="bottom"/>
          </w:tcPr>
          <w:p>
            <w:pPr>
              <w:ind w:left="320"/>
              <w:spacing w:after="0"/>
              <w:rPr>
                <w:sz w:val="20"/>
                <w:szCs w:val="20"/>
                <w:color w:val="auto"/>
              </w:rPr>
            </w:pPr>
            <w:r>
              <w:rPr>
                <w:rFonts w:ascii="Arial" w:cs="Arial" w:eastAsia="Arial" w:hAnsi="Arial"/>
                <w:sz w:val="16"/>
                <w:szCs w:val="16"/>
                <w:color w:val="auto"/>
              </w:rPr>
              <w:t>(148)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Shares issued for Berry Merger</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6"/>
                <w:szCs w:val="16"/>
                <w:color w:val="auto"/>
              </w:rPr>
              <w:t>Shares issued for Aera Merger</w:t>
            </w:r>
          </w:p>
        </w:tc>
        <w:tc>
          <w:tcPr>
            <w:tcW w:w="5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dividends</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6"/>
                <w:szCs w:val="16"/>
                <w:color w:val="auto"/>
              </w:rPr>
              <w:t>Shares cancelled for taxes</w:t>
            </w:r>
          </w:p>
        </w:tc>
        <w:tc>
          <w:tcPr>
            <w:tcW w:w="5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comprehensive income, net of tax</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6"/>
                <w:szCs w:val="16"/>
                <w:color w:val="auto"/>
              </w:rPr>
              <w:t>Other</w:t>
            </w:r>
          </w:p>
        </w:tc>
        <w:tc>
          <w:tcPr>
            <w:tcW w:w="5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5"/>
        </w:trPr>
        <w:tc>
          <w:tcPr>
            <w:tcW w:w="37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Balance, December 31, 2025</w:t>
            </w: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(944)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2025, 2024 and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682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15"/>
        </w:trPr>
        <w:tc>
          <w:tcPr>
            <w:tcW w:w="6820" w:type="dxa"/>
            <w:vAlign w:val="bottom"/>
          </w:tcPr>
          <w:p>
            <w:pPr>
              <w:ind w:left="140"/>
              <w:spacing w:after="0"/>
              <w:rPr>
                <w:sz w:val="20"/>
                <w:szCs w:val="20"/>
                <w:color w:val="auto"/>
              </w:rPr>
            </w:pPr>
            <w:r>
              <w:rPr>
                <w:rFonts w:ascii="Arial" w:cs="Arial" w:eastAsia="Arial" w:hAnsi="Arial"/>
                <w:sz w:val="16"/>
                <w:szCs w:val="16"/>
                <w:i w:val="1"/>
                <w:iCs w:val="1"/>
                <w:color w:val="auto"/>
              </w:rPr>
              <w:t>Adjustments to reconcile net income to net cash provided by operating activities:</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depletion and amortization</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Asset impairments</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income tax provision</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Net (gain) loss from commodity derivatives</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proceeds (payments) on settled commodity derivatives</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Net loss on early extinguishment of debt</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(gain) on asset divestitures</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Other non-cash charges to income, net</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operating assets and liabilities, net:</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Decrease in trade receivables</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Increase in inventories</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Decrease in other current assets, net</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Decrease in accounts payable and accrued liabilities</w:t>
            </w: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tcPr>
          <w:p>
            <w:pPr>
              <w:ind w:left="480"/>
              <w:spacing w:after="0"/>
              <w:rPr>
                <w:sz w:val="20"/>
                <w:szCs w:val="20"/>
                <w:color w:val="auto"/>
              </w:rPr>
            </w:pPr>
            <w:r>
              <w:rPr>
                <w:rFonts w:ascii="Arial" w:cs="Arial" w:eastAsia="Arial" w:hAnsi="Arial"/>
                <w:sz w:val="16"/>
                <w:szCs w:val="16"/>
                <w:b w:val="1"/>
                <w:bCs w:val="1"/>
                <w:color w:val="auto"/>
              </w:rPr>
              <w:t>Net cash provided by operating activities</w:t>
            </w: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88"/>
        </w:trPr>
        <w:tc>
          <w:tcPr>
            <w:tcW w:w="68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CASH FLOW FROM INVESTING ACTIVITIES</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investments</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5"/>
        </w:trPr>
        <w:tc>
          <w:tcPr>
            <w:tcW w:w="6820" w:type="dxa"/>
            <w:vAlign w:val="bottom"/>
          </w:tcPr>
          <w:p>
            <w:pPr>
              <w:ind w:left="140"/>
              <w:spacing w:after="0"/>
              <w:rPr>
                <w:sz w:val="20"/>
                <w:szCs w:val="20"/>
                <w:color w:val="auto"/>
              </w:rPr>
            </w:pPr>
            <w:r>
              <w:rPr>
                <w:rFonts w:ascii="Arial" w:cs="Arial" w:eastAsia="Arial" w:hAnsi="Arial"/>
                <w:sz w:val="16"/>
                <w:szCs w:val="16"/>
                <w:color w:val="auto"/>
              </w:rPr>
              <w:t>Changes in accrued capital investments</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asset divestitures</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5"/>
        </w:trPr>
        <w:tc>
          <w:tcPr>
            <w:tcW w:w="6820" w:type="dxa"/>
            <w:vAlign w:val="bottom"/>
          </w:tcPr>
          <w:p>
            <w:pPr>
              <w:ind w:left="140"/>
              <w:spacing w:after="0"/>
              <w:rPr>
                <w:sz w:val="20"/>
                <w:szCs w:val="20"/>
                <w:color w:val="auto"/>
              </w:rPr>
            </w:pPr>
            <w:r>
              <w:rPr>
                <w:rFonts w:ascii="Arial" w:cs="Arial" w:eastAsia="Arial" w:hAnsi="Arial"/>
                <w:sz w:val="16"/>
                <w:szCs w:val="16"/>
                <w:color w:val="auto"/>
              </w:rPr>
              <w:t>Purchase of a business, net of cash acquired</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acquisitions</w:t>
            </w: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6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rPr>
              <w:t>Net cash used in investing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74"/>
        </w:trPr>
        <w:tc>
          <w:tcPr>
            <w:tcW w:w="6820" w:type="dxa"/>
            <w:vAlign w:val="bottom"/>
          </w:tcPr>
          <w:p>
            <w:pPr>
              <w:spacing w:after="0"/>
              <w:rPr>
                <w:sz w:val="6"/>
                <w:szCs w:val="6"/>
                <w:color w:val="auto"/>
              </w:rPr>
            </w:pPr>
          </w:p>
        </w:tc>
        <w:tc>
          <w:tcPr>
            <w:tcW w:w="9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FROM FINANCING ACTIVITIES</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20" w:type="dxa"/>
            <w:vAlign w:val="bottom"/>
          </w:tcPr>
          <w:p>
            <w:pPr>
              <w:ind w:left="140"/>
              <w:spacing w:after="0"/>
              <w:rPr>
                <w:sz w:val="20"/>
                <w:szCs w:val="20"/>
                <w:color w:val="auto"/>
              </w:rPr>
            </w:pPr>
            <w:r>
              <w:rPr>
                <w:rFonts w:ascii="Arial" w:cs="Arial" w:eastAsia="Arial" w:hAnsi="Arial"/>
                <w:sz w:val="16"/>
                <w:szCs w:val="16"/>
                <w:color w:val="auto"/>
              </w:rPr>
              <w:t>Proceeds from Revolving Credit Facility</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Revolving Credit Facility</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820" w:type="dxa"/>
            <w:vAlign w:val="bottom"/>
          </w:tcPr>
          <w:p>
            <w:pPr>
              <w:ind w:left="140"/>
              <w:spacing w:after="0"/>
              <w:rPr>
                <w:sz w:val="20"/>
                <w:szCs w:val="20"/>
                <w:color w:val="auto"/>
              </w:rPr>
            </w:pPr>
            <w:r>
              <w:rPr>
                <w:rFonts w:ascii="Arial" w:cs="Arial" w:eastAsia="Arial" w:hAnsi="Arial"/>
                <w:sz w:val="16"/>
                <w:szCs w:val="16"/>
                <w:color w:val="auto"/>
              </w:rPr>
              <w:t>Proceeds from 2029 Senior Notes, net</w:t>
            </w:r>
          </w:p>
        </w:tc>
        <w:tc>
          <w:tcPr>
            <w:tcW w:w="9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2034 Senior Notes, net</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82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dividends</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5"/>
        </w:trPr>
        <w:tc>
          <w:tcPr>
            <w:tcW w:w="6820" w:type="dxa"/>
            <w:vAlign w:val="bottom"/>
          </w:tcPr>
          <w:p>
            <w:pPr>
              <w:ind w:left="140"/>
              <w:spacing w:after="0"/>
              <w:rPr>
                <w:sz w:val="20"/>
                <w:szCs w:val="20"/>
                <w:color w:val="auto"/>
              </w:rPr>
            </w:pPr>
            <w:r>
              <w:rPr>
                <w:rFonts w:ascii="Arial" w:cs="Arial" w:eastAsia="Arial" w:hAnsi="Arial"/>
                <w:sz w:val="16"/>
                <w:szCs w:val="16"/>
                <w:color w:val="auto"/>
              </w:rPr>
              <w:t>Dividend equivalents on equity-settled awards</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6820" w:type="dxa"/>
            <w:vAlign w:val="bottom"/>
          </w:tcPr>
          <w:p>
            <w:pPr>
              <w:ind w:left="140"/>
              <w:spacing w:after="0"/>
              <w:rPr>
                <w:sz w:val="20"/>
                <w:szCs w:val="20"/>
                <w:color w:val="auto"/>
              </w:rPr>
            </w:pPr>
            <w:r>
              <w:rPr>
                <w:rFonts w:ascii="Arial" w:cs="Arial" w:eastAsia="Arial" w:hAnsi="Arial"/>
                <w:sz w:val="16"/>
                <w:szCs w:val="16"/>
                <w:color w:val="auto"/>
              </w:rPr>
              <w:t>Bridge loan commitments</w:t>
            </w:r>
          </w:p>
        </w:tc>
        <w:tc>
          <w:tcPr>
            <w:tcW w:w="9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warrants exercised</w:t>
            </w: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820" w:type="dxa"/>
            <w:vAlign w:val="bottom"/>
          </w:tcPr>
          <w:p>
            <w:pPr>
              <w:ind w:left="140"/>
              <w:spacing w:after="0"/>
              <w:rPr>
                <w:sz w:val="20"/>
                <w:szCs w:val="20"/>
                <w:color w:val="auto"/>
              </w:rPr>
            </w:pPr>
            <w:r>
              <w:rPr>
                <w:rFonts w:ascii="Arial" w:cs="Arial" w:eastAsia="Arial" w:hAnsi="Arial"/>
                <w:sz w:val="16"/>
                <w:szCs w:val="16"/>
                <w:color w:val="auto"/>
              </w:rPr>
              <w:t>Debt amendment costs</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cancelled for taxes</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6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Debt redemption</w:t>
            </w: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(Decrease) increase in cash and cash equivalents</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equivalents—beginning of period</w:t>
            </w: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equivalents—end of period</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9" w:name="page90"/>
    <w:bookmarkEnd w:id="89"/>
    <w:p>
      <w:pPr>
        <w:jc w:val="center"/>
        <w:ind w:right="-5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BUSINESS, SUMMARY OF SIGNIFICANT ACCOUNTING POLICIES AND OTHER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250" w:lineRule="exact"/>
        <w:rPr>
          <w:sz w:val="20"/>
          <w:szCs w:val="20"/>
          <w:color w:val="auto"/>
        </w:rPr>
      </w:pPr>
    </w:p>
    <w:p>
      <w:pPr>
        <w:ind w:right="260" w:firstLine="324"/>
        <w:spacing w:after="0" w:line="291" w:lineRule="auto"/>
        <w:rPr>
          <w:sz w:val="20"/>
          <w:szCs w:val="20"/>
          <w:color w:val="auto"/>
        </w:rPr>
      </w:pPr>
      <w:r>
        <w:rPr>
          <w:rFonts w:ascii="Arial" w:cs="Arial" w:eastAsia="Arial" w:hAnsi="Arial"/>
          <w:sz w:val="17"/>
          <w:szCs w:val="17"/>
          <w:color w:val="auto"/>
        </w:rPr>
        <w:t>We are an independent energy and carbon management company committed to energy transition. We focus on environmental stewardship while safely providing local, responsibly sourced energy. We also seek to maximize the value of our land, mineral ownership, and energy expertise for decarbonization by developing carbon capture and storage (CCS) and other emissions-reducing projects.</w:t>
      </w:r>
    </w:p>
    <w:p>
      <w:pPr>
        <w:spacing w:after="0" w:line="180" w:lineRule="exact"/>
        <w:rPr>
          <w:sz w:val="20"/>
          <w:szCs w:val="20"/>
          <w:color w:val="auto"/>
        </w:rPr>
      </w:pPr>
    </w:p>
    <w:p>
      <w:pPr>
        <w:ind w:right="20" w:firstLine="324"/>
        <w:spacing w:after="0" w:line="242" w:lineRule="auto"/>
        <w:rPr>
          <w:sz w:val="20"/>
          <w:szCs w:val="20"/>
          <w:color w:val="auto"/>
        </w:rPr>
      </w:pPr>
      <w:r>
        <w:rPr>
          <w:rFonts w:ascii="Arial" w:cs="Arial" w:eastAsia="Arial" w:hAnsi="Arial"/>
          <w:sz w:val="18"/>
          <w:szCs w:val="18"/>
          <w:color w:val="auto"/>
        </w:rPr>
        <w:t>Our business is organized into two reporting segments: oil and natural gas and carbon management. Our oil and natural gas segment explores for, develops, and produces oil and condensate, natural gas liquids and natural gas. Our carbon management segment, which we refer to as Carbon TerraVault, is focused on building, installing, operating and maintaining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capture equipment, transportation assets and underground storage facilities. Our carbon management segment also owns an investment in the Carbon TerraVault joint venture. See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4 Investments and Related Party Transactions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16 Segment Information </w:t>
      </w:r>
      <w:r>
        <w:rPr>
          <w:rFonts w:ascii="Arial" w:cs="Arial" w:eastAsia="Arial" w:hAnsi="Arial"/>
          <w:sz w:val="18"/>
          <w:szCs w:val="18"/>
          <w:color w:val="auto"/>
        </w:rPr>
        <w:t>for additional information.</w:t>
      </w:r>
    </w:p>
    <w:p>
      <w:pPr>
        <w:spacing w:after="0" w:line="2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On December 18, 2025, pursuant to the Agreement and Plan of Merger, dated as of September 14, 2025 (the Berry Merger Agreement), we obtained all of the ownership interests in Berry Corporation (bry) (Berry) in an all-stock transaction (Berry Merger). Our consolidated results of operations include the results of Berry beginning December 18, 2025, the closing date of the Berry Merger. The Berry Merger did not significantly impact the comparability of our financial results for the year ended December 31, 2025 as compared to the year ended December 31, 2024. See </w:t>
      </w:r>
      <w:r>
        <w:rPr>
          <w:rFonts w:ascii="Arial" w:cs="Arial" w:eastAsia="Arial" w:hAnsi="Arial"/>
          <w:sz w:val="18"/>
          <w:szCs w:val="18"/>
          <w:i w:val="1"/>
          <w:iCs w:val="1"/>
          <w:color w:val="auto"/>
        </w:rPr>
        <w:t>Note 2 Business Combinations</w:t>
      </w:r>
      <w:r>
        <w:rPr>
          <w:rFonts w:ascii="Arial" w:cs="Arial" w:eastAsia="Arial" w:hAnsi="Arial"/>
          <w:sz w:val="18"/>
          <w:szCs w:val="18"/>
          <w:color w:val="auto"/>
        </w:rPr>
        <w:t xml:space="preserve"> for transaction details.</w:t>
      </w:r>
    </w:p>
    <w:p>
      <w:pPr>
        <w:spacing w:after="0" w:line="206"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 xml:space="preserve">On July 1, 2024, pursuant to the Agreement and Plan of Merger, dated as of February 7, 2024 (the Aera Merger Agreement), we obtained all of the ownership interests in Aera Energy LLC (Aera) in an all-stock transaction (Aera Merger). Our consolidated results of operations include the results of Aera beginning July 1, 2024, the closing date of the Aera Merger. The Aera Merger significantly impacted the comparability of our financial results for the year ended December 31, 2025 as compared to the years ended December 31, 2024 and 2023. See </w:t>
      </w:r>
      <w:r>
        <w:rPr>
          <w:rFonts w:ascii="Arial" w:cs="Arial" w:eastAsia="Arial" w:hAnsi="Arial"/>
          <w:sz w:val="18"/>
          <w:szCs w:val="18"/>
          <w:i w:val="1"/>
          <w:iCs w:val="1"/>
          <w:color w:val="auto"/>
        </w:rPr>
        <w:t>Note 2 Business Combinations</w:t>
      </w:r>
      <w:r>
        <w:rPr>
          <w:rFonts w:ascii="Arial" w:cs="Arial" w:eastAsia="Arial" w:hAnsi="Arial"/>
          <w:sz w:val="18"/>
          <w:szCs w:val="18"/>
          <w:color w:val="auto"/>
        </w:rPr>
        <w:t xml:space="preserve"> for transaction details.</w:t>
      </w:r>
    </w:p>
    <w:p>
      <w:pPr>
        <w:spacing w:after="0" w:line="206"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consolidated subsidiaries as of the date presented.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0"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We have prepared this report in accordance with United States (U.S.) generally accepted accounting principles (U.S. GAAP) and the rules and regulations of the U.S. Securities and Exchange Commission applicable to annual financial information.</w:t>
      </w:r>
    </w:p>
    <w:p>
      <w:pPr>
        <w:spacing w:after="0" w:line="18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All financial information presented consists of our consolidated results of operations, financial position and cash flows. We have eliminated intercompany transactions and balances. We account for our share of oil and natural gas producing activities, in which we have a direct working interest, by reporting our proportionate share of assets, liabilities, revenues, costs and cash flows within the relevant lines on our consolidated financial statements. We have conformed Berry's and Aera’s accounting policies to our legacy methods for all significant balances included in our consolidated financial statements.</w:t>
      </w:r>
    </w:p>
    <w:p>
      <w:pPr>
        <w:spacing w:after="0" w:line="206"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In applying the equity method of accounting, our investments in our unconsolidated subsidiaries are recognized either at cost, as is the case with Carbon TerraVault JV HoldCo, LLC, or at fair value if acquired in a business combination, as is the case for Midway Sunset Cogeneration Company. These investments are then adjusted for our proportionate share of income or loss in addition to contributions and distributions.</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90" w:name="page91"/>
    <w:bookmarkEnd w:id="90"/>
    <w:p>
      <w:pPr>
        <w:ind w:right="220" w:firstLine="324"/>
        <w:spacing w:after="0" w:line="259" w:lineRule="auto"/>
        <w:rPr>
          <w:sz w:val="20"/>
          <w:szCs w:val="20"/>
          <w:color w:val="auto"/>
        </w:rPr>
      </w:pPr>
      <w:r>
        <w:rPr>
          <w:rFonts w:ascii="Arial" w:cs="Arial" w:eastAsia="Arial" w:hAnsi="Arial"/>
          <w:sz w:val="18"/>
          <w:szCs w:val="18"/>
          <w:color w:val="auto"/>
        </w:rPr>
        <w:t>Certain 2023 balances related to natural gas liquid (NGL) marketing activities were reclassified to conform to our 2025 and 2024 presentation. For the year ended December 31, 2023, we reclassified $ 6 million related to NGL storage activities from other revenue to revenue from marketing of purchased commodities on our consolidated statements of operations. For the year ended December 31, 2023, we reclassified $3 million related to NGL processing fees from other operating expenses, net to costs related to marketing of purchased commodities on our consolidated statements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0"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The process of preparing financial statements in conformity with U.S. GAAP requires management to select appropriate accounting policies and make informed estimates and judgments regarding certain types of financial statement balances and disclosures. Such estimates primarily relate to unsettled transactions and events as of the date of the financial statements and judgments on expected outcomes as well as the materiality of transactions and balances. Changes in facts and circumstances or discovery of new information relating to such transactions and events may result in revised estimates and judgments. Further, actual results may differ from estimates upon settlement. Management believes that these estimates and judgments provide a reasonable basis for the fair presentation of our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50"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The revenue, profitability and future growth of our oil and natural gas segment are substantially dependent upon prevailing and future prices for the commodities we produce and sell, which can be volatile and fluctuate significantly due to factors beyond our control. Additionally, our oil and natural gas operations and development activities are subject to evolving state and local regulations, which may be subject to change or re-interpretation, which could result in increased compliance costs, delays or restrictions.</w:t>
      </w:r>
    </w:p>
    <w:p>
      <w:pPr>
        <w:spacing w:after="0" w:line="203"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We are developing a carbon capture and sequestration business which is subject to risks as an emerging industry and availability of tax incentives. We operate primarily in California which is a highly regulated environment.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Customers</w:t>
      </w:r>
    </w:p>
    <w:p>
      <w:pPr>
        <w:spacing w:after="0" w:line="250" w:lineRule="exact"/>
        <w:rPr>
          <w:sz w:val="20"/>
          <w:szCs w:val="20"/>
          <w:color w:val="auto"/>
        </w:rPr>
      </w:pPr>
    </w:p>
    <w:p>
      <w:pPr>
        <w:jc w:val="both"/>
        <w:ind w:right="200" w:firstLine="324"/>
        <w:spacing w:after="0" w:line="268" w:lineRule="auto"/>
        <w:rPr>
          <w:sz w:val="20"/>
          <w:szCs w:val="20"/>
          <w:color w:val="auto"/>
        </w:rPr>
      </w:pPr>
      <w:r>
        <w:rPr>
          <w:rFonts w:ascii="Arial" w:cs="Arial" w:eastAsia="Arial" w:hAnsi="Arial"/>
          <w:sz w:val="18"/>
          <w:szCs w:val="18"/>
          <w:color w:val="auto"/>
        </w:rPr>
        <w:t>We sell crude oil, natural gas and NGLs to marketers, California refineries and other customers that have access to transportation and storage facilities. We do not believe that the loss of any single customer would have a material adverse effect on our consolidated financial statements taken as a whole.</w:t>
      </w:r>
    </w:p>
    <w:p>
      <w:pPr>
        <w:spacing w:after="0" w:line="19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the year ended December 31, 2025, two customers of our oil and gas segment each accounted for at least 10%, and collectively 51%, of our sales (before the effects of hedging). For the year ended December 31, 2024, four customers of our oil and gas segment each accounted for at least 10%, and collectively 67%, of our sales (before the effects of hedging). For the year ended December 31, 2023, three customers of our oil and gas segment each accounted for at least 10%, and collectively accounted for 44%, of our sales (before the effects of hedging).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but not Adopted Accounting and Disclosure Changes</w:t>
      </w:r>
    </w:p>
    <w:p>
      <w:pPr>
        <w:spacing w:after="0" w:line="25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In November 2024, the Financial Accounting Standards Board (FASB) issued new disclosure requirements to enhance disclosure of certain costs and expenses. These new expense disclosures will apply to us. The rules are effective for fiscal years beginning after December 15, 2026 and interim periods beginning after December 15, 2027, early adoption is permitted. The adoption of these rules will only impact our disclosures and have no impact to our results of operations, cash flows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Measurements</w:t>
      </w:r>
    </w:p>
    <w:p>
      <w:pPr>
        <w:spacing w:after="0" w:line="237"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Our assets and liabilities measured at fair value are categorized in a three-level fair-value hierarchy, based on the inputs to the valuation techniques: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1—using quoted prices in active markets for the assets or liabilities;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2—using observable inputs other than quoted prices for the assets or liabilities; and</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91" w:name="page92"/>
    <w:bookmarkEnd w:id="91"/>
    <w:p>
      <w:pPr>
        <w:ind w:left="340"/>
        <w:spacing w:after="0"/>
        <w:rPr>
          <w:sz w:val="20"/>
          <w:szCs w:val="20"/>
          <w:color w:val="auto"/>
        </w:rPr>
      </w:pPr>
      <w:r>
        <w:rPr>
          <w:rFonts w:ascii="Arial" w:cs="Arial" w:eastAsia="Arial" w:hAnsi="Arial"/>
          <w:sz w:val="18"/>
          <w:szCs w:val="18"/>
          <w:color w:val="auto"/>
        </w:rPr>
        <w:t>Level 3—using unobservable inputs.</w:t>
      </w:r>
    </w:p>
    <w:p>
      <w:pPr>
        <w:spacing w:after="0" w:line="252"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Transfers between levels, if any, are recognized at the end of each reporting period. We apply the market approach for certain recurring fair value measurements, maximize our use of observable inputs and minimize use of unobservable inputs. We generally use an income approach to measure fair value when observable inputs are unavailable. This approach utilizes management's judgments regarding expectations of projected cash flows and discount rates.</w:t>
      </w:r>
    </w:p>
    <w:p>
      <w:pPr>
        <w:spacing w:after="0" w:line="203"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Commodity derivatives are carried at fair value. We utilize the mid-point between bid and ask prices for valuing these instruments. Our commodity derivatives comprise of over-the-counter bilateral financial commodity contracts, which are generally valued using industry-standard models that consider various inputs, including quoted forward prices for commodities, time value, volatility factors, credit risk and current market and contracted prices for the underlying instruments, as well as other relevant economic measures. Substantially all of these inputs are observable data or are supported by observable prices based on transactions executed in the marketplace. We classify these measurements as Level 2.</w:t>
      </w:r>
    </w:p>
    <w:p>
      <w:pPr>
        <w:spacing w:after="0" w:line="20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Our PP&amp;E may be written down to fair value if we determine that there has been an impairment. The fair value is determined as of the date of the assessment generally using discounted cash flow models based on management’s expectations for the future. Inputs include estimates of future production, prices based on commodity forward price curves, inclusive of market differentials, as of the date of the estimate, estimated future operating and development costs and a risk-adjusted discount rate. Refer to </w:t>
      </w:r>
      <w:r>
        <w:rPr>
          <w:rFonts w:ascii="Arial" w:cs="Arial" w:eastAsia="Arial" w:hAnsi="Arial"/>
          <w:sz w:val="18"/>
          <w:szCs w:val="18"/>
          <w:i w:val="1"/>
          <w:iCs w:val="1"/>
          <w:color w:val="auto"/>
        </w:rPr>
        <w:t>Note 3 Property, Plant and Equipment</w:t>
      </w:r>
      <w:r>
        <w:rPr>
          <w:rFonts w:ascii="Arial" w:cs="Arial" w:eastAsia="Arial" w:hAnsi="Arial"/>
          <w:sz w:val="18"/>
          <w:szCs w:val="18"/>
          <w:color w:val="auto"/>
        </w:rPr>
        <w:t xml:space="preserve"> for more information on our asset impairments.</w:t>
      </w:r>
    </w:p>
    <w:p>
      <w:pPr>
        <w:spacing w:after="0" w:line="206"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 xml:space="preserve">The carrying amounts of cash and other on-balance sheet financial instruments, other than fixed-rate debt, approximate fair value. See </w:t>
      </w:r>
      <w:r>
        <w:rPr>
          <w:rFonts w:ascii="Arial" w:cs="Arial" w:eastAsia="Arial" w:hAnsi="Arial"/>
          <w:sz w:val="18"/>
          <w:szCs w:val="18"/>
          <w:i w:val="1"/>
          <w:iCs w:val="1"/>
          <w:color w:val="auto"/>
        </w:rPr>
        <w:t xml:space="preserve">Note 5 Debt </w:t>
      </w:r>
      <w:r>
        <w:rPr>
          <w:rFonts w:ascii="Arial" w:cs="Arial" w:eastAsia="Arial" w:hAnsi="Arial"/>
          <w:sz w:val="18"/>
          <w:szCs w:val="18"/>
          <w:color w:val="auto"/>
        </w:rPr>
        <w:t>for the fair value of our fixed-rate debt.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Consolidations</w:t>
      </w:r>
    </w:p>
    <w:p>
      <w:pPr>
        <w:spacing w:after="0" w:line="237"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We may enter into joint ventures that are considered to be a variable interest entity (VIE). A VIE is a legal entity that possesses any of the following conditions: the entity's equity at risk is not sufficient to permit the legal entity to finance its activities without additional subordinated financial support, equity owners are unable to direct the activities that most significantly impact the legal entity's economic performance (or they possess disproportionate voting rights in relation to the economic interest in the legal entity), or the equity owners lack the obligation to absorb the legal entity's expected losses or the right to receive the legal entity's expected residual returns. We consolidate a VIE if we determine that we have (i) the power to direct the activities of the VIE that most significantly impact its economic performance and</w:t>
      </w:r>
    </w:p>
    <w:p>
      <w:pPr>
        <w:spacing w:after="0" w:line="2" w:lineRule="exact"/>
        <w:rPr>
          <w:sz w:val="20"/>
          <w:szCs w:val="20"/>
          <w:color w:val="auto"/>
        </w:rPr>
      </w:pPr>
    </w:p>
    <w:p>
      <w:pPr>
        <w:ind w:right="40" w:firstLine="8"/>
        <w:spacing w:after="0" w:line="245" w:lineRule="auto"/>
        <w:tabs>
          <w:tab w:leader="none" w:pos="2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obligation to absorb losses or the right to receive benefits from the VIE that are more than insignificant to the VIE. If an entity is determined to be a VIE but we do not have a controlling interest, the entity is accounted for under either the cost or equity method depending on whether we exercise significant influence. See </w:t>
      </w:r>
      <w:r>
        <w:rPr>
          <w:rFonts w:ascii="Arial" w:cs="Arial" w:eastAsia="Arial" w:hAnsi="Arial"/>
          <w:sz w:val="18"/>
          <w:szCs w:val="18"/>
          <w:i w:val="1"/>
          <w:iCs w:val="1"/>
          <w:color w:val="auto"/>
        </w:rPr>
        <w:t>Note 4 Investments and Related Party Transactions</w:t>
      </w:r>
      <w:r>
        <w:rPr>
          <w:rFonts w:ascii="Arial" w:cs="Arial" w:eastAsia="Arial" w:hAnsi="Arial"/>
          <w:sz w:val="18"/>
          <w:szCs w:val="18"/>
          <w:color w:val="auto"/>
        </w:rPr>
        <w:t xml:space="preserve"> for more information on the Carbon TerraVault JV.</w:t>
      </w:r>
    </w:p>
    <w:p>
      <w:pPr>
        <w:spacing w:after="0" w:line="21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We also may enter into investments in entities that are considered to be voting interest entities (VOEs). A VOE is a legal entity that does not meet the conditions of a VIE as outlined above. We consolidate a VOE if we determine that we have a controlling financial interest in the VOE. If an entity is determined to be a VOE but we do not have a controlling financial interest, the entity is accounted for under either the cost or equity method, depending on the structure of the entity. See </w:t>
      </w:r>
      <w:r>
        <w:rPr>
          <w:rFonts w:ascii="Arial" w:cs="Arial" w:eastAsia="Arial" w:hAnsi="Arial"/>
          <w:sz w:val="18"/>
          <w:szCs w:val="18"/>
          <w:i w:val="1"/>
          <w:iCs w:val="1"/>
          <w:color w:val="auto"/>
        </w:rPr>
        <w:t>Note 4 Investments and Related Party Transactions</w:t>
      </w:r>
      <w:r>
        <w:rPr>
          <w:rFonts w:ascii="Arial" w:cs="Arial" w:eastAsia="Arial" w:hAnsi="Arial"/>
          <w:sz w:val="18"/>
          <w:szCs w:val="18"/>
          <w:color w:val="auto"/>
        </w:rPr>
        <w:t xml:space="preserve"> for more information on our investment in the Midway Sunset Cogeneration Company.</w:t>
      </w:r>
    </w:p>
    <w:p>
      <w:pPr>
        <w:spacing w:after="0" w:line="206" w:lineRule="exact"/>
        <w:rPr>
          <w:sz w:val="20"/>
          <w:szCs w:val="20"/>
          <w:color w:val="auto"/>
        </w:rPr>
      </w:pPr>
    </w:p>
    <w:p>
      <w:pPr>
        <w:jc w:val="both"/>
        <w:ind w:right="80" w:firstLine="324"/>
        <w:spacing w:after="0" w:line="268" w:lineRule="auto"/>
        <w:rPr>
          <w:sz w:val="20"/>
          <w:szCs w:val="20"/>
          <w:color w:val="auto"/>
        </w:rPr>
      </w:pPr>
      <w:r>
        <w:rPr>
          <w:rFonts w:ascii="Arial" w:cs="Arial" w:eastAsia="Arial" w:hAnsi="Arial"/>
          <w:sz w:val="18"/>
          <w:szCs w:val="18"/>
          <w:color w:val="auto"/>
        </w:rPr>
        <w:t>These evaluations are highly complex and involve management judgment and may involve the use of estimates and assumptions based on available information. The evaluation requires continual assessment. Investments in unconsolidated entities are assessed for impairment whenever changes in the facts and circumstances indicate a loss in value may have occurred, which is other than temporary.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u w:val="single" w:color="auto"/>
          <w:color w:val="auto"/>
        </w:rPr>
        <w:t>Business Combinations</w:t>
      </w:r>
    </w:p>
    <w:p>
      <w:pPr>
        <w:spacing w:after="0" w:line="25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 xml:space="preserve">We account for business combination in accordance with Accounting Standards Codification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Under the acquisition method of accounting in ASC 805, the assets acquired and liabilities assumed are measured as of their acquisition date fair value. Fair value is the price that we estimate would be received to sell an asset or paid to transfer a liability in an orderly transaction between market participants at the measurement date.</w:t>
      </w:r>
    </w:p>
    <w:p>
      <w:pPr>
        <w:spacing w:after="0" w:line="20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Accounting for business combinations requires the allocation of the purchase price to the various assets and liabilities of the acquired business and recording deferred taxes for any differences between the allocated values and tax basis of assets and liabilities. Any excess of the purchase price over the amounts assigned to assets and liabilities is recorded as goodwill. If the fair value of the assets acquired and the liabilities assumed are greater than the purchase price, then a bargain purchase gain is recognized. Transaction and integration costs associated with business combinations are expensed as incurred. Refer to </w:t>
      </w:r>
      <w:r>
        <w:rPr>
          <w:rFonts w:ascii="Arial" w:cs="Arial" w:eastAsia="Arial" w:hAnsi="Arial"/>
          <w:sz w:val="18"/>
          <w:szCs w:val="18"/>
          <w:i w:val="1"/>
          <w:iCs w:val="1"/>
          <w:color w:val="auto"/>
        </w:rPr>
        <w:t>Note 2 Business Combinations</w:t>
      </w:r>
      <w:r>
        <w:rPr>
          <w:rFonts w:ascii="Arial" w:cs="Arial" w:eastAsia="Arial" w:hAnsi="Arial"/>
          <w:sz w:val="18"/>
          <w:szCs w:val="18"/>
          <w:color w:val="auto"/>
        </w:rPr>
        <w:t xml:space="preserve"> 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50"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 xml:space="preserve">We derive substantially all of our revenue from sales of oil, natural gas and NGLs, with the remaining revenue generated from sales of electricity and marketing activities (related to storage and managing excess pipeline capacity). Revenues are recognized when control of promised goods is transferred to our customers, in an amount that reflects the consideration we expect to receive in exchange for those goods. See </w:t>
      </w:r>
      <w:r>
        <w:rPr>
          <w:rFonts w:ascii="Arial" w:cs="Arial" w:eastAsia="Arial" w:hAnsi="Arial"/>
          <w:sz w:val="18"/>
          <w:szCs w:val="18"/>
          <w:i w:val="1"/>
          <w:iCs w:val="1"/>
          <w:color w:val="auto"/>
        </w:rPr>
        <w:t>Note 15 Revenue</w:t>
      </w:r>
      <w:r>
        <w:rPr>
          <w:rFonts w:ascii="Arial" w:cs="Arial" w:eastAsia="Arial" w:hAnsi="Arial"/>
          <w:sz w:val="18"/>
          <w:szCs w:val="18"/>
          <w:color w:val="auto"/>
        </w:rPr>
        <w:t xml:space="preserve"> for more information on our revenue from contracts with customers.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Cash</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cash of $15 million and $18 million, included in cash and cash equivalents on our consolidated balance sheet,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and December 31, 2024, respectively, primarily includes funds held in an escrow account established to secure well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infrastructure abandonment and habitat restoration at an oil and gas field previously owned by Aera. Funds will be released from the escrow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as work is completed. The Aera Merger Agreement provides that 50% of the amount of released funds exceeds the cumulative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abandonment and habitat restoration expenditures from January 1, 2024 onward is payable to the prior owners of Aera (Sellers). We do not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 this return of excess cash to be significant.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w:t>
      </w:r>
    </w:p>
    <w:p>
      <w:pPr>
        <w:spacing w:after="0" w:line="250"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Materials and supplies, which primarily consist of well equipment and tubular goods used in oil and natural gas operations, are valued at weighted-average cost and are reviewed periodically for obsolescence. Finished goods are predominantly comprised of oil and natural gas liquids (NGLs), which are valued at the lower of cost or net realizable value. Inventory, by category,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280" w:type="dxa"/>
            <w:vAlign w:val="bottom"/>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2024</w:t>
            </w:r>
          </w:p>
        </w:tc>
      </w:tr>
      <w:tr>
        <w:trPr>
          <w:trHeight w:val="233"/>
        </w:trPr>
        <w:tc>
          <w:tcPr>
            <w:tcW w:w="7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80" w:type="dxa"/>
            <w:vAlign w:val="bottom"/>
            <w:gridSpan w:val="3"/>
          </w:tcPr>
          <w:p>
            <w:pPr>
              <w:jc w:val="right"/>
              <w:ind w:right="13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20"/>
                <w:szCs w:val="20"/>
                <w:color w:val="auto"/>
              </w:rPr>
            </w:pPr>
          </w:p>
        </w:tc>
      </w:tr>
      <w:tr>
        <w:trPr>
          <w:trHeight w:val="234"/>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 and supplies</w:t>
            </w:r>
          </w:p>
        </w:tc>
        <w:tc>
          <w:tcPr>
            <w:tcW w:w="13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1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7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color w:val="auto"/>
        </w:rPr>
        <w:t>In the year ended December 31, 2024, we recorded an impairment of excess and obsolete materials and supplies of $13 million. The impairment related to the write-down of obsolete materials and supplies to fair value using Level 3 inputs in the fair value hierarchy.</w:t>
      </w:r>
    </w:p>
    <w:p>
      <w:pPr>
        <w:spacing w:after="0" w:line="180"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 xml:space="preserve">In 2025, we acquired materials and supplies inventory with an estimated value of $6 million in connection with the Berry Merger. See </w:t>
      </w:r>
      <w:r>
        <w:rPr>
          <w:rFonts w:ascii="Arial" w:cs="Arial" w:eastAsia="Arial" w:hAnsi="Arial"/>
          <w:sz w:val="18"/>
          <w:szCs w:val="18"/>
          <w:i w:val="1"/>
          <w:iCs w:val="1"/>
          <w:color w:val="auto"/>
        </w:rPr>
        <w:t xml:space="preserve">Note 2 Business Combinations </w:t>
      </w:r>
      <w:r>
        <w:rPr>
          <w:rFonts w:ascii="Arial" w:cs="Arial" w:eastAsia="Arial" w:hAnsi="Arial"/>
          <w:sz w:val="18"/>
          <w:szCs w:val="18"/>
          <w:color w:val="auto"/>
        </w:rPr>
        <w:t>for additional information on the Berry Merger.</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2" w:right="379" w:bottom="1440" w:gutter="0" w:footer="0" w:header="0"/>
        </w:sectPr>
      </w:pPr>
    </w:p>
    <w:bookmarkStart w:id="93" w:name="page94"/>
    <w:bookmarkEnd w:id="93"/>
    <w:p>
      <w:pPr>
        <w:spacing w:after="0"/>
        <w:rPr>
          <w:sz w:val="20"/>
          <w:szCs w:val="20"/>
          <w:color w:val="auto"/>
        </w:rPr>
      </w:pPr>
      <w:r>
        <w:rPr>
          <w:rFonts w:ascii="Arial" w:cs="Arial" w:eastAsia="Arial" w:hAnsi="Arial"/>
          <w:sz w:val="18"/>
          <w:szCs w:val="18"/>
          <w:i w:val="1"/>
          <w:iCs w:val="1"/>
          <w:u w:val="single" w:color="auto"/>
          <w:color w:val="auto"/>
        </w:rPr>
        <w:t>Derivative Instruments</w:t>
      </w:r>
    </w:p>
    <w:p>
      <w:pPr>
        <w:spacing w:after="0" w:line="25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fair value of our derivative contracts are netted when a legal right of offset exists with the same counterparty with an intent to offset. Since we did not apply hedge accounting to our commodity derivatives for any of the periods presented, we recognized fair value adjustments, on a net basis, in our consolidated statements of operations. Unless otherwise indicated, we use the term "hedge" to describe derivative instruments that are designed to achieve our hedging program goals, even though they are not accounted for as cash-flow or fair-value hedges.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Plant and Equipment (PP&amp;E)</w:t>
      </w:r>
    </w:p>
    <w:p>
      <w:pPr>
        <w:spacing w:after="0" w:line="25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use the successful efforts method to account for our oil and natural gas properties. Under this method, we capitalize costs of acquiring properties, costs of drilling successful exploration wells and development costs. The costs of exploratory wells, including permitting, land preparation and drilling costs, are initially capitalized pending a determination of whether we find proved reserves. If we find proved reserves, the costs of exploratory wells remain capitalized. Otherwise, we charge the costs of the related wells to expense. In cases where we cannot determine whether we have found proved reserves at the completion of exploration drilling, we conduct additional testing and evaluation of the wells. We generally expense the costs of such exploratory wells if we do not find proved reserves within a one-year period after initial drilling has been completed.</w:t>
      </w:r>
    </w:p>
    <w:p>
      <w:pPr>
        <w:spacing w:after="0" w:line="21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b w:val="1"/>
          <w:bCs w:val="1"/>
          <w:i w:val="1"/>
          <w:iCs w:val="1"/>
          <w:color w:val="auto"/>
        </w:rPr>
        <w:t xml:space="preserve">Proved Reserves </w:t>
      </w:r>
      <w:r>
        <w:rPr>
          <w:rFonts w:ascii="Arial" w:cs="Arial" w:eastAsia="Arial" w:hAnsi="Arial"/>
          <w:sz w:val="18"/>
          <w:szCs w:val="18"/>
          <w:color w:val="auto"/>
        </w:rPr>
        <w:t>– Proved reserves are those quantities of oil and natural gas that, by analysis of geoscience and engineering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be estimated with reasonable certainty to be economically producible—from a specific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We have no proved oil and natural gas reserves for which the determination of economic producibility is subject to the completion of major capital investments.</w:t>
      </w:r>
    </w:p>
    <w:p>
      <w:pPr>
        <w:spacing w:after="0" w:line="209"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Several factors could change our proved oil and natural gas reserves. For example, for long-lived properties, higher commodity prices typically result in additional reserves becoming economic and lower commodity prices may lead to existing reserves becoming uneconomic. Estimation of future production and development costs is also subject to change partially due to factors beyond our control, such as energy costs and inflation or deflation of oil field service costs. These factors, in turn, could lead to changes in the quantity of proved reserves. Additional factors that could result in a change of proved reserves include production decline rates and operating performance differing from those estimated when the proved reserves were initially recorded as well as availability of capital to implement the development activities contemplated in the reserves estimates and changes in management's plans with respect to such development activities.</w:t>
      </w:r>
    </w:p>
    <w:p>
      <w:pPr>
        <w:spacing w:after="0" w:line="21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perform impairment tests with respect to proved properties when product prices decline other than temporarily, reserve estimates change significantly, other significant events occur or management's plans change with respect to these properties in a manner that may impact our ability to realize the recorded asset amounts. Impairment tests incorporate a number of assumptions involving expectations of undiscounted future cash flows, which can change significantly over time. Any impairment loss would be calculated as the excess of the asset's net book value over its estimated fair value. We recognize any impairment loss on proved properties by adjusting the carrying amount of the asset.</w:t>
      </w:r>
    </w:p>
    <w:p>
      <w:pPr>
        <w:spacing w:after="0" w:line="20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b w:val="1"/>
          <w:bCs w:val="1"/>
          <w:i w:val="1"/>
          <w:iCs w:val="1"/>
          <w:color w:val="auto"/>
        </w:rPr>
        <w:t xml:space="preserve">Unproved Properties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we make acquisitions that include unproved properties, we assign values based on estimated reserves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we believe will ultimately be proved. As exploration and development work progresses and if reserves are proved, we transfer the book value from unproved to proved based on the initially determined acquisition cost per BOE. If the exploration and development work were to be unsuccessful, or management decided not to pursue development of these properties as a result of lower commodity prices, higher development and operating costs, regulatory changes, contractual conditions or other factors, the capitalized costs of the related properties would be expensed.</w:t>
      </w:r>
    </w:p>
    <w:p>
      <w:pPr>
        <w:spacing w:after="0" w:line="209"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Impairments of unproved properties are primarily based on qualitative factors including intent of property development, lease term and recent development activity. The timing of impairments on unproved properties, if warranted, depends upon management's plans, the nature, timing and extent of future exploration and development activities and their results. We recognize any impairment loss on unproved properties by providing a valuation allowance.</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94" w:name="page95"/>
    <w:bookmarkEnd w:id="94"/>
    <w:p>
      <w:pPr>
        <w:ind w:right="40" w:firstLine="324"/>
        <w:spacing w:after="0" w:line="255"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 We determine depreciation, depletion and amortization (DD&amp;A) of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producing properties by the unit-of-production method. Our unproved reserves are not subject to DD&amp;A until they are classified as proved properties. We amortize acquisition costs over total proved reserves, and capitalized development and successful exploration costs over proved developed reserves. Our gas and power plant assets are depreciated over the estimated useful lives of the assets, using the straight-line method, with expected initial useful lives of the assets of up to 30 years. We depreciate other property and equipment using the straight-line method based on expected useful lives of the individual assets or group of assets. The useful lives typically include ranges of 5 - 10 for well servicing equipment, 4 - 10 years for leasehold improvements, 1 - 4 years for software and telecommunications equipment and up to 5 years for computer hardware.</w:t>
      </w:r>
    </w:p>
    <w:p>
      <w:pPr>
        <w:spacing w:after="0" w:line="21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We expense annual lease rentals, the costs of injection used in production and exploration, and geological, geophysical and seismic costs as incurred. Costs of maintenance and repairs are expensed as incurred, except that the costs of replacements that expand capacity or add proven oil and natural gas reserves are capitalized.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Incentive Plans</w:t>
      </w:r>
    </w:p>
    <w:p>
      <w:pPr>
        <w:spacing w:after="0" w:line="250"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 xml:space="preserve">The terms of our long-term incentive plan were approved by our board of directors in January 2021. In accordance with this long-term incentive plan, we reserved 9,257,740 shares of common stock (subject to adjustment) for future issuances to certain executives, employees and non-employee directors that are more fully described in </w:t>
      </w:r>
      <w:r>
        <w:rPr>
          <w:rFonts w:ascii="Arial" w:cs="Arial" w:eastAsia="Arial" w:hAnsi="Arial"/>
          <w:sz w:val="18"/>
          <w:szCs w:val="18"/>
          <w:i w:val="1"/>
          <w:iCs w:val="1"/>
          <w:color w:val="auto"/>
        </w:rPr>
        <w:t>Note 10 Stock-Based Compensation</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w:t>
      </w:r>
    </w:p>
    <w:p>
      <w:pPr>
        <w:spacing w:after="0" w:line="25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Basic earnings per share is calculated as net income divided by the weighted average number of our common shares outstanding during the period. Diluted earnings per share is calculated by dividing net income by the weighted average number of our common shares outstanding including the effect of dilutive potential common shares. We compute basic and diluted earnings per share (EPS) using the two-class method required for participating securities, when applicable, and the treasury stock method when participating securities are not in place. Certain restricted and performance stock awards are considered participating securities when such shares have non-forfeitable dividend rights, which participate at the same rate as common stock.</w:t>
      </w:r>
    </w:p>
    <w:p>
      <w:pPr>
        <w:spacing w:after="0" w:line="209"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Under the two-class method, net income allocated to participating securities is subtracted from net income attributable to common stock in determining net income available to common stockholders. In loss periods, no allocation is made to participating securities because the participating securities do not share in losses.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 Retirement Obligations</w:t>
      </w:r>
    </w:p>
    <w:p>
      <w:pPr>
        <w:spacing w:after="0" w:line="25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recognize the fair value of asset retirement obligations (ARO) in the period in which a determination is made that a legal obligation exists to dismantle an asset and reclaim or remediate the property at the end of its useful life and the cost of the obligation can be reasonably estimated. The fair value of the retirement obligation is based on future retirement cost estimates and incorporates many assumptions such as time of abandonment, current regulatory requirements, technological changes, future inflation rates and a risk-adjusted discount rate. When the liability is initially recorded, we capitalize the cost by increasing the related PP&amp;E balances. If the estimated future cost or timing of cash flow changes, we adjust the fair value of the liability and PP&amp;E. Over time the liability is increased, and expense is recognized for accretion. The cost capitalized to PP&amp;E is recovered over either the useful life of our facilities or the unit-of-production method for our minerals.</w:t>
      </w:r>
    </w:p>
    <w:p>
      <w:pPr>
        <w:spacing w:after="0" w:line="212"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We have asset retirement obligations for certain of our facilities, which includes plant and field decommissioning, and the plugging and abandonment of wells. In certain cases, we will recognize ARO in the periods in which sufficient information becomes available to reasonably estimate their fair values. Additionally, for certain plants, we do not have a legal obligation to decommission them and, accordingly, we have not recorded a liability.</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95" w:name="page96"/>
    <w:bookmarkEnd w:id="95"/>
    <w:p>
      <w:pPr>
        <w:ind w:left="340"/>
        <w:spacing w:after="0"/>
        <w:rPr>
          <w:sz w:val="20"/>
          <w:szCs w:val="20"/>
          <w:color w:val="auto"/>
        </w:rPr>
      </w:pPr>
      <w:r>
        <w:rPr>
          <w:rFonts w:ascii="Arial" w:cs="Arial" w:eastAsia="Arial" w:hAnsi="Arial"/>
          <w:sz w:val="18"/>
          <w:szCs w:val="18"/>
          <w:color w:val="auto"/>
        </w:rPr>
        <w:t>The following table summarizes the activity related to our 2025 and 2024 ARO:</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20" w:type="dxa"/>
            <w:vAlign w:val="bottom"/>
          </w:tcPr>
          <w:p>
            <w:pPr>
              <w:spacing w:after="0"/>
              <w:rPr>
                <w:sz w:val="20"/>
                <w:szCs w:val="20"/>
                <w:color w:val="auto"/>
              </w:rPr>
            </w:pPr>
          </w:p>
        </w:tc>
        <w:tc>
          <w:tcPr>
            <w:tcW w:w="38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Year ended December 31,</w:t>
            </w:r>
          </w:p>
        </w:tc>
        <w:tc>
          <w:tcPr>
            <w:tcW w:w="720" w:type="dxa"/>
            <w:vAlign w:val="bottom"/>
            <w:tcBorders>
              <w:bottom w:val="single" w:sz="8" w:color="auto"/>
            </w:tcBorders>
          </w:tcPr>
          <w:p>
            <w:pPr>
              <w:spacing w:after="0"/>
              <w:rPr>
                <w:sz w:val="20"/>
                <w:szCs w:val="20"/>
                <w:color w:val="auto"/>
              </w:rPr>
            </w:pPr>
          </w:p>
        </w:tc>
      </w:tr>
      <w:tr>
        <w:trPr>
          <w:trHeight w:val="223"/>
        </w:trPr>
        <w:tc>
          <w:tcPr>
            <w:tcW w:w="6720" w:type="dxa"/>
            <w:vAlign w:val="bottom"/>
          </w:tcPr>
          <w:p>
            <w:pPr>
              <w:spacing w:after="0"/>
              <w:rPr>
                <w:sz w:val="19"/>
                <w:szCs w:val="19"/>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r>
      <w:tr>
        <w:trPr>
          <w:trHeight w:val="233"/>
        </w:trPr>
        <w:tc>
          <w:tcPr>
            <w:tcW w:w="67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300" w:type="dxa"/>
            <w:vAlign w:val="bottom"/>
            <w:gridSpan w:val="3"/>
          </w:tcPr>
          <w:p>
            <w:pPr>
              <w:jc w:val="right"/>
              <w:ind w:right="1090"/>
              <w:spacing w:after="0"/>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20"/>
                <w:szCs w:val="20"/>
                <w:color w:val="auto"/>
              </w:rPr>
            </w:pPr>
          </w:p>
        </w:tc>
      </w:tr>
      <w:tr>
        <w:trPr>
          <w:trHeight w:val="23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1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settled and divested</w:t>
            </w:r>
          </w:p>
        </w:tc>
        <w:tc>
          <w:tcPr>
            <w:tcW w:w="1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6720" w:type="dxa"/>
            <w:vAlign w:val="bottom"/>
          </w:tcPr>
          <w:p>
            <w:pPr>
              <w:ind w:left="20"/>
              <w:spacing w:after="0" w:line="230" w:lineRule="exact"/>
              <w:rPr>
                <w:sz w:val="20"/>
                <w:szCs w:val="20"/>
                <w:color w:val="auto"/>
              </w:rPr>
            </w:pPr>
            <w:r>
              <w:rPr>
                <w:rFonts w:ascii="Arial" w:cs="Arial" w:eastAsia="Arial" w:hAnsi="Arial"/>
                <w:sz w:val="18"/>
                <w:szCs w:val="18"/>
                <w:color w:val="auto"/>
              </w:rPr>
              <w:t>Accretion expense</w:t>
            </w:r>
            <w:r>
              <w:rPr>
                <w:rFonts w:ascii="Arial" w:cs="Arial" w:eastAsia="Arial" w:hAnsi="Arial"/>
                <w:sz w:val="23"/>
                <w:szCs w:val="23"/>
                <w:color w:val="auto"/>
                <w:vertAlign w:val="superscript"/>
              </w:rPr>
              <w:t>(a)</w:t>
            </w:r>
          </w:p>
        </w:tc>
        <w:tc>
          <w:tcPr>
            <w:tcW w:w="1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Revisions of estimated cash flows</w:t>
            </w:r>
          </w:p>
        </w:tc>
        <w:tc>
          <w:tcPr>
            <w:tcW w:w="1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Additions</w:t>
            </w:r>
          </w:p>
        </w:tc>
        <w:tc>
          <w:tcPr>
            <w:tcW w:w="1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500" w:type="dxa"/>
            <w:vAlign w:val="bottom"/>
            <w:tcBorders>
              <w:bottom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liability (included in accrued liabilities)</w:t>
            </w: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39"/>
        </w:trPr>
        <w:tc>
          <w:tcPr>
            <w:tcW w:w="6720" w:type="dxa"/>
            <w:vAlign w:val="bottom"/>
          </w:tcPr>
          <w:p>
            <w:pPr>
              <w:ind w:left="20"/>
              <w:spacing w:after="0"/>
              <w:rPr>
                <w:sz w:val="20"/>
                <w:szCs w:val="20"/>
                <w:color w:val="auto"/>
              </w:rPr>
            </w:pPr>
            <w:r>
              <w:rPr>
                <w:rFonts w:ascii="Arial" w:cs="Arial" w:eastAsia="Arial" w:hAnsi="Arial"/>
                <w:sz w:val="18"/>
                <w:szCs w:val="18"/>
                <w:color w:val="auto"/>
              </w:rPr>
              <w:t>Non-current liability</w:t>
            </w:r>
          </w:p>
        </w:tc>
        <w:tc>
          <w:tcPr>
            <w:tcW w:w="1500" w:type="dxa"/>
            <w:vAlign w:val="bottom"/>
          </w:tcPr>
          <w:p>
            <w:pPr>
              <w:jc w:val="right"/>
              <w:ind w:right="12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913</w:t>
            </w:r>
          </w:p>
        </w:tc>
        <w:tc>
          <w:tcPr>
            <w:tcW w:w="80" w:type="dxa"/>
            <w:vAlign w:val="bottom"/>
          </w:tcPr>
          <w:p>
            <w:pPr>
              <w:spacing w:after="0"/>
              <w:rPr>
                <w:sz w:val="20"/>
                <w:szCs w:val="20"/>
                <w:color w:val="auto"/>
              </w:rPr>
            </w:pPr>
          </w:p>
        </w:tc>
        <w:tc>
          <w:tcPr>
            <w:tcW w:w="1500" w:type="dxa"/>
            <w:vAlign w:val="bottom"/>
          </w:tcPr>
          <w:p>
            <w:pPr>
              <w:jc w:val="right"/>
              <w:ind w:right="12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995</w:t>
            </w:r>
          </w:p>
        </w:tc>
      </w:tr>
    </w:tbl>
    <w:p>
      <w:pPr>
        <w:spacing w:after="0" w:line="76" w:lineRule="exact"/>
        <w:rPr>
          <w:sz w:val="20"/>
          <w:szCs w:val="20"/>
          <w:color w:val="auto"/>
        </w:rPr>
      </w:pPr>
    </w:p>
    <w:p>
      <w:pPr>
        <w:ind w:left="340" w:right="140" w:hanging="332"/>
        <w:spacing w:after="0" w:line="257" w:lineRule="auto"/>
        <w:tabs>
          <w:tab w:leader="none" w:pos="327" w:val="left"/>
        </w:tabs>
        <w:numPr>
          <w:ilvl w:val="0"/>
          <w:numId w:val="46"/>
        </w:numPr>
        <w:rPr>
          <w:rFonts w:ascii="Arial" w:cs="Arial" w:eastAsia="Arial" w:hAnsi="Arial"/>
          <w:sz w:val="14"/>
          <w:szCs w:val="14"/>
          <w:color w:val="auto"/>
        </w:rPr>
      </w:pPr>
      <w:r>
        <w:rPr>
          <w:rFonts w:ascii="Arial" w:cs="Arial" w:eastAsia="Arial" w:hAnsi="Arial"/>
          <w:sz w:val="14"/>
          <w:szCs w:val="14"/>
          <w:color w:val="auto"/>
        </w:rPr>
        <w:t>For the year ended December 31, 2024, we recognized a $3 million adjustment included in measurement period adjustments on our consolidated statement of operations related to accretion on the Aera asset retirement obligation.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Liabilities assumed during 2025 and 2024 include $151 million related to the Berry Merger and $646 million related to the Aera 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respectively. See </w:t>
      </w:r>
      <w:r>
        <w:rPr>
          <w:rFonts w:ascii="Arial" w:cs="Arial" w:eastAsia="Arial" w:hAnsi="Arial"/>
          <w:sz w:val="18"/>
          <w:szCs w:val="18"/>
          <w:i w:val="1"/>
          <w:iCs w:val="1"/>
          <w:color w:val="auto"/>
        </w:rPr>
        <w:t>Note 2 Business Combinations</w:t>
      </w:r>
      <w:r>
        <w:rPr>
          <w:rFonts w:ascii="Arial" w:cs="Arial" w:eastAsia="Arial" w:hAnsi="Arial"/>
          <w:sz w:val="18"/>
          <w:szCs w:val="18"/>
          <w:color w:val="auto"/>
        </w:rPr>
        <w:t xml:space="preserve"> for more information on these transactions. Our liabilities settled and divested in 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related to settlement payments. Our liabilities settled and divested in 2025 for $122 million, included $35 million for Aera settlement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payments. Our liabilities settled and divested in 2024 for $94 million, included $92 million for settlement payments and $2 million related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divestiture of our Fort Apache real estate property in Huntington Beach, California. Revisions of our estimated cash flows decreased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$210 million in 2025, which primarily relates to Aera fields and reflects efficiencies gained in how we perform our well abandonment and also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extension of field economic limits due to operating cost savings, mostly related to steamfloods. Revisions of estimated cash flows for 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also included $19 million related to purchase price adjustments related to the Aera Merger.</w:t>
      </w:r>
    </w:p>
    <w:p>
      <w:pPr>
        <w:spacing w:after="0" w:line="234" w:lineRule="exact"/>
        <w:rPr>
          <w:sz w:val="20"/>
          <w:szCs w:val="20"/>
          <w:color w:val="auto"/>
        </w:rPr>
      </w:pPr>
    </w:p>
    <w:p>
      <w:pPr>
        <w:ind w:right="560" w:firstLine="324"/>
        <w:spacing w:after="0" w:line="287" w:lineRule="auto"/>
        <w:rPr>
          <w:sz w:val="20"/>
          <w:szCs w:val="20"/>
          <w:color w:val="auto"/>
        </w:rPr>
      </w:pPr>
      <w:r>
        <w:rPr>
          <w:rFonts w:ascii="Arial" w:cs="Arial" w:eastAsia="Arial" w:hAnsi="Arial"/>
          <w:sz w:val="18"/>
          <w:szCs w:val="18"/>
          <w:color w:val="auto"/>
        </w:rPr>
        <w:t>Revisions of our estimated cash flows decreased $32 million in 2024, which reflects efficiencies gained in how we perform our well abandonment.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Contingencies</w:t>
      </w:r>
    </w:p>
    <w:p>
      <w:pPr>
        <w:spacing w:after="0" w:line="250" w:lineRule="exact"/>
        <w:rPr>
          <w:sz w:val="20"/>
          <w:szCs w:val="20"/>
          <w:color w:val="auto"/>
        </w:rPr>
      </w:pPr>
    </w:p>
    <w:p>
      <w:pPr>
        <w:ind w:right="240" w:firstLine="324"/>
        <w:spacing w:after="0" w:line="282" w:lineRule="auto"/>
        <w:rPr>
          <w:sz w:val="20"/>
          <w:szCs w:val="20"/>
          <w:color w:val="auto"/>
        </w:rPr>
      </w:pPr>
      <w:r>
        <w:rPr>
          <w:rFonts w:ascii="Arial" w:cs="Arial" w:eastAsia="Arial" w:hAnsi="Arial"/>
          <w:sz w:val="17"/>
          <w:szCs w:val="17"/>
          <w:color w:val="auto"/>
        </w:rPr>
        <w:t>In the normal course of business, we are involved in lawsuits, claims and other environmental and legal proceedings and audits. We accrue reserves for these matters when it is probable that a liability has been incurred and the liability can be reasonably estimated. In addition, we disclose, if material, in aggregate, our exposure to losses in excess of the amount recorded on the balance sheet for these matters if it is reasonably possible that an additional material loss may be incurred. We review our loss contingencies on an ongoing basis.</w:t>
      </w:r>
    </w:p>
    <w:p>
      <w:pPr>
        <w:spacing w:after="0" w:line="188"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Loss contingencies are based on judgments made by management with respect to the likely outcome of these matters and are adjusted as appropriate. Management’s judgments could change based on new information, changes in, or interpretations of, laws or regulations, changes in management’s plans or intentions, opinions regarding the outcome of legal proceedings, or other factors.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50"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Deferred tax assets and liabilities are recognized for the estimated future tax consequences attributable to differences between the financial statement carrying amounts of assets and liabilities and their tax basis. Deferred tax assets are recognized when it is more likely than not that they will be realized. We periodically assess our deferred tax assets and reduce such assets by a valuation allowance if we deem it is more likely than not that some portion or all of the deferred tax assets will not be realized.</w:t>
      </w:r>
    </w:p>
    <w:p>
      <w:pPr>
        <w:spacing w:after="0" w:line="203"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We recognize the financial statement effects of tax positions when it is more likely than not, based on the technical merits, that the position will be sustained upon examination by a tax authority. We recognize interest and penalties, if any, related to uncertain tax positions as a component of the income tax provision. No interest or penalties related to uncertain tax positions were recognized in the financial statements for the periods presented.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i w:val="1"/>
          <w:iCs w:val="1"/>
          <w:u w:val="single" w:color="auto"/>
          <w:color w:val="auto"/>
        </w:rPr>
        <w:t>Production-Sharing Type Contracts</w:t>
      </w:r>
    </w:p>
    <w:p>
      <w:pPr>
        <w:spacing w:after="0" w:line="25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share of production and reserves from operations in the Wilmington field is subject to contractual arrangements similar to production-sharing contracts (PSCs) that are in effect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certain capital and operating costs that we incur, (ii) for our share of contractually defined base production where applicable,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 These PSCs represented approximately 3% and 12% of our production for the years ended December 31, 2025 and 2024, respectively.</w:t>
      </w:r>
    </w:p>
    <w:p>
      <w:pPr>
        <w:spacing w:after="0" w:line="21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 xml:space="preserve">In line with industry practice for reporting PSCs, we report 100% of operating costs under such contracts in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PSCs. This difference in reporting full operating costs but only our net share of production equally inflates our revenue and operating costs per barrel and has no effect on our net results. </w:t>
      </w:r>
      <w:r>
        <w:rPr>
          <w:rFonts w:ascii="Arial" w:cs="Arial" w:eastAsia="Arial" w:hAnsi="Arial"/>
          <w:sz w:val="18"/>
          <w:szCs w:val="18"/>
          <w:i w:val="1"/>
          <w:iCs w:val="1"/>
          <w:u w:val="single" w:color="auto"/>
          <w:color w:val="auto"/>
        </w:rPr>
        <w:t>Pension and Postretirement Benefit Plans</w:t>
      </w:r>
    </w:p>
    <w:p>
      <w:pPr>
        <w:spacing w:after="0" w:line="209"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All of our regular, full-time employees participate in postretirement benefit plans we sponsor. These plans are primarily funded as benefits are paid. In addition, some of our employees also participate in defined benefit pension plans sponsored by us. We recognize the net overfunded or underfunded amounts in the consolidated financial statements at each measurement date.</w:t>
      </w:r>
    </w:p>
    <w:p>
      <w:pPr>
        <w:spacing w:after="0" w:line="19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We determine our defined benefit pension and postretirement benefit plan obligations based on various assumptions and discount rates. The discount rate assumptions used are meant to reflect the interest rate at which the obligations could effectively be settled on the measurement date. We estimate the rate of return on assets with regard to current market factors but within the context of historical returns.</w:t>
      </w:r>
    </w:p>
    <w:p>
      <w:pPr>
        <w:spacing w:after="0" w:line="19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Pension plan assets are measured at fair value. Publicly registered mutual funds are valued using quoted market prices in active markets. Commingled funds are valued at the fund units’ net asset value (NAV) provided by the issuer, which represents the quoted price in a non-active market.</w:t>
      </w:r>
    </w:p>
    <w:p>
      <w:pPr>
        <w:spacing w:after="0" w:line="198"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Actuarial gains and losses that have not yet been recognized through income, are recorded in accumulated other comprehensive income within equity, net of taxes, until they are amortized as a component of net periodic benefit cost.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5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account for our leases in which we are the lessee, other than mineral leases including oil and natural gas leases, under an accounting standard which requires us to recognize most leases, including operating leases, on the balance sheet. We categorize leases as either operating or financing at lease commencement. We recognize a right-of-use (ROU) asset and associated lease liability for each operating and finance lease with contractual terms of greater than 12 months on the balance sheet. In considering whether a contract contains a lease, we first consider whether there is an identifiable asset and then consider how and for what purpose the asset would be used over the contract term. Our ROU assets are measured at the initial amount of the lease liability determined by measuring the present value of the fixed minimum lease payments, adjusted for any payments made before or at the lease commencement date, discounted using our incremental borrowing rate (IBR). In determining our IBR, we consider the average cost of borrowing for publicly traded corporate bond yields, which are adjusted to reflect our credit rating, the remaining lease term for each class of our leases and frequency of payments.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97" w:name="page98"/>
    <w:bookmarkEnd w:id="97"/>
    <w:p>
      <w:pPr>
        <w:ind w:right="400" w:firstLine="324"/>
        <w:spacing w:after="0" w:line="268" w:lineRule="auto"/>
        <w:rPr>
          <w:sz w:val="20"/>
          <w:szCs w:val="20"/>
          <w:color w:val="auto"/>
        </w:rPr>
      </w:pPr>
      <w:r>
        <w:rPr>
          <w:rFonts w:ascii="Arial" w:cs="Arial" w:eastAsia="Arial" w:hAnsi="Arial"/>
          <w:sz w:val="18"/>
          <w:szCs w:val="18"/>
          <w:color w:val="auto"/>
        </w:rPr>
        <w:t>The ROU assets for operating leases are amortized over the term of the lease using the straight-line method. Lease expense also includes accretion of the lease liability recognized using the effective interest method. ROU assets are tested for impairment in the same manner as long-lived assets.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250"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We repurchase shares of our common stock from time to time under a program authorized by our Board of Directors, including pursuant to a contract, instruction or written plan meeting requirements of Rule 10b5-1(c)(1) of the Exchange Act. Share repurchases which have not been retired are presented as treasury stock on our consolidated balance sheets.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disclosures to our consolidated statements of cash flows, excluding leases and ARO, are presented below:</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09"/>
        </w:trPr>
        <w:tc>
          <w:tcPr>
            <w:tcW w:w="6840" w:type="dxa"/>
            <w:vAlign w:val="bottom"/>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33"/>
        </w:trPr>
        <w:tc>
          <w:tcPr>
            <w:tcW w:w="6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0"/>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5"/>
        </w:trPr>
        <w:tc>
          <w:tcPr>
            <w:tcW w:w="6840" w:type="dxa"/>
            <w:vAlign w:val="bottom"/>
          </w:tcPr>
          <w:p>
            <w:pPr>
              <w:ind w:left="140"/>
              <w:spacing w:after="0"/>
              <w:rPr>
                <w:sz w:val="20"/>
                <w:szCs w:val="20"/>
                <w:color w:val="auto"/>
              </w:rPr>
            </w:pPr>
            <w:r>
              <w:rPr>
                <w:rFonts w:ascii="Arial" w:cs="Arial" w:eastAsia="Arial" w:hAnsi="Arial"/>
                <w:sz w:val="16"/>
                <w:szCs w:val="16"/>
                <w:color w:val="auto"/>
              </w:rPr>
              <w:t>Interest paid, net of amount capitalized</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57"/>
        </w:trPr>
        <w:tc>
          <w:tcPr>
            <w:tcW w:w="6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6840" w:type="dxa"/>
            <w:vAlign w:val="bottom"/>
          </w:tcPr>
          <w:p>
            <w:pPr>
              <w:ind w:left="140"/>
              <w:spacing w:after="0"/>
              <w:rPr>
                <w:sz w:val="20"/>
                <w:szCs w:val="20"/>
                <w:color w:val="auto"/>
              </w:rPr>
            </w:pPr>
            <w:r>
              <w:rPr>
                <w:rFonts w:ascii="Arial" w:cs="Arial" w:eastAsia="Arial" w:hAnsi="Arial"/>
                <w:sz w:val="16"/>
                <w:szCs w:val="16"/>
                <w:color w:val="auto"/>
              </w:rPr>
              <w:t>Contributions to the Carbon TerraVault JV</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shares for stock-based compensation awards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6840" w:type="dxa"/>
            <w:vAlign w:val="bottom"/>
          </w:tcPr>
          <w:p>
            <w:pPr>
              <w:ind w:left="140"/>
              <w:spacing w:after="0"/>
              <w:rPr>
                <w:sz w:val="20"/>
                <w:szCs w:val="20"/>
                <w:color w:val="auto"/>
              </w:rPr>
            </w:pPr>
            <w:r>
              <w:rPr>
                <w:rFonts w:ascii="Arial" w:cs="Arial" w:eastAsia="Arial" w:hAnsi="Arial"/>
                <w:sz w:val="16"/>
                <w:szCs w:val="16"/>
                <w:color w:val="auto"/>
              </w:rPr>
              <w:t>Dividend equivalents for stock-based compensation awards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684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Excise tax on share repurchases</w:t>
            </w:r>
            <w:r>
              <w:rPr>
                <w:rFonts w:ascii="Arial" w:cs="Arial" w:eastAsia="Arial" w:hAnsi="Arial"/>
                <w:sz w:val="21"/>
                <w:szCs w:val="21"/>
                <w:color w:val="auto"/>
                <w:vertAlign w:val="superscript"/>
              </w:rPr>
              <w:t>(a)</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(a) Excise tax on share repurchases for 2025 includes a reversal for 2024 excise taxes that were no longer due.</w:t>
      </w:r>
    </w:p>
    <w:p>
      <w:pPr>
        <w:spacing w:after="0" w:line="23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BUSINESS COMBINATIONS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Berry Merger</w:t>
      </w:r>
    </w:p>
    <w:p>
      <w:pPr>
        <w:spacing w:after="0" w:line="250"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On September 14, 2025, we entered into an agreement to combine with Berry in the Berry Merger. Berry was an independent upstream energy company that explored for and produced oil and natural gas in California, primarily in the San Joaquin basin, and in the Uinta basin in Utah. Berry also provided well servicing and abandonment services, which is included in our oil and natural gas segment. The Berry Merger added high quality, oil-weighted, mostly conventional proved developed reserves and sustainable cash flows to our operations.</w:t>
      </w:r>
    </w:p>
    <w:p>
      <w:pPr>
        <w:spacing w:after="0" w:line="203"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 xml:space="preserve">Pursuant to the Berry Merger Agreement, on the effective date of the merger, December 18, 2025, we issued 5,572,115 shares of our common stock, which was calculated as 0.0718 shares of our common stock for each outstanding share of Berry stock as of December 17, 2025. As of December 18, 2025, and immediately following the closing of the Berry Merger, the former Berry stockholders owned 6% of CRC. We paid cash or issued replacement equity awards in settlement of certain Berry restricted and performance units. Refer to </w:t>
      </w:r>
      <w:r>
        <w:rPr>
          <w:rFonts w:ascii="Arial" w:cs="Arial" w:eastAsia="Arial" w:hAnsi="Arial"/>
          <w:sz w:val="18"/>
          <w:szCs w:val="18"/>
          <w:i w:val="1"/>
          <w:iCs w:val="1"/>
          <w:color w:val="auto"/>
        </w:rPr>
        <w:t>Note 10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for more information on these awards. Upon closing of the Berry Merger, Berry's outstanding debt was repaid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the underlying credit agreements were terminated. We repaid a significant portion of this indebtedness with proceeds from our 2034 Senior Notes, which closed in October 2025. For more information on the 2034 Senior Notes, refer to </w:t>
      </w:r>
      <w:r>
        <w:rPr>
          <w:rFonts w:ascii="Arial" w:cs="Arial" w:eastAsia="Arial" w:hAnsi="Arial"/>
          <w:sz w:val="18"/>
          <w:szCs w:val="18"/>
          <w:i w:val="1"/>
          <w:iCs w:val="1"/>
          <w:color w:val="auto"/>
        </w:rPr>
        <w:t>Note 5 Debt</w:t>
      </w:r>
      <w:r>
        <w:rPr>
          <w:rFonts w:ascii="Arial" w:cs="Arial" w:eastAsia="Arial" w:hAnsi="Arial"/>
          <w:sz w:val="18"/>
          <w:szCs w:val="18"/>
          <w:color w:val="auto"/>
        </w:rPr>
        <w: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8" w:name="page99"/>
    <w:bookmarkEnd w:id="98"/>
    <w:p>
      <w:pPr>
        <w:ind w:right="20" w:firstLine="324"/>
        <w:spacing w:after="0" w:line="257" w:lineRule="auto"/>
        <w:rPr>
          <w:sz w:val="20"/>
          <w:szCs w:val="20"/>
          <w:color w:val="auto"/>
        </w:rPr>
      </w:pPr>
      <w:r>
        <w:rPr>
          <w:rFonts w:ascii="Arial" w:cs="Arial" w:eastAsia="Arial" w:hAnsi="Arial"/>
          <w:sz w:val="18"/>
          <w:szCs w:val="18"/>
          <w:color w:val="auto"/>
        </w:rPr>
        <w:t>At the date of this filing, our assessment of the fair value of assets acquired and liabilities assumed remains preliminary. Certain data necessary to complete the purchase price allocation is not yet available, and includes, but is not limited to, final appraisals of Berry's property, plant and equipment, evaluation of Berry's materials and supplies inventory, measurement of leases, valuation of certain assets and liabilities, determination of Berry's asset retirement obligations and preparation of tax returns that will provide underlying tax basis of the assets acquired and liabilities assumed. We expect to complete the purchase price allocation during the 12-month period subsequent to the Berry Merger closing date and adjustments may be made to the provisional amounts recorded as of December 31, 2025.</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measured assets and liabilities at acquisition date fair value on a nonrecurring basis.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consideration transferred: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99"/>
              </w:rPr>
              <w:t>Merger Consideration</w:t>
            </w:r>
          </w:p>
        </w:tc>
      </w:tr>
      <w:tr>
        <w:trPr>
          <w:trHeight w:val="146"/>
        </w:trPr>
        <w:tc>
          <w:tcPr>
            <w:tcW w:w="8520" w:type="dxa"/>
            <w:vAlign w:val="bottom"/>
          </w:tcPr>
          <w:p>
            <w:pPr>
              <w:spacing w:after="0"/>
              <w:rPr>
                <w:sz w:val="12"/>
                <w:szCs w:val="12"/>
                <w:color w:val="auto"/>
              </w:rPr>
            </w:pPr>
          </w:p>
        </w:tc>
        <w:tc>
          <w:tcPr>
            <w:tcW w:w="272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(in millions, except share and per share</w:t>
            </w:r>
          </w:p>
        </w:tc>
      </w:tr>
      <w:tr>
        <w:trPr>
          <w:trHeight w:val="185"/>
        </w:trPr>
        <w:tc>
          <w:tcPr>
            <w:tcW w:w="8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tcPr>
          <w:p>
            <w:pPr>
              <w:jc w:val="center"/>
              <w:ind w:right="172"/>
              <w:spacing w:after="0"/>
              <w:rPr>
                <w:sz w:val="20"/>
                <w:szCs w:val="20"/>
                <w:color w:val="auto"/>
              </w:rPr>
            </w:pPr>
            <w:r>
              <w:rPr>
                <w:rFonts w:ascii="Arial" w:cs="Arial" w:eastAsia="Arial" w:hAnsi="Arial"/>
                <w:sz w:val="14"/>
                <w:szCs w:val="14"/>
                <w:color w:val="auto"/>
              </w:rPr>
              <w:t>data)</w:t>
            </w:r>
          </w:p>
        </w:tc>
      </w:tr>
      <w:tr>
        <w:trPr>
          <w:trHeight w:val="229"/>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of common stock</w:t>
            </w:r>
          </w:p>
        </w:tc>
        <w:tc>
          <w:tcPr>
            <w:tcW w:w="26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5,572,115</w:t>
            </w:r>
          </w:p>
        </w:tc>
      </w:tr>
      <w:tr>
        <w:trPr>
          <w:trHeight w:val="230"/>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Common stock per share fair value on December 17, 2025</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w:t>
            </w:r>
          </w:p>
        </w:tc>
      </w:tr>
      <w:tr>
        <w:trPr>
          <w:trHeight w:val="223"/>
        </w:trPr>
        <w:tc>
          <w:tcPr>
            <w:tcW w:w="8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Fair value of share consideration</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8520" w:type="dxa"/>
            <w:vAlign w:val="bottom"/>
          </w:tcPr>
          <w:p>
            <w:pPr>
              <w:ind w:left="140"/>
              <w:spacing w:after="0"/>
              <w:rPr>
                <w:sz w:val="20"/>
                <w:szCs w:val="20"/>
                <w:color w:val="auto"/>
              </w:rPr>
            </w:pPr>
            <w:r>
              <w:rPr>
                <w:rFonts w:ascii="Arial" w:cs="Arial" w:eastAsia="Arial" w:hAnsi="Arial"/>
                <w:sz w:val="18"/>
                <w:szCs w:val="18"/>
                <w:color w:val="auto"/>
              </w:rPr>
              <w:t>Settlement of Berry debt</w:t>
            </w:r>
          </w:p>
        </w:tc>
        <w:tc>
          <w:tcPr>
            <w:tcW w:w="26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29"/>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Stock-based compensation (see </w:t>
            </w:r>
            <w:r>
              <w:rPr>
                <w:rFonts w:ascii="Arial" w:cs="Arial" w:eastAsia="Arial" w:hAnsi="Arial"/>
                <w:sz w:val="18"/>
                <w:szCs w:val="18"/>
                <w:i w:val="1"/>
                <w:iCs w:val="1"/>
                <w:color w:val="auto"/>
              </w:rPr>
              <w:t>Note 10 Stock-Based Compensation</w:t>
            </w: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8520" w:type="dxa"/>
            <w:vAlign w:val="bottom"/>
          </w:tcPr>
          <w:p>
            <w:pPr>
              <w:ind w:left="280"/>
              <w:spacing w:after="0"/>
              <w:rPr>
                <w:sz w:val="20"/>
                <w:szCs w:val="20"/>
                <w:color w:val="auto"/>
              </w:rPr>
            </w:pPr>
            <w:r>
              <w:rPr>
                <w:rFonts w:ascii="Arial" w:cs="Arial" w:eastAsia="Arial" w:hAnsi="Arial"/>
                <w:sz w:val="18"/>
                <w:szCs w:val="18"/>
                <w:color w:val="auto"/>
              </w:rPr>
              <w:t>Total consideration</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r>
      <w:tr>
        <w:trPr>
          <w:trHeight w:val="20"/>
        </w:trPr>
        <w:tc>
          <w:tcPr>
            <w:tcW w:w="8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color w:val="auto"/>
        </w:rPr>
        <w:t>The following table presents the preliminary purchase price allocation to the identifiable assets acquired and the liabilities assumed based on their estimated fair values as of the closing date of the Berry Merger:</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Preliminary Purchase Price</w:t>
            </w:r>
          </w:p>
        </w:tc>
      </w:tr>
      <w:tr>
        <w:trPr>
          <w:trHeight w:val="188"/>
        </w:trPr>
        <w:tc>
          <w:tcPr>
            <w:tcW w:w="8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tcPr>
          <w:p>
            <w:pPr>
              <w:jc w:val="right"/>
              <w:ind w:right="911"/>
              <w:spacing w:after="0"/>
              <w:rPr>
                <w:sz w:val="20"/>
                <w:szCs w:val="20"/>
                <w:color w:val="auto"/>
              </w:rPr>
            </w:pPr>
            <w:r>
              <w:rPr>
                <w:rFonts w:ascii="Arial" w:cs="Arial" w:eastAsia="Arial" w:hAnsi="Arial"/>
                <w:sz w:val="14"/>
                <w:szCs w:val="14"/>
                <w:color w:val="auto"/>
              </w:rPr>
              <w:t>(in millions)</w:t>
            </w:r>
          </w:p>
        </w:tc>
      </w:tr>
      <w:tr>
        <w:trPr>
          <w:trHeight w:val="238"/>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Assets Acquired</w:t>
            </w:r>
          </w:p>
        </w:tc>
        <w:tc>
          <w:tcPr>
            <w:tcW w:w="16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230"/>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52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520" w:type="dxa"/>
            <w:vAlign w:val="bottom"/>
          </w:tcPr>
          <w:p>
            <w:pPr>
              <w:ind w:left="1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16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30"/>
        </w:trPr>
        <w:tc>
          <w:tcPr>
            <w:tcW w:w="8520" w:type="dxa"/>
            <w:vAlign w:val="bottom"/>
          </w:tcPr>
          <w:p>
            <w:pPr>
              <w:ind w:left="140"/>
              <w:spacing w:after="0"/>
              <w:rPr>
                <w:sz w:val="20"/>
                <w:szCs w:val="20"/>
                <w:color w:val="auto"/>
              </w:rPr>
            </w:pPr>
            <w:r>
              <w:rPr>
                <w:rFonts w:ascii="Arial" w:cs="Arial" w:eastAsia="Arial" w:hAnsi="Arial"/>
                <w:sz w:val="18"/>
                <w:szCs w:val="18"/>
                <w:color w:val="auto"/>
              </w:rPr>
              <w:t>Fair value of derivative contracts</w:t>
            </w:r>
          </w:p>
        </w:tc>
        <w:tc>
          <w:tcPr>
            <w:tcW w:w="16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asset</w:t>
            </w:r>
          </w:p>
        </w:tc>
        <w:tc>
          <w:tcPr>
            <w:tcW w:w="16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Acquired</w:t>
            </w:r>
          </w:p>
        </w:tc>
        <w:tc>
          <w:tcPr>
            <w:tcW w:w="160" w:type="dxa"/>
            <w:vAlign w:val="bottom"/>
            <w:tcBorders>
              <w:bottom w:val="single" w:sz="8" w:color="auto"/>
            </w:tcBorders>
            <w:shd w:val="clear" w:color="auto" w:fill="CCEEFF"/>
          </w:tcPr>
          <w:p>
            <w:pPr>
              <w:spacing w:after="0"/>
              <w:rPr>
                <w:sz w:val="19"/>
                <w:szCs w:val="19"/>
                <w:color w:val="auto"/>
              </w:rPr>
            </w:pP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r>
      <w:tr>
        <w:trPr>
          <w:trHeight w:val="128"/>
        </w:trPr>
        <w:tc>
          <w:tcPr>
            <w:tcW w:w="8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60" w:type="dxa"/>
            <w:vAlign w:val="bottom"/>
          </w:tcPr>
          <w:p>
            <w:pPr>
              <w:spacing w:after="0"/>
              <w:rPr>
                <w:sz w:val="11"/>
                <w:szCs w:val="1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16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r>
      <w:tr>
        <w:trPr>
          <w:trHeight w:val="230"/>
        </w:trPr>
        <w:tc>
          <w:tcPr>
            <w:tcW w:w="85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8520" w:type="dxa"/>
            <w:vAlign w:val="bottom"/>
          </w:tcPr>
          <w:p>
            <w:pPr>
              <w:ind w:left="140"/>
              <w:spacing w:after="0"/>
              <w:rPr>
                <w:sz w:val="20"/>
                <w:szCs w:val="20"/>
                <w:color w:val="auto"/>
              </w:rPr>
            </w:pPr>
            <w:r>
              <w:rPr>
                <w:rFonts w:ascii="Arial" w:cs="Arial" w:eastAsia="Arial" w:hAnsi="Arial"/>
                <w:sz w:val="18"/>
                <w:szCs w:val="18"/>
                <w:color w:val="auto"/>
              </w:rPr>
              <w:t>Asset retirement obligations</w:t>
            </w:r>
          </w:p>
        </w:tc>
        <w:tc>
          <w:tcPr>
            <w:tcW w:w="16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of derivative contracts</w:t>
            </w:r>
          </w:p>
        </w:tc>
        <w:tc>
          <w:tcPr>
            <w:tcW w:w="16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Assumed</w:t>
            </w:r>
          </w:p>
        </w:tc>
        <w:tc>
          <w:tcPr>
            <w:tcW w:w="160" w:type="dxa"/>
            <w:vAlign w:val="bottom"/>
            <w:tcBorders>
              <w:bottom w:val="single" w:sz="8" w:color="auto"/>
            </w:tcBorders>
            <w:shd w:val="clear" w:color="auto" w:fill="CCEEFF"/>
          </w:tcPr>
          <w:p>
            <w:pPr>
              <w:spacing w:after="0"/>
              <w:rPr>
                <w:sz w:val="19"/>
                <w:szCs w:val="19"/>
                <w:color w:val="auto"/>
              </w:rPr>
            </w:pP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r>
      <w:tr>
        <w:trPr>
          <w:trHeight w:val="20"/>
        </w:trPr>
        <w:tc>
          <w:tcPr>
            <w:tcW w:w="8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For the period of December 18, 2025 through December 31, 2025, total operating revenue associated with Berry totaled $18 million and loss before income taxes was $25 million, respectively.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9" w:name="page100"/>
    <w:bookmarkEnd w:id="99"/>
    <w:p>
      <w:pPr>
        <w:ind w:right="580" w:firstLine="324"/>
        <w:spacing w:after="0" w:line="268" w:lineRule="auto"/>
        <w:rPr>
          <w:sz w:val="20"/>
          <w:szCs w:val="20"/>
          <w:color w:val="auto"/>
        </w:rPr>
      </w:pPr>
      <w:r>
        <w:rPr>
          <w:rFonts w:ascii="Arial" w:cs="Arial" w:eastAsia="Arial" w:hAnsi="Arial"/>
          <w:sz w:val="18"/>
          <w:szCs w:val="18"/>
          <w:color w:val="auto"/>
        </w:rPr>
        <w:t>In connection with the Berry Merger, we incurred transaction and integration costs of $20 million, employee severance and related retention costs of $13 million, and $3 million related to the acceleration of certain replacement equity awards during the year ended December 31, 2025, which are included in other operating expenses, net on our consolidated statement of operations.</w:t>
      </w:r>
    </w:p>
    <w:p>
      <w:pPr>
        <w:spacing w:after="0" w:line="198"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We recorded cash based on Berry's bank balances as of December 18, 2025. The measurements for predominately all of the other current and other noncurrent assets acquired and accounts payable, accrued liabilities and other long-term liabilities assumed are based on contracts in place at Berry on the acquisition date.</w:t>
      </w:r>
    </w:p>
    <w:p>
      <w:pPr>
        <w:spacing w:after="0" w:line="19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fair value of certain acquired property, plant and equipment, primarily consisting of proved oil and natural gas properties, cogeneration power plants, a gas processing plant, well servicing and support equipment and other corporate assets, was based on preliminary reviews. These assets are still under review for measurement based on final appraisals. The fair value of proved oil and natural gas properties as of the acquisition date is based on estimated discounted future net cash flows incorporating market participant assumptions on an after-tax basis. Significant inputs to the valuation include estimates of future production volumes, future operating and development costs, future commodity prices, a weighted average cost of capital and reserve adjustment factors. When estimating the fair value of proved properties, additional risk adjustments were applied to proved reserves to reflect the relative uncertainty of the reserve class. These inputs are classified as Level 3 unobservable inputs, including the underlying commodity price assumptions which are based on the five-year NYMEX forward strip prices, escalated for inflation thereafter, and adjusted for price differentials.</w:t>
      </w:r>
    </w:p>
    <w:p>
      <w:pPr>
        <w:spacing w:after="0" w:line="208"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 liability for future asset retirement obligations was determined by calculating the present value of estimated future abandonment costs. We utilized several assumptions, including a credit-adjusted risk-free interest rate, estimated remediation costs, estimated timing of when the work will be performed and a projected inflation rate.</w:t>
      </w:r>
    </w:p>
    <w:p>
      <w:pPr>
        <w:spacing w:after="0" w:line="198"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Deferred income taxes, included in other noncurrent assets, represent the tax effects of differences in the tax basis and merger-date fair values of assets acquired and liabilities assumed.</w:t>
      </w:r>
    </w:p>
    <w:p>
      <w:pPr>
        <w:spacing w:after="0" w:line="180" w:lineRule="exact"/>
        <w:rPr>
          <w:sz w:val="20"/>
          <w:szCs w:val="20"/>
          <w:color w:val="auto"/>
        </w:rPr>
      </w:pPr>
    </w:p>
    <w:p>
      <w:pPr>
        <w:jc w:val="both"/>
        <w:ind w:right="280" w:firstLine="324"/>
        <w:spacing w:after="0" w:line="268" w:lineRule="auto"/>
        <w:rPr>
          <w:sz w:val="20"/>
          <w:szCs w:val="20"/>
          <w:color w:val="auto"/>
        </w:rPr>
      </w:pPr>
      <w:r>
        <w:rPr>
          <w:rFonts w:ascii="Arial" w:cs="Arial" w:eastAsia="Arial" w:hAnsi="Arial"/>
          <w:sz w:val="18"/>
          <w:szCs w:val="18"/>
          <w:color w:val="auto"/>
        </w:rPr>
        <w:t>Lease-related assets and liabilities acquired are remeasured as if the leases were new at the merger date. These agreements are still under review for measurement at an updated incremental borrowing rate. Lease assets are included in other assets and the liabilities are included in accrued liabilities and other long-term liabilities.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Supplemental Unaudited Pro Forma Financial Information</w:t>
      </w:r>
    </w:p>
    <w:p>
      <w:pPr>
        <w:spacing w:after="0" w:line="250"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The following supplemental unaudited pro forma financial information presents the total operating revenue, net income and earnings per share for the years ended December 31, 2025 and 2024 as if the Berry Merger had occurred on January 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400" w:type="dxa"/>
            <w:vAlign w:val="bottom"/>
            <w:tcBorders>
              <w:bottom w:val="single" w:sz="8" w:color="auto"/>
            </w:tcBorders>
          </w:tcPr>
          <w:p>
            <w:pPr>
              <w:spacing w:after="0"/>
              <w:rPr>
                <w:sz w:val="20"/>
                <w:szCs w:val="20"/>
                <w:color w:val="auto"/>
              </w:rPr>
            </w:pPr>
          </w:p>
        </w:tc>
      </w:tr>
      <w:tr>
        <w:trPr>
          <w:trHeight w:val="223"/>
        </w:trPr>
        <w:tc>
          <w:tcPr>
            <w:tcW w:w="37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953"/>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w w:val="94"/>
              </w:rPr>
              <w:t>2024</w:t>
            </w:r>
          </w:p>
        </w:tc>
      </w:tr>
      <w:tr>
        <w:trPr>
          <w:trHeight w:val="233"/>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0" w:type="dxa"/>
            <w:vAlign w:val="bottom"/>
            <w:gridSpan w:val="3"/>
          </w:tcPr>
          <w:p>
            <w:pPr>
              <w:jc w:val="right"/>
              <w:ind w:right="630"/>
              <w:spacing w:after="0"/>
              <w:rPr>
                <w:sz w:val="20"/>
                <w:szCs w:val="20"/>
                <w:color w:val="auto"/>
              </w:rPr>
            </w:pPr>
            <w:r>
              <w:rPr>
                <w:rFonts w:ascii="Arial" w:cs="Arial" w:eastAsia="Arial" w:hAnsi="Arial"/>
                <w:sz w:val="14"/>
                <w:szCs w:val="14"/>
                <w:color w:val="auto"/>
              </w:rPr>
              <w:t>(in millions)</w:t>
            </w:r>
          </w:p>
        </w:tc>
        <w:tc>
          <w:tcPr>
            <w:tcW w:w="1400" w:type="dxa"/>
            <w:vAlign w:val="bottom"/>
          </w:tcPr>
          <w:p>
            <w:pPr>
              <w:spacing w:after="0"/>
              <w:rPr>
                <w:sz w:val="20"/>
                <w:szCs w:val="20"/>
                <w:color w:val="auto"/>
              </w:rPr>
            </w:pPr>
          </w:p>
        </w:tc>
      </w:tr>
      <w:tr>
        <w:trPr>
          <w:trHeight w:val="23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3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57"/>
        </w:trPr>
        <w:tc>
          <w:tcPr>
            <w:tcW w:w="3700" w:type="dxa"/>
            <w:vAlign w:val="bottom"/>
            <w:shd w:val="clear" w:color="auto" w:fill="CCEEFF"/>
          </w:tcPr>
          <w:p>
            <w:pPr>
              <w:spacing w:after="0"/>
              <w:rPr>
                <w:sz w:val="22"/>
                <w:szCs w:val="22"/>
                <w:color w:val="auto"/>
              </w:rPr>
            </w:pPr>
          </w:p>
        </w:tc>
        <w:tc>
          <w:tcPr>
            <w:tcW w:w="25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EPS</w:t>
            </w:r>
          </w:p>
        </w:tc>
        <w:tc>
          <w:tcPr>
            <w:tcW w:w="2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39"/>
        </w:trPr>
        <w:tc>
          <w:tcPr>
            <w:tcW w:w="3700" w:type="dxa"/>
            <w:vAlign w:val="bottom"/>
          </w:tcPr>
          <w:p>
            <w:pPr>
              <w:ind w:left="140"/>
              <w:spacing w:after="0"/>
              <w:rPr>
                <w:sz w:val="20"/>
                <w:szCs w:val="20"/>
                <w:color w:val="auto"/>
              </w:rPr>
            </w:pPr>
            <w:r>
              <w:rPr>
                <w:rFonts w:ascii="Arial" w:cs="Arial" w:eastAsia="Arial" w:hAnsi="Arial"/>
                <w:sz w:val="18"/>
                <w:szCs w:val="18"/>
                <w:color w:val="auto"/>
              </w:rPr>
              <w:t>Diluted</w:t>
            </w:r>
          </w:p>
        </w:tc>
        <w:tc>
          <w:tcPr>
            <w:tcW w:w="3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0"/>
                <w:szCs w:val="20"/>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859"/>
        </w:trPr>
        <w:tc>
          <w:tcPr>
            <w:tcW w:w="3700" w:type="dxa"/>
            <w:vAlign w:val="bottom"/>
          </w:tcPr>
          <w:p>
            <w:pPr>
              <w:spacing w:after="0"/>
              <w:rPr>
                <w:sz w:val="24"/>
                <w:szCs w:val="24"/>
                <w:color w:val="auto"/>
              </w:rPr>
            </w:pPr>
          </w:p>
        </w:tc>
        <w:tc>
          <w:tcPr>
            <w:tcW w:w="2560" w:type="dxa"/>
            <w:vAlign w:val="bottom"/>
          </w:tcPr>
          <w:p>
            <w:pPr>
              <w:jc w:val="right"/>
              <w:ind w:right="39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4"/>
        </w:trPr>
        <w:tc>
          <w:tcPr>
            <w:tcW w:w="37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0" w:name="page101"/>
    <w:bookmarkEnd w:id="100"/>
    <w:p>
      <w:pPr>
        <w:ind w:right="40" w:firstLine="324"/>
        <w:spacing w:after="0" w:line="253" w:lineRule="auto"/>
        <w:rPr>
          <w:sz w:val="20"/>
          <w:szCs w:val="20"/>
          <w:color w:val="auto"/>
        </w:rPr>
      </w:pPr>
      <w:r>
        <w:rPr>
          <w:rFonts w:ascii="Arial" w:cs="Arial" w:eastAsia="Arial" w:hAnsi="Arial"/>
          <w:sz w:val="18"/>
          <w:szCs w:val="18"/>
          <w:color w:val="auto"/>
        </w:rPr>
        <w:t>The pro forma information is presented for illustration purposes only and is not necessarily indicative of the operating results that would have occurred had the Berry Merger been completed on January 1, 2024, nor is it necessarily indicative of future operating results of the combined entity. The pro forma financial information for the years ended December 31, 2025 and 2024 is a result of combining our statements of operations with Berry's pre-merger results from January 1, 2025 and 2024 and includes adjustments for revenues and direct expenses. The pro forma results do not reflect any cost savings anticipated as a result of the Berry Merger and exclude the impact of any employee severance or retention. The pro forma results include adjustments to (i) depreciation, depletion and amortization (DD&amp;A) based on the purchase price allocated to property, plant, and equipment and the estimated useful lives, (ii) interest assuming the issuance of our 2034 Senior Notes, (iii) accretion expense, and (iv) intercompany eliminations with C&amp;J Well Services. We also included pro forma adjustments for certain nonrecurring compensation-related costs and transaction costs we incurred related to the Berry Merger. The pro forma adjustments include estimates and assumptions based on currently available information. Management believes the estimates and assumptions are reasonable, and the relative effects of the Berry Merger are properly reflected. Future results may vary significantly from the results reflected in the above pro forma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Aera Merger</w:t>
      </w:r>
    </w:p>
    <w:p>
      <w:pPr>
        <w:spacing w:after="0" w:line="250"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On July 1, 2024, we obtained by way of merger all of the ownership interests in Aera. We applied the acquisition method of accounting and are the accounting acquirer. The Aera Merger added significant oil-weighted production and proved developed reserves to CRC, primarily in the San Joaquin and Ventura basins.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connection with the closing of the Aera Merger, we issued 21,315,707 shares of common stock to the Sellers. We issued an additional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107,265 shares in February 2025 and we expect to issue an insignificant amount of shares for deferred consideration. This deferred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consideration is related to pre-effective date and restructuring income taxes of the former owners of Aera. We also paid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$990 million in connection with the extinguishment of all of Aera's outstanding indebtedness using the proceeds from the issuance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8.25% senior notes due 2029 (2029 Senior Notes) and cash on hand. The net cash paid by us at legal close to acquire Aera was</w:t>
      </w:r>
    </w:p>
    <w:p>
      <w:pPr>
        <w:spacing w:after="0" w:line="9"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 xml:space="preserve">$853 million, consisting of $990 million to repay Aera's outstanding debt less Aera's cash on hand of $137 million. For more information on the 2029 Senior Notes and recent amendments to our Revolving Credit Facility, refer to </w:t>
      </w:r>
      <w:r>
        <w:rPr>
          <w:rFonts w:ascii="Arial" w:cs="Arial" w:eastAsia="Arial" w:hAnsi="Arial"/>
          <w:sz w:val="18"/>
          <w:szCs w:val="18"/>
          <w:i w:val="1"/>
          <w:iCs w:val="1"/>
          <w:color w:val="auto"/>
        </w:rPr>
        <w:t>Note 5 Debt.</w:t>
      </w:r>
    </w:p>
    <w:p>
      <w:pPr>
        <w:spacing w:after="0" w:line="198"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color w:val="auto"/>
        </w:rPr>
        <w:t>As of July 1, 2024, immediately following the closing of the Aera Merger, our existing stockholders prior to the Aera Merger owned 76% of CRC and the Sellers owned 24% of CRC.</w:t>
      </w:r>
    </w:p>
    <w:p>
      <w:pPr>
        <w:spacing w:after="0" w:line="180"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We have measured assets and liabilities at acquisition date fair value on a nonrecurring basis. The purchase price allocation was final as of June 30, 2025. The following table summarizes the consideration transferred: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center"/>
              <w:ind w:right="94"/>
              <w:spacing w:after="0"/>
              <w:rPr>
                <w:sz w:val="20"/>
                <w:szCs w:val="20"/>
                <w:color w:val="auto"/>
              </w:rPr>
            </w:pPr>
            <w:r>
              <w:rPr>
                <w:rFonts w:ascii="Arial" w:cs="Arial" w:eastAsia="Arial" w:hAnsi="Arial"/>
                <w:sz w:val="18"/>
                <w:szCs w:val="18"/>
                <w:b w:val="1"/>
                <w:bCs w:val="1"/>
                <w:color w:val="auto"/>
                <w:w w:val="99"/>
              </w:rPr>
              <w:t>Merger Consideration</w:t>
            </w: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tcPr>
          <w:p>
            <w:pPr>
              <w:jc w:val="center"/>
              <w:ind w:right="74"/>
              <w:spacing w:after="0" w:line="147" w:lineRule="exact"/>
              <w:rPr>
                <w:sz w:val="20"/>
                <w:szCs w:val="20"/>
                <w:color w:val="auto"/>
              </w:rPr>
            </w:pPr>
            <w:r>
              <w:rPr>
                <w:rFonts w:ascii="Arial" w:cs="Arial" w:eastAsia="Arial" w:hAnsi="Arial"/>
                <w:sz w:val="14"/>
                <w:szCs w:val="14"/>
                <w:color w:val="auto"/>
              </w:rPr>
              <w:t>(in millions, except share and per</w:t>
            </w: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tcPr>
          <w:p>
            <w:pPr>
              <w:jc w:val="center"/>
              <w:ind w:right="74"/>
              <w:spacing w:after="0"/>
              <w:rPr>
                <w:sz w:val="20"/>
                <w:szCs w:val="20"/>
                <w:color w:val="auto"/>
              </w:rPr>
            </w:pPr>
            <w:r>
              <w:rPr>
                <w:rFonts w:ascii="Arial" w:cs="Arial" w:eastAsia="Arial" w:hAnsi="Arial"/>
                <w:sz w:val="14"/>
                <w:szCs w:val="14"/>
                <w:color w:val="auto"/>
              </w:rPr>
              <w:t>share data)</w:t>
            </w:r>
          </w:p>
        </w:tc>
        <w:tc>
          <w:tcPr>
            <w:tcW w:w="0" w:type="dxa"/>
            <w:vAlign w:val="bottom"/>
          </w:tcPr>
          <w:p>
            <w:pPr>
              <w:spacing w:after="0"/>
              <w:rPr>
                <w:sz w:val="1"/>
                <w:szCs w:val="1"/>
                <w:color w:val="auto"/>
              </w:rPr>
            </w:pPr>
          </w:p>
        </w:tc>
      </w:tr>
      <w:tr>
        <w:trPr>
          <w:trHeight w:val="25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common stock issued (dividend adjusted)</w:t>
            </w:r>
          </w:p>
        </w:tc>
        <w:tc>
          <w:tcPr>
            <w:tcW w:w="3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21,422,972</w:t>
            </w:r>
          </w:p>
        </w:tc>
        <w:tc>
          <w:tcPr>
            <w:tcW w:w="0" w:type="dxa"/>
            <w:vAlign w:val="bottom"/>
          </w:tcPr>
          <w:p>
            <w:pPr>
              <w:spacing w:after="0"/>
              <w:rPr>
                <w:sz w:val="1"/>
                <w:szCs w:val="1"/>
                <w:color w:val="auto"/>
              </w:rPr>
            </w:pPr>
          </w:p>
        </w:tc>
      </w:tr>
      <w:tr>
        <w:trPr>
          <w:trHeight w:val="257"/>
        </w:trPr>
        <w:tc>
          <w:tcPr>
            <w:tcW w:w="4820" w:type="dxa"/>
            <w:vAlign w:val="bottom"/>
          </w:tcPr>
          <w:p>
            <w:pPr>
              <w:ind w:left="20"/>
              <w:spacing w:after="0"/>
              <w:rPr>
                <w:sz w:val="20"/>
                <w:szCs w:val="20"/>
                <w:color w:val="auto"/>
              </w:rPr>
            </w:pPr>
            <w:r>
              <w:rPr>
                <w:rFonts w:ascii="Arial" w:cs="Arial" w:eastAsia="Arial" w:hAnsi="Arial"/>
                <w:sz w:val="18"/>
                <w:szCs w:val="18"/>
                <w:color w:val="auto"/>
              </w:rPr>
              <w:t>Common stock per share fair value on July 1, 2024</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Fair value of share consideration</w:t>
            </w:r>
          </w:p>
        </w:tc>
        <w:tc>
          <w:tcPr>
            <w:tcW w:w="39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48"/>
        </w:trPr>
        <w:tc>
          <w:tcPr>
            <w:tcW w:w="4820" w:type="dxa"/>
            <w:vAlign w:val="bottom"/>
          </w:tcPr>
          <w:p>
            <w:pPr>
              <w:ind w:left="20"/>
              <w:spacing w:after="0"/>
              <w:rPr>
                <w:sz w:val="20"/>
                <w:szCs w:val="20"/>
                <w:color w:val="auto"/>
              </w:rPr>
            </w:pPr>
            <w:r>
              <w:rPr>
                <w:rFonts w:ascii="Arial" w:cs="Arial" w:eastAsia="Arial" w:hAnsi="Arial"/>
                <w:sz w:val="18"/>
                <w:szCs w:val="18"/>
                <w:color w:val="auto"/>
              </w:rPr>
              <w:t>Settlement of Aera debt</w:t>
            </w:r>
          </w:p>
        </w:tc>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65"/>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price settlement, net</w:t>
            </w:r>
          </w:p>
        </w:tc>
        <w:tc>
          <w:tcPr>
            <w:tcW w:w="39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820" w:type="dxa"/>
            <w:vAlign w:val="bottom"/>
          </w:tcPr>
          <w:p>
            <w:pPr>
              <w:ind w:left="140"/>
              <w:spacing w:after="0"/>
              <w:rPr>
                <w:sz w:val="20"/>
                <w:szCs w:val="20"/>
                <w:color w:val="auto"/>
              </w:rPr>
            </w:pPr>
            <w:r>
              <w:rPr>
                <w:rFonts w:ascii="Arial" w:cs="Arial" w:eastAsia="Arial" w:hAnsi="Arial"/>
                <w:sz w:val="18"/>
                <w:szCs w:val="18"/>
                <w:color w:val="auto"/>
              </w:rPr>
              <w:t>Total purchase consideration</w:t>
            </w:r>
          </w:p>
        </w:tc>
        <w:tc>
          <w:tcPr>
            <w:tcW w:w="39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900" w:type="dxa"/>
            <w:vAlign w:val="bottom"/>
            <w:vMerge w:val="restart"/>
          </w:tcPr>
          <w:p>
            <w:pPr>
              <w:jc w:val="right"/>
              <w:ind w:right="2850"/>
              <w:spacing w:after="0"/>
              <w:rPr>
                <w:sz w:val="20"/>
                <w:szCs w:val="20"/>
                <w:color w:val="auto"/>
              </w:rPr>
            </w:pPr>
            <w:r>
              <w:rPr>
                <w:rFonts w:ascii="Arial" w:cs="Arial" w:eastAsia="Arial" w:hAnsi="Arial"/>
                <w:sz w:val="18"/>
                <w:szCs w:val="18"/>
                <w:color w:val="auto"/>
              </w:rPr>
              <w:t>101</w:t>
            </w:r>
          </w:p>
        </w:tc>
        <w:tc>
          <w:tcPr>
            <w:tcW w:w="1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8"/>
        </w:trPr>
        <w:tc>
          <w:tcPr>
            <w:tcW w:w="482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82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1" w:name="page102"/>
    <w:bookmarkEnd w:id="101"/>
    <w:p>
      <w:pPr>
        <w:ind w:right="120" w:firstLine="324"/>
        <w:spacing w:after="0" w:line="287" w:lineRule="auto"/>
        <w:rPr>
          <w:sz w:val="20"/>
          <w:szCs w:val="20"/>
          <w:color w:val="auto"/>
        </w:rPr>
      </w:pPr>
      <w:r>
        <w:rPr>
          <w:rFonts w:ascii="Arial" w:cs="Arial" w:eastAsia="Arial" w:hAnsi="Arial"/>
          <w:sz w:val="18"/>
          <w:szCs w:val="18"/>
          <w:color w:val="auto"/>
        </w:rPr>
        <w:t>The following table represents the final purchase price allocation to the identifiable assets acquired and the liabilities assumed based on their estimated fair values as of the closing date of the Aera Merger: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Preliminary Purchase</w:t>
            </w:r>
          </w:p>
        </w:tc>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Purchase Price as of</w:t>
            </w: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Price as of December</w:t>
            </w:r>
          </w:p>
        </w:tc>
        <w:tc>
          <w:tcPr>
            <w:tcW w:w="340" w:type="dxa"/>
            <w:vAlign w:val="bottom"/>
          </w:tcPr>
          <w:p>
            <w:pPr>
              <w:spacing w:after="0"/>
              <w:rPr>
                <w:sz w:val="15"/>
                <w:szCs w:val="15"/>
                <w:color w:val="auto"/>
              </w:rPr>
            </w:pPr>
          </w:p>
        </w:tc>
        <w:tc>
          <w:tcPr>
            <w:tcW w:w="192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rPr>
              <w:t>Adjustments</w:t>
            </w:r>
          </w:p>
        </w:tc>
        <w:tc>
          <w:tcPr>
            <w:tcW w:w="16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31, 2024</w:t>
            </w: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2"/>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2025</w:t>
            </w:r>
          </w:p>
        </w:tc>
        <w:tc>
          <w:tcPr>
            <w:tcW w:w="0" w:type="dxa"/>
            <w:vAlign w:val="bottom"/>
          </w:tcPr>
          <w:p>
            <w:pPr>
              <w:spacing w:after="0"/>
              <w:rPr>
                <w:sz w:val="1"/>
                <w:szCs w:val="1"/>
                <w:color w:val="auto"/>
              </w:rPr>
            </w:pPr>
          </w:p>
        </w:tc>
      </w:tr>
      <w:tr>
        <w:trPr>
          <w:trHeight w:val="188"/>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2"/>
          </w:tcPr>
          <w:p>
            <w:pPr>
              <w:jc w:val="center"/>
              <w:ind w:right="44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Assets Acquired</w:t>
            </w: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unconsolidated subsidiary</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3,048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and other postretirement benefits</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Acquired</w:t>
            </w:r>
          </w:p>
        </w:tc>
        <w:tc>
          <w:tcPr>
            <w:tcW w:w="1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Asset retirement obligations</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of derivative contracts</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Pension and other postretirement benefits</w:t>
            </w: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Assumed</w:t>
            </w:r>
          </w:p>
        </w:tc>
        <w:tc>
          <w:tcPr>
            <w:tcW w:w="1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color w:val="auto"/>
        </w:rPr>
        <w:t>For the period of July 1, 2024 through December 31, 2024, total operating revenue and income before income taxes associated with Aera totaled $1,205 million and $512 million, respectively.</w:t>
      </w:r>
    </w:p>
    <w:p>
      <w:pPr>
        <w:spacing w:after="0" w:line="180"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In connection with the Aera Merger, we incurred transaction and integration costs of $57 million and employee severance and related costs of $30 million during the year ended December 31, 2024, which are included in other operating expenses, net on our consolidated statements of operations.</w:t>
      </w:r>
    </w:p>
    <w:p>
      <w:pPr>
        <w:spacing w:after="0" w:line="198"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The accelerated vesting of certain awards for former Aera executives was $ 7 million, and is included in general and administrative expenses for the year ended December 31, 2024. The accelerated vesting was based on existing change of control provisions within the former Aera employee award agreements.</w:t>
      </w:r>
    </w:p>
    <w:p>
      <w:pPr>
        <w:spacing w:after="0" w:line="198"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 fair value of an investment in an unconsolidated subsidiary was based on an appraisal using both the cost approach and available market data. The fair value of derivative instruments was based on observable inputs, primarily forward commodity-price curves. These inputs are considered Level 2 inputs in the fair value hierarchy.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02" w:name="page103"/>
    <w:bookmarkEnd w:id="102"/>
    <w:p>
      <w:pPr>
        <w:ind w:right="160" w:firstLine="324"/>
        <w:spacing w:after="0" w:line="255" w:lineRule="auto"/>
        <w:rPr>
          <w:sz w:val="20"/>
          <w:szCs w:val="20"/>
          <w:color w:val="auto"/>
        </w:rPr>
      </w:pPr>
      <w:r>
        <w:rPr>
          <w:rFonts w:ascii="Arial" w:cs="Arial" w:eastAsia="Arial" w:hAnsi="Arial"/>
          <w:sz w:val="18"/>
          <w:szCs w:val="18"/>
          <w:color w:val="auto"/>
        </w:rPr>
        <w:t>The fair value of certain acquired property, plant and equipment, primarily consisted of proved oil and natural gas properties, land and corporate assets including software and computer equipment, was based on appraisals. The fair value of proved oil and natural gas properties as of the acquisition date was based on estimated discounted future net cash flows incorporating market participant assumptions on an after-tax basis. Significant inputs to the valuation include estimates of future production volumes, future operating and development costs, future commodity prices, a weighted average cost of capital and a projected inflation rate. When estimating the fair value of proved properties, additional risk adjustments were applied to proved undeveloped reserves to reflect the relative uncertainty of the reserve class. These inputs are classified as Level 3 unobservable inputs, including the underlying commodity price assumptions which are based on the five-year NYMEX forward strip prices, escalated for inflation thereafter, and adjusted for price differentials.</w:t>
      </w:r>
    </w:p>
    <w:p>
      <w:pPr>
        <w:spacing w:after="0" w:line="212"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 liability for future asset retirement obligations was determined by calculating the present value of estimated future abandonment costs. We utilized several assumptions, including a credit-adjusted risk-free interest rate, estimated remediation costs, estimated timing of when the work will be performed and a projected inflation rate.</w:t>
      </w:r>
    </w:p>
    <w:p>
      <w:pPr>
        <w:spacing w:after="0" w:line="198" w:lineRule="exact"/>
        <w:rPr>
          <w:sz w:val="20"/>
          <w:szCs w:val="20"/>
          <w:color w:val="auto"/>
        </w:rPr>
      </w:pPr>
    </w:p>
    <w:p>
      <w:pPr>
        <w:ind w:right="640" w:firstLine="324"/>
        <w:spacing w:after="0" w:line="287" w:lineRule="auto"/>
        <w:rPr>
          <w:sz w:val="20"/>
          <w:szCs w:val="20"/>
          <w:color w:val="auto"/>
        </w:rPr>
      </w:pPr>
      <w:r>
        <w:rPr>
          <w:rFonts w:ascii="Arial" w:cs="Arial" w:eastAsia="Arial" w:hAnsi="Arial"/>
          <w:sz w:val="18"/>
          <w:szCs w:val="18"/>
          <w:color w:val="auto"/>
        </w:rPr>
        <w:t>Deferred income taxes represent the tax effects of differences in the tax basis and merger-date fair values of assets acquired and liabilities assumed.</w:t>
      </w:r>
    </w:p>
    <w:p>
      <w:pPr>
        <w:spacing w:after="0" w:line="180"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Lease-related assets and liabilities acquired were remeasured as if the leases were new at the merger date. These agreements were measured at an updated incremental borrowing rate. Lease assets are included in property, plant and equipment and the liabilities are included in accrued liabilities and other long-term liabilities.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Supplemental Unaudited Pro Forma Financial Information</w:t>
      </w:r>
    </w:p>
    <w:p>
      <w:pPr>
        <w:spacing w:after="0" w:line="250"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The following supplemental unaudited pro forma financial information presents the consolidated results of operations for the years ended December 31, 2024 and 2023 as if the Aera Merger had occurred on January 1,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400" w:type="dxa"/>
            <w:vAlign w:val="bottom"/>
            <w:tcBorders>
              <w:bottom w:val="single" w:sz="8" w:color="auto"/>
            </w:tcBorders>
          </w:tcPr>
          <w:p>
            <w:pPr>
              <w:spacing w:after="0"/>
              <w:rPr>
                <w:sz w:val="20"/>
                <w:szCs w:val="20"/>
                <w:color w:val="auto"/>
              </w:rPr>
            </w:pPr>
          </w:p>
        </w:tc>
      </w:tr>
      <w:tr>
        <w:trPr>
          <w:trHeight w:val="223"/>
        </w:trPr>
        <w:tc>
          <w:tcPr>
            <w:tcW w:w="62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953"/>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w w:val="94"/>
              </w:rPr>
              <w:t>2023</w:t>
            </w:r>
          </w:p>
        </w:tc>
      </w:tr>
      <w:tr>
        <w:trPr>
          <w:trHeight w:val="233"/>
        </w:trPr>
        <w:tc>
          <w:tcPr>
            <w:tcW w:w="6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0" w:type="dxa"/>
            <w:vAlign w:val="bottom"/>
            <w:gridSpan w:val="3"/>
          </w:tcPr>
          <w:p>
            <w:pPr>
              <w:jc w:val="right"/>
              <w:ind w:right="630"/>
              <w:spacing w:after="0"/>
              <w:rPr>
                <w:sz w:val="20"/>
                <w:szCs w:val="20"/>
                <w:color w:val="auto"/>
              </w:rPr>
            </w:pPr>
            <w:r>
              <w:rPr>
                <w:rFonts w:ascii="Arial" w:cs="Arial" w:eastAsia="Arial" w:hAnsi="Arial"/>
                <w:sz w:val="14"/>
                <w:szCs w:val="14"/>
                <w:color w:val="auto"/>
              </w:rPr>
              <w:t>(in millions)</w:t>
            </w:r>
          </w:p>
        </w:tc>
        <w:tc>
          <w:tcPr>
            <w:tcW w:w="1400" w:type="dxa"/>
            <w:vAlign w:val="bottom"/>
          </w:tcPr>
          <w:p>
            <w:pPr>
              <w:spacing w:after="0"/>
              <w:rPr>
                <w:sz w:val="20"/>
                <w:szCs w:val="20"/>
                <w:color w:val="auto"/>
              </w:rPr>
            </w:pPr>
          </w:p>
        </w:tc>
      </w:tr>
      <w:tr>
        <w:trPr>
          <w:trHeight w:val="23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721</w:t>
            </w:r>
          </w:p>
        </w:tc>
      </w:tr>
      <w:tr>
        <w:trPr>
          <w:trHeight w:val="256"/>
        </w:trPr>
        <w:tc>
          <w:tcPr>
            <w:tcW w:w="62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EPS</w:t>
            </w:r>
          </w:p>
        </w:tc>
        <w:tc>
          <w:tcPr>
            <w:tcW w:w="5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39"/>
        </w:trPr>
        <w:tc>
          <w:tcPr>
            <w:tcW w:w="6260" w:type="dxa"/>
            <w:vAlign w:val="bottom"/>
          </w:tcPr>
          <w:p>
            <w:pPr>
              <w:ind w:left="140"/>
              <w:spacing w:after="0"/>
              <w:rPr>
                <w:sz w:val="20"/>
                <w:szCs w:val="20"/>
                <w:color w:val="auto"/>
              </w:rPr>
            </w:pPr>
            <w:r>
              <w:rPr>
                <w:rFonts w:ascii="Arial" w:cs="Arial" w:eastAsia="Arial" w:hAnsi="Arial"/>
                <w:sz w:val="18"/>
                <w:szCs w:val="18"/>
                <w:color w:val="auto"/>
              </w:rPr>
              <w:t>Diluted</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0"/>
                <w:szCs w:val="20"/>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7.65</w:t>
            </w:r>
          </w:p>
        </w:tc>
      </w:tr>
    </w:tbl>
    <w:p>
      <w:pPr>
        <w:spacing w:after="0" w:line="30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pro forma information is presented for illustration purposes only and is not necessarily indicative of the operating results that would have occurred had the Aera Merger been completed on January 1, 2023, nor is it necessarily indicative of future operating results of the combined entity. The pro forma financial information for the years ended December 31, 2024 and 2023 is a result of combining our statements of operations with Aera's premerger results from January 1, 2024 and 2023 and includes adjustments for revenues and direct expenses. The pro forma results do not reflect any cost savings anticipated as a result of the Aera Merger and exclude the impact of any severance. The pro forma results include adjustments to depreciation, depletion and amortization (DD&amp;A) based on the purchase price allocated to property, plant, and equipment and the estimated useful lives as well as adjustments to interest and accretion expense. We also included pro forma adjustments for certain compensation related costs and transaction costs we incurred related to the Aera Merger. The pro forma adjustments include estimates and assumptions based on currently available information. Management believes the estimates and assumptions are reasonable, and the relative effects of the Aera Merger are properly reflected. Future results may vary significantly from the results reflected in the following pro forma information.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3" w:name="page104"/>
    <w:bookmarkEnd w:id="103"/>
    <w:p>
      <w:pPr>
        <w:spacing w:after="0"/>
        <w:tabs>
          <w:tab w:leader="none" w:pos="8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PROPERTY, PLANT AND EQUIPMENT</w:t>
      </w:r>
    </w:p>
    <w:p>
      <w:pPr>
        <w:spacing w:after="0" w:line="252"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We capitalize the costs incurred to acquire, develop and explore our oil and natural gas assets, including ARO and interest. Our total property, plant and equipment increased $659 million related to our provisional allocation of fair value to assets acquired in the Berry Merger on the effective date. We evaluate long-lived assets on a quarterly basis for possible impairment.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60" w:type="dxa"/>
            <w:vAlign w:val="bottom"/>
          </w:tcPr>
          <w:p>
            <w:pPr>
              <w:ind w:left="340"/>
              <w:spacing w:after="0"/>
              <w:rPr>
                <w:sz w:val="20"/>
                <w:szCs w:val="20"/>
                <w:color w:val="auto"/>
              </w:rPr>
            </w:pPr>
            <w:r>
              <w:rPr>
                <w:rFonts w:ascii="Arial" w:cs="Arial" w:eastAsia="Arial" w:hAnsi="Arial"/>
                <w:sz w:val="18"/>
                <w:szCs w:val="18"/>
                <w:color w:val="auto"/>
              </w:rPr>
              <w:t>Property, plant and equipment, net consisted of the following:</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2"/>
        </w:trPr>
        <w:tc>
          <w:tcPr>
            <w:tcW w:w="5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8"/>
                <w:szCs w:val="18"/>
                <w:b w:val="1"/>
                <w:bCs w:val="1"/>
                <w:color w:val="auto"/>
                <w:w w:val="99"/>
              </w:rPr>
              <w:t>December 31, 2025</w:t>
            </w: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9"/>
              </w:rPr>
              <w:t>December 31, 2024</w:t>
            </w:r>
          </w:p>
        </w:tc>
        <w:tc>
          <w:tcPr>
            <w:tcW w:w="100" w:type="dxa"/>
            <w:vAlign w:val="bottom"/>
          </w:tcPr>
          <w:p>
            <w:pPr>
              <w:spacing w:after="0"/>
              <w:rPr>
                <w:sz w:val="21"/>
                <w:szCs w:val="21"/>
                <w:color w:val="auto"/>
              </w:rPr>
            </w:pPr>
          </w:p>
        </w:tc>
      </w:tr>
      <w:tr>
        <w:trPr>
          <w:trHeight w:val="233"/>
        </w:trPr>
        <w:tc>
          <w:tcPr>
            <w:tcW w:w="5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8"/>
          </w:tcPr>
          <w:p>
            <w:pPr>
              <w:jc w:val="right"/>
              <w:ind w:right="1720"/>
              <w:spacing w:after="0"/>
              <w:rPr>
                <w:sz w:val="20"/>
                <w:szCs w:val="20"/>
                <w:color w:val="auto"/>
              </w:rPr>
            </w:pPr>
            <w:r>
              <w:rPr>
                <w:rFonts w:ascii="Arial" w:cs="Arial" w:eastAsia="Arial" w:hAnsi="Arial"/>
                <w:sz w:val="14"/>
                <w:szCs w:val="14"/>
                <w:color w:val="auto"/>
              </w:rPr>
              <w:t>(in millions)</w:t>
            </w:r>
          </w:p>
        </w:tc>
      </w:tr>
      <w:tr>
        <w:trPr>
          <w:trHeight w:val="23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Proved oil and natural gas properties</w:t>
            </w:r>
          </w:p>
        </w:tc>
        <w:tc>
          <w:tcPr>
            <w:tcW w:w="1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100" w:type="dxa"/>
            <w:vAlign w:val="bottom"/>
          </w:tcPr>
          <w:p>
            <w:pPr>
              <w:spacing w:after="0"/>
              <w:rPr>
                <w:sz w:val="20"/>
                <w:szCs w:val="20"/>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Unproved oil and natural gas properties</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Facilities and other</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r>
      <w:tr>
        <w:trPr>
          <w:trHeight w:val="223"/>
        </w:trPr>
        <w:tc>
          <w:tcPr>
            <w:tcW w:w="5460" w:type="dxa"/>
            <w:vAlign w:val="bottom"/>
          </w:tcPr>
          <w:p>
            <w:pPr>
              <w:ind w:left="280"/>
              <w:spacing w:after="0"/>
              <w:rPr>
                <w:sz w:val="20"/>
                <w:szCs w:val="20"/>
                <w:color w:val="auto"/>
              </w:rPr>
            </w:pPr>
            <w:r>
              <w:rPr>
                <w:rFonts w:ascii="Arial" w:cs="Arial" w:eastAsia="Arial" w:hAnsi="Arial"/>
                <w:sz w:val="18"/>
                <w:szCs w:val="18"/>
                <w:color w:val="auto"/>
              </w:rPr>
              <w:t>Total property, plant and equipment</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7,523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6,738</w:t>
            </w:r>
          </w:p>
        </w:tc>
        <w:tc>
          <w:tcPr>
            <w:tcW w:w="100" w:type="dxa"/>
            <w:vAlign w:val="bottom"/>
          </w:tcPr>
          <w:p>
            <w:pPr>
              <w:spacing w:after="0"/>
              <w:rPr>
                <w:sz w:val="19"/>
                <w:szCs w:val="19"/>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depletion and amortization</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9"/>
                <w:szCs w:val="19"/>
                <w:color w:val="auto"/>
              </w:rPr>
            </w:pPr>
          </w:p>
        </w:tc>
      </w:tr>
      <w:tr>
        <w:trPr>
          <w:trHeight w:val="223"/>
        </w:trPr>
        <w:tc>
          <w:tcPr>
            <w:tcW w:w="5460" w:type="dxa"/>
            <w:vAlign w:val="bottom"/>
          </w:tcPr>
          <w:p>
            <w:pPr>
              <w:ind w:left="360"/>
              <w:spacing w:after="0"/>
              <w:rPr>
                <w:sz w:val="20"/>
                <w:szCs w:val="20"/>
                <w:color w:val="auto"/>
              </w:rPr>
            </w:pPr>
            <w:r>
              <w:rPr>
                <w:rFonts w:ascii="Arial" w:cs="Arial" w:eastAsia="Arial" w:hAnsi="Arial"/>
                <w:sz w:val="18"/>
                <w:szCs w:val="18"/>
                <w:color w:val="auto"/>
              </w:rPr>
              <w:t>Total property, plant and equipment, net</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5,905</w:t>
            </w:r>
          </w:p>
        </w:tc>
        <w:tc>
          <w:tcPr>
            <w:tcW w:w="10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5,680</w:t>
            </w:r>
          </w:p>
        </w:tc>
        <w:tc>
          <w:tcPr>
            <w:tcW w:w="100" w:type="dxa"/>
            <w:vAlign w:val="bottom"/>
          </w:tcPr>
          <w:p>
            <w:pPr>
              <w:spacing w:after="0"/>
              <w:rPr>
                <w:sz w:val="19"/>
                <w:szCs w:val="19"/>
                <w:color w:val="auto"/>
              </w:rPr>
            </w:pPr>
          </w:p>
        </w:tc>
      </w:tr>
      <w:tr>
        <w:trPr>
          <w:trHeight w:val="21"/>
        </w:trPr>
        <w:tc>
          <w:tcPr>
            <w:tcW w:w="7160" w:type="dxa"/>
            <w:vAlign w:val="bottom"/>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1"/>
        </w:trPr>
        <w:tc>
          <w:tcPr>
            <w:tcW w:w="7300" w:type="dxa"/>
            <w:vAlign w:val="bottom"/>
            <w:gridSpan w:val="4"/>
          </w:tcPr>
          <w:p>
            <w:pPr>
              <w:ind w:left="340"/>
              <w:spacing w:after="0"/>
              <w:rPr>
                <w:sz w:val="20"/>
                <w:szCs w:val="20"/>
                <w:color w:val="auto"/>
              </w:rPr>
            </w:pPr>
            <w:r>
              <w:rPr>
                <w:rFonts w:ascii="Arial" w:cs="Arial" w:eastAsia="Arial" w:hAnsi="Arial"/>
                <w:sz w:val="18"/>
                <w:szCs w:val="18"/>
                <w:color w:val="auto"/>
              </w:rPr>
              <w:t>The following table summarizes the activity of capitalized exploratory well costs: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5"/>
        </w:trPr>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December 31, 2025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December 31, 2024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8"/>
              </w:rPr>
              <w:t>December 31, 2023</w:t>
            </w:r>
          </w:p>
        </w:tc>
      </w:tr>
      <w:tr>
        <w:trPr>
          <w:trHeight w:val="233"/>
        </w:trPr>
        <w:tc>
          <w:tcPr>
            <w:tcW w:w="54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299"/>
              <w:spacing w:after="0"/>
              <w:rPr>
                <w:sz w:val="20"/>
                <w:szCs w:val="20"/>
                <w:color w:val="auto"/>
              </w:rPr>
            </w:pPr>
            <w:r>
              <w:rPr>
                <w:rFonts w:ascii="Arial" w:cs="Arial" w:eastAsia="Arial" w:hAnsi="Arial"/>
                <w:sz w:val="14"/>
                <w:szCs w:val="14"/>
                <w:color w:val="auto"/>
              </w:rPr>
              <w:t>(in millions)</w:t>
            </w: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r>
      <w:tr>
        <w:trPr>
          <w:trHeight w:val="23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0" w:type="dxa"/>
            <w:vAlign w:val="bottom"/>
            <w:gridSpan w:val="3"/>
            <w:shd w:val="clear" w:color="auto" w:fill="CCEEFF"/>
          </w:tcPr>
          <w:p>
            <w:pPr>
              <w:jc w:val="right"/>
              <w:ind w:right="1479"/>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1</w:t>
            </w: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Additions to capitalized exploratory well costs</w:t>
            </w:r>
          </w:p>
        </w:tc>
        <w:tc>
          <w:tcPr>
            <w:tcW w:w="12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1</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25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2025, we recognized impairments of $59 million, of which $57 million related to proved natural gas properties in the Sacramento basin. At December 31, 2025, we determined that the carrying value of these assets was not recoverable due to a change in development plans after the Berry Merger and current market conditions. The fair value of our proved natural gas properties was determined as of the date of the assessment using undiscounted cash flow models based on management's expectations for the future development and on Level 3 inputs within fair value measurement hierarchy, including unobservable inputs such as estimates of future natural gas production, forward commodity price curves, inflation, pricing adjustments for differentials, reserve adjustment factors and estimated future operating costs. We used a market-based weighted average cost of capital to discount the future net cash flows.</w:t>
      </w:r>
    </w:p>
    <w:p>
      <w:pPr>
        <w:spacing w:after="0" w:line="210"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 xml:space="preserve">We also recognized asset impairments in the years ended December 31, 2025 and 2024 related to our carbon management assets. Refer to </w:t>
      </w:r>
      <w:r>
        <w:rPr>
          <w:rFonts w:ascii="Arial" w:cs="Arial" w:eastAsia="Arial" w:hAnsi="Arial"/>
          <w:sz w:val="18"/>
          <w:szCs w:val="18"/>
          <w:i w:val="1"/>
          <w:iCs w:val="1"/>
          <w:color w:val="auto"/>
        </w:rPr>
        <w:t>Note 9 Divestitures and Acquisitions</w:t>
      </w:r>
      <w:r>
        <w:rPr>
          <w:rFonts w:ascii="Arial" w:cs="Arial" w:eastAsia="Arial" w:hAnsi="Arial"/>
          <w:sz w:val="18"/>
          <w:szCs w:val="18"/>
          <w:color w:val="auto"/>
        </w:rPr>
        <w:t xml:space="preserve"> for more information. See </w:t>
      </w:r>
      <w:r>
        <w:rPr>
          <w:rFonts w:ascii="Arial" w:cs="Arial" w:eastAsia="Arial" w:hAnsi="Arial"/>
          <w:sz w:val="18"/>
          <w:szCs w:val="18"/>
          <w:i w:val="1"/>
          <w:iCs w:val="1"/>
          <w:color w:val="auto"/>
        </w:rPr>
        <w:t>Note 1 Nature of Business,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and Other </w:t>
      </w:r>
      <w:r>
        <w:rPr>
          <w:rFonts w:ascii="Arial" w:cs="Arial" w:eastAsia="Arial" w:hAnsi="Arial"/>
          <w:sz w:val="18"/>
          <w:szCs w:val="18"/>
          <w:color w:val="auto"/>
        </w:rPr>
        <w:t>for information on a $13 million impairment on materials and supplies inventory recognized in 2024.</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4" w:name="page105"/>
    <w:bookmarkEnd w:id="104"/>
    <w:p>
      <w:pPr>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INVESTMENTS AND RELATED PARTY TRANSACTIONS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changes to our investments in unconsolidated subsidiaries for the periods presented: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Carbon TerraVault JV</w:t>
            </w:r>
          </w:p>
        </w:tc>
      </w:tr>
      <w:tr>
        <w:trPr>
          <w:trHeight w:val="192"/>
        </w:trPr>
        <w:tc>
          <w:tcPr>
            <w:tcW w:w="8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tcPr>
          <w:p>
            <w:pPr>
              <w:jc w:val="right"/>
              <w:ind w:right="672"/>
              <w:spacing w:after="0"/>
              <w:rPr>
                <w:sz w:val="20"/>
                <w:szCs w:val="20"/>
                <w:color w:val="auto"/>
              </w:rPr>
            </w:pPr>
            <w:r>
              <w:rPr>
                <w:rFonts w:ascii="Arial" w:cs="Arial" w:eastAsia="Arial" w:hAnsi="Arial"/>
                <w:sz w:val="14"/>
                <w:szCs w:val="14"/>
                <w:color w:val="auto"/>
              </w:rPr>
              <w:t>(in millions)</w:t>
            </w:r>
          </w:p>
        </w:tc>
      </w:tr>
      <w:tr>
        <w:trPr>
          <w:trHeight w:val="234"/>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December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Share of net loss</w:t>
            </w:r>
          </w:p>
        </w:tc>
        <w:tc>
          <w:tcPr>
            <w:tcW w:w="1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w:t>
            </w:r>
          </w:p>
        </w:tc>
        <w:tc>
          <w:tcPr>
            <w:tcW w:w="1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Investment, December 31, 2024</w:t>
            </w: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net loss</w:t>
            </w: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Contributions</w:t>
            </w: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December 31,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center"/>
              <w:ind w:right="213"/>
              <w:spacing w:after="0"/>
              <w:rPr>
                <w:sz w:val="20"/>
                <w:szCs w:val="20"/>
                <w:color w:val="auto"/>
              </w:rPr>
            </w:pPr>
            <w:r>
              <w:rPr>
                <w:rFonts w:ascii="Arial" w:cs="Arial" w:eastAsia="Arial" w:hAnsi="Arial"/>
                <w:sz w:val="18"/>
                <w:szCs w:val="18"/>
                <w:b w:val="1"/>
                <w:bCs w:val="1"/>
                <w:color w:val="auto"/>
                <w:w w:val="99"/>
              </w:rPr>
              <w:t>Midway Sunset</w:t>
            </w:r>
          </w:p>
        </w:tc>
      </w:tr>
      <w:tr>
        <w:trPr>
          <w:trHeight w:val="243"/>
        </w:trPr>
        <w:tc>
          <w:tcPr>
            <w:tcW w:w="8980" w:type="dxa"/>
            <w:vAlign w:val="bottom"/>
          </w:tcPr>
          <w:p>
            <w:pPr>
              <w:spacing w:after="0"/>
              <w:rPr>
                <w:sz w:val="21"/>
                <w:szCs w:val="21"/>
                <w:color w:val="auto"/>
              </w:rPr>
            </w:pPr>
          </w:p>
        </w:tc>
        <w:tc>
          <w:tcPr>
            <w:tcW w:w="2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Cogeneration Company</w:t>
            </w:r>
          </w:p>
        </w:tc>
      </w:tr>
      <w:tr>
        <w:trPr>
          <w:trHeight w:val="192"/>
        </w:trPr>
        <w:tc>
          <w:tcPr>
            <w:tcW w:w="8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tcPr>
          <w:p>
            <w:pPr>
              <w:jc w:val="center"/>
              <w:ind w:right="213"/>
              <w:spacing w:after="0"/>
              <w:rPr>
                <w:sz w:val="20"/>
                <w:szCs w:val="20"/>
                <w:color w:val="auto"/>
              </w:rPr>
            </w:pPr>
            <w:r>
              <w:rPr>
                <w:rFonts w:ascii="Arial" w:cs="Arial" w:eastAsia="Arial" w:hAnsi="Arial"/>
                <w:sz w:val="14"/>
                <w:szCs w:val="14"/>
                <w:color w:val="auto"/>
              </w:rPr>
              <w:t>(in millions)</w:t>
            </w:r>
          </w:p>
        </w:tc>
      </w:tr>
      <w:tr>
        <w:trPr>
          <w:trHeight w:val="23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December 31, 2024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Purchase price adjustment (Aera Merger)</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net income</w:t>
            </w:r>
          </w:p>
        </w:tc>
        <w:tc>
          <w:tcPr>
            <w:tcW w:w="3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b w:val="1"/>
                <w:bCs w:val="1"/>
                <w:color w:val="auto"/>
              </w:rPr>
              <w:t>Investment, December 31, 2025</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1"/>
        </w:trPr>
        <w:tc>
          <w:tcPr>
            <w:tcW w:w="8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Carbon TerraVault JV</w:t>
      </w:r>
    </w:p>
    <w:p>
      <w:pPr>
        <w:spacing w:after="0" w:line="250" w:lineRule="exact"/>
        <w:rPr>
          <w:sz w:val="20"/>
          <w:szCs w:val="20"/>
          <w:color w:val="auto"/>
        </w:rPr>
      </w:pPr>
    </w:p>
    <w:p>
      <w:pPr>
        <w:ind w:right="80" w:firstLine="324"/>
        <w:spacing w:after="0" w:line="244" w:lineRule="auto"/>
        <w:rPr>
          <w:sz w:val="20"/>
          <w:szCs w:val="20"/>
          <w:color w:val="auto"/>
        </w:rPr>
      </w:pPr>
      <w:r>
        <w:rPr>
          <w:rFonts w:ascii="Arial" w:cs="Arial" w:eastAsia="Arial" w:hAnsi="Arial"/>
          <w:sz w:val="18"/>
          <w:szCs w:val="18"/>
          <w:color w:val="auto"/>
        </w:rPr>
        <w:t>In August 2022, we entered into a joint venture with BGTF Sierra Aggregator LLC (Brookfield) for the further development of a carbon management business in California (Carbon TerraVault JV). We hold a 51% interest in the Carbon TerraVault JV and Brookfield holds a 49% interest. Our initial contribution included rights to inject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into the 26R reservoir in our Elk Hills field for permanent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storage (26R reservoir). Brookfield has contributed $92 million to date. The remaining amount of Brookfield's initial investment is based on the permitted storage capacity, subject to certain contractual adjustments. This remaining amount will be contributed to the joint venture upon entering into contracts for the injection of specified volumes with respect to the 26R reservoir.</w:t>
      </w:r>
    </w:p>
    <w:p>
      <w:pPr>
        <w:spacing w:after="0" w:line="218"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We determined that the Carbon TerraVault JV is a variable interest entity (VIE); however, we share decision-making power with Brookfield on all matters that most significantly impact the economic performance of the joint venture. Therefore, we account for our investment in the Carbon TerraVault JV under the equity method of accounting. Transactions between us and the Carbon TerraVault JV are related party transactions.</w:t>
      </w:r>
    </w:p>
    <w:p>
      <w:pPr>
        <w:spacing w:after="0" w:line="20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Because the parties have certain put and call rights (repurchase features) with respect to the 26R reservoir if certain milestones are not met, the initial investment (including accrued interest) by Brookfield is reflected as a contingent liability included in other long-term liabilities on our consolidated balance sheets. The contingent liability was $117 million and $107 million at December 31, 2025 and 2024, respectively, inclusive of interest. The amount payable to Brookfield under the put and call rights, if exercised, includes additional capital contributions made by Brookfield to develop the 26R storage reservoir, inclusive of interest. This payment would differ from the contingent liability currently recognized because the contingent liability reported in other long-term liabilities on our consolidated balance sheet relates solely to the initial investment by Brookfield and does not include capital contributions made for ongoing development activities of the 26R reservoir. The joint venture does not have a definitive term and terminates upon either party holding all of the ownership interests in the joint venture.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5" w:name="page106"/>
    <w:bookmarkEnd w:id="105"/>
    <w:p>
      <w:pPr>
        <w:ind w:right="40" w:firstLine="324"/>
        <w:spacing w:after="0" w:line="246" w:lineRule="auto"/>
        <w:rPr>
          <w:sz w:val="20"/>
          <w:szCs w:val="20"/>
          <w:color w:val="auto"/>
        </w:rPr>
      </w:pPr>
      <w:r>
        <w:rPr>
          <w:rFonts w:ascii="Arial" w:cs="Arial" w:eastAsia="Arial" w:hAnsi="Arial"/>
          <w:sz w:val="18"/>
          <w:szCs w:val="18"/>
          <w:color w:val="auto"/>
        </w:rPr>
        <w:t>Both Brookfield and CRC have granted the other party a right to participate in projects that involve the capture, transportation and storage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 California. These projects may be developed through the Carbon TerraVault JV or other joint ventures. This right expires upon the earlier of (1) August 2027, (2) when a final investment decision has been approved by the investment committee of the Carbon TerraVault JV for storage projects representing in excess of 5 million metric tons per annum (MMTPA) in the aggregate, or (3) when Brookfield has made contributions to the joint venture in excess of $500 million (unless Brookfield elects to increase its commitment). The non-presenting party has the option to accept, decline or defer its decision to participate. If the decision is deferred, then the presenting party may continue to pursue development; however during this time and prior to a final investment decision, the non-presenting party may elect to participate provided they pay their share of the project development costs incurred up to that point. The joint venture does not have a definitive term and terminates upon either party holding all of the ownership interests in the joint venture.</w:t>
      </w:r>
    </w:p>
    <w:p>
      <w:pPr>
        <w:spacing w:after="0" w:line="21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tables below present the summarized financial information related to our equity method investment in the Carbon TerraVault JV (and do not include amounts we have incurred related to development of our carbon management segment, Carbon TerraVault), along with related party transactions for the periods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19"/>
                <w:szCs w:val="19"/>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2024</w:t>
            </w:r>
          </w:p>
        </w:tc>
      </w:tr>
      <w:tr>
        <w:trPr>
          <w:trHeight w:val="233"/>
        </w:trPr>
        <w:tc>
          <w:tcPr>
            <w:tcW w:w="7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20"/>
                <w:szCs w:val="20"/>
                <w:color w:val="auto"/>
              </w:rPr>
            </w:pPr>
          </w:p>
        </w:tc>
      </w:tr>
      <w:tr>
        <w:trPr>
          <w:trHeight w:val="233"/>
        </w:trPr>
        <w:tc>
          <w:tcPr>
            <w:tcW w:w="736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Receivables from affiliate</w:t>
            </w:r>
            <w:r>
              <w:rPr>
                <w:rFonts w:ascii="Arial" w:cs="Arial" w:eastAsia="Arial" w:hAnsi="Arial"/>
                <w:sz w:val="23"/>
                <w:szCs w:val="23"/>
                <w:color w:val="auto"/>
                <w:vertAlign w:val="superscript"/>
              </w:rPr>
              <w:t>(a)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311"/>
        </w:trPr>
        <w:tc>
          <w:tcPr>
            <w:tcW w:w="7360" w:type="dxa"/>
            <w:vAlign w:val="bottom"/>
          </w:tcPr>
          <w:p>
            <w:pPr>
              <w:ind w:left="20"/>
              <w:spacing w:after="0"/>
              <w:rPr>
                <w:sz w:val="20"/>
                <w:szCs w:val="20"/>
                <w:color w:val="auto"/>
              </w:rPr>
            </w:pPr>
            <w:r>
              <w:rPr>
                <w:rFonts w:ascii="Arial" w:cs="Arial" w:eastAsia="Arial" w:hAnsi="Arial"/>
                <w:sz w:val="18"/>
                <w:szCs w:val="18"/>
                <w:color w:val="auto"/>
              </w:rPr>
              <w:t>Other long-term liabilities</w:t>
            </w:r>
            <w:r>
              <w:rPr>
                <w:rFonts w:ascii="Arial" w:cs="Arial" w:eastAsia="Arial" w:hAnsi="Arial"/>
                <w:sz w:val="23"/>
                <w:szCs w:val="23"/>
                <w:color w:val="auto"/>
                <w:vertAlign w:val="superscript"/>
              </w:rPr>
              <w:t>(b)</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107</w:t>
            </w:r>
          </w:p>
        </w:tc>
      </w:tr>
    </w:tbl>
    <w:p>
      <w:pPr>
        <w:spacing w:after="0" w:line="4" w:lineRule="exact"/>
        <w:rPr>
          <w:sz w:val="20"/>
          <w:szCs w:val="20"/>
          <w:color w:val="auto"/>
        </w:rPr>
      </w:pPr>
    </w:p>
    <w:p>
      <w:pPr>
        <w:ind w:left="340" w:right="140" w:hanging="332"/>
        <w:spacing w:after="0" w:line="261" w:lineRule="auto"/>
        <w:tabs>
          <w:tab w:leader="none" w:pos="327" w:val="left"/>
        </w:tabs>
        <w:numPr>
          <w:ilvl w:val="0"/>
          <w:numId w:val="47"/>
        </w:numPr>
        <w:rPr>
          <w:rFonts w:ascii="Arial" w:cs="Arial" w:eastAsia="Arial" w:hAnsi="Arial"/>
          <w:sz w:val="14"/>
          <w:szCs w:val="14"/>
          <w:color w:val="auto"/>
        </w:rPr>
      </w:pPr>
      <w:r>
        <w:rPr>
          <w:rFonts w:ascii="Arial" w:cs="Arial" w:eastAsia="Arial" w:hAnsi="Arial"/>
          <w:sz w:val="14"/>
          <w:szCs w:val="14"/>
          <w:color w:val="auto"/>
        </w:rPr>
        <w:t>At December 31, 2025, the amount of $14 million includes the remaining $8 million of Brookfield's first and second installments of their initial investment which is available to us and $6 million related to the Master Service Agreement (MSA) and vendor reimbursements. At December 31, 2024, the amount of $46 million includes $43 million remaining of Brookfield's initial contribution available to us and $3 million related to the MSA and vendor reimbursements.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Other long-term liabilities include the contingent liability related to the Carbon TerraVault JV put and call rights.</w:t>
      </w:r>
    </w:p>
    <w:p>
      <w:pPr>
        <w:spacing w:after="0" w:line="23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have a Management Services Agreement (MSA) with the Carbon TerraVault JV whereby we provide administrative, operational and commercial services under a cost-plus arrangement. Services may be supplemented by using third parties and payments to us under the MSA are limited to the amounts in an approved budget. The MSA may be terminated by mutual agreement of the parties, among other events. For the years ended December 31, 2025, 2024 and 2023 we invoiced $11 million, $9 million and $8 million, respectively, to the Carbon TerraVault JV under the MSA for back-office, operational and commercial services. These amounts reduced our carbon management segment expenses.</w:t>
      </w:r>
    </w:p>
    <w:p>
      <w:pPr>
        <w:spacing w:after="0" w:line="14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also completed well abandonment work at our Elk Hills field as part of the permitting process for injection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at the 26R reservoir. During the years ended December 31, 2025 and 2024, we performed abandonment work and sought reimbursement in the amounts of $9 million and $14 million, respectively, from the Carbon TerraVault JV. We have recorded these reimbursements as a reduction to property, plant and equipment on our consolidated balance sheets.</w:t>
      </w:r>
    </w:p>
    <w:p>
      <w:pPr>
        <w:spacing w:after="0" w:line="20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underlying net assets of the Carbon TerraVault JV were $367 million and $309 million as of December 31, 2025 and 2024, respectively, which includes cash on hand and PP&amp;E, net of current liabilities. The difference between the carrying value of our investment of $57 million and $27 million at December 31, 2025 and 2024, respectively, and the carrying value of the underlying net assets of the joint venture relates to our accounting for the contribution of the 26R reservoir as a financing arrangement due to the put and call features of the joint venture. The joint venture recognized the contributions by the members at fair value.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Midway Sunset Cogeneration Company</w:t>
      </w:r>
    </w:p>
    <w:p>
      <w:pPr>
        <w:spacing w:after="0" w:line="25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July 2024, our merger with Aera led to our partial ownership of Midway Sunset Cogeneration Company, which is a partnership designed to own, manage, and operate a cogeneration facility in Kern County, California. We hold a 50% interest in Midway Sunset Cogeneration Company and San Joaquin Energy Company, a subsidiary of NRG Energy, Inc. (NRG), holds a 50% interest. We determined that Midway Sunset Cogeneration Company is a voting interest entity, where we share decision-making power with San Joaquin Energy Company on all matters that most significantly impact the economic performance of Midway Sunset Cogeneration Company. Therefore, we account for our investment in Midway Sunset Cogeneration Company under the equity method of accounting. We recorded our investment at a fair value of $ 52 million which was $ 41 million in excess of Aera's investment in the underlying assets of the partnership. This difference is associated with PP&amp;E and we expect this amount will reverse over the remaining useful life of the power plant. There are no significant transactions between us and Midway Sunset Cogeneration Company.</w:t>
      </w:r>
    </w:p>
    <w:p>
      <w:pPr>
        <w:spacing w:after="0" w:line="20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DEBT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2025 and 2024, our long-term debt consisted of the following:</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9"/>
                <w:szCs w:val="19"/>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5"/>
        </w:trPr>
        <w:tc>
          <w:tcPr>
            <w:tcW w:w="3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Interest Rate</w:t>
            </w:r>
          </w:p>
        </w:tc>
        <w:tc>
          <w:tcPr>
            <w:tcW w:w="1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Maturity</w:t>
            </w:r>
          </w:p>
        </w:tc>
      </w:tr>
      <w:tr>
        <w:trPr>
          <w:trHeight w:val="233"/>
        </w:trPr>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4"/>
          </w:tcPr>
          <w:p>
            <w:pPr>
              <w:jc w:val="right"/>
              <w:ind w:right="1170"/>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180"/>
        </w:trPr>
        <w:tc>
          <w:tcPr>
            <w:tcW w:w="358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Revolving Credit Facility</w:t>
            </w:r>
          </w:p>
        </w:tc>
        <w:tc>
          <w:tcPr>
            <w:tcW w:w="160" w:type="dxa"/>
            <w:vAlign w:val="bottom"/>
            <w:shd w:val="clear" w:color="auto" w:fill="CCEEFF"/>
          </w:tcPr>
          <w:p>
            <w:pPr>
              <w:jc w:val="right"/>
              <w:spacing w:after="0" w:line="180" w:lineRule="exact"/>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160"/>
              <w:spacing w:after="0" w:line="18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180" w:lineRule="exact"/>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line="180"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jc w:val="center"/>
              <w:ind w:right="100"/>
              <w:spacing w:after="0" w:line="180" w:lineRule="exact"/>
              <w:rPr>
                <w:sz w:val="20"/>
                <w:szCs w:val="20"/>
                <w:color w:val="auto"/>
              </w:rPr>
            </w:pPr>
            <w:r>
              <w:rPr>
                <w:rFonts w:ascii="Arial" w:cs="Arial" w:eastAsia="Arial" w:hAnsi="Arial"/>
                <w:sz w:val="18"/>
                <w:szCs w:val="18"/>
                <w:color w:val="auto"/>
                <w:w w:val="99"/>
              </w:rPr>
              <w:t>SOFR plus 2.50%-3.50%</w:t>
            </w:r>
          </w:p>
        </w:tc>
        <w:tc>
          <w:tcPr>
            <w:tcW w:w="2060" w:type="dxa"/>
            <w:vAlign w:val="bottom"/>
            <w:shd w:val="clear" w:color="auto" w:fill="CCEEFF"/>
          </w:tcPr>
          <w:p>
            <w:pPr>
              <w:jc w:val="center"/>
              <w:spacing w:after="0" w:line="180" w:lineRule="exact"/>
              <w:rPr>
                <w:sz w:val="20"/>
                <w:szCs w:val="20"/>
                <w:color w:val="auto"/>
              </w:rPr>
            </w:pPr>
            <w:r>
              <w:rPr>
                <w:rFonts w:ascii="Arial" w:cs="Arial" w:eastAsia="Arial" w:hAnsi="Arial"/>
                <w:sz w:val="18"/>
                <w:szCs w:val="18"/>
                <w:color w:val="auto"/>
              </w:rPr>
              <w:t>March 16, 2029</w:t>
            </w:r>
          </w:p>
        </w:tc>
      </w:tr>
      <w:tr>
        <w:trPr>
          <w:trHeight w:val="243"/>
        </w:trPr>
        <w:tc>
          <w:tcPr>
            <w:tcW w:w="3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ABR plus 1.50%-2.50%</w:t>
            </w:r>
          </w:p>
        </w:tc>
        <w:tc>
          <w:tcPr>
            <w:tcW w:w="2060" w:type="dxa"/>
            <w:vAlign w:val="bottom"/>
            <w:shd w:val="clear" w:color="auto" w:fill="CCEEFF"/>
          </w:tcPr>
          <w:p>
            <w:pPr>
              <w:spacing w:after="0"/>
              <w:rPr>
                <w:sz w:val="21"/>
                <w:szCs w:val="2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2026 Senior Notes</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245</w:t>
            </w: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98"/>
              </w:rPr>
              <w:t>7.125%</w:t>
            </w: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 Senior Notes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8"/>
              </w:rPr>
              <w:t>8.250%</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June 15, 2029</w:t>
            </w:r>
          </w:p>
        </w:tc>
      </w:tr>
      <w:tr>
        <w:trPr>
          <w:trHeight w:val="229"/>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2034 Senior Notes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8"/>
              </w:rPr>
              <w:t>7.000%</w:t>
            </w:r>
          </w:p>
        </w:tc>
        <w:tc>
          <w:tcPr>
            <w:tcW w:w="10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January 15, 2034</w:t>
            </w:r>
          </w:p>
        </w:tc>
      </w:tr>
      <w:tr>
        <w:trPr>
          <w:trHeight w:val="223"/>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Principal amount</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168"/>
        </w:trPr>
        <w:tc>
          <w:tcPr>
            <w:tcW w:w="3580" w:type="dxa"/>
            <w:vAlign w:val="bottom"/>
          </w:tcPr>
          <w:p>
            <w:pPr>
              <w:ind w:left="20"/>
              <w:spacing w:after="0" w:line="168" w:lineRule="exact"/>
              <w:rPr>
                <w:sz w:val="20"/>
                <w:szCs w:val="20"/>
                <w:color w:val="auto"/>
              </w:rPr>
            </w:pPr>
            <w:r>
              <w:rPr>
                <w:rFonts w:ascii="Arial" w:cs="Arial" w:eastAsia="Arial" w:hAnsi="Arial"/>
                <w:sz w:val="18"/>
                <w:szCs w:val="18"/>
                <w:color w:val="auto"/>
              </w:rPr>
              <w:t>Unamortized debt discount and issuance</w:t>
            </w:r>
          </w:p>
        </w:tc>
        <w:tc>
          <w:tcPr>
            <w:tcW w:w="160" w:type="dxa"/>
            <w:vAlign w:val="bottom"/>
          </w:tcPr>
          <w:p>
            <w:pPr>
              <w:spacing w:after="0"/>
              <w:rPr>
                <w:sz w:val="14"/>
                <w:szCs w:val="14"/>
                <w:color w:val="auto"/>
              </w:rPr>
            </w:pPr>
          </w:p>
        </w:tc>
        <w:tc>
          <w:tcPr>
            <w:tcW w:w="1420" w:type="dxa"/>
            <w:vAlign w:val="bottom"/>
          </w:tcPr>
          <w:p>
            <w:pPr>
              <w:jc w:val="right"/>
              <w:spacing w:after="0" w:line="168" w:lineRule="exact"/>
              <w:rPr>
                <w:sz w:val="20"/>
                <w:szCs w:val="20"/>
                <w:color w:val="auto"/>
              </w:rPr>
            </w:pPr>
            <w:r>
              <w:rPr>
                <w:rFonts w:ascii="Arial" w:cs="Arial" w:eastAsia="Arial" w:hAnsi="Arial"/>
                <w:sz w:val="18"/>
                <w:szCs w:val="18"/>
                <w:color w:val="auto"/>
              </w:rPr>
              <w:t>(19)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Arial" w:cs="Arial" w:eastAsia="Arial" w:hAnsi="Arial"/>
                <w:sz w:val="18"/>
                <w:szCs w:val="18"/>
                <w:color w:val="auto"/>
              </w:rPr>
              <w:t>(16)</w:t>
            </w:r>
          </w:p>
        </w:tc>
        <w:tc>
          <w:tcPr>
            <w:tcW w:w="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costs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premium</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23"/>
        </w:trPr>
        <w:tc>
          <w:tcPr>
            <w:tcW w:w="3580" w:type="dxa"/>
            <w:vAlign w:val="bottom"/>
          </w:tcPr>
          <w:p>
            <w:pPr>
              <w:ind w:left="220"/>
              <w:spacing w:after="0"/>
              <w:rPr>
                <w:sz w:val="20"/>
                <w:szCs w:val="20"/>
                <w:color w:val="auto"/>
              </w:rPr>
            </w:pPr>
            <w:r>
              <w:rPr>
                <w:rFonts w:ascii="Arial" w:cs="Arial" w:eastAsia="Arial" w:hAnsi="Arial"/>
                <w:sz w:val="18"/>
                <w:szCs w:val="18"/>
                <w:b w:val="1"/>
                <w:bCs w:val="1"/>
                <w:color w:val="auto"/>
              </w:rPr>
              <w:t>Long-term debt,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On April 26, 2023, we entered into an Amended and Restated Credit Agreement (as amended, restated supplemented or modified as of the date hereof, the Revolving Credit Facility) with Citibank, N.A., as administrative agent, and certain other lenders, which amended and restated in its entirety the prior credit agreement, dated October 27, 2020. As of December 31, 2025, our Revolving Credit Facility consisted of a senior revolving loan facility with an aggregate commitment of $1.46 billion. The amount we are able to borrow under our Revolving Credit Facility is limited to the amount of these commitments. Our Revolving Credit Facility also included a sub-limit of $300 million for the issuance of letters of credit. As of December 31, 2025, $176 million letters of credit were issued to support ordinary course marketing, insurance, regulatory and other matters. As of December 31, 2025, we had $1,284 million of availability on our Revolving Credit Facility after taking into account $176 million in letters of credit outstanding. Our borrowing base of $1.5 billion is redetermined semi-annually and was re-affirmed in October 2025 as part of our recent amendment.</w:t>
      </w:r>
    </w:p>
    <w:p>
      <w:pPr>
        <w:spacing w:after="0" w:line="208"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proceeds of all or a portion of the Revolving Credit Facility may be used for our working capital needs and for other purposes subject to meeting certain criteria.</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The lenders have a first-priority lien on a substantial majority of our assets.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107" w:name="page108"/>
    <w:bookmarkEnd w:id="107"/>
    <w:p>
      <w:pPr>
        <w:ind w:firstLine="324"/>
        <w:spacing w:after="0" w:line="256"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 We can elect to borrow at either an adjusted SOFR rate or an alternate base rate (ABR), plus an applicable margin. The</w:t>
      </w:r>
      <w:r>
        <w:rPr>
          <w:rFonts w:ascii="Arial" w:cs="Arial" w:eastAsia="Arial" w:hAnsi="Arial"/>
          <w:sz w:val="18"/>
          <w:szCs w:val="18"/>
          <w:i w:val="1"/>
          <w:iCs w:val="1"/>
          <w:color w:val="auto"/>
        </w:rPr>
        <w:t xml:space="preserve"> </w:t>
      </w:r>
      <w:r>
        <w:rPr>
          <w:rFonts w:ascii="Arial" w:cs="Arial" w:eastAsia="Arial" w:hAnsi="Arial"/>
          <w:sz w:val="18"/>
          <w:szCs w:val="18"/>
          <w:color w:val="auto"/>
        </w:rPr>
        <w:t>ABR is equal to the highest of (i) the federal funds effective rate plus 0.50%, (ii) the administrative agent prime rate and (iii) the one-month SOFR rate plus 1%. The applicable margin is adjusted based on the borrowing base utilization percentage and will vary from (i) in the case of SOFR loans, 2.5% to 3.5% and (ii) in the case of ABR loans, 1.5% to 2.5%. The unused portion of the facility is subject to a commitment fee which will vary between 0.375% and 0.50% per annum based on the borrowing base utilization. We also pay customary fees and expenses. Interest on ABR loans is payable quarterly in arrears. Interest on SOFR loans is payable at the end of each SOFR period, but not less than quarterly.</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Amortization Payments </w:t>
      </w:r>
      <w:r>
        <w:rPr>
          <w:rFonts w:ascii="Arial" w:cs="Arial" w:eastAsia="Arial" w:hAnsi="Arial"/>
          <w:sz w:val="18"/>
          <w:szCs w:val="18"/>
          <w:color w:val="auto"/>
        </w:rPr>
        <w:t>– The Revolving Credit Facility does not include any obligation to make amortizing payments.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Borrowing Base </w:t>
      </w:r>
      <w:r>
        <w:rPr>
          <w:rFonts w:ascii="Arial" w:cs="Arial" w:eastAsia="Arial" w:hAnsi="Arial"/>
          <w:sz w:val="18"/>
          <w:szCs w:val="18"/>
          <w:color w:val="auto"/>
        </w:rPr>
        <w:t>– The borrowing base, currently $1.5 billion, will be redetermined semi-annually each April and October.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Financial Covenants </w:t>
      </w:r>
      <w:r>
        <w:rPr>
          <w:rFonts w:ascii="Arial" w:cs="Arial" w:eastAsia="Arial" w:hAnsi="Arial"/>
          <w:sz w:val="18"/>
          <w:szCs w:val="18"/>
          <w:color w:val="auto"/>
        </w:rPr>
        <w:t>– Our Revolving Credit Facility includes the following financial covenants: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60" w:type="dxa"/>
            <w:vAlign w:val="bottom"/>
            <w:gridSpan w:val="2"/>
          </w:tcPr>
          <w:p>
            <w:pPr>
              <w:ind w:left="1460"/>
              <w:spacing w:after="0"/>
              <w:rPr>
                <w:sz w:val="20"/>
                <w:szCs w:val="20"/>
                <w:color w:val="auto"/>
              </w:rPr>
            </w:pPr>
            <w:r>
              <w:rPr>
                <w:rFonts w:ascii="Arial" w:cs="Arial" w:eastAsia="Arial" w:hAnsi="Arial"/>
                <w:sz w:val="18"/>
                <w:szCs w:val="18"/>
                <w:b w:val="1"/>
                <w:bCs w:val="1"/>
                <w:color w:val="auto"/>
              </w:rPr>
              <w:t>Ratio</w:t>
            </w:r>
          </w:p>
        </w:tc>
        <w:tc>
          <w:tcPr>
            <w:tcW w:w="3360" w:type="dxa"/>
            <w:vAlign w:val="bottom"/>
            <w:gridSpan w:val="2"/>
          </w:tcPr>
          <w:p>
            <w:pPr>
              <w:ind w:left="1080"/>
              <w:spacing w:after="0"/>
              <w:rPr>
                <w:sz w:val="20"/>
                <w:szCs w:val="20"/>
                <w:color w:val="auto"/>
              </w:rPr>
            </w:pPr>
            <w:r>
              <w:rPr>
                <w:rFonts w:ascii="Arial" w:cs="Arial" w:eastAsia="Arial" w:hAnsi="Arial"/>
                <w:sz w:val="18"/>
                <w:szCs w:val="18"/>
                <w:b w:val="1"/>
                <w:bCs w:val="1"/>
                <w:color w:val="auto"/>
              </w:rPr>
              <w:t>Components</w:t>
            </w:r>
          </w:p>
        </w:tc>
        <w:tc>
          <w:tcPr>
            <w:tcW w:w="2600" w:type="dxa"/>
            <w:vAlign w:val="bottom"/>
            <w:gridSpan w:val="2"/>
          </w:tcPr>
          <w:p>
            <w:pPr>
              <w:ind w:left="560"/>
              <w:spacing w:after="0"/>
              <w:rPr>
                <w:sz w:val="20"/>
                <w:szCs w:val="20"/>
                <w:color w:val="auto"/>
              </w:rPr>
            </w:pPr>
            <w:r>
              <w:rPr>
                <w:rFonts w:ascii="Arial" w:cs="Arial" w:eastAsia="Arial" w:hAnsi="Arial"/>
                <w:sz w:val="18"/>
                <w:szCs w:val="18"/>
                <w:b w:val="1"/>
                <w:bCs w:val="1"/>
                <w:color w:val="auto"/>
              </w:rPr>
              <w:t>Required Levels</w:t>
            </w:r>
          </w:p>
        </w:tc>
        <w:tc>
          <w:tcPr>
            <w:tcW w:w="1820" w:type="dxa"/>
            <w:vAlign w:val="bottom"/>
          </w:tcPr>
          <w:p>
            <w:pPr>
              <w:ind w:left="620"/>
              <w:spacing w:after="0"/>
              <w:rPr>
                <w:sz w:val="20"/>
                <w:szCs w:val="20"/>
                <w:color w:val="auto"/>
              </w:rPr>
            </w:pPr>
            <w:r>
              <w:rPr>
                <w:rFonts w:ascii="Arial" w:cs="Arial" w:eastAsia="Arial" w:hAnsi="Arial"/>
                <w:sz w:val="18"/>
                <w:szCs w:val="18"/>
                <w:b w:val="1"/>
                <w:bCs w:val="1"/>
                <w:color w:val="auto"/>
              </w:rPr>
              <w:t>Tested</w:t>
            </w:r>
          </w:p>
        </w:tc>
      </w:tr>
      <w:tr>
        <w:trPr>
          <w:trHeight w:val="169"/>
        </w:trPr>
        <w:tc>
          <w:tcPr>
            <w:tcW w:w="33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Consolidated Total Net Leverage Ratio</w:t>
            </w:r>
          </w:p>
        </w:tc>
        <w:tc>
          <w:tcPr>
            <w:tcW w:w="100" w:type="dxa"/>
            <w:vAlign w:val="bottom"/>
            <w:tcBorders>
              <w:top w:val="single" w:sz="8" w:color="CCEEFF"/>
            </w:tcBorders>
            <w:shd w:val="clear" w:color="auto" w:fill="CCEEFF"/>
          </w:tcPr>
          <w:p>
            <w:pPr>
              <w:spacing w:after="0"/>
              <w:rPr>
                <w:sz w:val="14"/>
                <w:szCs w:val="14"/>
                <w:color w:val="auto"/>
              </w:rPr>
            </w:pPr>
          </w:p>
        </w:tc>
        <w:tc>
          <w:tcPr>
            <w:tcW w:w="32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Ratio of Consolidated Total Debt to</w:t>
            </w:r>
          </w:p>
        </w:tc>
        <w:tc>
          <w:tcPr>
            <w:tcW w:w="80" w:type="dxa"/>
            <w:vAlign w:val="bottom"/>
            <w:tcBorders>
              <w:top w:val="single" w:sz="8" w:color="CCEEFF"/>
            </w:tcBorders>
            <w:shd w:val="clear" w:color="auto" w:fill="CCEEFF"/>
          </w:tcPr>
          <w:p>
            <w:pPr>
              <w:spacing w:after="0"/>
              <w:rPr>
                <w:sz w:val="14"/>
                <w:szCs w:val="14"/>
                <w:color w:val="auto"/>
              </w:rPr>
            </w:pPr>
          </w:p>
        </w:tc>
        <w:tc>
          <w:tcPr>
            <w:tcW w:w="25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Not greater than 3.00 to 1.00</w:t>
            </w: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Quarterly</w:t>
            </w:r>
          </w:p>
        </w:tc>
      </w:tr>
      <w:tr>
        <w:trPr>
          <w:trHeight w:val="243"/>
        </w:trPr>
        <w:tc>
          <w:tcPr>
            <w:tcW w:w="3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8"/>
                <w:szCs w:val="18"/>
                <w:color w:val="auto"/>
              </w:rPr>
              <w:t>Consolidated EBITDAX</w:t>
            </w:r>
            <w:r>
              <w:rPr>
                <w:rFonts w:ascii="Arial" w:cs="Arial" w:eastAsia="Arial" w:hAnsi="Arial"/>
                <w:sz w:val="23"/>
                <w:szCs w:val="23"/>
                <w:color w:val="auto"/>
                <w:vertAlign w:val="superscript"/>
              </w:rPr>
              <w:t>(a)</w:t>
            </w:r>
          </w:p>
        </w:tc>
        <w:tc>
          <w:tcPr>
            <w:tcW w:w="2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r>
      <w:tr>
        <w:trPr>
          <w:trHeight w:val="176"/>
        </w:trPr>
        <w:tc>
          <w:tcPr>
            <w:tcW w:w="34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Current Ratio</w:t>
            </w:r>
          </w:p>
        </w:tc>
        <w:tc>
          <w:tcPr>
            <w:tcW w:w="33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Ratio of consolidated current assets to</w:t>
            </w:r>
          </w:p>
        </w:tc>
        <w:tc>
          <w:tcPr>
            <w:tcW w:w="2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Not less than 1.00 to 1.00</w:t>
            </w:r>
          </w:p>
        </w:tc>
        <w:tc>
          <w:tcPr>
            <w:tcW w:w="1820" w:type="dxa"/>
            <w:vAlign w:val="bottom"/>
          </w:tcPr>
          <w:p>
            <w:pPr>
              <w:ind w:left="20"/>
              <w:spacing w:after="0" w:line="176" w:lineRule="exact"/>
              <w:rPr>
                <w:sz w:val="20"/>
                <w:szCs w:val="20"/>
                <w:color w:val="auto"/>
              </w:rPr>
            </w:pPr>
            <w:r>
              <w:rPr>
                <w:rFonts w:ascii="Arial" w:cs="Arial" w:eastAsia="Arial" w:hAnsi="Arial"/>
                <w:sz w:val="18"/>
                <w:szCs w:val="18"/>
                <w:color w:val="auto"/>
              </w:rPr>
              <w:t>Quarterly</w:t>
            </w:r>
          </w:p>
        </w:tc>
      </w:tr>
      <w:tr>
        <w:trPr>
          <w:trHeight w:val="316"/>
        </w:trPr>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consolidated current liabilities</w:t>
            </w:r>
            <w:r>
              <w:rPr>
                <w:rFonts w:ascii="Arial" w:cs="Arial" w:eastAsia="Arial" w:hAnsi="Arial"/>
                <w:sz w:val="23"/>
                <w:szCs w:val="23"/>
                <w:color w:val="auto"/>
                <w:vertAlign w:val="superscript"/>
              </w:rPr>
              <w:t>(b)</w:t>
            </w: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12"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Consolidated EBITDAX is calculated as defined in the Revolving Credit Facility.</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available credit under our Revolving Credit Facility is included in consolidated current assets as part of the calculation of the current ratio.</w:t>
      </w:r>
    </w:p>
    <w:p>
      <w:pPr>
        <w:spacing w:after="0" w:line="234"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i w:val="1"/>
          <w:iCs w:val="1"/>
          <w:color w:val="auto"/>
        </w:rPr>
        <w:t xml:space="preserve">Other Covenants </w:t>
      </w:r>
      <w:r>
        <w:rPr>
          <w:rFonts w:ascii="Arial" w:cs="Arial" w:eastAsia="Arial" w:hAnsi="Arial"/>
          <w:sz w:val="18"/>
          <w:szCs w:val="18"/>
          <w:color w:val="auto"/>
        </w:rPr>
        <w:t>– Our Revolving Credit Facility includes covenants that, among other things, restrict our ability to incur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grant liens, make asset sales and investments, repay existing indebtedness, make subsidiary distributions and enter into transactions that would result in fundamental changes. We are also restricted in the amount of cash dividends we can pay on our common stock unless we meet certain covenants included in the Revolving Credit Facility.</w:t>
      </w:r>
    </w:p>
    <w:p>
      <w:pPr>
        <w:spacing w:after="0" w:line="20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Revolving Credit Facility, among other things, permits us to make certain restricted payments (such as dividends and share repurchases) and certain investments (including in our carbon management segment); provides for the release of liens on certain assets securing the loans made under the Revolving Credit Facility, including our Elk Hills power plant; permits us to designate the entities that hold certain of our assets, including our Elk Hills power plant, as unrestricted subsidiaries subject to meeting certain conditions; sets the period for which we can enter into hedges on our production at 60 months. In October 2023, we further amended our Revolving Credit Facility to increase our flexibility to incur new indebtedness in the form of term loans secured on a pari passu basis with the obligations under the Revolving Credit Facility. The aggregate amount of such term loans shall not exceed the lesser of the following: (i) the borrowing base then in effect minus the Aggregate Elected Revolving Commitment Amounts (as defined in the Revolving Credit Facility) then in effect and (ii) an amount equal to 33 1/3% of the sum of (A) the Aggregate Elected Revolving Commitment Amounts (as defined in the Revolving Credit Facility) then in effect plus (B) the aggregate term loan exposure of any lender then outstanding.</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8" w:name="page109"/>
    <w:bookmarkEnd w:id="108"/>
    <w:p>
      <w:pPr>
        <w:ind w:firstLine="324"/>
        <w:spacing w:after="0" w:line="254" w:lineRule="auto"/>
        <w:rPr>
          <w:sz w:val="20"/>
          <w:szCs w:val="20"/>
          <w:color w:val="auto"/>
        </w:rPr>
      </w:pPr>
      <w:r>
        <w:rPr>
          <w:rFonts w:ascii="Arial" w:cs="Arial" w:eastAsia="Arial" w:hAnsi="Arial"/>
          <w:sz w:val="18"/>
          <w:szCs w:val="18"/>
          <w:color w:val="auto"/>
        </w:rPr>
        <w:t>Our Revolving Credit Facility requires us to maintain hedges on a minimum amount of crude oil production (determined on (i) the date of delivery of annual and quarterly financial statements and (ii) the date of delivery of a reserve report delivered in connection with an interim borrowing base redetermination) of no less than (i) in the event that our Consolidated Total Net Leverage Ratio (as defined in the Revolving Credit Facility) is greater than 2.0:1.0 as of the end of the most recent fiscal quarter test period, 50.0% of our reasonably anticipated oil production from our proved developed producing reserves for each quarter during the period ending the earlier of (1) the maturity date of the Revolving Credit Facility and (2) 12 months after the delivery of the compliance certificate for the relevant test period and (ii) in the event that our Consolidated Total Net Leverage Ratio is less than or equal to 2.0:1.0 but greater than 1.5:1.0 as of the end of the most recent fiscal quarter test period, 33.0% of our reasonably anticipated oil production from our proved developed producing reserves for each quarter during the period ending the earlier of (1) the maturity date of the Revolving Credit Facility and (2) 12 months after the delivery of the compliance certificate for the relevant test period. The foregoing minimum hedge requirements do not apply to the extent that our Consolidated Total Net Leverage Ratio is less than or equal to 1.5:1.0 as of the last day of the most recently ended fiscal quarter test period.</w:t>
      </w:r>
    </w:p>
    <w:p>
      <w:pPr>
        <w:spacing w:after="0" w:line="20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Furthermore, the restricted payment and investments covenants permit unlimited investments and/or restricted payments so long as either (a) (i) no Default, Event of Default or Borrowing Base Deficiency shall have occurred and be continuing under the Revolving Credit Facility, (ii) the undrawn availability under the Revolving Credit Facility at such time is not less than 20.0% of the total commitment, (iii) the Consolidated Total Net Leverage Ratio is less than or equal to 2.5:1.0 and (iv) Distributable Free Cash Flow is greater than or equal to zero on such date of determination; or (b) (i) no Default, Event of Default or Borrowing Base Deficiency shall have occurred and be continuing under the Revolving Credit Facility at the time of such investment or restricted payment, (ii) the undrawn availability under the Revolving Credit Facility at such time is not less than 25.0% of the total commitment and (iii) the Consolidated Total Net Leverage Ratio is less than or equal to 1.75:1.0.</w:t>
      </w:r>
    </w:p>
    <w:p>
      <w:pPr>
        <w:spacing w:after="0" w:line="212"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i w:val="1"/>
          <w:iCs w:val="1"/>
          <w:color w:val="auto"/>
        </w:rPr>
        <w:t xml:space="preserve">Events of Default and Change of Control </w:t>
      </w:r>
      <w:r>
        <w:rPr>
          <w:rFonts w:ascii="Arial" w:cs="Arial" w:eastAsia="Arial" w:hAnsi="Arial"/>
          <w:sz w:val="18"/>
          <w:szCs w:val="18"/>
          <w:color w:val="auto"/>
        </w:rPr>
        <w:t>– Our Revolving Credit Facility provides for certain events of default, including upon a change</w:t>
      </w:r>
      <w:r>
        <w:rPr>
          <w:rFonts w:ascii="Arial" w:cs="Arial" w:eastAsia="Arial" w:hAnsi="Arial"/>
          <w:sz w:val="18"/>
          <w:szCs w:val="18"/>
          <w:i w:val="1"/>
          <w:iCs w:val="1"/>
          <w:color w:val="auto"/>
        </w:rPr>
        <w:t xml:space="preserve"> </w:t>
      </w:r>
      <w:r>
        <w:rPr>
          <w:rFonts w:ascii="Arial" w:cs="Arial" w:eastAsia="Arial" w:hAnsi="Arial"/>
          <w:sz w:val="18"/>
          <w:szCs w:val="18"/>
          <w:color w:val="auto"/>
        </w:rPr>
        <w:t>of control, as defined in the Revolving Credit Facility, that entitles our lenders to declare the outstanding loans immediately due and payable, subject to certain limitations and conditions.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Amendments</w:t>
      </w:r>
    </w:p>
    <w:p>
      <w:pPr>
        <w:spacing w:after="0" w:line="25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February 2024, in connection with the Aera Merger, we entered into a second amendment to our Revolving Credit Facility to, among other things, permit the incurrence of indebtedness under a bridge loan facility. We did not utilize a bridge loan facility in connection with the Aera Merger and wrote-off $6 million of bridge loan and commitment fees during the year ended December 31, 2024 included in other non-operating (loss) income on our consolidated statement of operations. We capitalized approximately $3 million in financing fees related to this amendment to other assets on our consolidated statement of financial position.</w:t>
      </w:r>
    </w:p>
    <w:p>
      <w:pPr>
        <w:spacing w:after="0" w:line="206"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 March 2024, we entered into a third amendment to our Revolving Credit Facility. This amendment facilitated certain matters with respect to the Aera Merger, including the postponement of the regular spring borrowing base redetermination until the fall of 2024 and certain other amendments.</w:t>
      </w:r>
    </w:p>
    <w:p>
      <w:pPr>
        <w:spacing w:after="0" w:line="19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July 2024, we entered into a fourth amendment to our Revolving Credit Facility as part of the Aera Merger. This amendment increased the aggregate revolving commitments available under the Revolving Credit Facility from $630 million to $ 1.1 billion. Our ability to borrow under our Revolving Credit Facility is limited to the amount of these commitments. This amendment also increased the borrowing base from $1.2 billion to $1.5 billion, among other matters. We capitalized approximately $7 million in financing fees related to this amendment to other assets on our consolidated statement of financial position.</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November 2024, we entered into a fifth amendment to our Revolving Credit Facility. The amendments included, among other things:</w:t>
      </w:r>
    </w:p>
    <w:p>
      <w:pPr>
        <w:spacing w:after="0" w:line="252"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the amount of the elected commitments by $50 million to $1,150 million to reflect changes to our lender group;</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extended the maturity date of the facility from July 31, 2027 to March 16, 2029;</w:t>
      </w:r>
    </w:p>
    <w:p>
      <w:pPr>
        <w:spacing w:after="0" w:line="9" w:lineRule="exact"/>
        <w:rPr>
          <w:rFonts w:ascii="Arial" w:cs="Arial" w:eastAsia="Arial" w:hAnsi="Arial"/>
          <w:sz w:val="18"/>
          <w:szCs w:val="18"/>
          <w:color w:val="auto"/>
        </w:rPr>
      </w:pPr>
    </w:p>
    <w:p>
      <w:pPr>
        <w:ind w:left="660" w:right="660" w:hanging="328"/>
        <w:spacing w:after="0" w:line="250"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amended the springing maturity to permit our 2026 Senior Notes to remain outstanding past October 31, 2025 so long as the aggregate availability (less the outstanding 2026 Senior Notes) is not less than 25% of the total revolving commitments;</w:t>
      </w: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our capacity to issue letters of credit from $250 million to $300 million; and</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09" w:name="page110"/>
    <w:bookmarkEnd w:id="109"/>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technical amendments.</w:t>
      </w:r>
    </w:p>
    <w:p>
      <w:pPr>
        <w:spacing w:after="0" w:line="252"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We capitalized approximately $7 million in financing fees related to this amendment to other assets on our consolidated statement of financial position.</w:t>
      </w:r>
    </w:p>
    <w:p>
      <w:pPr>
        <w:spacing w:after="0" w:line="180"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color w:val="auto"/>
        </w:rPr>
        <w:t>In September 2025, in connection with the Berry Merger, we entered into a sixth amendment to our Revolving Credit Facility to, among other things, allow for the incurrence of the 2034 Senior Notes without a corresponding reduction in our existing borrowing base.</w:t>
      </w:r>
    </w:p>
    <w:p>
      <w:pPr>
        <w:spacing w:after="0" w:line="180" w:lineRule="exact"/>
        <w:rPr>
          <w:sz w:val="20"/>
          <w:szCs w:val="20"/>
          <w:color w:val="auto"/>
        </w:rPr>
      </w:pPr>
    </w:p>
    <w:p>
      <w:pPr>
        <w:ind w:right="540" w:firstLine="324"/>
        <w:spacing w:after="0" w:line="287" w:lineRule="auto"/>
        <w:rPr>
          <w:sz w:val="20"/>
          <w:szCs w:val="20"/>
          <w:color w:val="auto"/>
        </w:rPr>
      </w:pPr>
      <w:r>
        <w:rPr>
          <w:rFonts w:ascii="Arial" w:cs="Arial" w:eastAsia="Arial" w:hAnsi="Arial"/>
          <w:sz w:val="18"/>
          <w:szCs w:val="18"/>
          <w:color w:val="auto"/>
        </w:rPr>
        <w:t>In October 2025, we entered into a seventh amendment to our Revolving Credit Facility to, among other things, (i) add certain new lenders to the facility, and (ii) increase the aggregate elected commitment from $1.15 billion to $1.45 billion.</w:t>
      </w:r>
    </w:p>
    <w:p>
      <w:pPr>
        <w:spacing w:after="0" w:line="180"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In December 2025, we entered into an eighth amendment to our Revolving Credit Facility to, among other things, (i) add a new lender to the facility, and (ii) increase the aggregate elected commitment from $1.45 billion to $1.46 billion.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Senior Notes</w:t>
      </w:r>
    </w:p>
    <w:p>
      <w:pPr>
        <w:spacing w:after="0" w:line="237"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In February 2025, we redeemed $123 million of our 7.125% senior notes due 2026 (2026 Senior Notes) at 100% of the principal amount, resulting in an extinguishment loss in the amount of $1 million for the write-off of unamortized debt issuance costs.</w:t>
      </w:r>
    </w:p>
    <w:p>
      <w:pPr>
        <w:spacing w:after="0" w:line="180"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In October 2025, we redeemed $122 million of our 2026 Senior Notes at 100% of the principal amount, resulting in an insignificant extinguishment loss for the write-off of unamortized debt issuance costs. Following this redemption, none of our 2026 Senior Notes were outstanding.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2029 Notes Offering and Follow-On Offering</w:t>
      </w:r>
    </w:p>
    <w:p>
      <w:pPr>
        <w:spacing w:after="0" w:line="25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 xml:space="preserve">In June 2024, we completed the offering of $600 million in aggregate principal amount of the 2029 Senior Notes. The terms of the 2029 Senior Notes are governed by the indenture, dated as of June 5, 2024, by and among us, the guarantors and Wilmington Trust, National Association, as trustee (2029 Senior Notes Indenture). The net proceeds of $590 million, after $10 million of debt discount and issuance costs, were used along with available cash to repay all of Aera's outstanding debt for approximately $990 million at closing of the Aera Merger. See </w:t>
      </w:r>
      <w:r>
        <w:rPr>
          <w:rFonts w:ascii="Arial" w:cs="Arial" w:eastAsia="Arial" w:hAnsi="Arial"/>
          <w:sz w:val="18"/>
          <w:szCs w:val="18"/>
          <w:i w:val="1"/>
          <w:iCs w:val="1"/>
          <w:color w:val="auto"/>
        </w:rPr>
        <w:t>Note 2 Business Combinations</w:t>
      </w:r>
      <w:r>
        <w:rPr>
          <w:rFonts w:ascii="Arial" w:cs="Arial" w:eastAsia="Arial" w:hAnsi="Arial"/>
          <w:sz w:val="18"/>
          <w:szCs w:val="18"/>
          <w:color w:val="auto"/>
        </w:rPr>
        <w:t xml:space="preserve"> for more information on the Aera Merger.</w:t>
      </w:r>
    </w:p>
    <w:p>
      <w:pPr>
        <w:spacing w:after="0" w:line="206"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On August 22, 2024, we completed a follow-on offering of an additional $300 million in aggregate principal amount of 2029 Senior Notes. The net proceeds from this offering of $298 million, after $ 3 million of debt premium and $ 5 million of debt issuance costs, were used to repurchase a portion of our 2026 Senior Notes. The 2029 Senior Notes issued on August 22, 2024 are governed by the same indenture as the $600 million of 2029 Senior Notes that were previously issued on June 5, 2024.</w:t>
      </w:r>
    </w:p>
    <w:p>
      <w:pPr>
        <w:spacing w:after="0" w:line="203"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Our 2029 Senior Notes are general unsecured obligations which are guaranteed on a senior unsecured basis by all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subsidiaries that guarantee our obligations under the Revolving Credit Facility and our existing 2026 Senior Notes.</w:t>
      </w:r>
    </w:p>
    <w:p>
      <w:pPr>
        <w:spacing w:after="0" w:line="180" w:lineRule="exact"/>
        <w:rPr>
          <w:sz w:val="20"/>
          <w:szCs w:val="20"/>
          <w:color w:val="auto"/>
        </w:rPr>
      </w:pPr>
    </w:p>
    <w:p>
      <w:pPr>
        <w:ind w:right="180" w:firstLine="324"/>
        <w:spacing w:after="0" w:line="260" w:lineRule="auto"/>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 We may redeem the 2029 Senior Notes at any time on or after June 15, 2026 at the redemption prices of (i) 104.125%</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twelve-month period beginning on June 15, 2026, (ii) 102.063% during the twelve-month period beginning on June 15, 2027 and</w:t>
      </w:r>
    </w:p>
    <w:p>
      <w:pPr>
        <w:spacing w:after="0" w:line="2" w:lineRule="exact"/>
        <w:rPr>
          <w:sz w:val="20"/>
          <w:szCs w:val="20"/>
          <w:color w:val="auto"/>
        </w:rPr>
      </w:pPr>
    </w:p>
    <w:p>
      <w:pPr>
        <w:ind w:firstLine="8"/>
        <w:spacing w:after="0" w:line="254" w:lineRule="auto"/>
        <w:tabs>
          <w:tab w:leader="none" w:pos="29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100% after June 15, 2028 and before the maturity date. Prior to June 15, 2026, we may redeem up to 35% of the aggregate principal amount of the 2029 Senior Notes with an amount of cash not greater than the net cash proceeds from certain equity offerings at the redemption price of 108.250%. In addition, before June 15, 2026, we may redeem some or all of the 2029 Senior Notes at a redemption price equal to 100% of the aggregate principal amount of the 2029 Senior Notes redeemed, plus the applicable premium as specified in the 2029 Senior Notes Indenture and accrued and unpaid interest, if any, to, but excluding, the redemption date.</w:t>
      </w:r>
    </w:p>
    <w:p>
      <w:pPr>
        <w:spacing w:after="0" w:line="210" w:lineRule="exact"/>
        <w:rPr>
          <w:sz w:val="20"/>
          <w:szCs w:val="20"/>
          <w:color w:val="auto"/>
        </w:rPr>
      </w:pPr>
    </w:p>
    <w:p>
      <w:pPr>
        <w:ind w:right="880" w:firstLine="324"/>
        <w:spacing w:after="0" w:line="268" w:lineRule="auto"/>
        <w:rPr>
          <w:sz w:val="20"/>
          <w:szCs w:val="20"/>
          <w:color w:val="auto"/>
        </w:rPr>
      </w:pPr>
      <w:r>
        <w:rPr>
          <w:rFonts w:ascii="Arial" w:cs="Arial" w:eastAsia="Arial" w:hAnsi="Arial"/>
          <w:sz w:val="18"/>
          <w:szCs w:val="18"/>
          <w:i w:val="1"/>
          <w:iCs w:val="1"/>
          <w:color w:val="auto"/>
        </w:rPr>
        <w:t xml:space="preserve">Other Covenants </w:t>
      </w:r>
      <w:r>
        <w:rPr>
          <w:rFonts w:ascii="Arial" w:cs="Arial" w:eastAsia="Arial" w:hAnsi="Arial"/>
          <w:sz w:val="18"/>
          <w:szCs w:val="18"/>
          <w:color w:val="auto"/>
        </w:rPr>
        <w:t>– Our 2029 Senior Notes include covenants that, among other things, restrict our ability to incur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issue preferred stock, grant liens, make asset sales and investments, repay existing indebtedness, make subsidiary distributions, and enter into transactions that would result in fundamental changes.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0" w:name="page111"/>
    <w:bookmarkEnd w:id="110"/>
    <w:p>
      <w:pPr>
        <w:ind w:right="180" w:firstLine="324"/>
        <w:spacing w:after="0" w:line="268" w:lineRule="auto"/>
        <w:rPr>
          <w:sz w:val="20"/>
          <w:szCs w:val="20"/>
          <w:color w:val="auto"/>
        </w:rPr>
      </w:pPr>
      <w:r>
        <w:rPr>
          <w:rFonts w:ascii="Arial" w:cs="Arial" w:eastAsia="Arial" w:hAnsi="Arial"/>
          <w:sz w:val="18"/>
          <w:szCs w:val="18"/>
          <w:i w:val="1"/>
          <w:iCs w:val="1"/>
          <w:color w:val="auto"/>
        </w:rPr>
        <w:t xml:space="preserve">Events of Default and Change of Control </w:t>
      </w:r>
      <w:r>
        <w:rPr>
          <w:rFonts w:ascii="Arial" w:cs="Arial" w:eastAsia="Arial" w:hAnsi="Arial"/>
          <w:sz w:val="18"/>
          <w:szCs w:val="18"/>
          <w:color w:val="auto"/>
        </w:rPr>
        <w:t>– Our 2029 Senior Notes provide for certain triggering events, including upon a 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as defined in the indenture, that would require us to repurchase all or any part of the 2029 Senior Notes at a price equal to 101% of the aggregate principal amount plus accrued and unpaid interest.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2034 Senior Notes</w:t>
      </w:r>
    </w:p>
    <w:p>
      <w:pPr>
        <w:spacing w:after="0" w:line="25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On October 8, 2025, we completed a private offering of $400 million in an aggregate principal amount of 7.000% senior notes due 2034 (2034 Senior Notes). The terms of the 2034 Senior Notes are governed by the Indenture, dated as of October 8, 2025, by and among us, the guarantors and Wilmington Trust, National Association, as trustee (2034 Senior Notes Indenture). The 2034 Senior Notes will mature on January 15, 2034. The net proceeds of $ 393 million, after $7 million of issuance costs, were used along with available cash to repay all of Berry's outstanding debt for $449 million at closing of the Berry Merger. See </w:t>
      </w:r>
      <w:r>
        <w:rPr>
          <w:rFonts w:ascii="Arial" w:cs="Arial" w:eastAsia="Arial" w:hAnsi="Arial"/>
          <w:sz w:val="18"/>
          <w:szCs w:val="18"/>
          <w:i w:val="1"/>
          <w:iCs w:val="1"/>
          <w:color w:val="auto"/>
        </w:rPr>
        <w:t>Note 2 Business Combinations</w:t>
      </w:r>
      <w:r>
        <w:rPr>
          <w:rFonts w:ascii="Arial" w:cs="Arial" w:eastAsia="Arial" w:hAnsi="Arial"/>
          <w:sz w:val="18"/>
          <w:szCs w:val="18"/>
          <w:color w:val="auto"/>
        </w:rPr>
        <w:t xml:space="preserve"> for more information on the Berry Merger.</w:t>
      </w:r>
    </w:p>
    <w:p>
      <w:pPr>
        <w:spacing w:after="0" w:line="209"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Our 2034 Senior Notes are general unsecured obligations which are guaranteed on a senior unsecured basis by all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subsidiaries that guarantee our obligations under the Revolving Credit Facility and our existing 2029 Senior Notes.</w:t>
      </w:r>
    </w:p>
    <w:p>
      <w:pPr>
        <w:spacing w:after="0" w:line="18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 We may redeem the 2034 Senior Notes at any time on or after January 15, 2029 at the redemption prices of (i) 103.500%</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twelve-month period beginning on January 15, 2029, (ii) 101.750% during the twelve-month period beginning on January 15, 2030 and (iii) 100.000% after January 15, 2031 and before the maturity date. Prior to January 15, 2029, we may on one or more occasions redeem up to 40% of the aggregate principal amount of the 2034 Senior Notes with an amount not greater than the net cash proceeds of one or more equity offerings at the redemption price of 107.000% provided that (i) at least 60% of the aggregate principal amount of the 2034 Senior Notes originally issued remains outstanding immediately after the redemption and (ii) the redemption occurs within 180 days of the date of the closing of the equity offering.</w:t>
      </w:r>
    </w:p>
    <w:p>
      <w:pPr>
        <w:spacing w:after="0" w:line="210"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In addition, before January 15, 2029, we may redeem some or all of the 2034 Senior Notes at a redemption price equal to 100% of the aggregate principal amount of the 2034 Senior Notes redeemed, plus the applicable premium as specified in the 2034 Senior Notes Indenture and accrued and unpaid interest, if any, to, but excluding, the redemption date.</w:t>
      </w:r>
    </w:p>
    <w:p>
      <w:pPr>
        <w:spacing w:after="0" w:line="198" w:lineRule="exact"/>
        <w:rPr>
          <w:sz w:val="20"/>
          <w:szCs w:val="20"/>
          <w:color w:val="auto"/>
        </w:rPr>
      </w:pPr>
    </w:p>
    <w:p>
      <w:pPr>
        <w:ind w:right="880" w:firstLine="324"/>
        <w:spacing w:after="0" w:line="268" w:lineRule="auto"/>
        <w:rPr>
          <w:sz w:val="20"/>
          <w:szCs w:val="20"/>
          <w:color w:val="auto"/>
        </w:rPr>
      </w:pPr>
      <w:r>
        <w:rPr>
          <w:rFonts w:ascii="Arial" w:cs="Arial" w:eastAsia="Arial" w:hAnsi="Arial"/>
          <w:sz w:val="18"/>
          <w:szCs w:val="18"/>
          <w:i w:val="1"/>
          <w:iCs w:val="1"/>
          <w:color w:val="auto"/>
        </w:rPr>
        <w:t xml:space="preserve">Other Covenants </w:t>
      </w:r>
      <w:r>
        <w:rPr>
          <w:rFonts w:ascii="Arial" w:cs="Arial" w:eastAsia="Arial" w:hAnsi="Arial"/>
          <w:sz w:val="18"/>
          <w:szCs w:val="18"/>
          <w:color w:val="auto"/>
        </w:rPr>
        <w:t>– Our 2034 Senior Notes include covenants that, among other things, restrict our ability to incur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issue preferred stock, grant liens, make asset sales and investments, repay existing indebtedness, make subsidiary distributions, and enter into transactions that would result in fundamental changes.</w:t>
      </w:r>
    </w:p>
    <w:p>
      <w:pPr>
        <w:spacing w:after="0" w:line="19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i w:val="1"/>
          <w:iCs w:val="1"/>
          <w:color w:val="auto"/>
        </w:rPr>
        <w:t xml:space="preserve">Events of Default and Change of Control </w:t>
      </w:r>
      <w:r>
        <w:rPr>
          <w:rFonts w:ascii="Arial" w:cs="Arial" w:eastAsia="Arial" w:hAnsi="Arial"/>
          <w:sz w:val="18"/>
          <w:szCs w:val="18"/>
          <w:color w:val="auto"/>
        </w:rPr>
        <w:t>– Our 2034 Senior Notes provide for certain triggering events, including upon a 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as defined in the 2034 Senior Notes Indenture, that would require us to repurchase all or any part of the 2034 Senior Notes at a price equal to 101% of the aggregate principal amount plus accrued and unpaid interest.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50"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color w:val="auto"/>
        </w:rPr>
        <w:t>As shown in the table below, we estimate the fair value of our fixed rate 2029 Senior Notes and 2026 Senior Notes based on known prices from market transactions (using Level 1 inputs on the fair value hierarchy).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19"/>
                <w:szCs w:val="19"/>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40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33"/>
        </w:trPr>
        <w:tc>
          <w:tcPr>
            <w:tcW w:w="40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3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Fixed rate debt</w:t>
            </w:r>
          </w:p>
        </w:tc>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2026 Senior Notes</w:t>
            </w:r>
          </w:p>
        </w:tc>
        <w:tc>
          <w:tcPr>
            <w:tcW w:w="3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4000" w:type="dxa"/>
            <w:vAlign w:val="bottom"/>
          </w:tcPr>
          <w:p>
            <w:pPr>
              <w:ind w:left="240"/>
              <w:spacing w:after="0"/>
              <w:rPr>
                <w:sz w:val="20"/>
                <w:szCs w:val="20"/>
                <w:color w:val="auto"/>
              </w:rPr>
            </w:pPr>
            <w:r>
              <w:rPr>
                <w:rFonts w:ascii="Arial" w:cs="Arial" w:eastAsia="Arial" w:hAnsi="Arial"/>
                <w:sz w:val="18"/>
                <w:szCs w:val="18"/>
                <w:color w:val="auto"/>
              </w:rPr>
              <w:t>2029 Senior Notes</w:t>
            </w:r>
          </w:p>
        </w:tc>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2034 Senior Notes</w:t>
            </w:r>
          </w:p>
        </w:tc>
        <w:tc>
          <w:tcPr>
            <w:tcW w:w="34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Fair Value of Long-Term Debt</w:t>
            </w:r>
          </w:p>
        </w:tc>
        <w:tc>
          <w:tcPr>
            <w:tcW w:w="34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420" w:type="dxa"/>
            <w:vAlign w:val="bottom"/>
            <w:vMerge w:val="restart"/>
          </w:tcPr>
          <w:p>
            <w:pPr>
              <w:jc w:val="right"/>
              <w:ind w:right="1570"/>
              <w:spacing w:after="0"/>
              <w:rPr>
                <w:sz w:val="20"/>
                <w:szCs w:val="20"/>
                <w:color w:val="auto"/>
              </w:rPr>
            </w:pPr>
            <w:r>
              <w:rPr>
                <w:rFonts w:ascii="Arial" w:cs="Arial" w:eastAsia="Arial" w:hAnsi="Arial"/>
                <w:sz w:val="18"/>
                <w:szCs w:val="18"/>
                <w:color w:val="auto"/>
              </w:rPr>
              <w:t>111</w:t>
            </w: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8"/>
        </w:trPr>
        <w:tc>
          <w:tcPr>
            <w:tcW w:w="40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00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i w:val="1"/>
          <w:iCs w:val="1"/>
          <w:color w:val="auto"/>
        </w:rPr>
        <w:t>Other</w:t>
      </w:r>
    </w:p>
    <w:p>
      <w:pPr>
        <w:spacing w:after="0" w:line="250"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 xml:space="preserve">At December 31, 2025, all obligations under our Revolving Credit Facility and Senior Notes are guaranteed by certain of our material wholly owned subsidiaries. See </w:t>
      </w:r>
      <w:r>
        <w:rPr>
          <w:rFonts w:ascii="Arial" w:cs="Arial" w:eastAsia="Arial" w:hAnsi="Arial"/>
          <w:sz w:val="18"/>
          <w:szCs w:val="18"/>
          <w:i w:val="1"/>
          <w:iCs w:val="1"/>
          <w:color w:val="auto"/>
        </w:rPr>
        <w:t>Note 18 Condensed Consolidating Financial Information</w:t>
      </w:r>
      <w:r>
        <w:rPr>
          <w:rFonts w:ascii="Arial" w:cs="Arial" w:eastAsia="Arial" w:hAnsi="Arial"/>
          <w:sz w:val="18"/>
          <w:szCs w:val="18"/>
          <w:color w:val="auto"/>
        </w:rPr>
        <w:t xml:space="preserve"> for additional information.</w:t>
      </w:r>
    </w:p>
    <w:p>
      <w:pPr>
        <w:spacing w:after="0" w:line="180"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The terms and conditions of all of our indebtedness are subject to additional qualifications and limitations that are set forth in the relevant governing documents.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2025, we were in compliance with all debt covenants under our Revolving Credit Facility.</w:t>
      </w:r>
    </w:p>
    <w:p>
      <w:pPr>
        <w:spacing w:after="0" w:line="25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158"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We, or certain of our subsidiaries,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90"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December 31, 2025 and 2024 were not material to our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spacing w:after="0" w:line="20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challenged BSEE's order. Oxy notified us of the claim under the indemnification provisions of the Separation and Distribution Agreement between us and Oxy. In September 2021, we accepted the indemnification claim from Oxy and are challenging the order from BSEE. In March 2024, we entered into a cost sharing agreement with former lessees to share in ongoing maintenance costs during the pendency of the challenge to the BSEE order. In September 2025, the parties amended the cost sharing agreement to include well abandonment work. As of December 31, 2025, we recognized a liability of $12 million, included in accrued liabilities in our consolidated balance sheet related to this abandonment work. For the year ended December 31, 2025 and 2024, other operating expenses, net on our consolidated statements of operations includes $19 million and $5 million, respectively, for our ongoing share of maintenance costs and well abandonment work. We continue to challenge the BSEE order.</w:t>
      </w:r>
    </w:p>
    <w:p>
      <w:pPr>
        <w:spacing w:after="0" w:line="21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2023 and 2024, the California Geologic Energy Management Division (CalGEM) plugged and abandoned approximately 120 "orphaned" oil and gas wells located in Cat Canyon, Santa Barbara County, at an aggregate cost of $25 million. These wells had previously been operated by us prior to being sold to their current operators. CalGEM is seeking to recover these costs from us due to our prior operatorship of the wells, and we are disputing these claims. In connection with this dispute, we were required to remit $25 million to CalGEM under protest pending the outcome of this matter. For the year ended December 31, 2025, other operating expenses, net on our consolidated statement of operations includes $25 million related to this matter.</w:t>
      </w:r>
    </w:p>
    <w:p>
      <w:pPr>
        <w:spacing w:after="0" w:line="5" w:lineRule="exact"/>
        <w:rPr>
          <w:sz w:val="20"/>
          <w:szCs w:val="20"/>
          <w:color w:val="auto"/>
        </w:rPr>
      </w:pPr>
    </w:p>
    <w:p>
      <w:pPr>
        <w:ind w:right="100" w:firstLine="324"/>
        <w:spacing w:after="0" w:line="258" w:lineRule="auto"/>
        <w:rPr>
          <w:sz w:val="20"/>
          <w:szCs w:val="20"/>
          <w:color w:val="auto"/>
        </w:rPr>
      </w:pPr>
      <w:r>
        <w:rPr>
          <w:rFonts w:ascii="Arial" w:cs="Arial" w:eastAsia="Arial" w:hAnsi="Arial"/>
          <w:sz w:val="18"/>
          <w:szCs w:val="18"/>
          <w:color w:val="auto"/>
        </w:rPr>
        <w:t>We have certain commitments under contracts, including drilling commitments of $8 million in 2026 and $9 million in 2027 and purchase commitments for goods and services used in the normal course of business such as pipeline capacity, easements, obligations under long-term service agreements and field equipment.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12" w:name="page113"/>
    <w:bookmarkEnd w:id="112"/>
    <w:p>
      <w:pPr>
        <w:ind w:left="340"/>
        <w:spacing w:after="0"/>
        <w:rPr>
          <w:sz w:val="20"/>
          <w:szCs w:val="20"/>
          <w:color w:val="auto"/>
        </w:rPr>
      </w:pPr>
      <w:r>
        <w:rPr>
          <w:rFonts w:ascii="Arial" w:cs="Arial" w:eastAsia="Arial" w:hAnsi="Arial"/>
          <w:sz w:val="18"/>
          <w:szCs w:val="18"/>
          <w:color w:val="auto"/>
        </w:rPr>
        <w:t>At December 31, 2025, total purchase obligations on a discounted basis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December 31, 2025</w:t>
            </w:r>
          </w:p>
        </w:tc>
      </w:tr>
      <w:tr>
        <w:trPr>
          <w:trHeight w:val="192"/>
        </w:trPr>
        <w:tc>
          <w:tcPr>
            <w:tcW w:w="9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jc w:val="right"/>
              <w:ind w:right="572"/>
              <w:spacing w:after="0"/>
              <w:rPr>
                <w:sz w:val="20"/>
                <w:szCs w:val="20"/>
                <w:color w:val="auto"/>
              </w:rPr>
            </w:pPr>
            <w:r>
              <w:rPr>
                <w:rFonts w:ascii="Arial" w:cs="Arial" w:eastAsia="Arial" w:hAnsi="Arial"/>
                <w:sz w:val="14"/>
                <w:szCs w:val="14"/>
                <w:color w:val="auto"/>
              </w:rPr>
              <w:t>(in millions)</w:t>
            </w:r>
          </w:p>
        </w:tc>
      </w:tr>
      <w:tr>
        <w:trPr>
          <w:trHeight w:val="233"/>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9160" w:type="dxa"/>
            <w:vAlign w:val="bottom"/>
          </w:tcPr>
          <w:p>
            <w:pPr>
              <w:ind w:left="20"/>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9160" w:type="dxa"/>
            <w:vAlign w:val="bottom"/>
          </w:tcPr>
          <w:p>
            <w:pPr>
              <w:ind w:left="20"/>
              <w:spacing w:after="0"/>
              <w:rPr>
                <w:sz w:val="20"/>
                <w:szCs w:val="20"/>
                <w:color w:val="auto"/>
              </w:rPr>
            </w:pPr>
            <w:r>
              <w:rPr>
                <w:rFonts w:ascii="Arial" w:cs="Arial" w:eastAsia="Arial" w:hAnsi="Arial"/>
                <w:sz w:val="18"/>
                <w:szCs w:val="18"/>
                <w:color w:val="auto"/>
              </w:rPr>
              <w:t>2029</w:t>
            </w:r>
          </w:p>
        </w:tc>
        <w:tc>
          <w:tcPr>
            <w:tcW w:w="1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48"/>
        </w:trPr>
        <w:tc>
          <w:tcPr>
            <w:tcW w:w="9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Present value of purchase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DERIVATIVES</w:t>
      </w:r>
    </w:p>
    <w:p>
      <w:pPr>
        <w:spacing w:after="0" w:line="25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continue to maintain a commodity hedging program to help protect our cash flows, margins and capital program from the volatility of commodity prices. We enter into natural gas swaps for the purpose of hedging our fuel consumption in our steamflood operations as well as swaps related to our marketing activities. We did not have any commodity derivatives designated as accounting hedges as of and during the years ended December 31, 2025, 2024 and 2023</w:t>
      </w:r>
      <w:r>
        <w:rPr>
          <w:rFonts w:ascii="Arial" w:cs="Arial" w:eastAsia="Arial" w:hAnsi="Arial"/>
          <w:sz w:val="18"/>
          <w:szCs w:val="18"/>
          <w:i w:val="1"/>
          <w:iCs w:val="1"/>
          <w:color w:val="auto"/>
        </w:rPr>
        <w:t>.</w:t>
      </w:r>
      <w:r>
        <w:rPr>
          <w:rFonts w:ascii="Arial" w:cs="Arial" w:eastAsia="Arial" w:hAnsi="Arial"/>
          <w:sz w:val="18"/>
          <w:szCs w:val="18"/>
          <w:color w:val="auto"/>
        </w:rPr>
        <w:t xml:space="preserve"> Unless otherwise indicated, we use the term "hedge" to describe derivative instruments that are designed to achieve our hedging requirements and program goals, even though they are not accounted for as accounting hedges. For more information on the hedging requirements of our Revolving Credit Facility, see </w:t>
      </w:r>
      <w:r>
        <w:rPr>
          <w:rFonts w:ascii="Arial" w:cs="Arial" w:eastAsia="Arial" w:hAnsi="Arial"/>
          <w:sz w:val="18"/>
          <w:szCs w:val="18"/>
          <w:i w:val="1"/>
          <w:iCs w:val="1"/>
          <w:color w:val="auto"/>
        </w:rPr>
        <w:t>Note 5 Debt.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Derivative Contracts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held the following Brent-based contracts as of December 31,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Q1</w:t>
            </w:r>
          </w:p>
        </w:tc>
        <w:tc>
          <w:tcPr>
            <w:tcW w:w="2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Q2</w:t>
            </w:r>
          </w:p>
        </w:tc>
        <w:tc>
          <w:tcPr>
            <w:tcW w:w="2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Q3</w:t>
            </w:r>
          </w:p>
        </w:tc>
        <w:tc>
          <w:tcPr>
            <w:tcW w:w="2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Q4</w:t>
            </w:r>
          </w:p>
        </w:tc>
        <w:tc>
          <w:tcPr>
            <w:tcW w:w="240" w:type="dxa"/>
            <w:vAlign w:val="bottom"/>
          </w:tcPr>
          <w:p>
            <w:pPr>
              <w:spacing w:after="0"/>
              <w:rPr>
                <w:sz w:val="18"/>
                <w:szCs w:val="18"/>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3840" w:type="dxa"/>
            <w:vAlign w:val="bottom"/>
            <w:vMerge w:val="restart"/>
          </w:tcPr>
          <w:p>
            <w:pPr>
              <w:ind w:left="20"/>
              <w:spacing w:after="0"/>
              <w:rPr>
                <w:sz w:val="20"/>
                <w:szCs w:val="20"/>
                <w:color w:val="auto"/>
              </w:rPr>
            </w:pPr>
            <w:r>
              <w:rPr>
                <w:rFonts w:ascii="Arial" w:cs="Arial" w:eastAsia="Arial" w:hAnsi="Arial"/>
                <w:sz w:val="18"/>
                <w:szCs w:val="18"/>
                <w:color w:val="auto"/>
              </w:rPr>
              <w:t>Sold Calls: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3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84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83.45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83.51</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83.51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83.51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71.06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38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Purchased Puts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84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61.08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61.11</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61.11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61.11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61.01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38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Swaps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384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69.25</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68.52</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68.20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67.98</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65.76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0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3" w:name="page114"/>
    <w:bookmarkEnd w:id="113"/>
    <w:p>
      <w:pPr>
        <w:jc w:val="both"/>
        <w:ind w:right="240" w:firstLine="324"/>
        <w:spacing w:after="0" w:line="287" w:lineRule="auto"/>
        <w:rPr>
          <w:sz w:val="20"/>
          <w:szCs w:val="20"/>
          <w:color w:val="auto"/>
        </w:rPr>
      </w:pPr>
      <w:r>
        <w:rPr>
          <w:rFonts w:ascii="Arial" w:cs="Arial" w:eastAsia="Arial" w:hAnsi="Arial"/>
          <w:sz w:val="18"/>
          <w:szCs w:val="18"/>
          <w:color w:val="auto"/>
        </w:rPr>
        <w:t>At December 31, 2025, we also held the following swaps to hedge purchased natural gas used in our operations as shown in the table below. The natural gas price index used to hedge each position is based on a number of factors including liquidity and transportation cost.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Q1</w:t>
            </w:r>
          </w:p>
        </w:tc>
        <w:tc>
          <w:tcPr>
            <w:tcW w:w="24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Q2</w:t>
            </w:r>
          </w:p>
        </w:tc>
        <w:tc>
          <w:tcPr>
            <w:tcW w:w="24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Q3</w:t>
            </w:r>
          </w:p>
        </w:tc>
        <w:tc>
          <w:tcPr>
            <w:tcW w:w="24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Q4</w:t>
            </w:r>
          </w:p>
        </w:tc>
        <w:tc>
          <w:tcPr>
            <w:tcW w:w="240" w:type="dxa"/>
            <w:vAlign w:val="bottom"/>
          </w:tcPr>
          <w:p>
            <w:pPr>
              <w:spacing w:after="0"/>
              <w:rPr>
                <w:sz w:val="17"/>
                <w:szCs w:val="17"/>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2028</w:t>
            </w: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SoCal Border</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Arial" w:cs="Arial" w:eastAsia="Arial" w:hAnsi="Arial"/>
                <w:sz w:val="18"/>
                <w:szCs w:val="18"/>
                <w:color w:val="auto"/>
              </w:rPr>
              <w:t>MMBtu per day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price per MMBtu</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NWPL Rockies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MMBtu per day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91,750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71,861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price per MMBtu</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In the years ended December 31, 2025 and 2024, we also had a limited number of derivative contracts related to our natural gas marketing activities that were intended to lock in locational price spreads. These derivative contracts were not significant to our results of operations or financial statements taken as a whole.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outcomes of the derivative positions are as follows:</w:t>
      </w:r>
    </w:p>
    <w:p>
      <w:pPr>
        <w:spacing w:after="0" w:line="252"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Sold calls – we make settlement payments for prices above the indicated weighted-average price per barrel.</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Purchased puts – we receive settlement payments for prices below the indicated weighted-average price per barrel.</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Swaps – with respect to swaps for crude oil, we make settlement payments for prices above the indicated weighted-average price per barrel and receive settlement payments for prices below the indicated weighted-average price per barrel. With respect to swaps for purchased natural gas, we receive settlement</w:t>
      </w:r>
    </w:p>
    <w:p>
      <w:pPr>
        <w:ind w:left="660" w:right="2560"/>
        <w:spacing w:after="0" w:line="266" w:lineRule="auto"/>
        <w:rPr>
          <w:rFonts w:ascii="Times New Roman" w:cs="Times New Roman" w:eastAsia="Times New Roman" w:hAnsi="Times New Roman"/>
          <w:sz w:val="18"/>
          <w:szCs w:val="18"/>
          <w:color w:val="auto"/>
        </w:rPr>
      </w:pPr>
      <w:r>
        <w:rPr>
          <w:rFonts w:ascii="Arial" w:cs="Arial" w:eastAsia="Arial" w:hAnsi="Arial"/>
          <w:sz w:val="18"/>
          <w:szCs w:val="18"/>
          <w:color w:val="auto"/>
        </w:rPr>
        <w:t>payments for prices above the indicated weighted-average price per MMBtu and we make settlement payments for prices below the weighted-average price per MMBtu.</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250"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Derivative instruments not designated as hedging instruments are required to be recorded on the balance sheet at fair value. We report gains and losses on our derivative contracts related to our oil production and our marketing activities in operating revenue on our consolidated statements of operations as shown in the table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8"/>
                <w:szCs w:val="18"/>
                <w:b w:val="1"/>
                <w:bCs w:val="1"/>
                <w:color w:val="auto"/>
                <w:w w:val="99"/>
              </w:rPr>
              <w:t>Year ended December 31,</w:t>
            </w:r>
          </w:p>
        </w:tc>
        <w:tc>
          <w:tcPr>
            <w:tcW w:w="1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74"/>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commodity derivative gain</w:t>
            </w:r>
          </w:p>
        </w:tc>
        <w:tc>
          <w:tcPr>
            <w:tcW w:w="252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proceeds (settlements) and premium amortization</w:t>
            </w:r>
          </w:p>
        </w:tc>
        <w:tc>
          <w:tcPr>
            <w:tcW w:w="14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 (loss) from commodity derivatives</w:t>
            </w:r>
          </w:p>
        </w:tc>
        <w:tc>
          <w:tcPr>
            <w:tcW w:w="1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ind w:right="490"/>
              <w:spacing w:after="0"/>
              <w:rPr>
                <w:sz w:val="20"/>
                <w:szCs w:val="20"/>
                <w:color w:val="auto"/>
              </w:rPr>
            </w:pPr>
            <w:r>
              <w:rPr>
                <w:rFonts w:ascii="Arial" w:cs="Arial" w:eastAsia="Arial" w:hAnsi="Arial"/>
                <w:sz w:val="18"/>
                <w:szCs w:val="18"/>
                <w:color w:val="auto"/>
              </w:rPr>
              <w:t>114</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4" w:name="page115"/>
    <w:bookmarkEnd w:id="114"/>
    <w:p>
      <w:pPr>
        <w:ind w:right="1040" w:firstLine="324"/>
        <w:spacing w:after="0" w:line="287" w:lineRule="auto"/>
        <w:rPr>
          <w:sz w:val="20"/>
          <w:szCs w:val="20"/>
          <w:color w:val="auto"/>
        </w:rPr>
      </w:pPr>
      <w:r>
        <w:rPr>
          <w:rFonts w:ascii="Arial" w:cs="Arial" w:eastAsia="Arial" w:hAnsi="Arial"/>
          <w:sz w:val="18"/>
          <w:szCs w:val="18"/>
          <w:color w:val="auto"/>
        </w:rPr>
        <w:t>We report gains and losses on our commodity derivative contracts to purchases of natural gas in operating expenses on our consolidated statements of operations as shown in the table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320" w:type="dxa"/>
            <w:vAlign w:val="bottom"/>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2025</w:t>
            </w:r>
          </w:p>
        </w:tc>
        <w:tc>
          <w:tcPr>
            <w:tcW w:w="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14"/>
              <w:spacing w:after="0"/>
              <w:rPr>
                <w:sz w:val="20"/>
                <w:szCs w:val="20"/>
                <w:color w:val="auto"/>
              </w:rPr>
            </w:pPr>
            <w:r>
              <w:rPr>
                <w:rFonts w:ascii="Arial" w:cs="Arial" w:eastAsia="Arial" w:hAnsi="Arial"/>
                <w:sz w:val="18"/>
                <w:szCs w:val="18"/>
                <w:b w:val="1"/>
                <w:bCs w:val="1"/>
                <w:color w:val="auto"/>
                <w:w w:val="99"/>
              </w:rPr>
              <w:t>2024</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r>
      <w:tr>
        <w:trPr>
          <w:trHeight w:val="233"/>
        </w:trPr>
        <w:tc>
          <w:tcPr>
            <w:tcW w:w="6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loss (gain) on natural gas purchase derivatives</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Settlements</w:t>
            </w: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on natural gas purchase derivatives</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Our derivative contracts are measured at fair value using industry-standard models with various inputs, including quoted forward prices, and are classified as Level 2 in the required fair value hierarchy for the periods presented.</w:t>
      </w:r>
    </w:p>
    <w:p>
      <w:pPr>
        <w:spacing w:after="0" w:line="180" w:lineRule="exact"/>
        <w:rPr>
          <w:sz w:val="20"/>
          <w:szCs w:val="20"/>
          <w:color w:val="auto"/>
        </w:rPr>
      </w:pPr>
    </w:p>
    <w:p>
      <w:pPr>
        <w:jc w:val="both"/>
        <w:ind w:right="100" w:firstLine="324"/>
        <w:spacing w:after="0" w:line="268" w:lineRule="auto"/>
        <w:rPr>
          <w:sz w:val="20"/>
          <w:szCs w:val="20"/>
          <w:color w:val="auto"/>
        </w:rPr>
      </w:pPr>
      <w:r>
        <w:rPr>
          <w:rFonts w:ascii="Arial" w:cs="Arial" w:eastAsia="Arial" w:hAnsi="Arial"/>
          <w:sz w:val="18"/>
          <w:szCs w:val="18"/>
          <w:color w:val="auto"/>
        </w:rPr>
        <w:t>Our derivative contracts are measured at fair value using industry-standard models with various inputs, including quoted forward prices, and are classified as Level 2 in the required fair value hierarchy for the periods presented. The following tables present the fair values of our outstanding commodity derivatives as of December 31, 2025 and December 31, 2024.</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2025</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2000" w:type="dxa"/>
            <w:vAlign w:val="bottom"/>
            <w:tcBorders>
              <w:top w:val="single" w:sz="8" w:color="auto"/>
            </w:tcBorders>
          </w:tcPr>
          <w:p>
            <w:pPr>
              <w:spacing w:after="0"/>
              <w:rPr>
                <w:sz w:val="15"/>
                <w:szCs w:val="15"/>
                <w:color w:val="auto"/>
              </w:rPr>
            </w:pPr>
          </w:p>
        </w:tc>
        <w:tc>
          <w:tcPr>
            <w:tcW w:w="31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Borders>
              <w:top w:val="single" w:sz="8" w:color="auto"/>
            </w:tcBorders>
            <w:vMerge w:val="restart"/>
          </w:tcPr>
          <w:p>
            <w:pPr>
              <w:spacing w:after="0"/>
              <w:rPr>
                <w:sz w:val="15"/>
                <w:szCs w:val="15"/>
                <w:color w:val="auto"/>
              </w:rPr>
            </w:pPr>
          </w:p>
        </w:tc>
        <w:tc>
          <w:tcPr>
            <w:tcW w:w="140" w:type="dxa"/>
            <w:vAlign w:val="bottom"/>
            <w:tcBorders>
              <w:top w:val="single" w:sz="8" w:color="auto"/>
            </w:tcBorders>
            <w:vMerge w:val="restart"/>
          </w:tcPr>
          <w:p>
            <w:pPr>
              <w:spacing w:after="0"/>
              <w:rPr>
                <w:sz w:val="15"/>
                <w:szCs w:val="15"/>
                <w:color w:val="auto"/>
              </w:rPr>
            </w:pPr>
          </w:p>
        </w:tc>
        <w:tc>
          <w:tcPr>
            <w:tcW w:w="1880" w:type="dxa"/>
            <w:vAlign w:val="bottom"/>
            <w:tcBorders>
              <w:top w:val="single" w:sz="8" w:color="auto"/>
            </w:tcBorders>
            <w:gridSpan w:val="2"/>
          </w:tcPr>
          <w:p>
            <w:pPr>
              <w:ind w:left="40"/>
              <w:spacing w:after="0" w:line="177" w:lineRule="exact"/>
              <w:rPr>
                <w:sz w:val="20"/>
                <w:szCs w:val="20"/>
                <w:color w:val="auto"/>
              </w:rPr>
            </w:pPr>
            <w:r>
              <w:rPr>
                <w:rFonts w:ascii="Arial" w:cs="Arial" w:eastAsia="Arial" w:hAnsi="Arial"/>
                <w:sz w:val="18"/>
                <w:szCs w:val="18"/>
                <w:b w:val="1"/>
                <w:bCs w:val="1"/>
                <w:color w:val="auto"/>
              </w:rPr>
              <w:t>Gross Amounts at</w:t>
            </w:r>
          </w:p>
        </w:tc>
        <w:tc>
          <w:tcPr>
            <w:tcW w:w="3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vMerge w:val="restart"/>
          </w:tcPr>
          <w:p>
            <w:pPr>
              <w:jc w:val="center"/>
              <w:ind w:right="253"/>
              <w:spacing w:after="0"/>
              <w:rPr>
                <w:sz w:val="20"/>
                <w:szCs w:val="20"/>
                <w:color w:val="auto"/>
              </w:rPr>
            </w:pPr>
            <w:r>
              <w:rPr>
                <w:rFonts w:ascii="Arial" w:cs="Arial" w:eastAsia="Arial" w:hAnsi="Arial"/>
                <w:sz w:val="18"/>
                <w:szCs w:val="18"/>
                <w:b w:val="1"/>
                <w:bCs w:val="1"/>
                <w:color w:val="auto"/>
                <w:w w:val="99"/>
              </w:rPr>
              <w:t>Netting</w:t>
            </w:r>
          </w:p>
        </w:tc>
        <w:tc>
          <w:tcPr>
            <w:tcW w:w="100" w:type="dxa"/>
            <w:vAlign w:val="bottom"/>
            <w:tcBorders>
              <w:top w:val="single" w:sz="8" w:color="auto"/>
            </w:tcBorders>
            <w:vMerge w:val="restart"/>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35"/>
        </w:trPr>
        <w:tc>
          <w:tcPr>
            <w:tcW w:w="20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7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Other current assets, net</w:t>
            </w:r>
          </w:p>
        </w:tc>
        <w:tc>
          <w:tcPr>
            <w:tcW w:w="3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liabilities</w:t>
            </w:r>
          </w:p>
        </w:tc>
        <w:tc>
          <w:tcPr>
            <w:tcW w:w="3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200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2024</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2000" w:type="dxa"/>
            <w:vAlign w:val="bottom"/>
            <w:tcBorders>
              <w:top w:val="single" w:sz="8" w:color="auto"/>
            </w:tcBorders>
          </w:tcPr>
          <w:p>
            <w:pPr>
              <w:spacing w:after="0"/>
              <w:rPr>
                <w:sz w:val="14"/>
                <w:szCs w:val="14"/>
                <w:color w:val="auto"/>
              </w:rPr>
            </w:pPr>
          </w:p>
        </w:tc>
        <w:tc>
          <w:tcPr>
            <w:tcW w:w="31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Borders>
              <w:top w:val="single" w:sz="8" w:color="auto"/>
            </w:tcBorders>
            <w:vMerge w:val="restart"/>
          </w:tcPr>
          <w:p>
            <w:pPr>
              <w:spacing w:after="0"/>
              <w:rPr>
                <w:sz w:val="14"/>
                <w:szCs w:val="14"/>
                <w:color w:val="auto"/>
              </w:rPr>
            </w:pPr>
          </w:p>
        </w:tc>
        <w:tc>
          <w:tcPr>
            <w:tcW w:w="140" w:type="dxa"/>
            <w:vAlign w:val="bottom"/>
            <w:tcBorders>
              <w:top w:val="single" w:sz="8" w:color="auto"/>
            </w:tcBorders>
            <w:vMerge w:val="restart"/>
          </w:tcPr>
          <w:p>
            <w:pPr>
              <w:spacing w:after="0"/>
              <w:rPr>
                <w:sz w:val="14"/>
                <w:szCs w:val="14"/>
                <w:color w:val="auto"/>
              </w:rPr>
            </w:pPr>
          </w:p>
        </w:tc>
        <w:tc>
          <w:tcPr>
            <w:tcW w:w="1880" w:type="dxa"/>
            <w:vAlign w:val="bottom"/>
            <w:tcBorders>
              <w:top w:val="single" w:sz="8" w:color="auto"/>
            </w:tcBorders>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9"/>
              </w:rPr>
              <w:t>Gross Amounts at</w:t>
            </w:r>
          </w:p>
        </w:tc>
        <w:tc>
          <w:tcPr>
            <w:tcW w:w="3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vMerge w:val="restart"/>
          </w:tcPr>
          <w:p>
            <w:pPr>
              <w:jc w:val="center"/>
              <w:ind w:right="253"/>
              <w:spacing w:after="0"/>
              <w:rPr>
                <w:sz w:val="20"/>
                <w:szCs w:val="20"/>
                <w:color w:val="auto"/>
              </w:rPr>
            </w:pPr>
            <w:r>
              <w:rPr>
                <w:rFonts w:ascii="Arial" w:cs="Arial" w:eastAsia="Arial" w:hAnsi="Arial"/>
                <w:sz w:val="18"/>
                <w:szCs w:val="18"/>
                <w:b w:val="1"/>
                <w:bCs w:val="1"/>
                <w:color w:val="auto"/>
                <w:w w:val="99"/>
              </w:rPr>
              <w:t>Netting</w:t>
            </w:r>
          </w:p>
        </w:tc>
        <w:tc>
          <w:tcPr>
            <w:tcW w:w="100" w:type="dxa"/>
            <w:vAlign w:val="bottom"/>
            <w:tcBorders>
              <w:top w:val="single" w:sz="8" w:color="auto"/>
            </w:tcBorders>
            <w:vMerge w:val="restart"/>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43"/>
        </w:trPr>
        <w:tc>
          <w:tcPr>
            <w:tcW w:w="20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7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Fair Value</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Other current assets, net</w:t>
            </w:r>
          </w:p>
        </w:tc>
        <w:tc>
          <w:tcPr>
            <w:tcW w:w="3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center"/>
              <w:ind w:left="1310"/>
              <w:spacing w:after="0"/>
              <w:rPr>
                <w:sz w:val="20"/>
                <w:szCs w:val="20"/>
                <w:color w:val="auto"/>
              </w:rPr>
            </w:pPr>
            <w:r>
              <w:rPr>
                <w:rFonts w:ascii="Arial" w:cs="Arial" w:eastAsia="Arial" w:hAnsi="Arial"/>
                <w:sz w:val="18"/>
                <w:szCs w:val="18"/>
                <w:color w:val="auto"/>
                <w:w w:val="99"/>
              </w:rPr>
              <w:t>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center"/>
              <w:ind w:left="1210"/>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center"/>
              <w:ind w:left="1310"/>
              <w:spacing w:after="0"/>
              <w:rPr>
                <w:sz w:val="20"/>
                <w:szCs w:val="20"/>
                <w:color w:val="auto"/>
              </w:rPr>
            </w:pPr>
            <w:r>
              <w:rPr>
                <w:rFonts w:ascii="Arial" w:cs="Arial" w:eastAsia="Arial" w:hAnsi="Arial"/>
                <w:sz w:val="18"/>
                <w:szCs w:val="18"/>
                <w:color w:val="auto"/>
                <w:w w:val="99"/>
              </w:rPr>
              <w:t>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center"/>
              <w:ind w:left="1210"/>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center"/>
              <w:ind w:left="1310"/>
              <w:spacing w:after="0"/>
              <w:rPr>
                <w:sz w:val="20"/>
                <w:szCs w:val="20"/>
                <w:color w:val="auto"/>
              </w:rPr>
            </w:pPr>
            <w:r>
              <w:rPr>
                <w:rFonts w:ascii="Arial" w:cs="Arial" w:eastAsia="Arial" w:hAnsi="Arial"/>
                <w:sz w:val="18"/>
                <w:szCs w:val="18"/>
                <w:color w:val="auto"/>
                <w:w w:val="99"/>
              </w:rPr>
              <w:t>(62)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center"/>
              <w:ind w:left="1210"/>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30"/>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liabilities</w:t>
            </w:r>
          </w:p>
        </w:tc>
        <w:tc>
          <w:tcPr>
            <w:tcW w:w="3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left="1310"/>
              <w:spacing w:after="0"/>
              <w:rPr>
                <w:sz w:val="20"/>
                <w:szCs w:val="20"/>
                <w:color w:val="auto"/>
              </w:rPr>
            </w:pPr>
            <w:r>
              <w:rPr>
                <w:rFonts w:ascii="Arial" w:cs="Arial" w:eastAsia="Arial" w:hAnsi="Arial"/>
                <w:sz w:val="18"/>
                <w:szCs w:val="18"/>
                <w:color w:val="auto"/>
                <w:w w:val="99"/>
              </w:rPr>
              <w:t>(61)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left="1210"/>
              <w:spacing w:after="0"/>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248"/>
        </w:trPr>
        <w:tc>
          <w:tcPr>
            <w:tcW w:w="200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center"/>
              <w:ind w:left="1310"/>
              <w:spacing w:after="0"/>
              <w:rPr>
                <w:sz w:val="20"/>
                <w:szCs w:val="20"/>
                <w:color w:val="auto"/>
              </w:rPr>
            </w:pPr>
            <w:r>
              <w:rPr>
                <w:rFonts w:ascii="Arial" w:cs="Arial" w:eastAsia="Arial" w:hAnsi="Arial"/>
                <w:sz w:val="18"/>
                <w:szCs w:val="18"/>
                <w:color w:val="auto"/>
                <w:w w:val="99"/>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center"/>
              <w:ind w:left="1210"/>
              <w:spacing w:after="0"/>
              <w:rPr>
                <w:sz w:val="20"/>
                <w:szCs w:val="20"/>
                <w:color w:val="auto"/>
              </w:rPr>
            </w:pPr>
            <w:r>
              <w:rPr>
                <w:rFonts w:ascii="Arial" w:cs="Arial" w:eastAsia="Arial" w:hAnsi="Arial"/>
                <w:sz w:val="18"/>
                <w:szCs w:val="18"/>
                <w:color w:val="auto"/>
                <w:w w:val="99"/>
              </w:rPr>
              <w:t>(65)</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50"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As of December 31, 2025, the majority of our credit exposure was with investment-grade counterparties. We actively evaluate the creditworthiness of our counterparties, assign credit limits and monitor exposure against those assigned limits. We believe exposure to credit-related losses was not significant for all periods presented. At December 31, 2025, and 2024, we did not have collateral posted for financial instruments.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15" w:name="page116"/>
    <w:bookmarkEnd w:id="115"/>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INCOME TAXES</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Income before income taxes, for all periods presented, was generated from domestic operations. The provision (benefit) for income taxes includes the following components: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center"/>
              <w:ind w:left="110"/>
              <w:spacing w:after="0"/>
              <w:rPr>
                <w:sz w:val="20"/>
                <w:szCs w:val="20"/>
                <w:color w:val="auto"/>
              </w:rPr>
            </w:pPr>
            <w:r>
              <w:rPr>
                <w:rFonts w:ascii="Arial" w:cs="Arial" w:eastAsia="Arial" w:hAnsi="Arial"/>
                <w:sz w:val="18"/>
                <w:szCs w:val="18"/>
                <w:b w:val="1"/>
                <w:bCs w:val="1"/>
                <w:color w:val="auto"/>
                <w:w w:val="99"/>
              </w:rPr>
              <w:t>Year ended December 31,</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3"/>
          </w:tcPr>
          <w:p>
            <w:pPr>
              <w:ind w:left="660"/>
              <w:spacing w:after="0"/>
              <w:rPr>
                <w:sz w:val="20"/>
                <w:szCs w:val="20"/>
                <w:color w:val="auto"/>
              </w:rPr>
            </w:pPr>
            <w:r>
              <w:rPr>
                <w:rFonts w:ascii="Arial" w:cs="Arial" w:eastAsia="Arial" w:hAnsi="Arial"/>
                <w:sz w:val="18"/>
                <w:szCs w:val="18"/>
                <w:b w:val="1"/>
                <w:bCs w:val="1"/>
                <w:color w:val="auto"/>
              </w:rPr>
              <w:t>2025</w:t>
            </w:r>
          </w:p>
        </w:tc>
        <w:tc>
          <w:tcPr>
            <w:tcW w:w="480" w:type="dxa"/>
            <w:vAlign w:val="bottom"/>
          </w:tcPr>
          <w:p>
            <w:pPr>
              <w:spacing w:after="0"/>
              <w:rPr>
                <w:sz w:val="19"/>
                <w:szCs w:val="19"/>
                <w:color w:val="auto"/>
              </w:rPr>
            </w:pPr>
          </w:p>
        </w:tc>
        <w:tc>
          <w:tcPr>
            <w:tcW w:w="1460" w:type="dxa"/>
            <w:vAlign w:val="bottom"/>
            <w:gridSpan w:val="2"/>
          </w:tcPr>
          <w:p>
            <w:pPr>
              <w:jc w:val="center"/>
              <w:ind w:left="413"/>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33"/>
        </w:trPr>
        <w:tc>
          <w:tcPr>
            <w:tcW w:w="4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top w:val="single" w:sz="8" w:color="auto"/>
            </w:tcBorders>
          </w:tcPr>
          <w:p>
            <w:pPr>
              <w:jc w:val="center"/>
              <w:ind w:left="336"/>
              <w:spacing w:after="0"/>
              <w:rPr>
                <w:sz w:val="20"/>
                <w:szCs w:val="20"/>
                <w:color w:val="auto"/>
              </w:rPr>
            </w:pPr>
            <w:r>
              <w:rPr>
                <w:rFonts w:ascii="Arial" w:cs="Arial" w:eastAsia="Arial" w:hAnsi="Arial"/>
                <w:sz w:val="14"/>
                <w:szCs w:val="14"/>
                <w:color w:val="auto"/>
              </w:rPr>
              <w:t>(in millions)</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w:t>
            </w:r>
          </w:p>
        </w:tc>
        <w:tc>
          <w:tcPr>
            <w:tcW w:w="8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60" w:type="dxa"/>
            <w:vAlign w:val="bottom"/>
            <w:gridSpan w:val="2"/>
            <w:shd w:val="clear" w:color="auto" w:fill="CCEEFF"/>
          </w:tcPr>
          <w:p>
            <w:pPr>
              <w:jc w:val="right"/>
              <w:ind w:right="1156"/>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 and local</w:t>
            </w:r>
          </w:p>
        </w:tc>
        <w:tc>
          <w:tcPr>
            <w:tcW w:w="84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tax provision</w:t>
            </w: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color w:val="auto"/>
              </w:rPr>
              <w:t>U.S. federal</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360" w:type="dxa"/>
            <w:vAlign w:val="bottom"/>
          </w:tcPr>
          <w:p>
            <w:pPr>
              <w:jc w:val="right"/>
              <w:ind w:right="1156"/>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w:t>
            </w: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tax provision</w:t>
            </w:r>
          </w:p>
        </w:tc>
        <w:tc>
          <w:tcPr>
            <w:tcW w:w="84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tax provision</w:t>
            </w: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rPr>
              <w:t>Income taxes paid, net of refunds, by jurisdiction are as follows:</w:t>
            </w:r>
          </w:p>
        </w:tc>
        <w:tc>
          <w:tcPr>
            <w:tcW w:w="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54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45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ind w:left="80"/>
              <w:spacing w:after="0"/>
              <w:rPr>
                <w:sz w:val="20"/>
                <w:szCs w:val="20"/>
                <w:color w:val="auto"/>
              </w:rPr>
            </w:pPr>
            <w:r>
              <w:rPr>
                <w:rFonts w:ascii="Arial" w:cs="Arial" w:eastAsia="Arial" w:hAnsi="Arial"/>
                <w:sz w:val="18"/>
                <w:szCs w:val="18"/>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79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796"/>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gridSpan w:val="2"/>
          </w:tcPr>
          <w:p>
            <w:pPr>
              <w:jc w:val="right"/>
              <w:ind w:right="616"/>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31</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 and local</w:t>
            </w:r>
          </w:p>
        </w:tc>
        <w:tc>
          <w:tcPr>
            <w:tcW w:w="8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taxes paid</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gridSpan w:val="2"/>
            <w:shd w:val="clear" w:color="auto" w:fill="CCEEFF"/>
          </w:tcPr>
          <w:p>
            <w:pPr>
              <w:ind w:left="1040"/>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Our effective tax rate differs from the amount computed by applying the U.S. federal income tax statutory rate to income before income taxes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Amount</w:t>
            </w: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6"/>
              </w:rPr>
              <w:t>Percent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Amount</w:t>
            </w: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6"/>
              </w:rPr>
              <w:t>Percent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Amount</w:t>
            </w: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6"/>
              </w:rPr>
              <w:t>Percent</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line="176" w:lineRule="exact"/>
              <w:rPr>
                <w:sz w:val="20"/>
                <w:szCs w:val="20"/>
                <w:color w:val="auto"/>
              </w:rPr>
            </w:pPr>
            <w:r>
              <w:rPr>
                <w:rFonts w:ascii="Arial" w:cs="Arial" w:eastAsia="Arial" w:hAnsi="Arial"/>
                <w:sz w:val="18"/>
                <w:szCs w:val="18"/>
                <w:color w:val="auto"/>
              </w:rPr>
              <w:t>State and local income taxes, net of federal income</w:t>
            </w:r>
          </w:p>
        </w:tc>
        <w:tc>
          <w:tcPr>
            <w:tcW w:w="160" w:type="dxa"/>
            <w:vAlign w:val="bottom"/>
          </w:tcPr>
          <w:p>
            <w:pPr>
              <w:spacing w:after="0"/>
              <w:rPr>
                <w:sz w:val="15"/>
                <w:szCs w:val="15"/>
                <w:color w:val="auto"/>
              </w:rPr>
            </w:pPr>
          </w:p>
        </w:tc>
        <w:tc>
          <w:tcPr>
            <w:tcW w:w="1160" w:type="dxa"/>
            <w:vAlign w:val="bottom"/>
            <w:vMerge w:val="restart"/>
          </w:tcPr>
          <w:p>
            <w:pPr>
              <w:jc w:val="right"/>
              <w:ind w:right="270"/>
              <w:spacing w:after="0"/>
              <w:rPr>
                <w:sz w:val="20"/>
                <w:szCs w:val="20"/>
                <w:color w:val="auto"/>
              </w:rPr>
            </w:pPr>
            <w:r>
              <w:rPr>
                <w:rFonts w:ascii="Arial" w:cs="Arial" w:eastAsia="Arial" w:hAnsi="Arial"/>
                <w:sz w:val="18"/>
                <w:szCs w:val="18"/>
                <w:color w:val="auto"/>
              </w:rPr>
              <w:t>38</w:t>
            </w:r>
          </w:p>
        </w:tc>
        <w:tc>
          <w:tcPr>
            <w:tcW w:w="88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ind w:right="250"/>
              <w:spacing w:after="0"/>
              <w:rPr>
                <w:sz w:val="20"/>
                <w:szCs w:val="20"/>
                <w:color w:val="auto"/>
              </w:rPr>
            </w:pPr>
            <w:r>
              <w:rPr>
                <w:rFonts w:ascii="Arial" w:cs="Arial" w:eastAsia="Arial" w:hAnsi="Arial"/>
                <w:sz w:val="18"/>
                <w:szCs w:val="18"/>
                <w:color w:val="auto"/>
              </w:rPr>
              <w:t>38</w:t>
            </w:r>
          </w:p>
        </w:tc>
        <w:tc>
          <w:tcPr>
            <w:tcW w:w="900" w:type="dxa"/>
            <w:vAlign w:val="bottom"/>
            <w:vMerge w:val="restart"/>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color w:val="auto"/>
              </w:rPr>
              <w:t>40</w:t>
            </w:r>
          </w:p>
        </w:tc>
        <w:tc>
          <w:tcPr>
            <w:tcW w:w="900" w:type="dxa"/>
            <w:vAlign w:val="bottom"/>
            <w:vMerge w:val="restart"/>
          </w:tcPr>
          <w:p>
            <w:pPr>
              <w:jc w:val="right"/>
              <w:ind w:right="1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line="243" w:lineRule="exact"/>
              <w:rPr>
                <w:sz w:val="20"/>
                <w:szCs w:val="20"/>
                <w:color w:val="auto"/>
              </w:rPr>
            </w:pPr>
            <w:r>
              <w:rPr>
                <w:rFonts w:ascii="Arial" w:cs="Arial" w:eastAsia="Arial" w:hAnsi="Arial"/>
                <w:sz w:val="18"/>
                <w:szCs w:val="18"/>
                <w:color w:val="auto"/>
              </w:rPr>
              <w:t>tax effect</w:t>
            </w:r>
            <w:r>
              <w:rPr>
                <w:rFonts w:ascii="Arial" w:cs="Arial" w:eastAsia="Arial" w:hAnsi="Arial"/>
                <w:sz w:val="23"/>
                <w:szCs w:val="23"/>
                <w:color w:val="auto"/>
                <w:vertAlign w:val="superscript"/>
              </w:rPr>
              <w:t>(a)</w:t>
            </w:r>
          </w:p>
        </w:tc>
        <w:tc>
          <w:tcPr>
            <w:tcW w:w="16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Marginal well credit</w:t>
            </w:r>
          </w:p>
        </w:tc>
        <w:tc>
          <w:tcPr>
            <w:tcW w:w="16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tax credit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line="230" w:lineRule="exact"/>
              <w:rPr>
                <w:sz w:val="20"/>
                <w:szCs w:val="20"/>
                <w:color w:val="auto"/>
              </w:rPr>
            </w:pPr>
            <w:r>
              <w:rPr>
                <w:rFonts w:ascii="Arial" w:cs="Arial" w:eastAsia="Arial" w:hAnsi="Arial"/>
                <w:sz w:val="18"/>
                <w:szCs w:val="18"/>
                <w:color w:val="auto"/>
              </w:rPr>
              <w:t>Nontaxable or nondeductible items</w:t>
            </w:r>
            <w:r>
              <w:rPr>
                <w:rFonts w:ascii="Arial" w:cs="Arial" w:eastAsia="Arial" w:hAnsi="Arial"/>
                <w:sz w:val="23"/>
                <w:szCs w:val="23"/>
                <w:color w:val="auto"/>
                <w:vertAlign w:val="superscript"/>
              </w:rPr>
              <w:t>(b)</w:t>
            </w:r>
          </w:p>
        </w:tc>
        <w:tc>
          <w:tcPr>
            <w:tcW w:w="160" w:type="dxa"/>
            <w:vAlign w:val="bottom"/>
          </w:tcPr>
          <w:p>
            <w:pPr>
              <w:spacing w:after="0"/>
              <w:rPr>
                <w:sz w:val="19"/>
                <w:szCs w:val="19"/>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8</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9</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6</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Other adjustments</w:t>
            </w:r>
          </w:p>
        </w:tc>
        <w:tc>
          <w:tcPr>
            <w:tcW w:w="160" w:type="dxa"/>
            <w:vAlign w:val="bottom"/>
          </w:tcPr>
          <w:p>
            <w:pPr>
              <w:spacing w:after="0"/>
              <w:rPr>
                <w:sz w:val="19"/>
                <w:szCs w:val="19"/>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139</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140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184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State and local income taxes are predominately in California and, with the closing of the Berry Merger, Utah.</w:t>
      </w:r>
    </w:p>
    <w:p>
      <w:pPr>
        <w:spacing w:after="0" w:line="15" w:lineRule="exact"/>
        <w:rPr>
          <w:rFonts w:ascii="Arial" w:cs="Arial" w:eastAsia="Arial" w:hAnsi="Arial"/>
          <w:sz w:val="14"/>
          <w:szCs w:val="14"/>
          <w:color w:val="auto"/>
        </w:rPr>
      </w:pPr>
    </w:p>
    <w:p>
      <w:pPr>
        <w:ind w:left="340" w:right="20" w:hanging="332"/>
        <w:spacing w:after="0" w:line="284" w:lineRule="auto"/>
        <w:tabs>
          <w:tab w:leader="none" w:pos="327" w:val="left"/>
        </w:tabs>
        <w:numPr>
          <w:ilvl w:val="0"/>
          <w:numId w:val="53"/>
        </w:numPr>
        <w:rPr>
          <w:rFonts w:ascii="Arial" w:cs="Arial" w:eastAsia="Arial" w:hAnsi="Arial"/>
          <w:sz w:val="14"/>
          <w:szCs w:val="14"/>
          <w:color w:val="auto"/>
        </w:rPr>
      </w:pPr>
      <w:r>
        <w:rPr>
          <w:rFonts w:ascii="Arial" w:cs="Arial" w:eastAsia="Arial" w:hAnsi="Arial"/>
          <w:sz w:val="14"/>
          <w:szCs w:val="14"/>
          <w:color w:val="auto"/>
        </w:rPr>
        <w:t>Nontaxable or nondeductible items include executive compensation where the deduction is limited and transaction costs which must be capitalized. These transaction costs are generally only deductible upon the disposition on the acquired stock.</w:t>
      </w:r>
    </w:p>
    <w:p>
      <w:pPr>
        <w:spacing w:after="0" w:line="18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During the year ended December 31, 2023, we released a valuation allowance for a portion of the tax loss on the sale of assets after we jointly agreed to amend the original tax treatment with the buyer. This valuation allowance was initially recorded during the year ended December 31, 2022 for the realizability of a capital loss on the asset sale, the deductibility of which was limited. Changes related to the valuation allowance related to state taxes is included as state and local income taxes, net of federal income tax effect in our rate reconciliation above.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6" w:name="page117"/>
    <w:bookmarkEnd w:id="116"/>
    <w:p>
      <w:pPr>
        <w:ind w:right="200" w:firstLine="324"/>
        <w:spacing w:after="0" w:line="273" w:lineRule="auto"/>
        <w:rPr>
          <w:sz w:val="20"/>
          <w:szCs w:val="20"/>
          <w:color w:val="auto"/>
        </w:rPr>
      </w:pPr>
      <w:r>
        <w:rPr>
          <w:rFonts w:ascii="Arial" w:cs="Arial" w:eastAsia="Arial" w:hAnsi="Arial"/>
          <w:sz w:val="18"/>
          <w:szCs w:val="18"/>
          <w:color w:val="auto"/>
        </w:rPr>
        <w:t>The tax effects of temporary differences resulting in deferred income tax assets and liabilities at December 31, 2025 and 2024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2025</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2024</w:t>
            </w:r>
          </w:p>
        </w:tc>
        <w:tc>
          <w:tcPr>
            <w:tcW w:w="1280" w:type="dxa"/>
            <w:vAlign w:val="bottom"/>
            <w:tcBorders>
              <w:bottom w:val="single" w:sz="8" w:color="auto"/>
            </w:tcBorders>
          </w:tcPr>
          <w:p>
            <w:pPr>
              <w:spacing w:after="0"/>
              <w:rPr>
                <w:sz w:val="20"/>
                <w:szCs w:val="20"/>
                <w:color w:val="auto"/>
              </w:rPr>
            </w:pPr>
          </w:p>
        </w:tc>
      </w:tr>
      <w:tr>
        <w:trPr>
          <w:trHeight w:val="169"/>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Deferred Tax</w:t>
            </w:r>
          </w:p>
        </w:tc>
        <w:tc>
          <w:tcPr>
            <w:tcW w:w="180" w:type="dxa"/>
            <w:vAlign w:val="bottom"/>
          </w:tcPr>
          <w:p>
            <w:pPr>
              <w:spacing w:after="0"/>
              <w:rPr>
                <w:sz w:val="14"/>
                <w:szCs w:val="14"/>
                <w:color w:val="auto"/>
              </w:rPr>
            </w:pPr>
          </w:p>
        </w:tc>
        <w:tc>
          <w:tcPr>
            <w:tcW w:w="1280" w:type="dxa"/>
            <w:vAlign w:val="bottom"/>
          </w:tcPr>
          <w:p>
            <w:pPr>
              <w:spacing w:after="0" w:line="169" w:lineRule="exact"/>
              <w:rPr>
                <w:sz w:val="20"/>
                <w:szCs w:val="20"/>
                <w:color w:val="auto"/>
              </w:rPr>
            </w:pPr>
            <w:r>
              <w:rPr>
                <w:rFonts w:ascii="Arial" w:cs="Arial" w:eastAsia="Arial" w:hAnsi="Arial"/>
                <w:sz w:val="18"/>
                <w:szCs w:val="18"/>
                <w:b w:val="1"/>
                <w:bCs w:val="1"/>
                <w:color w:val="auto"/>
              </w:rPr>
              <w:t>Deferred Tax</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Deferred Tax</w:t>
            </w:r>
          </w:p>
        </w:tc>
        <w:tc>
          <w:tcPr>
            <w:tcW w:w="180" w:type="dxa"/>
            <w:vAlign w:val="bottom"/>
          </w:tcPr>
          <w:p>
            <w:pPr>
              <w:spacing w:after="0"/>
              <w:rPr>
                <w:sz w:val="14"/>
                <w:szCs w:val="14"/>
                <w:color w:val="auto"/>
              </w:rPr>
            </w:pPr>
          </w:p>
        </w:tc>
        <w:tc>
          <w:tcPr>
            <w:tcW w:w="128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w w:val="98"/>
              </w:rPr>
              <w:t>Deferred Tax</w:t>
            </w:r>
          </w:p>
        </w:tc>
      </w:tr>
      <w:tr>
        <w:trPr>
          <w:trHeight w:val="243"/>
        </w:trPr>
        <w:tc>
          <w:tcPr>
            <w:tcW w:w="50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Liabilities</w:t>
            </w:r>
          </w:p>
        </w:tc>
      </w:tr>
      <w:tr>
        <w:trPr>
          <w:trHeight w:val="232"/>
        </w:trPr>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gridSpan w:val="5"/>
          </w:tcPr>
          <w:p>
            <w:pPr>
              <w:ind w:left="96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9"/>
              </w:rPr>
              <w:t>(698)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Deferred compensation and benefits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Operating loss and tax credit carryforwards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interest carryforward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9"/>
              </w:rPr>
              <w:t>(101)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99"/>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60" w:firstLine="324"/>
        <w:spacing w:after="0" w:line="287" w:lineRule="auto"/>
        <w:rPr>
          <w:sz w:val="20"/>
          <w:szCs w:val="20"/>
          <w:color w:val="auto"/>
        </w:rPr>
      </w:pPr>
      <w:r>
        <w:rPr>
          <w:rFonts w:ascii="Arial" w:cs="Arial" w:eastAsia="Arial" w:hAnsi="Arial"/>
          <w:sz w:val="18"/>
          <w:szCs w:val="18"/>
          <w:color w:val="auto"/>
        </w:rPr>
        <w:t>We expect to realize our deferred tax assets through future operating income and reversal of taxable temporary differences. The amount of deferred tax assets considered realizable is not assured and could be adjusted if estimates change.</w:t>
      </w:r>
    </w:p>
    <w:p>
      <w:pPr>
        <w:spacing w:after="0" w:line="180"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 xml:space="preserve">Changes in our deferred tax assets and liabilities in 2025 includes an increase in our deferred tax asset of $121 million related to the Berry Merger and an increase in our deferred tax liability of $70 million related to finalizing the purchase accounting for the Aera Merger. See </w:t>
      </w:r>
      <w:r>
        <w:rPr>
          <w:rFonts w:ascii="Arial" w:cs="Arial" w:eastAsia="Arial" w:hAnsi="Arial"/>
          <w:sz w:val="18"/>
          <w:szCs w:val="18"/>
          <w:i w:val="1"/>
          <w:iCs w:val="1"/>
          <w:color w:val="auto"/>
        </w:rPr>
        <w:t xml:space="preserve">Note 2 Business Combinations </w:t>
      </w:r>
      <w:r>
        <w:rPr>
          <w:rFonts w:ascii="Arial" w:cs="Arial" w:eastAsia="Arial" w:hAnsi="Arial"/>
          <w:sz w:val="18"/>
          <w:szCs w:val="18"/>
          <w:color w:val="auto"/>
        </w:rPr>
        <w:t>for additional information on these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Additionally, we allocated $5 million income tax benefit to</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other comprehensive income during 2025.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Carryforwards</w:t>
      </w:r>
    </w:p>
    <w:p>
      <w:pPr>
        <w:spacing w:after="0" w:line="250"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As of December 31, 2025, our U.S. federal net operating loss carryforwards were $19 million, which begin to expire in 2037, and our federal tax credit carryforwards were $85 million, which begin to expire in 2037.</w:t>
      </w:r>
    </w:p>
    <w:p>
      <w:pPr>
        <w:spacing w:after="0" w:line="180"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As of December 31, 2025, our California net operating loss carryforwards were $2 billion, which begins to expire in 2029, and our tax credit carryforwards were $21 million, which begin to expire in 2038. California has suspended the use of net operating loss carryforwards for tax years 2024 through 2026 and limited the amount of tax credits that may be claimed to $5 million per year for the same period.</w:t>
      </w:r>
    </w:p>
    <w:p>
      <w:pPr>
        <w:spacing w:after="0" w:line="198"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Our ability to utilize a portion of our net operating loss, tax credit and business interest carryforwards is subject to an annual limitation. As a result, we recognized a deferred tax asset of $3 million for U.S. federal net operating loss carryforwards (that do not expire) and $24 million for California net operating loss carryforwards. Additionally, we recognized a deferred tax asset for $ 28 million for U.S federal tax credit carryforwards and $8 million for our California tax credit carryforwards. We expect our remaining tax credit carryforwards will expire unused.</w:t>
      </w:r>
    </w:p>
    <w:p>
      <w:pPr>
        <w:spacing w:after="0" w:line="203"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Our carryforward for federal disallowed business interest expense of $794 million does not expire and may be utilized in future periods to the extent we generate sufficient taxable income and interest capacity. Although our business interest carryforwards are subject to an annual limitation, we recognized a deferred tax asset of $167 million included in the accompanying consolidated balance sheet because these carryforwards do not expire.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5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On July 4, 2025, An Act to Provide for Reconciliation Pursuant to Title II of H. Con. Res. 14th and commonly referred to as the One Big Beautiful Bill Act was signed into law. This law contains several legislative changes including the reinstatement of full expensing for qualified assets placed in service after January 19, 2025. This law also reinstated the expensing of all domestic research and development costs, including favorable transition rules, and increases the limitation on the amount of annual business interest expense which can be deducted each year. As a result of these changes, we are able to accelerate deductions related to property, plant and equipment, research and development expenses and interest expense carryforwards resulting in a current income tax benefit, and corresponding reduction in our cash tax liability, of approximately $40 million in 2025.</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17" w:name="page118"/>
    <w:bookmarkEnd w:id="117"/>
    <w:p>
      <w:pPr>
        <w:ind w:right="40" w:firstLine="324"/>
        <w:spacing w:after="0" w:line="287" w:lineRule="auto"/>
        <w:rPr>
          <w:sz w:val="20"/>
          <w:szCs w:val="20"/>
          <w:color w:val="auto"/>
        </w:rPr>
      </w:pPr>
      <w:r>
        <w:rPr>
          <w:rFonts w:ascii="Arial" w:cs="Arial" w:eastAsia="Arial" w:hAnsi="Arial"/>
          <w:sz w:val="18"/>
          <w:szCs w:val="18"/>
          <w:color w:val="auto"/>
        </w:rPr>
        <w:t>We did not record a liability for unrecognized tax benefits as of December 31, 2025 and 2024. We remain subject to audit by the Internal Revenue Service for calendar years 2022 through 2024 and by California for calendar years 2021 through 2024.</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DIVESTITURES AND ASSET ACQUISITIONS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Fort Apache in Huntington Beach</w:t>
      </w:r>
    </w:p>
    <w:p>
      <w:pPr>
        <w:spacing w:after="0" w:line="250"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In March 2024, we sold our 0.9-acre Fort Apache real estate property in Huntington Beach, California for purchase price of $10 million and recognized a $6 million gain.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Ventura</w:t>
      </w:r>
    </w:p>
    <w:p>
      <w:pPr>
        <w:spacing w:after="0" w:line="25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During 2021, 2022 and 2024, we entered into transactions to sell our Ventura basin assets. The Ventura divestiture contemplated multiple closings that were subject to customary closing conditions. The closings that occurred in the second half of 2021 resulted in the divestiture of the vast majority of our Ventura basin assets. The transfer of the remaining assets in the Ventura basin was approved in June 2024 by the State Lands Commission. In October 2024, we completed the sale of the Ventura basin assets and recognized a $4 million gain and during 2025, we recognized a loss related to settling purchase price adjustments of $1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Round Mountain Unit</w:t>
      </w:r>
    </w:p>
    <w:p>
      <w:pPr>
        <w:spacing w:after="0" w:line="250" w:lineRule="exact"/>
        <w:rPr>
          <w:sz w:val="20"/>
          <w:szCs w:val="20"/>
          <w:color w:val="auto"/>
        </w:rPr>
      </w:pPr>
    </w:p>
    <w:p>
      <w:pPr>
        <w:ind w:right="40" w:firstLine="324"/>
        <w:spacing w:after="0" w:line="237" w:lineRule="auto"/>
        <w:rPr>
          <w:sz w:val="20"/>
          <w:szCs w:val="20"/>
          <w:color w:val="auto"/>
        </w:rPr>
      </w:pPr>
      <w:r>
        <w:rPr>
          <w:rFonts w:ascii="Arial" w:cs="Arial" w:eastAsia="Arial" w:hAnsi="Arial"/>
          <w:sz w:val="18"/>
          <w:szCs w:val="18"/>
          <w:color w:val="auto"/>
        </w:rPr>
        <w:t>In December 2023, we entered into an agreement to sell our non-operated working interest in the Round Mountain Unit in the San Joaquin basin, recognizing a gain of $25 million. We retained an option to capture, transport and store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from the production at Round Mountain Unit for future carbon management projects. This option can be terminated by the buyer after January 1, 2028.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Divestitures</w:t>
      </w:r>
    </w:p>
    <w:p>
      <w:pPr>
        <w:spacing w:after="0" w:line="237"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In 2024, we sold non-core assets recognizing a $1 million gain. In 2023, we sold a non-producing asset in exchange for the assumption of liabilities recognizing a $7 million gain.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Carbon Management Assets</w:t>
      </w:r>
    </w:p>
    <w:p>
      <w:pPr>
        <w:spacing w:after="0" w:line="25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2022, we acquired properties for carbon management activities with the intent to divest a portion of these assets. In 2024, we reduced the carrying value of the surface acreage to fair value and recognized an impairment charge of $1 million. In May 2025, we sold a portion of these properties for $1 million and did not recognize a gain or loss on this transaction.</w:t>
      </w:r>
    </w:p>
    <w:p>
      <w:pPr>
        <w:spacing w:after="0" w:line="198"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In September 2025, we reduced the carrying value of the remainder of these properties classified as held for sale to fair value and recognized an impairment charge of $2 million. The remaining assets were sold in December 2025 for $6 million and we did not recognize a gain or loss on this transaction. The fair value measurement was determined, using Level 3 inputs in the fair value hierarchy and, declined due to market conditions, resulting in an impairment.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Acquisitions</w:t>
      </w:r>
    </w:p>
    <w:p>
      <w:pPr>
        <w:spacing w:after="0" w:line="250"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In 2024, we acquired land for our carbon management segment for approximately $6 million. In 2023, we acquired land for our carbon management segment for approximately $5 million.</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STOCK-BASED COMPENSATION</w:t>
      </w:r>
    </w:p>
    <w:p>
      <w:pPr>
        <w:spacing w:after="0" w:line="252"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On January 18, 2021, our Board of Directors approved the California Resources Corporation 2021 Long Term Incentive Plan (Long Term Incentive Plan). The Long Term Incentive Plan provides for potential grants of stock options, stock appreciation rights, restricted stock awards, restricted stock units, vested stock awards, dividend equivalents, other stock-based awards and substitute awards to employees, officers, non-employee directors and other service providers of the Company and its affiliates.</w:t>
      </w: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118" w:name="page119"/>
    <w:bookmarkEnd w:id="118"/>
    <w:p>
      <w:pPr>
        <w:ind w:right="20" w:firstLine="324"/>
        <w:spacing w:after="0" w:line="255" w:lineRule="auto"/>
        <w:rPr>
          <w:sz w:val="20"/>
          <w:szCs w:val="20"/>
          <w:color w:val="auto"/>
        </w:rPr>
      </w:pPr>
      <w:r>
        <w:rPr>
          <w:rFonts w:ascii="Arial" w:cs="Arial" w:eastAsia="Arial" w:hAnsi="Arial"/>
          <w:sz w:val="18"/>
          <w:szCs w:val="18"/>
          <w:color w:val="auto"/>
        </w:rPr>
        <w:t>The Long Term Incentive Plan provides for the reservation of 9,257,740 shares of common stock for future issuances, subject to adjustment as provided in the Long Term Incentive Plan. Shares of stock subject to an award under the Long Term Incentive Plan that expires or is cancelled, forfeited, exchanged, settled in cash or otherwise terminated without the actual delivery of shares (restricted stock awards are not considered “delivered shares” for this purpose) will again be available for new awards under the Long Term Incentive Plan. However, (i) shares tendered or withheld in payment of any exercise or purchase price of an award or taxes relating to awards, (ii) shares that were subject to an option or a stock appreciation right but were not issued or delivered as a result of the net settlement or net exercise of the option or stock appreciation right, and (iii) shares repurchased on the open market with the proceeds from the exercise price of an option, will not, in each case, again be available for new awards under the Long Term Incentive Plan.</w:t>
      </w:r>
    </w:p>
    <w:p>
      <w:pPr>
        <w:spacing w:after="0" w:line="212"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color w:val="auto"/>
        </w:rPr>
        <w:t>Shares of our common stock may be withheld by us in satisfaction of tax withholding obligations arising upon the vesting of restricted stock units (RSUs) and performance stock units (PSUs).</w:t>
      </w:r>
    </w:p>
    <w:p>
      <w:pPr>
        <w:spacing w:after="0" w:line="180"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color w:val="auto"/>
        </w:rPr>
        <w:t>Stock-based compensation expense is recorded on our consolidated statements of operations based on job function of the employees receiving the grants as shown in the table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380" w:type="dxa"/>
            <w:vAlign w:val="bottom"/>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73"/>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r>
      <w:tr>
        <w:trPr>
          <w:trHeight w:val="233"/>
        </w:trPr>
        <w:tc>
          <w:tcPr>
            <w:tcW w:w="6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Operating costs</w:t>
            </w: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 net</w:t>
            </w:r>
          </w:p>
        </w:tc>
        <w:tc>
          <w:tcPr>
            <w:tcW w:w="1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380" w:type="dxa"/>
            <w:vAlign w:val="bottom"/>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63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1"/>
        </w:trPr>
        <w:tc>
          <w:tcPr>
            <w:tcW w:w="6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0" w:firstLine="324"/>
        <w:spacing w:after="0" w:line="287" w:lineRule="auto"/>
        <w:rPr>
          <w:sz w:val="20"/>
          <w:szCs w:val="20"/>
          <w:color w:val="auto"/>
        </w:rPr>
      </w:pPr>
      <w:r>
        <w:rPr>
          <w:rFonts w:ascii="Arial" w:cs="Arial" w:eastAsia="Arial" w:hAnsi="Arial"/>
          <w:sz w:val="18"/>
          <w:szCs w:val="18"/>
          <w:color w:val="auto"/>
        </w:rPr>
        <w:t>We paid $ 21 million, $18 million, and $11 million for our long-term cash incentive awards for the years ended December 31, 2025, December 31, 2024, and December 31, 2023,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Settled Awards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Berry Merger</w:t>
      </w:r>
    </w:p>
    <w:p>
      <w:pPr>
        <w:spacing w:after="0" w:line="25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Certain Berry restricted and performance stock unit awards included a single-trigger change in control provision which accelerated the vesting of such awards on the closing date of the Berry Merger. We settled these awards in cash and the amounts were accounted for as consideration transferred. Other Berry performance and restricted stock unit awards included a change in control provision as well as a subjective acceleration clause, which did not automatically accelerate the vesting of the awards on the closing date of the Berry Merger. In connection with the Berry Merger, we granted 203,873 RSUs as a replacement for such Berry restricted and performance stock units that did not automatically accelerate. The fair value of these replacement units was $9 million, $4 million of which was related to pre-combination services and included in consideration transferred. The remaining $5 million will be recognized as a post-combination expense over the employee service period of which, $3 million relates to Berry executives who separated from service upon the closing of the Berry Merger and is included in other operating expenses, net on our consolidated statement of operations for the year ended December 31, 2025.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50"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Executives and non-employee directors were granted RSUs, which are in the form of, or equivalent in value to, actual shares of our common stock. The awards generally vest over three years following the grant date, with the exception of the RSUs granted on November 4, 2025 that generally vest over the five years following the grant date. Dividend equivalents are accumulated and paid when the shares are issued.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9"/>
        </w:trPr>
        <w:tc>
          <w:tcPr>
            <w:tcW w:w="7440" w:type="dxa"/>
            <w:vAlign w:val="bottom"/>
          </w:tcPr>
          <w:p>
            <w:pPr>
              <w:ind w:left="340"/>
              <w:spacing w:after="0"/>
              <w:rPr>
                <w:sz w:val="20"/>
                <w:szCs w:val="20"/>
                <w:color w:val="auto"/>
              </w:rPr>
            </w:pPr>
            <w:r>
              <w:rPr>
                <w:rFonts w:ascii="Arial" w:cs="Arial" w:eastAsia="Arial" w:hAnsi="Arial"/>
                <w:sz w:val="18"/>
                <w:szCs w:val="18"/>
                <w:color w:val="auto"/>
              </w:rPr>
              <w:t>The following table sets forth RSU activity for the year ended December 31, 2025:</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center"/>
              <w:spacing w:after="0" w:line="199" w:lineRule="exact"/>
              <w:rPr>
                <w:sz w:val="20"/>
                <w:szCs w:val="20"/>
                <w:color w:val="auto"/>
              </w:rPr>
            </w:pPr>
            <w:r>
              <w:rPr>
                <w:rFonts w:ascii="Arial" w:cs="Arial" w:eastAsia="Arial" w:hAnsi="Arial"/>
                <w:sz w:val="18"/>
                <w:szCs w:val="18"/>
                <w:b w:val="1"/>
                <w:bCs w:val="1"/>
                <w:color w:val="auto"/>
                <w:w w:val="99"/>
              </w:rPr>
              <w:t>Weighted-Average</w:t>
            </w:r>
          </w:p>
        </w:tc>
        <w:tc>
          <w:tcPr>
            <w:tcW w:w="0" w:type="dxa"/>
            <w:vAlign w:val="bottom"/>
          </w:tcPr>
          <w:p>
            <w:pPr>
              <w:spacing w:after="0"/>
              <w:rPr>
                <w:sz w:val="1"/>
                <w:szCs w:val="1"/>
                <w:color w:val="auto"/>
              </w:rPr>
            </w:pPr>
          </w:p>
        </w:tc>
      </w:tr>
      <w:tr>
        <w:trPr>
          <w:trHeight w:val="184"/>
        </w:trPr>
        <w:tc>
          <w:tcPr>
            <w:tcW w:w="7440" w:type="dxa"/>
            <w:vAlign w:val="bottom"/>
          </w:tcPr>
          <w:p>
            <w:pPr>
              <w:spacing w:after="0"/>
              <w:rPr>
                <w:sz w:val="15"/>
                <w:szCs w:val="15"/>
                <w:color w:val="auto"/>
              </w:rPr>
            </w:pPr>
          </w:p>
        </w:tc>
        <w:tc>
          <w:tcPr>
            <w:tcW w:w="190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Number of Units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center"/>
              <w:ind w:right="90"/>
              <w:spacing w:after="0" w:line="183" w:lineRule="exact"/>
              <w:rPr>
                <w:sz w:val="20"/>
                <w:szCs w:val="20"/>
                <w:color w:val="auto"/>
              </w:rPr>
            </w:pPr>
            <w:r>
              <w:rPr>
                <w:rFonts w:ascii="Arial" w:cs="Arial" w:eastAsia="Arial" w:hAnsi="Arial"/>
                <w:sz w:val="18"/>
                <w:szCs w:val="18"/>
                <w:b w:val="1"/>
                <w:bCs w:val="1"/>
                <w:color w:val="auto"/>
                <w:w w:val="99"/>
              </w:rPr>
              <w:t>Grant-Date Fair</w:t>
            </w:r>
          </w:p>
        </w:tc>
        <w:tc>
          <w:tcPr>
            <w:tcW w:w="0" w:type="dxa"/>
            <w:vAlign w:val="bottom"/>
          </w:tcPr>
          <w:p>
            <w:pPr>
              <w:spacing w:after="0"/>
              <w:rPr>
                <w:sz w:val="1"/>
                <w:szCs w:val="1"/>
                <w:color w:val="auto"/>
              </w:rPr>
            </w:pPr>
          </w:p>
        </w:tc>
      </w:tr>
      <w:tr>
        <w:trPr>
          <w:trHeight w:val="235"/>
        </w:trPr>
        <w:tc>
          <w:tcPr>
            <w:tcW w:w="7440" w:type="dxa"/>
            <w:vAlign w:val="bottom"/>
          </w:tcPr>
          <w:p>
            <w:pPr>
              <w:spacing w:after="0"/>
              <w:rPr>
                <w:sz w:val="20"/>
                <w:szCs w:val="20"/>
                <w:color w:val="auto"/>
              </w:rPr>
            </w:pPr>
          </w:p>
        </w:tc>
        <w:tc>
          <w:tcPr>
            <w:tcW w:w="1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900" w:type="dxa"/>
            <w:vAlign w:val="bottom"/>
          </w:tcPr>
          <w:p>
            <w:pPr>
              <w:jc w:val="right"/>
              <w:ind w:right="393"/>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44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Unvested at December 31, 2024</w:t>
            </w:r>
            <w:r>
              <w:rPr>
                <w:rFonts w:ascii="Arial" w:cs="Arial" w:eastAsia="Arial" w:hAnsi="Arial"/>
                <w:sz w:val="23"/>
                <w:szCs w:val="23"/>
                <w:color w:val="auto"/>
                <w:vertAlign w:val="superscript"/>
              </w:rPr>
              <w:t>(a)</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229"/>
        </w:trPr>
        <w:tc>
          <w:tcPr>
            <w:tcW w:w="74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900" w:type="dxa"/>
            <w:vAlign w:val="bottom"/>
          </w:tcPr>
          <w:p>
            <w:pPr>
              <w:jc w:val="right"/>
              <w:spacing w:after="0"/>
              <w:rPr>
                <w:sz w:val="20"/>
                <w:szCs w:val="20"/>
                <w:color w:val="auto"/>
              </w:rPr>
            </w:pPr>
            <w:r>
              <w:rPr>
                <w:rFonts w:ascii="Arial" w:cs="Arial" w:eastAsia="Arial" w:hAnsi="Arial"/>
                <w:sz w:val="18"/>
                <w:szCs w:val="18"/>
                <w:color w:val="auto"/>
              </w:rPr>
              <w:t>585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45.46</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 or cancelled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2025</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Includes additional 6,730 RSUs granted in 2024 at $52.54 per unit.</w:t>
      </w:r>
    </w:p>
    <w:p>
      <w:pPr>
        <w:spacing w:after="0" w:line="23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Compensation expense was measured on the date of grant using the quoted market price of our common stock and is primarily recognized on a straight-line basis over the requisite service periods adjusted for actual forfeitures, if any.</w:t>
      </w:r>
    </w:p>
    <w:p>
      <w:pPr>
        <w:spacing w:after="0" w:line="2" w:lineRule="exact"/>
        <w:rPr>
          <w:sz w:val="20"/>
          <w:szCs w:val="20"/>
          <w:color w:val="auto"/>
        </w:rPr>
      </w:pPr>
    </w:p>
    <w:p>
      <w:pPr>
        <w:ind w:right="640" w:firstLine="324"/>
        <w:spacing w:after="0" w:line="266" w:lineRule="auto"/>
        <w:rPr>
          <w:sz w:val="20"/>
          <w:szCs w:val="20"/>
          <w:color w:val="auto"/>
        </w:rPr>
      </w:pPr>
      <w:r>
        <w:rPr>
          <w:rFonts w:ascii="Arial" w:cs="Arial" w:eastAsia="Arial" w:hAnsi="Arial"/>
          <w:sz w:val="18"/>
          <w:szCs w:val="18"/>
          <w:color w:val="auto"/>
        </w:rPr>
        <w:t>As of December 31, 2025, the unrecognized compensation expense for our unvested RSUs was approximately $25 million and is expected to be recognized over a weighted-average remaining service period of approximately three years.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Stock Units</w:t>
      </w:r>
    </w:p>
    <w:p>
      <w:pPr>
        <w:spacing w:after="0" w:line="250"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In 2025, 2024 and 2023, executives were granted PSUs which are earned based on our absolute total shareholder return and total shareholder return relative to the SPDR S&amp;P Oil and Gas Exploration and Production Exchange-Traded Fund listed on the New York Stock Exchange. The PSUs have payouts that range from 0% to 200% of the target award and settle in common shares once certified. Dividend equivalents for these awards are accumulated and paid out upon certification of the award. The grant date fair value and associated equity compensation expense was measured using a Monte Carlo simulation model which runs a probabilistic assessment of the number of units that will be earned based on a projection of our stock price during the three-year service period. Although certain events may accelerate vesting, earned PSUs generally vest on the third anniversary of the grant date, and are settled in shares of our common stock at the three-year anniversary of the grant date.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80" w:type="dxa"/>
            <w:vAlign w:val="bottom"/>
          </w:tcPr>
          <w:p>
            <w:pPr>
              <w:ind w:left="340"/>
              <w:spacing w:after="0"/>
              <w:rPr>
                <w:sz w:val="20"/>
                <w:szCs w:val="20"/>
                <w:color w:val="auto"/>
              </w:rPr>
            </w:pPr>
            <w:r>
              <w:rPr>
                <w:rFonts w:ascii="Arial" w:cs="Arial" w:eastAsia="Arial" w:hAnsi="Arial"/>
                <w:sz w:val="18"/>
                <w:szCs w:val="18"/>
                <w:color w:val="auto"/>
              </w:rPr>
              <w:t>The following table sets forth PSU activity for the year ended December 31, 2025:</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7180" w:type="dxa"/>
            <w:vAlign w:val="bottom"/>
          </w:tcPr>
          <w:p>
            <w:pPr>
              <w:spacing w:after="0"/>
              <w:rPr>
                <w:sz w:val="17"/>
                <w:szCs w:val="17"/>
                <w:color w:val="auto"/>
              </w:rPr>
            </w:pPr>
          </w:p>
        </w:tc>
        <w:tc>
          <w:tcPr>
            <w:tcW w:w="1960" w:type="dxa"/>
            <w:vAlign w:val="bottom"/>
            <w:vMerge w:val="restart"/>
          </w:tcPr>
          <w:p>
            <w:pPr>
              <w:jc w:val="right"/>
              <w:ind w:right="193"/>
              <w:spacing w:after="0"/>
              <w:rPr>
                <w:sz w:val="20"/>
                <w:szCs w:val="20"/>
                <w:color w:val="auto"/>
              </w:rPr>
            </w:pPr>
            <w:r>
              <w:rPr>
                <w:rFonts w:ascii="Arial" w:cs="Arial" w:eastAsia="Arial" w:hAnsi="Arial"/>
                <w:sz w:val="18"/>
                <w:szCs w:val="18"/>
                <w:b w:val="1"/>
                <w:bCs w:val="1"/>
                <w:color w:val="auto"/>
              </w:rPr>
              <w:t>Number of Units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jc w:val="right"/>
              <w:ind w:right="110"/>
              <w:spacing w:after="0"/>
              <w:rPr>
                <w:sz w:val="20"/>
                <w:szCs w:val="20"/>
                <w:color w:val="auto"/>
              </w:rPr>
            </w:pPr>
            <w:r>
              <w:rPr>
                <w:rFonts w:ascii="Arial" w:cs="Arial" w:eastAsia="Arial" w:hAnsi="Arial"/>
                <w:sz w:val="18"/>
                <w:szCs w:val="18"/>
                <w:b w:val="1"/>
                <w:bCs w:val="1"/>
                <w:color w:val="auto"/>
              </w:rPr>
              <w:t>Weighted-Average</w:t>
            </w:r>
          </w:p>
        </w:tc>
        <w:tc>
          <w:tcPr>
            <w:tcW w:w="0" w:type="dxa"/>
            <w:vAlign w:val="bottom"/>
          </w:tcPr>
          <w:p>
            <w:pPr>
              <w:spacing w:after="0"/>
              <w:rPr>
                <w:sz w:val="1"/>
                <w:szCs w:val="1"/>
                <w:color w:val="auto"/>
              </w:rPr>
            </w:pPr>
          </w:p>
        </w:tc>
      </w:tr>
      <w:tr>
        <w:trPr>
          <w:trHeight w:val="235"/>
        </w:trPr>
        <w:tc>
          <w:tcPr>
            <w:tcW w:w="7180" w:type="dxa"/>
            <w:vAlign w:val="bottom"/>
          </w:tcPr>
          <w:p>
            <w:pPr>
              <w:spacing w:after="0"/>
              <w:rPr>
                <w:sz w:val="20"/>
                <w:szCs w:val="20"/>
                <w:color w:val="auto"/>
              </w:rPr>
            </w:pPr>
          </w:p>
        </w:tc>
        <w:tc>
          <w:tcPr>
            <w:tcW w:w="1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Grant-Date Fair Value</w:t>
            </w:r>
          </w:p>
        </w:tc>
        <w:tc>
          <w:tcPr>
            <w:tcW w:w="0" w:type="dxa"/>
            <w:vAlign w:val="bottom"/>
          </w:tcPr>
          <w:p>
            <w:pPr>
              <w:spacing w:after="0"/>
              <w:rPr>
                <w:sz w:val="1"/>
                <w:szCs w:val="1"/>
                <w:color w:val="auto"/>
              </w:rPr>
            </w:pPr>
          </w:p>
        </w:tc>
      </w:tr>
      <w:tr>
        <w:trPr>
          <w:trHeight w:val="192"/>
        </w:trPr>
        <w:tc>
          <w:tcPr>
            <w:tcW w:w="7180" w:type="dxa"/>
            <w:vAlign w:val="bottom"/>
          </w:tcPr>
          <w:p>
            <w:pPr>
              <w:spacing w:after="0"/>
              <w:rPr>
                <w:sz w:val="16"/>
                <w:szCs w:val="16"/>
                <w:color w:val="auto"/>
              </w:rPr>
            </w:pPr>
          </w:p>
        </w:tc>
        <w:tc>
          <w:tcPr>
            <w:tcW w:w="1960" w:type="dxa"/>
            <w:vAlign w:val="bottom"/>
          </w:tcPr>
          <w:p>
            <w:pPr>
              <w:jc w:val="right"/>
              <w:ind w:right="433"/>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2024</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0" w:type="dxa"/>
            <w:vAlign w:val="bottom"/>
          </w:tcPr>
          <w:p>
            <w:pPr>
              <w:spacing w:after="0"/>
              <w:rPr>
                <w:sz w:val="1"/>
                <w:szCs w:val="1"/>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351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Vested</w:t>
            </w:r>
            <w:r>
              <w:rPr>
                <w:rFonts w:ascii="Arial" w:cs="Arial" w:eastAsia="Arial" w:hAnsi="Arial"/>
                <w:sz w:val="23"/>
                <w:szCs w:val="23"/>
                <w:color w:val="auto"/>
                <w:vertAlign w:val="superscript"/>
              </w:rPr>
              <w:t>(a)</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 or Cancelled</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2025</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Includes additional net 100,314 PSUs earned based on achievement of specified performance metrics.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range of assumptions used in the valuation of PSUs granted during 2025, 2024 and 2023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20" w:type="dxa"/>
            <w:vAlign w:val="bottom"/>
            <w:gridSpan w:val="2"/>
          </w:tcPr>
          <w:p>
            <w:pPr>
              <w:ind w:left="5280"/>
              <w:spacing w:after="0"/>
              <w:rPr>
                <w:sz w:val="20"/>
                <w:szCs w:val="20"/>
                <w:color w:val="auto"/>
              </w:rPr>
            </w:pPr>
            <w:r>
              <w:rPr>
                <w:rFonts w:ascii="Arial" w:cs="Arial" w:eastAsia="Arial" w:hAnsi="Arial"/>
                <w:sz w:val="18"/>
                <w:szCs w:val="18"/>
                <w:b w:val="1"/>
                <w:bCs w:val="1"/>
                <w:color w:val="auto"/>
              </w:rPr>
              <w:t>2025</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jc w:val="right"/>
              <w:ind w:right="8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2220" w:type="dxa"/>
            <w:vAlign w:val="bottom"/>
          </w:tcPr>
          <w:p>
            <w:pPr>
              <w:jc w:val="right"/>
              <w:ind w:right="830"/>
              <w:spacing w:after="0"/>
              <w:rPr>
                <w:sz w:val="20"/>
                <w:szCs w:val="20"/>
                <w:color w:val="auto"/>
              </w:rPr>
            </w:pPr>
            <w:r>
              <w:rPr>
                <w:rFonts w:ascii="Arial" w:cs="Arial" w:eastAsia="Arial" w:hAnsi="Arial"/>
                <w:sz w:val="18"/>
                <w:szCs w:val="18"/>
                <w:b w:val="1"/>
                <w:bCs w:val="1"/>
                <w:color w:val="auto"/>
              </w:rPr>
              <w:t>2023</w:t>
            </w:r>
          </w:p>
        </w:tc>
      </w:tr>
      <w:tr>
        <w:trPr>
          <w:trHeight w:val="223"/>
        </w:trPr>
        <w:tc>
          <w:tcPr>
            <w:tcW w:w="43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Expected volatility</w:t>
            </w:r>
            <w:r>
              <w:rPr>
                <w:rFonts w:ascii="Arial" w:cs="Arial" w:eastAsia="Arial" w:hAnsi="Arial"/>
                <w:sz w:val="23"/>
                <w:szCs w:val="23"/>
                <w:color w:val="auto"/>
                <w:vertAlign w:val="superscript"/>
              </w:rPr>
              <w:t>(a)</w:t>
            </w:r>
          </w:p>
        </w:tc>
        <w:tc>
          <w:tcPr>
            <w:tcW w:w="14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 - 40.30%</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42.36% - 55.00%</w:t>
            </w:r>
          </w:p>
        </w:tc>
      </w:tr>
      <w:tr>
        <w:trPr>
          <w:trHeight w:val="230"/>
        </w:trPr>
        <w:tc>
          <w:tcPr>
            <w:tcW w:w="58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3"/>
                <w:szCs w:val="23"/>
                <w:color w:val="auto"/>
                <w:vertAlign w:val="superscript"/>
              </w:rPr>
              <w:t>(b)</w:t>
            </w:r>
          </w:p>
        </w:tc>
        <w:tc>
          <w:tcPr>
            <w:tcW w:w="78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4.52% - 4.86%</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3.81% - 4.95%</w:t>
            </w:r>
          </w:p>
        </w:tc>
      </w:tr>
      <w:tr>
        <w:trPr>
          <w:trHeight w:val="229"/>
        </w:trPr>
        <w:tc>
          <w:tcPr>
            <w:tcW w:w="58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Dividend yield</w:t>
            </w:r>
            <w:r>
              <w:rPr>
                <w:rFonts w:ascii="Arial" w:cs="Arial" w:eastAsia="Arial" w:hAnsi="Arial"/>
                <w:sz w:val="23"/>
                <w:szCs w:val="23"/>
                <w:color w:val="auto"/>
                <w:vertAlign w:val="superscript"/>
              </w:rPr>
              <w:t>(c)</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Forecast period (in years)</w:t>
            </w:r>
          </w:p>
        </w:tc>
        <w:tc>
          <w:tcPr>
            <w:tcW w:w="78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2.5 - 3</w:t>
            </w:r>
          </w:p>
        </w:tc>
        <w:tc>
          <w:tcPr>
            <w:tcW w:w="1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1.5 - 3</w:t>
            </w:r>
          </w:p>
        </w:tc>
      </w:tr>
    </w:tbl>
    <w:p>
      <w:pPr>
        <w:spacing w:after="0" w:line="76"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Expected volatility was calculated using the historic volatility of our stock.</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on the U.S. Treasury yield for a three-year term at the grant date, as applicable.</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 dividend adjusted stock price (assumed reinvestment of dividends during the performance period) was used.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0" w:name="page121"/>
    <w:bookmarkEnd w:id="120"/>
    <w:p>
      <w:pPr>
        <w:ind w:left="340"/>
        <w:spacing w:after="0"/>
        <w:rPr>
          <w:sz w:val="20"/>
          <w:szCs w:val="20"/>
          <w:color w:val="auto"/>
        </w:rPr>
      </w:pPr>
      <w:r>
        <w:rPr>
          <w:rFonts w:ascii="Arial" w:cs="Arial" w:eastAsia="Arial" w:hAnsi="Arial"/>
          <w:sz w:val="18"/>
          <w:szCs w:val="18"/>
          <w:color w:val="auto"/>
        </w:rPr>
        <w:t>Compensation expense is recognized on a straight-line basis over the requisite service periods adjusted for actual forfeitures, if 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Events that accelerate the vesting of an award have no effect on the requisite service period until such an event becomes probable.</w:t>
      </w:r>
    </w:p>
    <w:p>
      <w:pPr>
        <w:spacing w:after="0" w:line="234" w:lineRule="exact"/>
        <w:rPr>
          <w:sz w:val="20"/>
          <w:szCs w:val="20"/>
          <w:color w:val="auto"/>
        </w:rPr>
      </w:pPr>
    </w:p>
    <w:p>
      <w:pPr>
        <w:ind w:right="640" w:firstLine="324"/>
        <w:spacing w:after="0" w:line="287" w:lineRule="auto"/>
        <w:rPr>
          <w:sz w:val="20"/>
          <w:szCs w:val="20"/>
          <w:color w:val="auto"/>
        </w:rPr>
      </w:pPr>
      <w:r>
        <w:rPr>
          <w:rFonts w:ascii="Arial" w:cs="Arial" w:eastAsia="Arial" w:hAnsi="Arial"/>
          <w:sz w:val="18"/>
          <w:szCs w:val="18"/>
          <w:color w:val="auto"/>
        </w:rPr>
        <w:t>As of December 31, 2025, the unrecognized compensation expense for our unvested PSUs was approximately $15 million and is expected to be recognized over a weighted-average remaining service period of approximately two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Incentive Awards</w:t>
      </w:r>
    </w:p>
    <w:p>
      <w:pPr>
        <w:spacing w:after="0" w:line="25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each of the years of 2025, 2024 and 2023, we granted performance cash-settled awards to approximately 800 non-executive employees where half of the award is variable with payouts ranging from 75% to 150% of the grant value. The variable portion of the award is determined based upon the attainment of specified 60-trading day volume weighted average prices for shares of our common stock preceding each vesting date. These awards vest ratably over a three-year service period, with one third of the grants vesting on each of the first three anniversaries of the grant date. The fair value of the awards is adjusted on a quarterly basis for the cumulative change in the value determined using a Monte Carlo simulation model which runs a probabilistic assessment of our stock price for each of the three-year service periods.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assumptions used in the valuation of our cash awards as of December 31, 2025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60" w:type="dxa"/>
            <w:vAlign w:val="bottom"/>
          </w:tcPr>
          <w:p>
            <w:pPr>
              <w:spacing w:after="0"/>
              <w:rPr>
                <w:sz w:val="20"/>
                <w:szCs w:val="20"/>
                <w:color w:val="auto"/>
              </w:rPr>
            </w:pPr>
          </w:p>
        </w:tc>
        <w:tc>
          <w:tcPr>
            <w:tcW w:w="2340" w:type="dxa"/>
            <w:vAlign w:val="bottom"/>
            <w:gridSpan w:val="2"/>
          </w:tcPr>
          <w:p>
            <w:pPr>
              <w:ind w:left="580"/>
              <w:spacing w:after="0"/>
              <w:rPr>
                <w:sz w:val="20"/>
                <w:szCs w:val="20"/>
                <w:color w:val="auto"/>
              </w:rPr>
            </w:pPr>
            <w:r>
              <w:rPr>
                <w:rFonts w:ascii="Arial" w:cs="Arial" w:eastAsia="Arial" w:hAnsi="Arial"/>
                <w:sz w:val="18"/>
                <w:szCs w:val="18"/>
                <w:b w:val="1"/>
                <w:bCs w:val="1"/>
                <w:color w:val="auto"/>
              </w:rPr>
              <w:t>2025 Awards</w:t>
            </w:r>
          </w:p>
        </w:tc>
        <w:tc>
          <w:tcPr>
            <w:tcW w:w="2320" w:type="dxa"/>
            <w:vAlign w:val="bottom"/>
            <w:gridSpan w:val="2"/>
          </w:tcPr>
          <w:p>
            <w:pPr>
              <w:ind w:left="560"/>
              <w:spacing w:after="0"/>
              <w:rPr>
                <w:sz w:val="20"/>
                <w:szCs w:val="20"/>
                <w:color w:val="auto"/>
              </w:rPr>
            </w:pPr>
            <w:r>
              <w:rPr>
                <w:rFonts w:ascii="Arial" w:cs="Arial" w:eastAsia="Arial" w:hAnsi="Arial"/>
                <w:sz w:val="18"/>
                <w:szCs w:val="18"/>
                <w:b w:val="1"/>
                <w:bCs w:val="1"/>
                <w:color w:val="auto"/>
              </w:rPr>
              <w:t>2024 Awards</w:t>
            </w:r>
          </w:p>
        </w:tc>
        <w:tc>
          <w:tcPr>
            <w:tcW w:w="2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 Awards</w:t>
            </w:r>
          </w:p>
        </w:tc>
      </w:tr>
      <w:tr>
        <w:trPr>
          <w:trHeight w:val="223"/>
        </w:trPr>
        <w:tc>
          <w:tcPr>
            <w:tcW w:w="43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Expected volatility</w:t>
            </w:r>
            <w:r>
              <w:rPr>
                <w:rFonts w:ascii="Arial" w:cs="Arial" w:eastAsia="Arial" w:hAnsi="Arial"/>
                <w:sz w:val="23"/>
                <w:szCs w:val="23"/>
                <w:color w:val="auto"/>
                <w:vertAlign w:val="superscript"/>
              </w:rPr>
              <w:t>(a)</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4360" w:type="dxa"/>
            <w:vAlign w:val="bottom"/>
          </w:tcPr>
          <w:p>
            <w:pPr>
              <w:ind w:left="20"/>
              <w:spacing w:after="0" w:line="230"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3"/>
                <w:szCs w:val="23"/>
                <w:color w:val="auto"/>
                <w:vertAlign w:val="superscript"/>
              </w:rPr>
              <w:t>(b)</w:t>
            </w:r>
          </w:p>
        </w:tc>
        <w:tc>
          <w:tcPr>
            <w:tcW w:w="2240" w:type="dxa"/>
            <w:vAlign w:val="bottom"/>
          </w:tcPr>
          <w:p>
            <w:pPr>
              <w:jc w:val="right"/>
              <w:spacing w:after="0"/>
              <w:rPr>
                <w:sz w:val="20"/>
                <w:szCs w:val="20"/>
                <w:color w:val="auto"/>
              </w:rPr>
            </w:pPr>
            <w:r>
              <w:rPr>
                <w:rFonts w:ascii="Arial" w:cs="Arial" w:eastAsia="Arial" w:hAnsi="Arial"/>
                <w:sz w:val="18"/>
                <w:szCs w:val="18"/>
                <w:color w:val="auto"/>
              </w:rPr>
              <w:t>3.60 %</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3.65 %</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3.71 %</w:t>
            </w:r>
          </w:p>
        </w:tc>
      </w:tr>
      <w:tr>
        <w:trPr>
          <w:trHeight w:val="230"/>
        </w:trPr>
        <w:tc>
          <w:tcPr>
            <w:tcW w:w="4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Dividend yield</w:t>
            </w:r>
            <w:r>
              <w:rPr>
                <w:rFonts w:ascii="Arial" w:cs="Arial" w:eastAsia="Arial" w:hAnsi="Arial"/>
                <w:sz w:val="23"/>
                <w:szCs w:val="23"/>
                <w:color w:val="auto"/>
                <w:vertAlign w:val="superscript"/>
              </w:rPr>
              <w:t>(c)</w:t>
            </w:r>
          </w:p>
        </w:tc>
        <w:tc>
          <w:tcPr>
            <w:tcW w:w="2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9"/>
        </w:trPr>
        <w:tc>
          <w:tcPr>
            <w:tcW w:w="4360" w:type="dxa"/>
            <w:vAlign w:val="bottom"/>
          </w:tcPr>
          <w:p>
            <w:pPr>
              <w:ind w:left="20"/>
              <w:spacing w:after="0"/>
              <w:rPr>
                <w:sz w:val="20"/>
                <w:szCs w:val="20"/>
                <w:color w:val="auto"/>
              </w:rPr>
            </w:pPr>
            <w:r>
              <w:rPr>
                <w:rFonts w:ascii="Arial" w:cs="Arial" w:eastAsia="Arial" w:hAnsi="Arial"/>
                <w:sz w:val="18"/>
                <w:szCs w:val="18"/>
                <w:color w:val="auto"/>
              </w:rPr>
              <w:t>Forecast period (in years)</w:t>
            </w:r>
          </w:p>
        </w:tc>
        <w:tc>
          <w:tcPr>
            <w:tcW w:w="22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0.15</w:t>
            </w:r>
          </w:p>
        </w:tc>
      </w:tr>
    </w:tbl>
    <w:p>
      <w:pPr>
        <w:spacing w:after="0" w:line="76"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Expected volatility was calculated using the historical volatility of our stock.</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on the U.S. Treasury yield for the remaining terms.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 dividend adjusted stock price (assumed reinvestment of dividends during the performance period) was used.</w:t>
      </w:r>
    </w:p>
    <w:p>
      <w:pPr>
        <w:spacing w:after="0" w:line="234"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As of December 31, 2025, the unrecognized compensation expense for all of our unvested cash-settled awards was $14 million and is expected to be recognized over a weighted-average remaining service period of approximately two years. The value of awards forfeited during the year ended December 31, 2025 was approximately $3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Aera Incentive Awards</w:t>
      </w:r>
    </w:p>
    <w:p>
      <w:pPr>
        <w:spacing w:after="0" w:line="25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Upon closing of the Aera Merger we assumed cash-settled incentive awards that had been granted to certain Aera employees. The awards were granted by Aera in 2022, 2023, and 2024 and vest ratably over periods between two to three years. Awards that vested prior to July 1, 2024 were earned based on the performance metrics of Aera and we assumed a liability of $8 million for the vested awards. Following July 1, 2024, the unvested awards will be earned based on our absolute total shareholder return and total shareholder return relative to the SPDR S&amp;P Oil and Gas Exploration and Production Exchange-Traded Fund listed on the New York Stock Exchange. The awards pay out between 0% to 200%.</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940" w:type="dxa"/>
            <w:vAlign w:val="bottom"/>
            <w:tcBorders>
              <w:bottom w:val="single" w:sz="8" w:color="CCEEFF"/>
            </w:tcBorders>
          </w:tcPr>
          <w:p>
            <w:pPr>
              <w:spacing w:after="0"/>
              <w:rPr>
                <w:sz w:val="20"/>
                <w:szCs w:val="20"/>
                <w:color w:val="auto"/>
              </w:rPr>
            </w:pPr>
          </w:p>
        </w:tc>
        <w:tc>
          <w:tcPr>
            <w:tcW w:w="2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 Awards</w:t>
            </w:r>
          </w:p>
        </w:tc>
      </w:tr>
      <w:tr>
        <w:trPr>
          <w:trHeight w:val="223"/>
        </w:trPr>
        <w:tc>
          <w:tcPr>
            <w:tcW w:w="89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Expected volatility</w:t>
            </w:r>
            <w:r>
              <w:rPr>
                <w:rFonts w:ascii="Arial" w:cs="Arial" w:eastAsia="Arial" w:hAnsi="Arial"/>
                <w:sz w:val="23"/>
                <w:szCs w:val="23"/>
                <w:color w:val="auto"/>
                <w:vertAlign w:val="superscript"/>
              </w:rPr>
              <w:t>(a)</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41.94 %</w:t>
            </w:r>
          </w:p>
        </w:tc>
      </w:tr>
      <w:tr>
        <w:trPr>
          <w:trHeight w:val="229"/>
        </w:trPr>
        <w:tc>
          <w:tcPr>
            <w:tcW w:w="8940" w:type="dxa"/>
            <w:vAlign w:val="bottom"/>
          </w:tcPr>
          <w:p>
            <w:pPr>
              <w:ind w:left="20"/>
              <w:spacing w:after="0" w:line="230"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3"/>
                <w:szCs w:val="23"/>
                <w:color w:val="auto"/>
                <w:vertAlign w:val="superscript"/>
              </w:rPr>
              <w:t>(b)</w:t>
            </w:r>
          </w:p>
        </w:tc>
        <w:tc>
          <w:tcPr>
            <w:tcW w:w="2300" w:type="dxa"/>
            <w:vAlign w:val="bottom"/>
          </w:tcPr>
          <w:p>
            <w:pPr>
              <w:jc w:val="right"/>
              <w:spacing w:after="0"/>
              <w:rPr>
                <w:sz w:val="20"/>
                <w:szCs w:val="20"/>
                <w:color w:val="auto"/>
              </w:rPr>
            </w:pPr>
            <w:r>
              <w:rPr>
                <w:rFonts w:ascii="Arial" w:cs="Arial" w:eastAsia="Arial" w:hAnsi="Arial"/>
                <w:sz w:val="18"/>
                <w:szCs w:val="18"/>
                <w:color w:val="auto"/>
              </w:rPr>
              <w:t>3.48 %</w:t>
            </w:r>
          </w:p>
        </w:tc>
      </w:tr>
      <w:tr>
        <w:trPr>
          <w:trHeight w:val="230"/>
        </w:trPr>
        <w:tc>
          <w:tcPr>
            <w:tcW w:w="8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Dividend yield</w:t>
            </w:r>
            <w:r>
              <w:rPr>
                <w:rFonts w:ascii="Arial" w:cs="Arial" w:eastAsia="Arial" w:hAnsi="Arial"/>
                <w:sz w:val="23"/>
                <w:szCs w:val="23"/>
                <w:color w:val="auto"/>
                <w:vertAlign w:val="superscript"/>
              </w:rPr>
              <w:t>(c)</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9"/>
        </w:trPr>
        <w:tc>
          <w:tcPr>
            <w:tcW w:w="8940" w:type="dxa"/>
            <w:vAlign w:val="bottom"/>
          </w:tcPr>
          <w:p>
            <w:pPr>
              <w:ind w:left="20"/>
              <w:spacing w:after="0"/>
              <w:rPr>
                <w:sz w:val="20"/>
                <w:szCs w:val="20"/>
                <w:color w:val="auto"/>
              </w:rPr>
            </w:pPr>
            <w:r>
              <w:rPr>
                <w:rFonts w:ascii="Arial" w:cs="Arial" w:eastAsia="Arial" w:hAnsi="Arial"/>
                <w:sz w:val="18"/>
                <w:szCs w:val="18"/>
                <w:color w:val="auto"/>
              </w:rPr>
              <w:t>Forecast period (in years)</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76" w:lineRule="exact"/>
        <w:rPr>
          <w:sz w:val="20"/>
          <w:szCs w:val="20"/>
          <w:color w:val="auto"/>
        </w:rPr>
      </w:pPr>
    </w:p>
    <w:p>
      <w:pPr>
        <w:ind w:left="320" w:hanging="312"/>
        <w:spacing w:after="0"/>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Expected volatility was calculated using the historical volatility of our stock.</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on the U.S. Treasury yield for the remaining terms.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 dividend adjusted stock price (assumed reinvestment of dividends during the performance period) was used.</w:t>
      </w:r>
    </w:p>
    <w:p>
      <w:pPr>
        <w:spacing w:after="0" w:line="234"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As of December 31, 2025, the unrecognized compensation expense for these cash-settled awards was approximately $1 million and is expected to be recognized over a weighted-average remaining service period of one year.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5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May 2022, our shareholders approved a new California Resources Corporation Employee Stock Purchase Plan (ESPP), which took effect in July 2022. The ESPP provides our employees with the ability to purchase shares of our common stock at a price equal to 85% of the closing price of a share of our common stock as of the first or last day of each fiscal quarter, whichever amount is less. The maximum number of shares of our common stock which may be issued pursuant to the ESPP is subject to certain annual limits and has a cumulative limit of 1,250,000 shares.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2025, a total of 60,128 common shares were issued under our ESPP.</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122" w:name="page123"/>
    <w:bookmarkEnd w:id="122"/>
    <w:p>
      <w:pPr>
        <w:spacing w:after="0"/>
        <w:tabs>
          <w:tab w:leader="none" w:pos="920" w:val="left"/>
        </w:tabs>
        <w:rPr>
          <w:sz w:val="20"/>
          <w:szCs w:val="20"/>
          <w:color w:val="auto"/>
        </w:rPr>
      </w:pPr>
      <w:r>
        <w:rPr>
          <w:rFonts w:ascii="Arial" w:cs="Arial" w:eastAsia="Arial" w:hAnsi="Arial"/>
          <w:sz w:val="18"/>
          <w:szCs w:val="18"/>
          <w:b w:val="1"/>
          <w:bCs w:val="1"/>
          <w:color w:val="auto"/>
        </w:rPr>
        <w:t>NOTE 11</w:t>
        <w:tab/>
        <w:t>STOCKHOLDERS' EQUITY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summary of changes in our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2023</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Issued as part of the Aera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Shares issued for warrant exercises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Shares issued under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40"/>
        <w:spacing w:after="0" w:line="236" w:lineRule="auto"/>
        <w:rPr>
          <w:sz w:val="20"/>
          <w:szCs w:val="20"/>
          <w:color w:val="auto"/>
        </w:rPr>
      </w:pPr>
      <w:r>
        <w:rPr>
          <w:rFonts w:ascii="Arial" w:cs="Arial" w:eastAsia="Arial" w:hAnsi="Arial"/>
          <w:sz w:val="18"/>
          <w:szCs w:val="18"/>
          <w:color w:val="auto"/>
        </w:rPr>
        <w:t>Shares issued under stock-based compensation arrangements</w:t>
      </w:r>
      <w:r>
        <w:rPr>
          <w:rFonts w:ascii="Arial" w:cs="Arial" w:eastAsia="Arial" w:hAnsi="Arial"/>
          <w:sz w:val="23"/>
          <w:szCs w:val="23"/>
          <w:color w:val="auto"/>
          <w:vertAlign w:val="superscript"/>
        </w:rPr>
        <w:t>(a)</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Repurchased shares held as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Shares cancelled for taxes</w:t>
      </w:r>
      <w:r>
        <w:rPr>
          <w:rFonts w:ascii="Arial" w:cs="Arial" w:eastAsia="Arial" w:hAnsi="Arial"/>
          <w:sz w:val="23"/>
          <w:szCs w:val="23"/>
          <w:color w:val="auto"/>
          <w:vertAlign w:val="superscript"/>
        </w:rPr>
        <w:t>(b)</w:t>
      </w:r>
    </w:p>
    <w:p>
      <w:pPr>
        <w:ind w:left="20"/>
        <w:spacing w:after="0"/>
        <w:rPr>
          <w:sz w:val="20"/>
          <w:szCs w:val="20"/>
          <w:color w:val="auto"/>
        </w:rPr>
      </w:pPr>
      <w:r>
        <w:rPr>
          <w:rFonts w:ascii="Arial" w:cs="Arial" w:eastAsia="Arial" w:hAnsi="Arial"/>
          <w:sz w:val="18"/>
          <w:szCs w:val="18"/>
          <w:color w:val="auto"/>
        </w:rPr>
        <w:t>Balance,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Issued as part of the Berry Merger</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Additional shares issued as part of the Aera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Shares issued under ESPP</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Shares issued under stock-based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Repurchased shares held as treasury stock</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Repurchased shares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Shares cancelled for taxes</w:t>
      </w:r>
      <w:r>
        <w:rPr>
          <w:rFonts w:ascii="Arial" w:cs="Arial" w:eastAsia="Arial" w:hAnsi="Arial"/>
          <w:sz w:val="23"/>
          <w:szCs w:val="23"/>
          <w:color w:val="auto"/>
          <w:vertAlign w:val="superscript"/>
        </w:rPr>
        <w:t>(b)</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20"/>
        <w:spacing w:after="0"/>
        <w:rPr>
          <w:sz w:val="20"/>
          <w:szCs w:val="20"/>
          <w:color w:val="auto"/>
        </w:rPr>
      </w:pPr>
      <w:r>
        <w:rPr>
          <w:rFonts w:ascii="Arial" w:cs="Arial" w:eastAsia="Arial" w:hAnsi="Arial"/>
          <w:sz w:val="17"/>
          <w:szCs w:val="17"/>
          <w:b w:val="1"/>
          <w:bCs w:val="1"/>
          <w:color w:val="auto"/>
        </w:rPr>
        <w:t>Common Shares</w:t>
      </w:r>
    </w:p>
    <w:p>
      <w:pPr>
        <w:jc w:val="center"/>
        <w:ind w:right="520"/>
        <w:spacing w:after="0"/>
        <w:rPr>
          <w:sz w:val="20"/>
          <w:szCs w:val="20"/>
          <w:color w:val="auto"/>
        </w:rPr>
      </w:pPr>
      <w:r>
        <w:rPr>
          <w:rFonts w:ascii="Arial" w:cs="Arial" w:eastAsia="Arial" w:hAnsi="Arial"/>
          <w:sz w:val="18"/>
          <w:szCs w:val="18"/>
          <w:b w:val="1"/>
          <w:bCs w:val="1"/>
          <w:color w:val="auto"/>
        </w:rPr>
        <w:t>Outstanding</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68,693,885</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21,315,707</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3,769,703</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38,257</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1,740,189</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(3,649,348)</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(808,071)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12065</wp:posOffset>
            </wp:positionV>
            <wp:extent cx="15601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91,100,322</w:t>
      </w:r>
    </w:p>
    <w:p>
      <w:pPr>
        <w:spacing w:after="0" w:line="3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5,572,115</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107,265</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60,128</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478,609</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(3,378,263)</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(4,950,000)</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(236,011)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12065</wp:posOffset>
            </wp:positionV>
            <wp:extent cx="15601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88,754,165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17780</wp:posOffset>
            </wp:positionV>
            <wp:extent cx="15601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6019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43180</wp:posOffset>
            </wp:positionV>
            <wp:extent cx="15601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8580" w:space="720"/>
            <w:col w:w="1940"/>
          </w:cols>
          <w:pgMar w:left="320" w:top="890" w:right="339" w:bottom="1440" w:gutter="0" w:footer="0" w:header="0"/>
        </w:sectPr>
      </w:pPr>
    </w:p>
    <w:p>
      <w:pPr>
        <w:ind w:left="340" w:right="360" w:hanging="332"/>
        <w:spacing w:after="0" w:line="261" w:lineRule="auto"/>
        <w:tabs>
          <w:tab w:leader="none" w:pos="327" w:val="left"/>
        </w:tabs>
        <w:numPr>
          <w:ilvl w:val="0"/>
          <w:numId w:val="57"/>
        </w:numPr>
        <w:rPr>
          <w:rFonts w:ascii="Arial" w:cs="Arial" w:eastAsia="Arial" w:hAnsi="Arial"/>
          <w:sz w:val="14"/>
          <w:szCs w:val="14"/>
          <w:color w:val="auto"/>
        </w:rPr>
      </w:pPr>
      <w:r>
        <w:rPr>
          <w:rFonts w:ascii="Arial" w:cs="Arial" w:eastAsia="Arial" w:hAnsi="Arial"/>
          <w:sz w:val="14"/>
          <w:szCs w:val="14"/>
          <w:color w:val="auto"/>
        </w:rPr>
        <w:t>A significant number of stock-based compensation awards were settled in the first quarter of 2024. These awards were primarily granted in January 2021 following our emergence from bankruptcy.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 connection with the vesting of equity awards, we withheld and cancelled shares to satisfy applicable tax-withholding requirements.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5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Our Board of Directors authorized a Share Repurchase Program to acquire up to $1.35 billion of our common stock through June 30, 2026. Refer to </w:t>
      </w:r>
      <w:r>
        <w:rPr>
          <w:rFonts w:ascii="Arial" w:cs="Arial" w:eastAsia="Arial" w:hAnsi="Arial"/>
          <w:sz w:val="18"/>
          <w:szCs w:val="18"/>
          <w:i w:val="1"/>
          <w:iCs w:val="1"/>
          <w:color w:val="auto"/>
        </w:rPr>
        <w:t>Note 19 Subsequent Events</w:t>
      </w:r>
      <w:r>
        <w:rPr>
          <w:rFonts w:ascii="Arial" w:cs="Arial" w:eastAsia="Arial" w:hAnsi="Arial"/>
          <w:sz w:val="18"/>
          <w:szCs w:val="18"/>
          <w:color w:val="auto"/>
        </w:rPr>
        <w:t xml:space="preserve"> for additional information on a recent increase and extension to our Share Repurchase Program. Since the inception of the Share Repurchase Program through December 31, 2025, we acquired 26,841,526 shares of our common stock for $1,173 million.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The following is a summary of our share repurchases, held as treasury stock, for the periods presented: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8"/>
                <w:szCs w:val="18"/>
                <w:color w:val="auto"/>
              </w:rPr>
            </w:pPr>
          </w:p>
        </w:tc>
        <w:tc>
          <w:tcPr>
            <w:tcW w:w="2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 Number of Shares</w:t>
            </w:r>
          </w:p>
        </w:tc>
        <w:tc>
          <w:tcPr>
            <w:tcW w:w="120" w:type="dxa"/>
            <w:vAlign w:val="bottom"/>
          </w:tcPr>
          <w:p>
            <w:pPr>
              <w:spacing w:after="0"/>
              <w:rPr>
                <w:sz w:val="18"/>
                <w:szCs w:val="18"/>
                <w:color w:val="auto"/>
              </w:rPr>
            </w:pPr>
          </w:p>
        </w:tc>
        <w:tc>
          <w:tcPr>
            <w:tcW w:w="2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Dollar Value of Shares</w:t>
            </w:r>
          </w:p>
        </w:tc>
        <w:tc>
          <w:tcPr>
            <w:tcW w:w="2180" w:type="dxa"/>
            <w:vAlign w:val="bottom"/>
            <w:gridSpan w:val="2"/>
          </w:tcPr>
          <w:p>
            <w:pPr>
              <w:jc w:val="right"/>
              <w:ind w:right="14"/>
              <w:spacing w:after="0"/>
              <w:rPr>
                <w:sz w:val="20"/>
                <w:szCs w:val="20"/>
                <w:color w:val="auto"/>
              </w:rPr>
            </w:pPr>
            <w:r>
              <w:rPr>
                <w:rFonts w:ascii="Arial" w:cs="Arial" w:eastAsia="Arial" w:hAnsi="Arial"/>
                <w:sz w:val="18"/>
                <w:szCs w:val="18"/>
                <w:b w:val="1"/>
                <w:bCs w:val="1"/>
                <w:color w:val="auto"/>
              </w:rPr>
              <w:t>Average Price Paid per</w:t>
            </w:r>
          </w:p>
        </w:tc>
      </w:tr>
      <w:tr>
        <w:trPr>
          <w:trHeight w:val="243"/>
        </w:trPr>
        <w:tc>
          <w:tcPr>
            <w:tcW w:w="4320" w:type="dxa"/>
            <w:vAlign w:val="bottom"/>
          </w:tcPr>
          <w:p>
            <w:pPr>
              <w:spacing w:after="0"/>
              <w:rPr>
                <w:sz w:val="21"/>
                <w:szCs w:val="21"/>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right="33"/>
              <w:spacing w:after="0"/>
              <w:rPr>
                <w:sz w:val="20"/>
                <w:szCs w:val="20"/>
                <w:color w:val="auto"/>
              </w:rPr>
            </w:pPr>
            <w:r>
              <w:rPr>
                <w:rFonts w:ascii="Arial" w:cs="Arial" w:eastAsia="Arial" w:hAnsi="Arial"/>
                <w:sz w:val="18"/>
                <w:szCs w:val="18"/>
                <w:b w:val="1"/>
                <w:bCs w:val="1"/>
                <w:color w:val="auto"/>
                <w:w w:val="99"/>
              </w:rPr>
              <w:t>Purchased</w:t>
            </w:r>
          </w:p>
        </w:tc>
        <w:tc>
          <w:tcPr>
            <w:tcW w:w="20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Share</w:t>
            </w:r>
          </w:p>
        </w:tc>
      </w:tr>
      <w:tr>
        <w:trPr>
          <w:trHeight w:val="233"/>
        </w:trPr>
        <w:tc>
          <w:tcPr>
            <w:tcW w:w="4320" w:type="dxa"/>
            <w:vAlign w:val="bottom"/>
          </w:tcPr>
          <w:p>
            <w:pPr>
              <w:spacing w:after="0"/>
              <w:rPr>
                <w:sz w:val="20"/>
                <w:szCs w:val="20"/>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4"/>
                <w:szCs w:val="14"/>
                <w:color w:val="auto"/>
              </w:rPr>
              <w:t>(number of shares)</w:t>
            </w:r>
          </w:p>
        </w:tc>
        <w:tc>
          <w:tcPr>
            <w:tcW w:w="120" w:type="dxa"/>
            <w:vAlign w:val="bottom"/>
          </w:tcPr>
          <w:p>
            <w:pPr>
              <w:spacing w:after="0"/>
              <w:rPr>
                <w:sz w:val="20"/>
                <w:szCs w:val="20"/>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14"/>
                <w:szCs w:val="14"/>
                <w:color w:val="auto"/>
              </w:rPr>
              <w:t>(in millions)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ind w:left="20"/>
              <w:spacing w:after="0"/>
              <w:rPr>
                <w:sz w:val="20"/>
                <w:szCs w:val="20"/>
                <w:color w:val="auto"/>
              </w:rPr>
            </w:pPr>
            <w:r>
              <w:rPr>
                <w:rFonts w:ascii="Arial" w:cs="Arial" w:eastAsia="Arial" w:hAnsi="Arial"/>
                <w:sz w:val="14"/>
                <w:szCs w:val="14"/>
                <w:color w:val="auto"/>
              </w:rPr>
              <w:t>per share)</w:t>
            </w:r>
          </w:p>
        </w:tc>
      </w:tr>
      <w:tr>
        <w:trPr>
          <w:trHeight w:val="23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2023</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3,407,655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Year ended December 31, 2024</w:t>
            </w:r>
          </w:p>
        </w:tc>
        <w:tc>
          <w:tcPr>
            <w:tcW w:w="2160" w:type="dxa"/>
            <w:vAlign w:val="bottom"/>
          </w:tcPr>
          <w:p>
            <w:pPr>
              <w:jc w:val="right"/>
              <w:spacing w:after="0"/>
              <w:rPr>
                <w:sz w:val="20"/>
                <w:szCs w:val="20"/>
                <w:color w:val="auto"/>
              </w:rPr>
            </w:pPr>
            <w:r>
              <w:rPr>
                <w:rFonts w:ascii="Arial" w:cs="Arial" w:eastAsia="Arial" w:hAnsi="Arial"/>
                <w:sz w:val="18"/>
                <w:szCs w:val="18"/>
                <w:color w:val="auto"/>
              </w:rPr>
              <w:t>3,649,348</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9"/>
                <w:szCs w:val="19"/>
                <w:color w:val="auto"/>
              </w:rPr>
            </w:pP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52.12</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2025</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8,328,263</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w:t>
            </w:r>
          </w:p>
        </w:tc>
      </w:tr>
    </w:tbl>
    <w:p>
      <w:pPr>
        <w:spacing w:after="0" w:line="85" w:lineRule="exact"/>
        <w:rPr>
          <w:sz w:val="20"/>
          <w:szCs w:val="20"/>
          <w:color w:val="auto"/>
        </w:rPr>
      </w:pPr>
    </w:p>
    <w:p>
      <w:pPr>
        <w:ind w:right="120"/>
        <w:spacing w:after="0" w:line="273" w:lineRule="auto"/>
        <w:rPr>
          <w:sz w:val="20"/>
          <w:szCs w:val="20"/>
          <w:color w:val="auto"/>
        </w:rPr>
      </w:pPr>
      <w:r>
        <w:rPr>
          <w:rFonts w:ascii="Arial" w:cs="Arial" w:eastAsia="Arial" w:hAnsi="Arial"/>
          <w:sz w:val="14"/>
          <w:szCs w:val="14"/>
          <w:color w:val="auto"/>
        </w:rPr>
        <w:t>Note: The total value of shares purchased includes approximately, $2 million and $1 million in the years ended December 31, 2024 and 2023 related to excise taxes on share repurchases. Excise taxes in 2025 were insignificant and include a reversal for 2024 excise taxes that were no longer due. Commissions paid were not significant in all periods presented.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0" w:lineRule="exact"/>
        <w:rPr>
          <w:sz w:val="20"/>
          <w:szCs w:val="20"/>
          <w:color w:val="auto"/>
        </w:rPr>
      </w:pPr>
    </w:p>
    <w:p>
      <w:pPr>
        <w:ind w:right="200" w:firstLine="324"/>
        <w:spacing w:after="0" w:line="291" w:lineRule="auto"/>
        <w:rPr>
          <w:sz w:val="20"/>
          <w:szCs w:val="20"/>
          <w:color w:val="auto"/>
        </w:rPr>
      </w:pPr>
      <w:r>
        <w:rPr>
          <w:rFonts w:ascii="Arial" w:cs="Arial" w:eastAsia="Arial" w:hAnsi="Arial"/>
          <w:sz w:val="17"/>
          <w:szCs w:val="17"/>
          <w:color w:val="auto"/>
        </w:rPr>
        <w:t xml:space="preserve">Dividends are payable to shareholders in quarterly increments, subject to the quarterly approval of our Board of Directors. The actual declaration of future cash dividends, and the establishment of record and payment dates, is subject to final determination by our Board of Directors each quarter after reviewing our financial performance. See </w:t>
      </w:r>
      <w:r>
        <w:rPr>
          <w:rFonts w:ascii="Arial" w:cs="Arial" w:eastAsia="Arial" w:hAnsi="Arial"/>
          <w:sz w:val="17"/>
          <w:szCs w:val="17"/>
          <w:i w:val="1"/>
          <w:iCs w:val="1"/>
          <w:color w:val="auto"/>
        </w:rPr>
        <w:t>Note 19 Subsequent Events</w:t>
      </w:r>
      <w:r>
        <w:rPr>
          <w:rFonts w:ascii="Arial" w:cs="Arial" w:eastAsia="Arial" w:hAnsi="Arial"/>
          <w:sz w:val="17"/>
          <w:szCs w:val="17"/>
          <w:color w:val="auto"/>
        </w:rPr>
        <w:t xml:space="preserve"> for information on future cash dividends.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23" w:name="page124"/>
    <w:bookmarkEnd w:id="123"/>
    <w:p>
      <w:pPr>
        <w:ind w:right="240" w:firstLine="324"/>
        <w:spacing w:after="0" w:line="262" w:lineRule="auto"/>
        <w:rPr>
          <w:sz w:val="20"/>
          <w:szCs w:val="20"/>
          <w:color w:val="auto"/>
        </w:rPr>
      </w:pPr>
      <w:r>
        <w:rPr>
          <w:rFonts w:ascii="Arial" w:cs="Arial" w:eastAsia="Arial" w:hAnsi="Arial"/>
          <w:sz w:val="18"/>
          <w:szCs w:val="18"/>
          <w:color w:val="auto"/>
        </w:rPr>
        <w:t>Our Board of Directors declared quarterly cash dividends of $0.2825 per share of common stock for each of the first three quarters of 2023. On November 1, 2023, our Board of Directors increased our dividend policy to an expected total annual dividend of $1.24 per share. On August 2, 2024, our Board of Directors increased the cash dividend policy to anticipate a total annual dividend of $1.55 per share. On November 4, 2025, our Board of Directors increased the cash dividend policy to anticipate a total annual dividend of $1.62 per share.</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Board of Directors declared the following cash dividends for each of the periods presented.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80" w:type="dxa"/>
            <w:vAlign w:val="bottom"/>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 Dividend</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8"/>
                <w:szCs w:val="18"/>
                <w:b w:val="1"/>
                <w:bCs w:val="1"/>
                <w:color w:val="auto"/>
              </w:rPr>
              <w:t>Annual Rate Per Share</w:t>
            </w:r>
          </w:p>
        </w:tc>
      </w:tr>
      <w:tr>
        <w:trPr>
          <w:trHeight w:val="233"/>
        </w:trPr>
        <w:tc>
          <w:tcPr>
            <w:tcW w:w="6780" w:type="dxa"/>
            <w:vAlign w:val="bottom"/>
          </w:tcPr>
          <w:p>
            <w:pPr>
              <w:spacing w:after="0"/>
              <w:rPr>
                <w:sz w:val="20"/>
                <w:szCs w:val="20"/>
                <w:color w:val="auto"/>
              </w:rPr>
            </w:pPr>
          </w:p>
        </w:tc>
        <w:tc>
          <w:tcPr>
            <w:tcW w:w="1740" w:type="dxa"/>
            <w:vAlign w:val="bottom"/>
          </w:tcPr>
          <w:p>
            <w:pPr>
              <w:jc w:val="right"/>
              <w:ind w:right="215"/>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595"/>
              <w:spacing w:after="0"/>
              <w:rPr>
                <w:sz w:val="20"/>
                <w:szCs w:val="20"/>
                <w:color w:val="auto"/>
              </w:rPr>
            </w:pPr>
            <w:r>
              <w:rPr>
                <w:rFonts w:ascii="Arial" w:cs="Arial" w:eastAsia="Arial" w:hAnsi="Arial"/>
                <w:sz w:val="14"/>
                <w:szCs w:val="14"/>
                <w:color w:val="auto"/>
              </w:rPr>
              <w:t>per share)</w:t>
            </w:r>
          </w:p>
        </w:tc>
      </w:tr>
      <w:tr>
        <w:trPr>
          <w:trHeight w:val="23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2023</w:t>
            </w:r>
          </w:p>
        </w:tc>
        <w:tc>
          <w:tcPr>
            <w:tcW w:w="1740" w:type="dxa"/>
            <w:vAlign w:val="bottom"/>
            <w:shd w:val="clear" w:color="auto" w:fill="CCEEFF"/>
          </w:tcPr>
          <w:p>
            <w:pPr>
              <w:jc w:val="right"/>
              <w:ind w:right="155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9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1.1575</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Year ended December 31, 2024</w:t>
            </w:r>
          </w:p>
        </w:tc>
        <w:tc>
          <w:tcPr>
            <w:tcW w:w="1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113</w:t>
            </w:r>
          </w:p>
        </w:tc>
        <w:tc>
          <w:tcPr>
            <w:tcW w:w="9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1.3950</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2025</w:t>
            </w:r>
          </w:p>
        </w:tc>
        <w:tc>
          <w:tcPr>
            <w:tcW w:w="1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9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1.5675</w:t>
            </w:r>
          </w:p>
        </w:tc>
      </w:tr>
      <w:tr>
        <w:trPr>
          <w:trHeight w:val="223"/>
        </w:trPr>
        <w:tc>
          <w:tcPr>
            <w:tcW w:w="6780" w:type="dxa"/>
            <w:vAlign w:val="bottom"/>
          </w:tcPr>
          <w:p>
            <w:pPr>
              <w:spacing w:after="0"/>
              <w:rPr>
                <w:sz w:val="19"/>
                <w:szCs w:val="19"/>
                <w:color w:val="auto"/>
              </w:rPr>
            </w:pPr>
          </w:p>
        </w:tc>
        <w:tc>
          <w:tcPr>
            <w:tcW w:w="1740" w:type="dxa"/>
            <w:vAlign w:val="bottom"/>
            <w:tcBorders>
              <w:bottom w:val="single" w:sz="8" w:color="auto"/>
            </w:tcBorders>
          </w:tcPr>
          <w:p>
            <w:pPr>
              <w:jc w:val="right"/>
              <w:ind w:right="155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50"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In October 2020, we reserved an aggregate 4,384,182 shares of our common stock for issuance upon the exercise of warrants, which were exercisable at $36 per share through October 28, 2024. As of December 31, 2025, we had no outstanding warrants.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250"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color w:val="auto"/>
        </w:rPr>
        <w:t xml:space="preserve">Accumulated other comprehensive income consists of after-tax amounts for our pension and postretirement benefit plans. See </w:t>
      </w:r>
      <w:r>
        <w:rPr>
          <w:rFonts w:ascii="Arial" w:cs="Arial" w:eastAsia="Arial" w:hAnsi="Arial"/>
          <w:sz w:val="18"/>
          <w:szCs w:val="18"/>
          <w:i w:val="1"/>
          <w:iCs w:val="1"/>
          <w:color w:val="auto"/>
        </w:rPr>
        <w:t>Note 14</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Pension and Postretirement Benefit Plans </w:t>
      </w:r>
      <w:r>
        <w:rPr>
          <w:rFonts w:ascii="Arial" w:cs="Arial" w:eastAsia="Arial" w:hAnsi="Arial"/>
          <w:sz w:val="18"/>
          <w:szCs w:val="18"/>
          <w:color w:val="auto"/>
        </w:rPr>
        <w:t>for further information.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6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1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33"/>
        </w:trPr>
        <w:tc>
          <w:tcPr>
            <w:tcW w:w="45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gridSpan w:val="2"/>
          </w:tcPr>
          <w:p>
            <w:pPr>
              <w:ind w:left="300"/>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accumulated other comprehensive income</w:t>
            </w:r>
          </w:p>
        </w:tc>
        <w:tc>
          <w:tcPr>
            <w:tcW w:w="158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75"/>
        </w:trPr>
        <w:tc>
          <w:tcPr>
            <w:tcW w:w="4560" w:type="dxa"/>
            <w:vAlign w:val="bottom"/>
          </w:tcPr>
          <w:p>
            <w:pPr>
              <w:ind w:left="240"/>
              <w:spacing w:after="0" w:line="176" w:lineRule="exact"/>
              <w:rPr>
                <w:sz w:val="20"/>
                <w:szCs w:val="20"/>
                <w:color w:val="auto"/>
              </w:rPr>
            </w:pPr>
            <w:r>
              <w:rPr>
                <w:rFonts w:ascii="Arial" w:cs="Arial" w:eastAsia="Arial" w:hAnsi="Arial"/>
                <w:sz w:val="18"/>
                <w:szCs w:val="18"/>
                <w:color w:val="auto"/>
              </w:rPr>
              <w:t>Actuarial gain (loss) associated with pension and</w:t>
            </w:r>
          </w:p>
        </w:tc>
        <w:tc>
          <w:tcPr>
            <w:tcW w:w="15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560" w:type="dxa"/>
            <w:vAlign w:val="bottom"/>
          </w:tcPr>
          <w:p>
            <w:pPr>
              <w:ind w:left="240"/>
              <w:spacing w:after="0"/>
              <w:rPr>
                <w:sz w:val="20"/>
                <w:szCs w:val="20"/>
                <w:color w:val="auto"/>
              </w:rPr>
            </w:pPr>
            <w:r>
              <w:rPr>
                <w:rFonts w:ascii="Arial" w:cs="Arial" w:eastAsia="Arial" w:hAnsi="Arial"/>
                <w:sz w:val="18"/>
                <w:szCs w:val="18"/>
                <w:color w:val="auto"/>
              </w:rPr>
              <w:t>postretirement</w:t>
            </w:r>
          </w:p>
        </w:tc>
        <w:tc>
          <w:tcPr>
            <w:tcW w:w="158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Prior service credit</w:t>
            </w:r>
          </w:p>
        </w:tc>
        <w:tc>
          <w:tcPr>
            <w:tcW w:w="15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tcPr>
          <w:p>
            <w:pPr>
              <w:ind w:left="240"/>
              <w:spacing w:after="0"/>
              <w:rPr>
                <w:sz w:val="20"/>
                <w:szCs w:val="20"/>
                <w:color w:val="auto"/>
              </w:rPr>
            </w:pPr>
            <w:r>
              <w:rPr>
                <w:rFonts w:ascii="Arial" w:cs="Arial" w:eastAsia="Arial" w:hAnsi="Arial"/>
                <w:sz w:val="18"/>
                <w:szCs w:val="18"/>
                <w:color w:val="auto"/>
              </w:rPr>
              <w:t>Recognition of prior service credit due to curtailment</w:t>
            </w:r>
          </w:p>
        </w:tc>
        <w:tc>
          <w:tcPr>
            <w:tcW w:w="15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Recognition of net actuarial loss due to settlement</w:t>
            </w:r>
          </w:p>
        </w:tc>
        <w:tc>
          <w:tcPr>
            <w:tcW w:w="15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Recognition of net actuarial loss due to curtailment</w:t>
            </w:r>
          </w:p>
        </w:tc>
        <w:tc>
          <w:tcPr>
            <w:tcW w:w="15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5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Recognition of net actuarial gain due to special</w:t>
            </w:r>
          </w:p>
        </w:tc>
        <w:tc>
          <w:tcPr>
            <w:tcW w:w="158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termination benefits</w:t>
            </w:r>
          </w:p>
        </w:tc>
        <w:tc>
          <w:tcPr>
            <w:tcW w:w="1580" w:type="dxa"/>
            <w:vAlign w:val="bottom"/>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Amortization of prior service credit</w:t>
            </w:r>
          </w:p>
        </w:tc>
        <w:tc>
          <w:tcPr>
            <w:tcW w:w="15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net actuarial gain</w:t>
            </w:r>
          </w:p>
        </w:tc>
        <w:tc>
          <w:tcPr>
            <w:tcW w:w="15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5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55"/>
        </w:trPr>
        <w:tc>
          <w:tcPr>
            <w:tcW w:w="45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recorded in accumulated other comprehensive</w:t>
            </w:r>
          </w:p>
        </w:tc>
        <w:tc>
          <w:tcPr>
            <w:tcW w:w="15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tax</w:t>
            </w:r>
          </w:p>
        </w:tc>
        <w:tc>
          <w:tcPr>
            <w:tcW w:w="1580" w:type="dxa"/>
            <w:vAlign w:val="bottom"/>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1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55"/>
        </w:trPr>
        <w:tc>
          <w:tcPr>
            <w:tcW w:w="45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recorded in accumulated other comprehensive</w:t>
            </w:r>
          </w:p>
        </w:tc>
        <w:tc>
          <w:tcPr>
            <w:tcW w:w="1580" w:type="dxa"/>
            <w:vAlign w:val="bottom"/>
            <w:vMerge w:val="restart"/>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net of tax</w:t>
            </w:r>
          </w:p>
        </w:tc>
        <w:tc>
          <w:tcPr>
            <w:tcW w:w="1580" w:type="dxa"/>
            <w:vAlign w:val="bottom"/>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520" w:type="dxa"/>
            <w:vAlign w:val="bottom"/>
            <w:gridSpan w:val="2"/>
            <w:vMerge w:val="continue"/>
            <w:shd w:val="clear" w:color="auto" w:fill="CCEEFF"/>
          </w:tcPr>
          <w:p>
            <w:pPr>
              <w:spacing w:after="0"/>
              <w:rPr>
                <w:sz w:val="20"/>
                <w:szCs w:val="20"/>
                <w:color w:val="auto"/>
              </w:rPr>
            </w:pPr>
          </w:p>
        </w:tc>
        <w:tc>
          <w:tcPr>
            <w:tcW w:w="1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1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4560" w:type="dxa"/>
            <w:vAlign w:val="bottom"/>
          </w:tcPr>
          <w:p>
            <w:pPr>
              <w:spacing w:after="0"/>
              <w:rPr>
                <w:sz w:val="24"/>
                <w:szCs w:val="24"/>
                <w:color w:val="auto"/>
              </w:rPr>
            </w:pP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124</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5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4" w:name="page125"/>
    <w:bookmarkEnd w:id="124"/>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EARNINGS PER SHARE</w:t>
      </w:r>
    </w:p>
    <w:p>
      <w:pPr>
        <w:spacing w:after="0" w:line="25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 xml:space="preserve">Basic and diluted earnings per share (EPS) were calculated using the treasury stock method. Our restricted and performance stock unit awards, as described in </w:t>
      </w:r>
      <w:r>
        <w:rPr>
          <w:rFonts w:ascii="Arial" w:cs="Arial" w:eastAsia="Arial" w:hAnsi="Arial"/>
          <w:sz w:val="18"/>
          <w:szCs w:val="18"/>
          <w:i w:val="1"/>
          <w:iCs w:val="1"/>
          <w:color w:val="auto"/>
        </w:rPr>
        <w:t>Note 10 Stock-Based Compensation</w:t>
      </w:r>
      <w:r>
        <w:rPr>
          <w:rFonts w:ascii="Arial" w:cs="Arial" w:eastAsia="Arial" w:hAnsi="Arial"/>
          <w:sz w:val="18"/>
          <w:szCs w:val="18"/>
          <w:color w:val="auto"/>
        </w:rPr>
        <w:t>, are not considered participating securities since the dividend rights on unvested shares are forfeitable.</w:t>
      </w:r>
    </w:p>
    <w:p>
      <w:pPr>
        <w:spacing w:after="0" w:line="19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For basic EPS, the weighted-average number of common shares outstanding excludes underlying shares related to equity-settled awards and warrants. For diluted EPS, the basic shares outstanding are adjusted by adding potential common shares, if dilutive. Under the treasury stock method, we assume that proceeds from the exercise of options, warrants and similar instruments are used to purchase common stock at average market price of our stock each period. For PSUs, we measure the performance of our common stock against certain market conditions to determine the percentage earned for each period and the number of potential common shares included in diluted EPS. An insignificant number of potential common shares were not earned, and therefore were not treated as issued in our diluted EPS calculation for the year ended December 31, 2025.</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calculation of basic and diluted EPS.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8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center"/>
              <w:ind w:right="330"/>
              <w:spacing w:after="0"/>
              <w:rPr>
                <w:sz w:val="20"/>
                <w:szCs w:val="20"/>
                <w:color w:val="auto"/>
              </w:rPr>
            </w:pPr>
            <w:r>
              <w:rPr>
                <w:rFonts w:ascii="Arial" w:cs="Arial" w:eastAsia="Arial" w:hAnsi="Arial"/>
                <w:sz w:val="18"/>
                <w:szCs w:val="18"/>
                <w:b w:val="1"/>
                <w:bCs w:val="1"/>
                <w:color w:val="auto"/>
                <w:w w:val="99"/>
              </w:rPr>
              <w:t>Year ended December 31,</w:t>
            </w:r>
          </w:p>
        </w:tc>
        <w:tc>
          <w:tcPr>
            <w:tcW w:w="146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9"/>
              </w:rPr>
              <w:t>2024</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2023</w:t>
            </w:r>
          </w:p>
        </w:tc>
      </w:tr>
      <w:tr>
        <w:trPr>
          <w:trHeight w:val="228"/>
        </w:trPr>
        <w:tc>
          <w:tcPr>
            <w:tcW w:w="5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180" w:type="dxa"/>
            <w:vAlign w:val="bottom"/>
            <w:gridSpan w:val="7"/>
          </w:tcPr>
          <w:p>
            <w:pPr>
              <w:jc w:val="center"/>
              <w:ind w:left="52"/>
              <w:spacing w:after="0"/>
              <w:rPr>
                <w:sz w:val="20"/>
                <w:szCs w:val="20"/>
                <w:color w:val="auto"/>
              </w:rPr>
            </w:pPr>
            <w:r>
              <w:rPr>
                <w:rFonts w:ascii="Arial" w:cs="Arial" w:eastAsia="Arial" w:hAnsi="Arial"/>
                <w:sz w:val="14"/>
                <w:szCs w:val="14"/>
                <w:color w:val="auto"/>
              </w:rPr>
              <w:t>(in millions, except per share amounts)</w:t>
            </w:r>
          </w:p>
        </w:tc>
        <w:tc>
          <w:tcPr>
            <w:tcW w:w="1460" w:type="dxa"/>
            <w:vAlign w:val="bottom"/>
          </w:tcPr>
          <w:p>
            <w:pPr>
              <w:spacing w:after="0"/>
              <w:rPr>
                <w:sz w:val="19"/>
                <w:szCs w:val="19"/>
                <w:color w:val="auto"/>
              </w:rPr>
            </w:pPr>
          </w:p>
        </w:tc>
      </w:tr>
      <w:tr>
        <w:trPr>
          <w:trHeight w:val="238"/>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Numerator for Basic and Diluted EPS</w:t>
            </w:r>
          </w:p>
        </w:tc>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16"/>
        </w:trPr>
        <w:tc>
          <w:tcPr>
            <w:tcW w:w="5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 for Basic EPS</w:t>
            </w:r>
          </w:p>
        </w:tc>
        <w:tc>
          <w:tcPr>
            <w:tcW w:w="13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r>
      <w:tr>
        <w:trPr>
          <w:trHeight w:val="223"/>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Weighted-average shares</w:t>
            </w:r>
          </w:p>
        </w:tc>
        <w:tc>
          <w:tcPr>
            <w:tcW w:w="1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r>
      <w:tr>
        <w:trPr>
          <w:trHeight w:val="196"/>
        </w:trPr>
        <w:tc>
          <w:tcPr>
            <w:tcW w:w="5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Potential common shares, if dilutive:</w:t>
            </w:r>
          </w:p>
        </w:tc>
        <w:tc>
          <w:tcPr>
            <w:tcW w:w="1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Warrants</w:t>
            </w: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280" w:type="dxa"/>
            <w:vAlign w:val="bottom"/>
          </w:tcPr>
          <w:p>
            <w:pPr>
              <w:ind w:left="360"/>
              <w:spacing w:after="0"/>
              <w:rPr>
                <w:sz w:val="20"/>
                <w:szCs w:val="20"/>
                <w:color w:val="auto"/>
              </w:rPr>
            </w:pPr>
            <w:r>
              <w:rPr>
                <w:rFonts w:ascii="Arial" w:cs="Arial" w:eastAsia="Arial" w:hAnsi="Arial"/>
                <w:sz w:val="18"/>
                <w:szCs w:val="18"/>
                <w:color w:val="auto"/>
              </w:rPr>
              <w:t>Restricted stock units</w:t>
            </w: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stock units</w:t>
            </w: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175"/>
        </w:trPr>
        <w:tc>
          <w:tcPr>
            <w:tcW w:w="5280" w:type="dxa"/>
            <w:vAlign w:val="bottom"/>
          </w:tcPr>
          <w:p>
            <w:pPr>
              <w:ind w:left="360"/>
              <w:spacing w:after="0" w:line="176" w:lineRule="exact"/>
              <w:rPr>
                <w:sz w:val="20"/>
                <w:szCs w:val="20"/>
                <w:color w:val="auto"/>
              </w:rPr>
            </w:pPr>
            <w:r>
              <w:rPr>
                <w:rFonts w:ascii="Arial" w:cs="Arial" w:eastAsia="Arial" w:hAnsi="Arial"/>
                <w:sz w:val="18"/>
                <w:szCs w:val="18"/>
                <w:color w:val="auto"/>
              </w:rPr>
              <w:t>Deferred Consideration Obligation (related to the Aera</w:t>
            </w:r>
          </w:p>
        </w:tc>
        <w:tc>
          <w:tcPr>
            <w:tcW w:w="132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tcPr>
          <w:p>
            <w:pPr>
              <w:jc w:val="right"/>
              <w:spacing w:after="0" w:line="176" w:lineRule="exact"/>
              <w:rPr>
                <w:sz w:val="20"/>
                <w:szCs w:val="20"/>
                <w:color w:val="auto"/>
              </w:rPr>
            </w:pPr>
            <w:r>
              <w:rPr>
                <w:rFonts w:ascii="Arial" w:cs="Arial" w:eastAsia="Arial" w:hAnsi="Arial"/>
                <w:sz w:val="18"/>
                <w:szCs w:val="18"/>
                <w:color w:val="auto"/>
              </w:rPr>
              <w:t>0.1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241"/>
        </w:trPr>
        <w:tc>
          <w:tcPr>
            <w:tcW w:w="5280" w:type="dxa"/>
            <w:vAlign w:val="bottom"/>
          </w:tcPr>
          <w:p>
            <w:pPr>
              <w:ind w:left="360"/>
              <w:spacing w:after="0"/>
              <w:rPr>
                <w:sz w:val="20"/>
                <w:szCs w:val="20"/>
                <w:color w:val="auto"/>
              </w:rPr>
            </w:pPr>
            <w:r>
              <w:rPr>
                <w:rFonts w:ascii="Arial" w:cs="Arial" w:eastAsia="Arial" w:hAnsi="Arial"/>
                <w:sz w:val="18"/>
                <w:szCs w:val="18"/>
                <w:color w:val="auto"/>
              </w:rPr>
              <w:t>Merger)</w:t>
            </w:r>
          </w:p>
        </w:tc>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8"/>
        </w:trPr>
        <w:tc>
          <w:tcPr>
            <w:tcW w:w="5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Denominator for Diluted EPS</w:t>
            </w:r>
          </w:p>
        </w:tc>
        <w:tc>
          <w:tcPr>
            <w:tcW w:w="1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23"/>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shares</w:t>
            </w:r>
          </w:p>
        </w:tc>
        <w:tc>
          <w:tcPr>
            <w:tcW w:w="13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196"/>
        </w:trPr>
        <w:tc>
          <w:tcPr>
            <w:tcW w:w="5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EPS</w:t>
            </w: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Basic</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4.17</w:t>
            </w:r>
          </w:p>
        </w:tc>
        <w:tc>
          <w:tcPr>
            <w:tcW w:w="5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4.74</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8.10</w:t>
            </w:r>
          </w:p>
        </w:tc>
      </w:tr>
      <w:tr>
        <w:trPr>
          <w:trHeight w:val="230"/>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r>
    </w:tbl>
    <w:p>
      <w:pPr>
        <w:spacing w:after="0" w:line="30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LEASES</w:t>
      </w:r>
    </w:p>
    <w:p>
      <w:pPr>
        <w:spacing w:after="0" w:line="252"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 xml:space="preserve">We have operating leases primarily for carbon sequestration easements, vehicles, colocation arrangements for servers and commercial office space. We have finance leases primarily for vehicles.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requires lease-related assets and liabilities acquired to be measured as if the lease were new at the acquisition date, using our incremental borrowing rate. The leases acquired in the Aera Merger and the Berry Merger retained the previous lease classification.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5" w:name="page126"/>
    <w:bookmarkEnd w:id="125"/>
    <w:p>
      <w:pPr>
        <w:ind w:left="340"/>
        <w:spacing w:after="0"/>
        <w:rPr>
          <w:sz w:val="20"/>
          <w:szCs w:val="20"/>
          <w:color w:val="auto"/>
        </w:rPr>
      </w:pPr>
      <w:r>
        <w:rPr>
          <w:rFonts w:ascii="Arial" w:cs="Arial" w:eastAsia="Arial" w:hAnsi="Arial"/>
          <w:sz w:val="18"/>
          <w:szCs w:val="18"/>
          <w:color w:val="auto"/>
        </w:rPr>
        <w:t>We have recorded the following amounts on our balance sheet as of December 31, 2025 and 2024:</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580" w:type="dxa"/>
            <w:vAlign w:val="bottom"/>
          </w:tcPr>
          <w:p>
            <w:pPr>
              <w:spacing w:after="0"/>
              <w:rPr>
                <w:sz w:val="20"/>
                <w:szCs w:val="20"/>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Classification</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2024</w:t>
            </w:r>
          </w:p>
        </w:tc>
      </w:tr>
      <w:tr>
        <w:trPr>
          <w:trHeight w:val="263"/>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120" w:type="dxa"/>
            <w:vAlign w:val="bottom"/>
            <w:gridSpan w:val="3"/>
          </w:tcPr>
          <w:p>
            <w:pPr>
              <w:jc w:val="right"/>
              <w:ind w:right="13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22"/>
                <w:szCs w:val="22"/>
                <w:color w:val="auto"/>
              </w:rPr>
            </w:pPr>
          </w:p>
        </w:tc>
      </w:tr>
      <w:tr>
        <w:trPr>
          <w:trHeight w:val="229"/>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w:t>
            </w:r>
          </w:p>
        </w:tc>
        <w:tc>
          <w:tcPr>
            <w:tcW w:w="3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i w:val="1"/>
                <w:iCs w:val="1"/>
                <w:color w:val="auto"/>
                <w:w w:val="99"/>
              </w:rPr>
              <w:t>Other noncurrent assets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3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Finance lease</w:t>
            </w:r>
          </w:p>
        </w:tc>
        <w:tc>
          <w:tcPr>
            <w:tcW w:w="36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i w:val="1"/>
                <w:iCs w:val="1"/>
                <w:color w:val="auto"/>
                <w:w w:val="99"/>
              </w:rPr>
              <w:t>PP&amp;E</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3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assets</w:t>
            </w:r>
          </w:p>
        </w:tc>
        <w:tc>
          <w:tcPr>
            <w:tcW w:w="3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5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Current</w:t>
            </w:r>
          </w:p>
        </w:tc>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w:t>
            </w:r>
          </w:p>
        </w:tc>
        <w:tc>
          <w:tcPr>
            <w:tcW w:w="3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i w:val="1"/>
                <w:iCs w:val="1"/>
                <w:color w:val="auto"/>
              </w:rPr>
              <w:t>Accrued liabilities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3580" w:type="dxa"/>
            <w:vAlign w:val="bottom"/>
          </w:tcPr>
          <w:p>
            <w:pPr>
              <w:ind w:left="120"/>
              <w:spacing w:after="0"/>
              <w:rPr>
                <w:sz w:val="20"/>
                <w:szCs w:val="20"/>
                <w:color w:val="auto"/>
              </w:rPr>
            </w:pPr>
            <w:r>
              <w:rPr>
                <w:rFonts w:ascii="Arial" w:cs="Arial" w:eastAsia="Arial" w:hAnsi="Arial"/>
                <w:sz w:val="18"/>
                <w:szCs w:val="18"/>
                <w:color w:val="auto"/>
              </w:rPr>
              <w:t>Finance lease</w:t>
            </w:r>
          </w:p>
        </w:tc>
        <w:tc>
          <w:tcPr>
            <w:tcW w:w="368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rPr>
              <w:t>Accrued liabilities</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w:t>
            </w:r>
          </w:p>
        </w:tc>
        <w:tc>
          <w:tcPr>
            <w:tcW w:w="3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3580" w:type="dxa"/>
            <w:vAlign w:val="bottom"/>
          </w:tcPr>
          <w:p>
            <w:pPr>
              <w:ind w:left="120"/>
              <w:spacing w:after="0"/>
              <w:rPr>
                <w:sz w:val="20"/>
                <w:szCs w:val="20"/>
                <w:color w:val="auto"/>
              </w:rPr>
            </w:pPr>
            <w:r>
              <w:rPr>
                <w:rFonts w:ascii="Arial" w:cs="Arial" w:eastAsia="Arial" w:hAnsi="Arial"/>
                <w:sz w:val="18"/>
                <w:szCs w:val="18"/>
                <w:color w:val="auto"/>
              </w:rPr>
              <w:t>Operating lease</w:t>
            </w:r>
          </w:p>
        </w:tc>
        <w:tc>
          <w:tcPr>
            <w:tcW w:w="368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rPr>
              <w:t>Other long-term liabilities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w:t>
            </w:r>
          </w:p>
        </w:tc>
        <w:tc>
          <w:tcPr>
            <w:tcW w:w="3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i w:val="1"/>
                <w:iCs w:val="1"/>
                <w:color w:val="auto"/>
              </w:rPr>
              <w:t>Other long-term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3580" w:type="dxa"/>
            <w:vAlign w:val="bottom"/>
          </w:tcPr>
          <w:p>
            <w:pPr>
              <w:ind w:left="240"/>
              <w:spacing w:after="0"/>
              <w:rPr>
                <w:sz w:val="20"/>
                <w:szCs w:val="20"/>
                <w:color w:val="auto"/>
              </w:rPr>
            </w:pPr>
            <w:r>
              <w:rPr>
                <w:rFonts w:ascii="Arial" w:cs="Arial" w:eastAsia="Arial" w:hAnsi="Arial"/>
                <w:sz w:val="18"/>
                <w:szCs w:val="18"/>
                <w:color w:val="auto"/>
              </w:rPr>
              <w:t>Total lease liabilities</w:t>
            </w:r>
          </w:p>
        </w:tc>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1"/>
        </w:trPr>
        <w:tc>
          <w:tcPr>
            <w:tcW w:w="3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combine lease and nonlease components in determining fixed minimum lease payments for our commercial office space. If applicable, fixed minimum lease payments are reduced by lease incentives for our commercial office space. Certain of our lease agreements include options to extend or terminate the lease, which we may exercise at our sole discretion. For our existing leases, we did not include these options in determining our fixed minimum lease payments over the lease term. Our leases do not include options to purchase the leased property. Lease agreements for our fleet vehicles include residual value guarantees, none of which are recognized in our financial statements until the underlying contingency is resolved.</w:t>
      </w:r>
    </w:p>
    <w:p>
      <w:pPr>
        <w:spacing w:after="0" w:line="209"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Variable lease costs for commercial office space include utilities and common area maintenance charges. Variable lease costs for our fleet vehicles include other-than-routine maintenance and other various amounts in excess of our fixed minimum rental fee.</w:t>
      </w:r>
    </w:p>
    <w:p>
      <w:pPr>
        <w:spacing w:after="0" w:line="180" w:lineRule="exact"/>
        <w:rPr>
          <w:sz w:val="20"/>
          <w:szCs w:val="20"/>
          <w:color w:val="auto"/>
        </w:rPr>
      </w:pPr>
    </w:p>
    <w:p>
      <w:pPr>
        <w:ind w:right="200" w:firstLine="324"/>
        <w:spacing w:after="0" w:line="273" w:lineRule="auto"/>
        <w:rPr>
          <w:sz w:val="20"/>
          <w:szCs w:val="20"/>
          <w:color w:val="auto"/>
        </w:rPr>
      </w:pPr>
      <w:r>
        <w:rPr>
          <w:rFonts w:ascii="Arial" w:cs="Arial" w:eastAsia="Arial" w:hAnsi="Arial"/>
          <w:sz w:val="18"/>
          <w:szCs w:val="18"/>
          <w:color w:val="auto"/>
        </w:rPr>
        <w:t>Our lease costs, including amounts capitalized to PP&amp;E, shown in the table below are before joint-interest recoveries. Lease payments are reduced by joint interest recoveries on our consolidated statement of operations through our joint-interest billing process.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6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9"/>
              </w:rPr>
              <w:t>Year ended December 31,</w:t>
            </w:r>
          </w:p>
        </w:tc>
        <w:tc>
          <w:tcPr>
            <w:tcW w:w="5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r>
      <w:tr>
        <w:trPr>
          <w:trHeight w:val="223"/>
        </w:trPr>
        <w:tc>
          <w:tcPr>
            <w:tcW w:w="4160" w:type="dxa"/>
            <w:vAlign w:val="bottom"/>
          </w:tcPr>
          <w:p>
            <w:pPr>
              <w:spacing w:after="0"/>
              <w:rPr>
                <w:sz w:val="19"/>
                <w:szCs w:val="19"/>
                <w:color w:val="auto"/>
              </w:rPr>
            </w:pP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392"/>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2023</w:t>
            </w:r>
          </w:p>
        </w:tc>
      </w:tr>
      <w:tr>
        <w:trPr>
          <w:trHeight w:val="233"/>
        </w:trPr>
        <w:tc>
          <w:tcPr>
            <w:tcW w:w="4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gridSpan w:val="2"/>
          </w:tcPr>
          <w:p>
            <w:pPr>
              <w:jc w:val="center"/>
              <w:ind w:right="540"/>
              <w:spacing w:after="0"/>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3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1620" w:type="dxa"/>
            <w:vAlign w:val="bottom"/>
            <w:shd w:val="clear" w:color="auto" w:fill="CCEEFF"/>
          </w:tcPr>
          <w:p>
            <w:pPr>
              <w:jc w:val="right"/>
              <w:ind w:right="14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4160" w:type="dxa"/>
            <w:vAlign w:val="bottom"/>
          </w:tcPr>
          <w:p>
            <w:pPr>
              <w:ind w:left="20"/>
              <w:spacing w:after="0" w:line="230" w:lineRule="exact"/>
              <w:rPr>
                <w:sz w:val="20"/>
                <w:szCs w:val="20"/>
                <w:color w:val="auto"/>
              </w:rPr>
            </w:pPr>
            <w:r>
              <w:rPr>
                <w:rFonts w:ascii="Arial" w:cs="Arial" w:eastAsia="Arial" w:hAnsi="Arial"/>
                <w:sz w:val="18"/>
                <w:szCs w:val="18"/>
                <w:color w:val="auto"/>
              </w:rPr>
              <w:t>Short-term lease costs</w:t>
            </w:r>
            <w:r>
              <w:rPr>
                <w:rFonts w:ascii="Arial" w:cs="Arial" w:eastAsia="Arial" w:hAnsi="Arial"/>
                <w:sz w:val="23"/>
                <w:szCs w:val="23"/>
                <w:color w:val="auto"/>
                <w:vertAlign w:val="superscript"/>
              </w:rPr>
              <w:t>(a)</w:t>
            </w:r>
          </w:p>
        </w:tc>
        <w:tc>
          <w:tcPr>
            <w:tcW w:w="16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costs</w:t>
            </w:r>
          </w:p>
        </w:tc>
        <w:tc>
          <w:tcPr>
            <w:tcW w:w="16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160" w:type="dxa"/>
            <w:vAlign w:val="bottom"/>
          </w:tcPr>
          <w:p>
            <w:pPr>
              <w:ind w:left="140"/>
              <w:spacing w:after="0"/>
              <w:rPr>
                <w:sz w:val="20"/>
                <w:szCs w:val="20"/>
                <w:color w:val="auto"/>
              </w:rPr>
            </w:pPr>
            <w:r>
              <w:rPr>
                <w:rFonts w:ascii="Arial" w:cs="Arial" w:eastAsia="Arial" w:hAnsi="Arial"/>
                <w:sz w:val="18"/>
                <w:szCs w:val="18"/>
                <w:color w:val="auto"/>
              </w:rPr>
              <w:t>Total operating lease costs</w:t>
            </w:r>
          </w:p>
        </w:tc>
        <w:tc>
          <w:tcPr>
            <w:tcW w:w="16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costs</w:t>
            </w:r>
          </w:p>
        </w:tc>
        <w:tc>
          <w:tcPr>
            <w:tcW w:w="16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Sublease income</w:t>
            </w:r>
            <w:r>
              <w:rPr>
                <w:rFonts w:ascii="Arial" w:cs="Arial" w:eastAsia="Arial" w:hAnsi="Arial"/>
                <w:sz w:val="23"/>
                <w:szCs w:val="23"/>
                <w:color w:val="auto"/>
                <w:vertAlign w:val="superscript"/>
              </w:rPr>
              <w:t>(b)</w:t>
            </w:r>
          </w:p>
        </w:tc>
        <w:tc>
          <w:tcPr>
            <w:tcW w:w="1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4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costs</w:t>
            </w:r>
          </w:p>
        </w:tc>
        <w:tc>
          <w:tcPr>
            <w:tcW w:w="1620" w:type="dxa"/>
            <w:vAlign w:val="bottom"/>
            <w:tcBorders>
              <w:bottom w:val="single" w:sz="8" w:color="auto"/>
            </w:tcBorders>
            <w:shd w:val="clear" w:color="auto" w:fill="CCEEFF"/>
          </w:tcPr>
          <w:p>
            <w:pPr>
              <w:jc w:val="right"/>
              <w:ind w:right="14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480" w:hanging="310"/>
        <w:spacing w:after="0"/>
        <w:tabs>
          <w:tab w:leader="none" w:pos="4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Contracts with terms of less than one month or less are excluded from our disclosure of short-term lease costs.</w:t>
      </w:r>
    </w:p>
    <w:p>
      <w:pPr>
        <w:spacing w:after="0" w:line="28" w:lineRule="exact"/>
        <w:rPr>
          <w:rFonts w:ascii="Arial" w:cs="Arial" w:eastAsia="Arial" w:hAnsi="Arial"/>
          <w:sz w:val="14"/>
          <w:szCs w:val="14"/>
          <w:color w:val="auto"/>
        </w:rPr>
      </w:pPr>
    </w:p>
    <w:p>
      <w:pPr>
        <w:ind w:left="500" w:right="140" w:hanging="330"/>
        <w:spacing w:after="0" w:line="262" w:lineRule="auto"/>
        <w:tabs>
          <w:tab w:leader="none" w:pos="487" w:val="left"/>
        </w:tabs>
        <w:numPr>
          <w:ilvl w:val="0"/>
          <w:numId w:val="58"/>
        </w:numPr>
        <w:rPr>
          <w:rFonts w:ascii="Arial" w:cs="Arial" w:eastAsia="Arial" w:hAnsi="Arial"/>
          <w:sz w:val="14"/>
          <w:szCs w:val="14"/>
          <w:color w:val="auto"/>
        </w:rPr>
      </w:pPr>
      <w:r>
        <w:rPr>
          <w:rFonts w:ascii="Arial" w:cs="Arial" w:eastAsia="Arial" w:hAnsi="Arial"/>
          <w:sz w:val="14"/>
          <w:szCs w:val="14"/>
          <w:color w:val="auto"/>
        </w:rPr>
        <w:t>We sublease certain commercial office space to third parties where we are the primary obligor under the head lease. The lease terms on those subleases never extend past the term of the head lease and the subleases contain no extension options or residual value guarantees. Sublease income is recognized based on the contract terms and included as a reduction of operating lease cost under our head lease.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6" w:name="page127"/>
    <w:bookmarkEnd w:id="126"/>
    <w:p>
      <w:pPr>
        <w:ind w:left="340"/>
        <w:spacing w:after="0"/>
        <w:rPr>
          <w:sz w:val="20"/>
          <w:szCs w:val="20"/>
          <w:color w:val="auto"/>
        </w:rPr>
      </w:pPr>
      <w:r>
        <w:rPr>
          <w:rFonts w:ascii="Arial" w:cs="Arial" w:eastAsia="Arial" w:hAnsi="Arial"/>
          <w:sz w:val="18"/>
          <w:szCs w:val="18"/>
          <w:color w:val="auto"/>
        </w:rPr>
        <w:t>Other supplemental information related to our operating leases as of December 31, 2025 and 2024 is provided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2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6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16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ind w:right="433"/>
              <w:spacing w:after="0"/>
              <w:rPr>
                <w:sz w:val="20"/>
                <w:szCs w:val="20"/>
                <w:color w:val="auto"/>
              </w:rPr>
            </w:pPr>
            <w:r>
              <w:rPr>
                <w:rFonts w:ascii="Arial" w:cs="Arial" w:eastAsia="Arial" w:hAnsi="Arial"/>
                <w:sz w:val="18"/>
                <w:szCs w:val="18"/>
                <w:b w:val="1"/>
                <w:bCs w:val="1"/>
                <w:color w:val="auto"/>
                <w:w w:val="99"/>
              </w:rPr>
              <w:t>2024</w:t>
            </w:r>
          </w:p>
        </w:tc>
        <w:tc>
          <w:tcPr>
            <w:tcW w:w="6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jc w:val="center"/>
              <w:ind w:right="393"/>
              <w:spacing w:after="0"/>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120" w:type="dxa"/>
            <w:vAlign w:val="bottom"/>
          </w:tcPr>
          <w:p>
            <w:pPr>
              <w:ind w:left="20"/>
              <w:spacing w:after="0"/>
              <w:rPr>
                <w:sz w:val="20"/>
                <w:szCs w:val="20"/>
                <w:color w:val="auto"/>
              </w:rPr>
            </w:pPr>
            <w:r>
              <w:rPr>
                <w:rFonts w:ascii="Arial" w:cs="Arial" w:eastAsia="Arial" w:hAnsi="Arial"/>
                <w:sz w:val="18"/>
                <w:szCs w:val="18"/>
                <w:color w:val="auto"/>
              </w:rPr>
              <w:t>Cash paid for lease liabilities</w:t>
            </w:r>
          </w:p>
        </w:tc>
        <w:tc>
          <w:tcPr>
            <w:tcW w:w="1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1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Lease liabilities associated with operating</w:t>
            </w:r>
          </w:p>
        </w:tc>
        <w:tc>
          <w:tcPr>
            <w:tcW w:w="1680" w:type="dxa"/>
            <w:vAlign w:val="bottom"/>
            <w:vMerge w:val="restart"/>
            <w:shd w:val="clear" w:color="auto" w:fill="CCEEFF"/>
          </w:tcPr>
          <w:p>
            <w:pPr>
              <w:jc w:val="right"/>
              <w:ind w:right="147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5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8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60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activities</w:t>
            </w:r>
          </w:p>
        </w:tc>
        <w:tc>
          <w:tcPr>
            <w:tcW w:w="168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1880" w:type="dxa"/>
            <w:vAlign w:val="bottom"/>
            <w:vMerge w:val="continue"/>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120" w:type="dxa"/>
            <w:vAlign w:val="bottom"/>
          </w:tcPr>
          <w:p>
            <w:pPr>
              <w:ind w:left="240"/>
              <w:spacing w:after="0" w:line="176" w:lineRule="exact"/>
              <w:rPr>
                <w:sz w:val="20"/>
                <w:szCs w:val="20"/>
                <w:color w:val="auto"/>
              </w:rPr>
            </w:pPr>
            <w:r>
              <w:rPr>
                <w:rFonts w:ascii="Arial" w:cs="Arial" w:eastAsia="Arial" w:hAnsi="Arial"/>
                <w:sz w:val="18"/>
                <w:szCs w:val="18"/>
                <w:color w:val="auto"/>
              </w:rPr>
              <w:t>Lease liabilities associated with investing</w:t>
            </w:r>
          </w:p>
        </w:tc>
        <w:tc>
          <w:tcPr>
            <w:tcW w:w="1680" w:type="dxa"/>
            <w:vAlign w:val="bottom"/>
            <w:vMerge w:val="restart"/>
          </w:tcPr>
          <w:p>
            <w:pPr>
              <w:jc w:val="right"/>
              <w:ind w:right="147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color w:val="auto"/>
              </w:rPr>
              <w:t>19</w:t>
            </w:r>
          </w:p>
        </w:tc>
        <w:tc>
          <w:tcPr>
            <w:tcW w:w="540" w:type="dxa"/>
            <w:vAlign w:val="bottom"/>
            <w:vMerge w:val="restart"/>
          </w:tcPr>
          <w:p>
            <w:pPr>
              <w:jc w:val="right"/>
              <w:ind w:right="250"/>
              <w:spacing w:after="0"/>
              <w:rPr>
                <w:sz w:val="20"/>
                <w:szCs w:val="20"/>
                <w:color w:val="auto"/>
              </w:rPr>
            </w:pPr>
            <w:r>
              <w:rPr>
                <w:rFonts w:ascii="Arial" w:cs="Arial" w:eastAsia="Arial" w:hAnsi="Arial"/>
                <w:sz w:val="18"/>
                <w:szCs w:val="18"/>
                <w:color w:val="auto"/>
              </w:rPr>
              <w:t>$</w:t>
            </w:r>
          </w:p>
        </w:tc>
        <w:tc>
          <w:tcPr>
            <w:tcW w:w="1880" w:type="dxa"/>
            <w:vAlign w:val="bottom"/>
            <w:vMerge w:val="restart"/>
          </w:tcPr>
          <w:p>
            <w:pPr>
              <w:jc w:val="right"/>
              <w:ind w:right="33"/>
              <w:spacing w:after="0"/>
              <w:rPr>
                <w:sz w:val="20"/>
                <w:szCs w:val="20"/>
                <w:color w:val="auto"/>
              </w:rPr>
            </w:pPr>
            <w:r>
              <w:rPr>
                <w:rFonts w:ascii="Arial" w:cs="Arial" w:eastAsia="Arial" w:hAnsi="Arial"/>
                <w:sz w:val="18"/>
                <w:szCs w:val="18"/>
                <w:color w:val="auto"/>
              </w:rPr>
              <w:t>8</w:t>
            </w:r>
          </w:p>
        </w:tc>
        <w:tc>
          <w:tcPr>
            <w:tcW w:w="6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120" w:type="dxa"/>
            <w:vAlign w:val="bottom"/>
          </w:tcPr>
          <w:p>
            <w:pPr>
              <w:ind w:left="240"/>
              <w:spacing w:after="0"/>
              <w:rPr>
                <w:sz w:val="20"/>
                <w:szCs w:val="20"/>
                <w:color w:val="auto"/>
              </w:rPr>
            </w:pPr>
            <w:r>
              <w:rPr>
                <w:rFonts w:ascii="Arial" w:cs="Arial" w:eastAsia="Arial" w:hAnsi="Arial"/>
                <w:sz w:val="18"/>
                <w:szCs w:val="18"/>
                <w:color w:val="auto"/>
              </w:rPr>
              <w:t>activities</w:t>
            </w:r>
          </w:p>
        </w:tc>
        <w:tc>
          <w:tcPr>
            <w:tcW w:w="168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188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1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1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Lease liabilities associated with financing</w:t>
            </w:r>
          </w:p>
        </w:tc>
        <w:tc>
          <w:tcPr>
            <w:tcW w:w="1680" w:type="dxa"/>
            <w:vAlign w:val="bottom"/>
            <w:vMerge w:val="restart"/>
            <w:shd w:val="clear" w:color="auto" w:fill="CCEEFF"/>
          </w:tcPr>
          <w:p>
            <w:pPr>
              <w:jc w:val="right"/>
              <w:ind w:right="147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5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8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60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activities</w:t>
            </w:r>
          </w:p>
        </w:tc>
        <w:tc>
          <w:tcPr>
            <w:tcW w:w="168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1880" w:type="dxa"/>
            <w:vAlign w:val="bottom"/>
            <w:vMerge w:val="continue"/>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Noncash operating lease assets obtained in</w:t>
            </w:r>
          </w:p>
        </w:tc>
        <w:tc>
          <w:tcPr>
            <w:tcW w:w="1680" w:type="dxa"/>
            <w:vAlign w:val="bottom"/>
            <w:vMerge w:val="restart"/>
            <w:shd w:val="clear" w:color="auto" w:fill="CCEEFF"/>
          </w:tcPr>
          <w:p>
            <w:pPr>
              <w:jc w:val="right"/>
              <w:ind w:right="147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5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8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52</w:t>
            </w:r>
          </w:p>
        </w:tc>
        <w:tc>
          <w:tcPr>
            <w:tcW w:w="60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for new operating lease liabilities</w:t>
            </w:r>
          </w:p>
        </w:tc>
        <w:tc>
          <w:tcPr>
            <w:tcW w:w="1680" w:type="dxa"/>
            <w:vAlign w:val="bottom"/>
            <w:vMerge w:val="continue"/>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1880" w:type="dxa"/>
            <w:vAlign w:val="bottom"/>
            <w:vMerge w:val="continue"/>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120" w:type="dxa"/>
            <w:vAlign w:val="bottom"/>
          </w:tcPr>
          <w:p>
            <w:pPr>
              <w:ind w:left="20"/>
              <w:spacing w:after="0" w:line="176" w:lineRule="exact"/>
              <w:rPr>
                <w:sz w:val="20"/>
                <w:szCs w:val="20"/>
                <w:color w:val="auto"/>
              </w:rPr>
            </w:pPr>
            <w:r>
              <w:rPr>
                <w:rFonts w:ascii="Arial" w:cs="Arial" w:eastAsia="Arial" w:hAnsi="Arial"/>
                <w:sz w:val="18"/>
                <w:szCs w:val="18"/>
                <w:color w:val="auto"/>
              </w:rPr>
              <w:t>Noncash finance lease assets obtained in</w:t>
            </w:r>
          </w:p>
        </w:tc>
        <w:tc>
          <w:tcPr>
            <w:tcW w:w="1680" w:type="dxa"/>
            <w:vAlign w:val="bottom"/>
            <w:vMerge w:val="restart"/>
          </w:tcPr>
          <w:p>
            <w:pPr>
              <w:jc w:val="right"/>
              <w:ind w:right="147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color w:val="auto"/>
              </w:rPr>
              <w:t>3</w:t>
            </w:r>
          </w:p>
        </w:tc>
        <w:tc>
          <w:tcPr>
            <w:tcW w:w="540" w:type="dxa"/>
            <w:vAlign w:val="bottom"/>
            <w:vMerge w:val="restart"/>
          </w:tcPr>
          <w:p>
            <w:pPr>
              <w:jc w:val="right"/>
              <w:ind w:right="250"/>
              <w:spacing w:after="0"/>
              <w:rPr>
                <w:sz w:val="20"/>
                <w:szCs w:val="20"/>
                <w:color w:val="auto"/>
              </w:rPr>
            </w:pPr>
            <w:r>
              <w:rPr>
                <w:rFonts w:ascii="Arial" w:cs="Arial" w:eastAsia="Arial" w:hAnsi="Arial"/>
                <w:sz w:val="18"/>
                <w:szCs w:val="18"/>
                <w:color w:val="auto"/>
              </w:rPr>
              <w:t>$</w:t>
            </w:r>
          </w:p>
        </w:tc>
        <w:tc>
          <w:tcPr>
            <w:tcW w:w="1880" w:type="dxa"/>
            <w:vAlign w:val="bottom"/>
            <w:vMerge w:val="restart"/>
          </w:tcPr>
          <w:p>
            <w:pPr>
              <w:jc w:val="right"/>
              <w:ind w:right="33"/>
              <w:spacing w:after="0"/>
              <w:rPr>
                <w:sz w:val="20"/>
                <w:szCs w:val="20"/>
                <w:color w:val="auto"/>
              </w:rPr>
            </w:pPr>
            <w:r>
              <w:rPr>
                <w:rFonts w:ascii="Arial" w:cs="Arial" w:eastAsia="Arial" w:hAnsi="Arial"/>
                <w:sz w:val="18"/>
                <w:szCs w:val="18"/>
                <w:color w:val="auto"/>
              </w:rPr>
              <w:t>3</w:t>
            </w:r>
          </w:p>
        </w:tc>
        <w:tc>
          <w:tcPr>
            <w:tcW w:w="6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120" w:type="dxa"/>
            <w:vAlign w:val="bottom"/>
          </w:tcPr>
          <w:p>
            <w:pPr>
              <w:ind w:left="20"/>
              <w:spacing w:after="0"/>
              <w:rPr>
                <w:sz w:val="20"/>
                <w:szCs w:val="20"/>
                <w:color w:val="auto"/>
              </w:rPr>
            </w:pPr>
            <w:r>
              <w:rPr>
                <w:rFonts w:ascii="Arial" w:cs="Arial" w:eastAsia="Arial" w:hAnsi="Arial"/>
                <w:sz w:val="18"/>
                <w:szCs w:val="18"/>
                <w:color w:val="auto"/>
              </w:rPr>
              <w:t>exchange for new finance lease liabilities</w:t>
            </w:r>
          </w:p>
        </w:tc>
        <w:tc>
          <w:tcPr>
            <w:tcW w:w="168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188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1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4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Leases</w:t>
            </w:r>
          </w:p>
        </w:tc>
        <w:tc>
          <w:tcPr>
            <w:tcW w:w="1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931"/>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Weighted-average remaining lease term (in years)</w:t>
            </w: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Weighted-average discount rate</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8.4 %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Weighted-average remaining lease term (in years)</w:t>
            </w: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Weighted-average discount rate</w:t>
            </w: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8.5 %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2"/>
        </w:trPr>
        <w:tc>
          <w:tcPr>
            <w:tcW w:w="20" w:type="dxa"/>
            <w:vAlign w:val="bottom"/>
          </w:tcPr>
          <w:p>
            <w:pPr>
              <w:spacing w:after="0"/>
              <w:rPr>
                <w:sz w:val="24"/>
                <w:szCs w:val="24"/>
                <w:color w:val="auto"/>
              </w:rPr>
            </w:pPr>
          </w:p>
        </w:tc>
        <w:tc>
          <w:tcPr>
            <w:tcW w:w="8780" w:type="dxa"/>
            <w:vAlign w:val="bottom"/>
            <w:gridSpan w:val="6"/>
          </w:tcPr>
          <w:p>
            <w:pPr>
              <w:ind w:left="320"/>
              <w:spacing w:after="0"/>
              <w:rPr>
                <w:sz w:val="20"/>
                <w:szCs w:val="20"/>
                <w:color w:val="auto"/>
              </w:rPr>
            </w:pPr>
            <w:r>
              <w:rPr>
                <w:rFonts w:ascii="Arial" w:cs="Arial" w:eastAsia="Arial" w:hAnsi="Arial"/>
                <w:sz w:val="18"/>
                <w:szCs w:val="18"/>
                <w:color w:val="auto"/>
              </w:rPr>
              <w:t>Our operating and finance lease payments as of December 31, 2025 are as follows: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Operating Leases</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Finance Leases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4"/>
          </w:tcPr>
          <w:p>
            <w:pPr>
              <w:jc w:val="right"/>
              <w:spacing w:after="0"/>
              <w:rPr>
                <w:sz w:val="20"/>
                <w:szCs w:val="20"/>
                <w:color w:val="auto"/>
              </w:rPr>
            </w:pPr>
            <w:r>
              <w:rPr>
                <w:rFonts w:ascii="Arial" w:cs="Arial" w:eastAsia="Arial" w:hAnsi="Arial"/>
                <w:sz w:val="14"/>
                <w:szCs w:val="14"/>
                <w:color w:val="auto"/>
              </w:rPr>
              <w:t>(in millions)</w:t>
            </w: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9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center"/>
              <w:ind w:left="1631"/>
              <w:spacing w:after="0"/>
              <w:rPr>
                <w:sz w:val="20"/>
                <w:szCs w:val="20"/>
                <w:color w:val="auto"/>
              </w:rPr>
            </w:pPr>
            <w:r>
              <w:rPr>
                <w:rFonts w:ascii="Arial" w:cs="Arial" w:eastAsia="Arial" w:hAnsi="Arial"/>
                <w:sz w:val="18"/>
                <w:szCs w:val="18"/>
                <w:color w:val="auto"/>
                <w:w w:val="99"/>
              </w:rPr>
              <w:t>18</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2"/>
          </w:tcPr>
          <w:p>
            <w:pPr>
              <w:jc w:val="center"/>
              <w:ind w:left="1631"/>
              <w:spacing w:after="0"/>
              <w:rPr>
                <w:sz w:val="20"/>
                <w:szCs w:val="20"/>
                <w:color w:val="auto"/>
              </w:rPr>
            </w:pPr>
            <w:r>
              <w:rPr>
                <w:rFonts w:ascii="Arial" w:cs="Arial" w:eastAsia="Arial" w:hAnsi="Arial"/>
                <w:sz w:val="18"/>
                <w:szCs w:val="18"/>
                <w:color w:val="auto"/>
                <w:w w:val="99"/>
              </w:rPr>
              <w:t>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left="1631"/>
              <w:spacing w:after="0"/>
              <w:rPr>
                <w:sz w:val="20"/>
                <w:szCs w:val="20"/>
                <w:color w:val="auto"/>
              </w:rPr>
            </w:pPr>
            <w:r>
              <w:rPr>
                <w:rFonts w:ascii="Arial" w:cs="Arial" w:eastAsia="Arial" w:hAnsi="Arial"/>
                <w:sz w:val="18"/>
                <w:szCs w:val="18"/>
                <w:color w:val="auto"/>
                <w:w w:val="99"/>
              </w:rPr>
              <w:t>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2029</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2"/>
          </w:tcPr>
          <w:p>
            <w:pPr>
              <w:jc w:val="center"/>
              <w:ind w:left="1631"/>
              <w:spacing w:after="0"/>
              <w:rPr>
                <w:sz w:val="20"/>
                <w:szCs w:val="20"/>
                <w:color w:val="auto"/>
              </w:rPr>
            </w:pPr>
            <w:r>
              <w:rPr>
                <w:rFonts w:ascii="Arial" w:cs="Arial" w:eastAsia="Arial" w:hAnsi="Arial"/>
                <w:sz w:val="18"/>
                <w:szCs w:val="18"/>
                <w:color w:val="auto"/>
                <w:w w:val="99"/>
              </w:rPr>
              <w:t>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gridSpan w:val="2"/>
            <w:shd w:val="clear" w:color="auto" w:fill="CCEEFF"/>
          </w:tcPr>
          <w:p>
            <w:pPr>
              <w:jc w:val="center"/>
              <w:ind w:left="1631"/>
              <w:spacing w:after="0"/>
              <w:rPr>
                <w:sz w:val="20"/>
                <w:szCs w:val="20"/>
                <w:color w:val="auto"/>
              </w:rPr>
            </w:pPr>
            <w:r>
              <w:rPr>
                <w:rFonts w:ascii="Arial" w:cs="Arial" w:eastAsia="Arial" w:hAnsi="Arial"/>
                <w:sz w:val="18"/>
                <w:szCs w:val="18"/>
                <w:color w:val="auto"/>
                <w:w w:val="99"/>
              </w:rPr>
              <w:t>46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Interest</w:t>
            </w:r>
          </w:p>
        </w:tc>
        <w:tc>
          <w:tcPr>
            <w:tcW w:w="15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2"/>
          </w:tcPr>
          <w:p>
            <w:pPr>
              <w:jc w:val="center"/>
              <w:ind w:left="1591"/>
              <w:spacing w:after="0"/>
              <w:rPr>
                <w:sz w:val="20"/>
                <w:szCs w:val="20"/>
                <w:color w:val="auto"/>
              </w:rPr>
            </w:pPr>
            <w:r>
              <w:rPr>
                <w:rFonts w:ascii="Arial" w:cs="Arial" w:eastAsia="Arial" w:hAnsi="Arial"/>
                <w:sz w:val="18"/>
                <w:szCs w:val="18"/>
                <w:color w:val="auto"/>
                <w:w w:val="99"/>
              </w:rPr>
              <w:t>(32)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66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gridSpan w:val="2"/>
            <w:shd w:val="clear" w:color="auto" w:fill="CCEEFF"/>
          </w:tcPr>
          <w:p>
            <w:pPr>
              <w:jc w:val="center"/>
              <w:ind w:left="1631"/>
              <w:spacing w:after="0"/>
              <w:rPr>
                <w:sz w:val="20"/>
                <w:szCs w:val="20"/>
                <w:color w:val="auto"/>
              </w:rPr>
            </w:pPr>
            <w:r>
              <w:rPr>
                <w:rFonts w:ascii="Arial" w:cs="Arial" w:eastAsia="Arial" w:hAnsi="Arial"/>
                <w:sz w:val="18"/>
                <w:szCs w:val="18"/>
                <w:color w:val="auto"/>
                <w:w w:val="99"/>
              </w:rPr>
              <w:t>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ind w:right="430"/>
              <w:spacing w:after="0"/>
              <w:rPr>
                <w:sz w:val="20"/>
                <w:szCs w:val="20"/>
                <w:color w:val="auto"/>
              </w:rPr>
            </w:pPr>
            <w:r>
              <w:rPr>
                <w:rFonts w:ascii="Arial" w:cs="Arial" w:eastAsia="Arial" w:hAnsi="Arial"/>
                <w:sz w:val="18"/>
                <w:szCs w:val="18"/>
                <w:color w:val="auto"/>
              </w:rPr>
              <w:t>127</w:t>
            </w: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7" w:name="page128"/>
    <w:bookmarkEnd w:id="127"/>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PENSION AND POSTRETIREMENT BENEFIT PLANS</w:t>
      </w:r>
    </w:p>
    <w:p>
      <w:pPr>
        <w:spacing w:after="0" w:line="25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Prior to the Aera Merger, we maintained two qualified defined benefit pension plans covering union employees and a postretirement health care plan for certain retired employees. In connection with the Aera Merger, we acquired a qualified defined benefit cash balance pension plan and a non-qualified cash balance pension plan that restores benefits lost due to governmental limitations on the qualified plan. We also acquired two postretirement benefit plans that provide health care benefits for certain retired employees. Certain of the postretirement benefit obligations are funded through 401(h) accounts under the qualified pension plans. Aera's pension and postretirement obligations were remeasured as of the July 1, 2024 acquisition date. At that time, for Aera's pension plans, we recognized a net benefit asset of $64 million and a net benefit liability of $8 million and for Aera's postretirement benefit plans, we recognized a net benefit asset of</w:t>
      </w:r>
    </w:p>
    <w:p>
      <w:pPr>
        <w:spacing w:after="0" w:line="3"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color w:val="auto"/>
        </w:rPr>
        <w:t>$9 million and a net benefit liability of $27 million. Accumulated other comprehensive income balances for the acquired Aera plans were eliminated in purchase accounting.</w:t>
      </w:r>
    </w:p>
    <w:p>
      <w:pPr>
        <w:spacing w:after="0" w:line="19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August 2024, we amended Aera's pension and postretirement benefit plans. For Aera’s defined benefit pension plans and post age 65 postretirement benefit plan, participants no longer accrue additional benefits for service after September 30, 2024. However, for each of the foregoing plans, future service will count towards vesting of benefits accrued based on past service. In addition, for both of Aera’s postretirement benefit plans, we expanded the eligibility provisions in the event of an involuntary layoff. Following the Aera Merger, we recognized a curtailment gain of $4 million and a one-time cost of special termination benefits of $4 million included in net periodic benefit costs for the year ended December 31, 2024.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50"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All of our employees are eligible to participate in our tax-qualified, defined contribution retirement plan that provides for periodic cash contributions by us based on annual cash compensation and employee deferrals.</w:t>
      </w:r>
    </w:p>
    <w:p>
      <w:pPr>
        <w:spacing w:after="0" w:line="180" w:lineRule="exact"/>
        <w:rPr>
          <w:sz w:val="20"/>
          <w:szCs w:val="20"/>
          <w:color w:val="auto"/>
        </w:rPr>
      </w:pPr>
    </w:p>
    <w:p>
      <w:pPr>
        <w:ind w:right="680" w:firstLine="324"/>
        <w:spacing w:after="0" w:line="268" w:lineRule="auto"/>
        <w:rPr>
          <w:sz w:val="20"/>
          <w:szCs w:val="20"/>
          <w:color w:val="auto"/>
        </w:rPr>
      </w:pPr>
      <w:r>
        <w:rPr>
          <w:rFonts w:ascii="Arial" w:cs="Arial" w:eastAsia="Arial" w:hAnsi="Arial"/>
          <w:sz w:val="18"/>
          <w:szCs w:val="18"/>
          <w:color w:val="auto"/>
        </w:rPr>
        <w:t>Certain salaried employees participate in non-qualified supplemental defined contribution plans that restore benefits lost due to government limitations on qualified plans. We recognized $28 million and $30 million in other long-term liabilities for the years ended December 31, 2025 and 2024, respectively, related to these supplemental plans.</w:t>
      </w:r>
    </w:p>
    <w:p>
      <w:pPr>
        <w:spacing w:after="0" w:line="198"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We expensed $31 million in 2025, $27 million in 2024 and $19 million in 2023 under the provisions of these defined contribution and supplemental plans.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250"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Participation in defined benefit pension plans sponsored by us is limited. During 2025, only approximately 52 employees were accruing benefits at year-end, all of whom were union employees.</w:t>
      </w:r>
    </w:p>
    <w:p>
      <w:pPr>
        <w:spacing w:after="0" w:line="180"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Pension costs for the defined benefit pension plans, determined by independent actuarial valuations, are funded by us through payments to trust funds, which are administered by independent trustees.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 Plans</w:t>
      </w:r>
    </w:p>
    <w:p>
      <w:pPr>
        <w:spacing w:after="0" w:line="250" w:lineRule="exact"/>
        <w:rPr>
          <w:sz w:val="20"/>
          <w:szCs w:val="20"/>
          <w:color w:val="auto"/>
        </w:rPr>
      </w:pPr>
    </w:p>
    <w:p>
      <w:pPr>
        <w:jc w:val="both"/>
        <w:ind w:right="200" w:firstLine="324"/>
        <w:spacing w:after="0" w:line="318" w:lineRule="auto"/>
        <w:rPr>
          <w:sz w:val="20"/>
          <w:szCs w:val="20"/>
          <w:color w:val="auto"/>
        </w:rPr>
      </w:pPr>
      <w:r>
        <w:rPr>
          <w:rFonts w:ascii="Arial" w:cs="Arial" w:eastAsia="Arial" w:hAnsi="Arial"/>
          <w:sz w:val="17"/>
          <w:szCs w:val="17"/>
          <w:color w:val="auto"/>
        </w:rPr>
        <w:t>We provide postretirement medical and dental benefits for our eligible former employees and their dependents. Our former employees are required to make monthly contributions for the coverage, but the benefits are primarily funded by us as claims are paid during the year.</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i w:val="1"/>
          <w:iCs w:val="1"/>
          <w:color w:val="auto"/>
        </w:rPr>
        <w:t>Obligations and Funded Status of our Defined Benefit Plans</w:t>
      </w:r>
    </w:p>
    <w:p>
      <w:pPr>
        <w:spacing w:after="0" w:line="304"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The following table shows the amounts recognized on our balance sheets related to pension and postretirement benefit plans, as well as plans that we or our subsidiaries sponsor:</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December 31, 2025</w:t>
            </w:r>
          </w:p>
        </w:tc>
        <w:tc>
          <w:tcPr>
            <w:tcW w:w="160" w:type="dxa"/>
            <w:vAlign w:val="bottom"/>
          </w:tcPr>
          <w:p>
            <w:pPr>
              <w:spacing w:after="0"/>
              <w:rPr>
                <w:sz w:val="20"/>
                <w:szCs w:val="20"/>
                <w:color w:val="auto"/>
              </w:rPr>
            </w:pPr>
          </w:p>
        </w:tc>
        <w:tc>
          <w:tcPr>
            <w:tcW w:w="348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December 31, 2024</w:t>
            </w: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8"/>
                <w:szCs w:val="18"/>
                <w:b w:val="1"/>
                <w:bCs w:val="1"/>
                <w:color w:val="auto"/>
              </w:rPr>
              <w:t>Pension Benefit</w:t>
            </w:r>
          </w:p>
        </w:tc>
        <w:tc>
          <w:tcPr>
            <w:tcW w:w="100" w:type="dxa"/>
            <w:vAlign w:val="bottom"/>
            <w:tcBorders>
              <w:top w:val="single" w:sz="8" w:color="auto"/>
            </w:tcBorders>
            <w:vMerge w:val="restart"/>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b w:val="1"/>
                <w:bCs w:val="1"/>
                <w:color w:val="auto"/>
              </w:rPr>
              <w:t>Postretirement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8"/>
                <w:szCs w:val="18"/>
                <w:b w:val="1"/>
                <w:bCs w:val="1"/>
                <w:color w:val="auto"/>
              </w:rPr>
              <w:t>Pension Benefit</w:t>
            </w:r>
          </w:p>
        </w:tc>
        <w:tc>
          <w:tcPr>
            <w:tcW w:w="100" w:type="dxa"/>
            <w:vAlign w:val="bottom"/>
            <w:tcBorders>
              <w:top w:val="single" w:sz="8" w:color="auto"/>
            </w:tcBorders>
            <w:vMerge w:val="restart"/>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Benefit</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Benefit</w:t>
            </w:r>
          </w:p>
        </w:tc>
        <w:tc>
          <w:tcPr>
            <w:tcW w:w="0" w:type="dxa"/>
            <w:vAlign w:val="bottom"/>
          </w:tcPr>
          <w:p>
            <w:pPr>
              <w:spacing w:after="0"/>
              <w:rPr>
                <w:sz w:val="1"/>
                <w:szCs w:val="1"/>
                <w:color w:val="auto"/>
              </w:rPr>
            </w:pPr>
          </w:p>
        </w:tc>
      </w:tr>
      <w:tr>
        <w:trPr>
          <w:trHeight w:val="233"/>
        </w:trPr>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gridSpan w:val="5"/>
          </w:tcPr>
          <w:p>
            <w:pPr>
              <w:jc w:val="center"/>
              <w:ind w:right="26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0"/>
                <w:szCs w:val="20"/>
                <w:color w:val="auto"/>
              </w:rPr>
            </w:pPr>
          </w:p>
        </w:tc>
        <w:tc>
          <w:tcPr>
            <w:tcW w:w="3480" w:type="dxa"/>
            <w:vAlign w:val="bottom"/>
            <w:gridSpan w:val="4"/>
          </w:tcPr>
          <w:p>
            <w:pPr>
              <w:jc w:val="right"/>
              <w:ind w:right="137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recognized on the balance sheet</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8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Accumulated other comprehensive income, net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6"/>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 tax</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color w:val="auto"/>
        </w:rPr>
        <w:t>The following table shows the funding status of our pension and post-retirement benefit plans along with a reconciliation of our benefit obligations and changes in fair value of plan assets: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5"/>
        </w:trPr>
        <w:tc>
          <w:tcPr>
            <w:tcW w:w="6820" w:type="dxa"/>
            <w:vAlign w:val="bottom"/>
          </w:tcPr>
          <w:p>
            <w:pPr>
              <w:spacing w:after="0"/>
              <w:rPr>
                <w:sz w:val="20"/>
                <w:szCs w:val="20"/>
                <w:color w:val="auto"/>
              </w:rPr>
            </w:pPr>
          </w:p>
        </w:tc>
        <w:tc>
          <w:tcPr>
            <w:tcW w:w="38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r>
      <w:tr>
        <w:trPr>
          <w:trHeight w:val="223"/>
        </w:trPr>
        <w:tc>
          <w:tcPr>
            <w:tcW w:w="6820" w:type="dxa"/>
            <w:vAlign w:val="bottom"/>
          </w:tcPr>
          <w:p>
            <w:pPr>
              <w:spacing w:after="0"/>
              <w:rPr>
                <w:sz w:val="19"/>
                <w:szCs w:val="19"/>
                <w:color w:val="auto"/>
              </w:rPr>
            </w:pP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r>
      <w:tr>
        <w:trPr>
          <w:trHeight w:val="233"/>
        </w:trPr>
        <w:tc>
          <w:tcPr>
            <w:tcW w:w="68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40" w:type="dxa"/>
            <w:vAlign w:val="bottom"/>
            <w:gridSpan w:val="3"/>
          </w:tcPr>
          <w:p>
            <w:pPr>
              <w:jc w:val="right"/>
              <w:ind w:right="1150"/>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20"/>
                <w:szCs w:val="20"/>
                <w:color w:val="auto"/>
              </w:rPr>
            </w:pPr>
          </w:p>
        </w:tc>
      </w:tr>
      <w:tr>
        <w:trPr>
          <w:trHeight w:val="234"/>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Pension</w:t>
            </w:r>
          </w:p>
        </w:tc>
        <w:tc>
          <w:tcPr>
            <w:tcW w:w="15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Changes in the benefit obligation</w:t>
            </w:r>
          </w:p>
        </w:tc>
        <w:tc>
          <w:tcPr>
            <w:tcW w:w="1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obligation—beginning of year</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Liabilities assumed in the Aera Merger</w:t>
            </w:r>
          </w:p>
        </w:tc>
        <w:tc>
          <w:tcPr>
            <w:tcW w:w="15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29"/>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cost—benefits earned during the period</w:t>
            </w:r>
          </w:p>
        </w:tc>
        <w:tc>
          <w:tcPr>
            <w:tcW w:w="1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Interest cost on projected benefit obligation</w:t>
            </w: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68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Actuarial loss (gain) </w:t>
            </w:r>
            <w:r>
              <w:rPr>
                <w:rFonts w:ascii="Arial" w:cs="Arial" w:eastAsia="Arial" w:hAnsi="Arial"/>
                <w:sz w:val="23"/>
                <w:szCs w:val="23"/>
                <w:color w:val="auto"/>
                <w:vertAlign w:val="superscript"/>
              </w:rPr>
              <w:t>(a)</w:t>
            </w:r>
          </w:p>
        </w:tc>
        <w:tc>
          <w:tcPr>
            <w:tcW w:w="1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Benefits paid</w:t>
            </w:r>
          </w:p>
        </w:tc>
        <w:tc>
          <w:tcPr>
            <w:tcW w:w="1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obligation—end of year</w:t>
            </w:r>
          </w:p>
        </w:tc>
        <w:tc>
          <w:tcPr>
            <w:tcW w:w="1560" w:type="dxa"/>
            <w:vAlign w:val="bottom"/>
            <w:tcBorders>
              <w:bottom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37"/>
        </w:trPr>
        <w:tc>
          <w:tcPr>
            <w:tcW w:w="68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plan assets</w:t>
            </w:r>
          </w:p>
        </w:tc>
        <w:tc>
          <w:tcPr>
            <w:tcW w:w="15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Fair value of plan assets—beginning of year</w:t>
            </w:r>
          </w:p>
        </w:tc>
        <w:tc>
          <w:tcPr>
            <w:tcW w:w="1560" w:type="dxa"/>
            <w:vAlign w:val="bottom"/>
          </w:tcPr>
          <w:p>
            <w:pPr>
              <w:jc w:val="right"/>
              <w:ind w:right="13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9"/>
                <w:szCs w:val="19"/>
                <w:color w:val="auto"/>
              </w:rPr>
            </w:pPr>
          </w:p>
        </w:tc>
        <w:tc>
          <w:tcPr>
            <w:tcW w:w="1520" w:type="dxa"/>
            <w:vAlign w:val="bottom"/>
          </w:tcPr>
          <w:p>
            <w:pPr>
              <w:jc w:val="right"/>
              <w:ind w:right="13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due to the Aera Merger</w:t>
            </w:r>
          </w:p>
        </w:tc>
        <w:tc>
          <w:tcPr>
            <w:tcW w:w="15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6820" w:type="dxa"/>
            <w:vAlign w:val="bottom"/>
          </w:tcPr>
          <w:p>
            <w:pPr>
              <w:ind w:left="140"/>
              <w:spacing w:after="0"/>
              <w:rPr>
                <w:sz w:val="20"/>
                <w:szCs w:val="20"/>
                <w:color w:val="auto"/>
              </w:rPr>
            </w:pPr>
            <w:r>
              <w:rPr>
                <w:rFonts w:ascii="Arial" w:cs="Arial" w:eastAsia="Arial" w:hAnsi="Arial"/>
                <w:sz w:val="18"/>
                <w:szCs w:val="18"/>
                <w:color w:val="auto"/>
              </w:rPr>
              <w:t>Actual return on plan assets</w:t>
            </w: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Employer contributions</w:t>
            </w:r>
          </w:p>
        </w:tc>
        <w:tc>
          <w:tcPr>
            <w:tcW w:w="1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Benefits paid</w:t>
            </w:r>
          </w:p>
        </w:tc>
        <w:tc>
          <w:tcPr>
            <w:tcW w:w="1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assets—end of year</w:t>
            </w:r>
          </w:p>
        </w:tc>
        <w:tc>
          <w:tcPr>
            <w:tcW w:w="1560" w:type="dxa"/>
            <w:vAlign w:val="bottom"/>
            <w:tcBorders>
              <w:bottom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36"/>
        </w:trPr>
        <w:tc>
          <w:tcPr>
            <w:tcW w:w="68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benefit asset</w:t>
            </w:r>
          </w:p>
        </w:tc>
        <w:tc>
          <w:tcPr>
            <w:tcW w:w="1560" w:type="dxa"/>
            <w:vAlign w:val="bottom"/>
            <w:tcBorders>
              <w:bottom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8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Postretirement</w:t>
            </w:r>
          </w:p>
        </w:tc>
        <w:tc>
          <w:tcPr>
            <w:tcW w:w="15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Changes in the benefit obligation</w:t>
            </w:r>
          </w:p>
        </w:tc>
        <w:tc>
          <w:tcPr>
            <w:tcW w:w="1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obligation—beginning of year</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Liabilities assumed in the Aera Merger</w:t>
            </w:r>
          </w:p>
        </w:tc>
        <w:tc>
          <w:tcPr>
            <w:tcW w:w="15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cost—benefits earned during the period</w:t>
            </w:r>
          </w:p>
        </w:tc>
        <w:tc>
          <w:tcPr>
            <w:tcW w:w="1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Interest cost on projected benefit obligation</w:t>
            </w: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8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Actuarial loss (gain)</w:t>
            </w:r>
            <w:r>
              <w:rPr>
                <w:rFonts w:ascii="Arial" w:cs="Arial" w:eastAsia="Arial" w:hAnsi="Arial"/>
                <w:sz w:val="23"/>
                <w:szCs w:val="23"/>
                <w:color w:val="auto"/>
                <w:vertAlign w:val="superscript"/>
              </w:rPr>
              <w:t>(b)</w:t>
            </w:r>
          </w:p>
        </w:tc>
        <w:tc>
          <w:tcPr>
            <w:tcW w:w="1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Cost of special termination benefits</w:t>
            </w:r>
          </w:p>
        </w:tc>
        <w:tc>
          <w:tcPr>
            <w:tcW w:w="15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Curtailment gain</w:t>
            </w:r>
          </w:p>
        </w:tc>
        <w:tc>
          <w:tcPr>
            <w:tcW w:w="15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amendment</w:t>
            </w:r>
          </w:p>
        </w:tc>
        <w:tc>
          <w:tcPr>
            <w:tcW w:w="15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obligation—end of year</w:t>
            </w:r>
          </w:p>
        </w:tc>
        <w:tc>
          <w:tcPr>
            <w:tcW w:w="1560" w:type="dxa"/>
            <w:vAlign w:val="bottom"/>
            <w:tcBorders>
              <w:top w:val="single" w:sz="8" w:color="auto"/>
              <w:bottom w:val="single" w:sz="8" w:color="auto"/>
            </w:tcBorders>
          </w:tcPr>
          <w:p>
            <w:pPr>
              <w:jc w:val="right"/>
              <w:ind w:right="13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8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3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36"/>
        </w:trPr>
        <w:tc>
          <w:tcPr>
            <w:tcW w:w="68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Changes in plan assets</w:t>
            </w:r>
          </w:p>
        </w:tc>
        <w:tc>
          <w:tcPr>
            <w:tcW w:w="1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assets—beginning of year</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820" w:type="dxa"/>
            <w:vAlign w:val="bottom"/>
          </w:tcPr>
          <w:p>
            <w:pPr>
              <w:ind w:left="140"/>
              <w:spacing w:after="0"/>
              <w:rPr>
                <w:sz w:val="20"/>
                <w:szCs w:val="20"/>
                <w:color w:val="auto"/>
              </w:rPr>
            </w:pPr>
            <w:r>
              <w:rPr>
                <w:rFonts w:ascii="Arial" w:cs="Arial" w:eastAsia="Arial" w:hAnsi="Arial"/>
                <w:sz w:val="18"/>
                <w:szCs w:val="18"/>
                <w:color w:val="auto"/>
              </w:rPr>
              <w:t>Additions due to the Aera Merger</w:t>
            </w:r>
          </w:p>
        </w:tc>
        <w:tc>
          <w:tcPr>
            <w:tcW w:w="15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Actual gain on plan assets</w:t>
            </w:r>
          </w:p>
        </w:tc>
        <w:tc>
          <w:tcPr>
            <w:tcW w:w="1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Employer contributions</w:t>
            </w: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Benefits paid</w:t>
            </w:r>
          </w:p>
        </w:tc>
        <w:tc>
          <w:tcPr>
            <w:tcW w:w="15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plan assets—end of year</w:t>
            </w:r>
          </w:p>
        </w:tc>
        <w:tc>
          <w:tcPr>
            <w:tcW w:w="156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36"/>
        </w:trPr>
        <w:tc>
          <w:tcPr>
            <w:tcW w:w="6820" w:type="dxa"/>
            <w:vAlign w:val="bottom"/>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Net benefit liability</w:t>
            </w:r>
          </w:p>
        </w:tc>
        <w:tc>
          <w:tcPr>
            <w:tcW w:w="156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152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68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loss reflected in the changes in the pension benefit obligation for the year ended December 31, 2025 was primarily due to movement in the discount rates.</w:t>
      </w:r>
    </w:p>
    <w:p>
      <w:pPr>
        <w:spacing w:after="0" w:line="41" w:lineRule="exact"/>
        <w:rPr>
          <w:rFonts w:ascii="Arial" w:cs="Arial" w:eastAsia="Arial" w:hAnsi="Arial"/>
          <w:sz w:val="14"/>
          <w:szCs w:val="14"/>
          <w:color w:val="auto"/>
        </w:rPr>
      </w:pP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loss reflected in the changes in the postretirement benefit obligation for the year ended December 31, 2025 was primarily due to movement in the discount rate.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30" w:name="page131"/>
    <w:bookmarkEnd w:id="130"/>
    <w:p>
      <w:pPr>
        <w:ind w:left="340"/>
        <w:spacing w:after="0"/>
        <w:rPr>
          <w:sz w:val="20"/>
          <w:szCs w:val="20"/>
          <w:color w:val="auto"/>
        </w:rPr>
      </w:pPr>
      <w:r>
        <w:rPr>
          <w:rFonts w:ascii="Arial" w:cs="Arial" w:eastAsia="Arial" w:hAnsi="Arial"/>
          <w:sz w:val="18"/>
          <w:szCs w:val="18"/>
          <w:color w:val="auto"/>
        </w:rPr>
        <w:t>The following table sets for the details of our obligations and assets related to our defined benefit pension plans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and 2024:</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2024</w:t>
            </w:r>
          </w:p>
        </w:tc>
      </w:tr>
      <w:tr>
        <w:trPr>
          <w:trHeight w:val="233"/>
        </w:trPr>
        <w:tc>
          <w:tcPr>
            <w:tcW w:w="7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gridSpan w:val="3"/>
          </w:tcPr>
          <w:p>
            <w:pPr>
              <w:jc w:val="right"/>
              <w:ind w:right="13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20"/>
                <w:szCs w:val="20"/>
                <w:color w:val="auto"/>
              </w:rPr>
            </w:pPr>
          </w:p>
        </w:tc>
      </w:tr>
      <w:tr>
        <w:trPr>
          <w:trHeight w:val="23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r>
    </w:tbl>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Net Periodic Benefit Cost</w:t>
      </w:r>
    </w:p>
    <w:p>
      <w:pPr>
        <w:spacing w:after="0" w:line="250"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We record the service cost component of net periodic pension cost with other employee compensation and all other components, including settlement costs, are reported as other non-operating income (expenses), net on our consolidated statements of operations. The following table set forth the components of our net periodic pension and postretirement benefit costs: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center"/>
              <w:ind w:left="30"/>
              <w:spacing w:after="0"/>
              <w:rPr>
                <w:sz w:val="20"/>
                <w:szCs w:val="20"/>
                <w:color w:val="auto"/>
              </w:rPr>
            </w:pPr>
            <w:r>
              <w:rPr>
                <w:rFonts w:ascii="Arial" w:cs="Arial" w:eastAsia="Arial" w:hAnsi="Arial"/>
                <w:sz w:val="18"/>
                <w:szCs w:val="18"/>
                <w:b w:val="1"/>
                <w:bCs w:val="1"/>
                <w:color w:val="auto"/>
                <w:w w:val="99"/>
              </w:rPr>
              <w:t>Year 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91"/>
              <w:spacing w:after="0"/>
              <w:rPr>
                <w:sz w:val="20"/>
                <w:szCs w:val="20"/>
                <w:color w:val="auto"/>
              </w:rPr>
            </w:pPr>
            <w:r>
              <w:rPr>
                <w:rFonts w:ascii="Arial" w:cs="Arial" w:eastAsia="Arial" w:hAnsi="Arial"/>
                <w:sz w:val="18"/>
                <w:szCs w:val="18"/>
                <w:b w:val="1"/>
                <w:bCs w:val="1"/>
                <w:color w:val="auto"/>
                <w:w w:val="99"/>
              </w:rPr>
              <w:t>2024</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33"/>
        </w:trPr>
        <w:tc>
          <w:tcPr>
            <w:tcW w:w="4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Pension</w:t>
            </w:r>
          </w:p>
        </w:tc>
        <w:tc>
          <w:tcPr>
            <w:tcW w:w="1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Net periodic benefit costs</w:t>
            </w: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cost—benefits earned during the period</w:t>
            </w:r>
          </w:p>
        </w:tc>
        <w:tc>
          <w:tcPr>
            <w:tcW w:w="258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color w:val="auto"/>
              </w:rPr>
              <w:t>Interest cost on projected benefit obligation</w:t>
            </w: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return on plan assets</w:t>
            </w:r>
          </w:p>
        </w:tc>
        <w:tc>
          <w:tcPr>
            <w:tcW w:w="1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Settlement costs</w:t>
            </w: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costs</w:t>
            </w:r>
          </w:p>
        </w:tc>
        <w:tc>
          <w:tcPr>
            <w:tcW w:w="144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Postretirement</w:t>
            </w:r>
          </w:p>
        </w:tc>
        <w:tc>
          <w:tcPr>
            <w:tcW w:w="1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72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720" w:type="dxa"/>
            <w:vAlign w:val="bottom"/>
          </w:tcPr>
          <w:p>
            <w:pPr>
              <w:ind w:left="20"/>
              <w:spacing w:after="0"/>
              <w:rPr>
                <w:sz w:val="20"/>
                <w:szCs w:val="20"/>
                <w:color w:val="auto"/>
              </w:rPr>
            </w:pPr>
            <w:r>
              <w:rPr>
                <w:rFonts w:ascii="Arial" w:cs="Arial" w:eastAsia="Arial" w:hAnsi="Arial"/>
                <w:sz w:val="18"/>
                <w:szCs w:val="18"/>
                <w:color w:val="auto"/>
              </w:rPr>
              <w:t>Net periodic benefit costs</w:t>
            </w:r>
          </w:p>
        </w:tc>
        <w:tc>
          <w:tcPr>
            <w:tcW w:w="1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cost—benefits earned during the period</w:t>
            </w:r>
          </w:p>
        </w:tc>
        <w:tc>
          <w:tcPr>
            <w:tcW w:w="258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Interest cost on projected benefit obligation</w:t>
            </w: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return on plan assets</w:t>
            </w:r>
          </w:p>
        </w:tc>
        <w:tc>
          <w:tcPr>
            <w:tcW w:w="1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color w:val="auto"/>
              </w:rPr>
              <w:t>Cost of special termination benefits</w:t>
            </w: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cost credit</w:t>
            </w:r>
          </w:p>
        </w:tc>
        <w:tc>
          <w:tcPr>
            <w:tcW w:w="1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Amortization of net actuarial gain</w:t>
            </w: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Curtailment gain</w:t>
            </w:r>
          </w:p>
        </w:tc>
        <w:tc>
          <w:tcPr>
            <w:tcW w:w="1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720" w:type="dxa"/>
            <w:vAlign w:val="bottom"/>
          </w:tcPr>
          <w:p>
            <w:pPr>
              <w:ind w:left="140"/>
              <w:spacing w:after="0"/>
              <w:rPr>
                <w:sz w:val="20"/>
                <w:szCs w:val="20"/>
                <w:color w:val="auto"/>
              </w:rPr>
            </w:pPr>
            <w:r>
              <w:rPr>
                <w:rFonts w:ascii="Arial" w:cs="Arial" w:eastAsia="Arial" w:hAnsi="Arial"/>
                <w:sz w:val="18"/>
                <w:szCs w:val="18"/>
                <w:color w:val="auto"/>
              </w:rPr>
              <w:t>Net periodic benefit costs</w:t>
            </w:r>
          </w:p>
        </w:tc>
        <w:tc>
          <w:tcPr>
            <w:tcW w:w="14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40" w:type="dxa"/>
            <w:vAlign w:val="bottom"/>
            <w:vMerge w:val="restart"/>
          </w:tcPr>
          <w:p>
            <w:pPr>
              <w:jc w:val="right"/>
              <w:ind w:right="290"/>
              <w:spacing w:after="0"/>
              <w:rPr>
                <w:sz w:val="20"/>
                <w:szCs w:val="20"/>
                <w:color w:val="auto"/>
              </w:rPr>
            </w:pPr>
            <w:r>
              <w:rPr>
                <w:rFonts w:ascii="Arial" w:cs="Arial" w:eastAsia="Arial" w:hAnsi="Arial"/>
                <w:sz w:val="18"/>
                <w:szCs w:val="18"/>
                <w:color w:val="auto"/>
              </w:rPr>
              <w:t>131</w:t>
            </w: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6"/>
        </w:trPr>
        <w:tc>
          <w:tcPr>
            <w:tcW w:w="472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7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31" w:name="page132"/>
    <w:bookmarkEnd w:id="131"/>
    <w:p>
      <w:pPr>
        <w:ind w:right="560" w:firstLine="324"/>
        <w:spacing w:after="0" w:line="273" w:lineRule="auto"/>
        <w:rPr>
          <w:sz w:val="20"/>
          <w:szCs w:val="20"/>
          <w:color w:val="auto"/>
        </w:rPr>
      </w:pPr>
      <w:r>
        <w:rPr>
          <w:rFonts w:ascii="Arial" w:cs="Arial" w:eastAsia="Arial" w:hAnsi="Arial"/>
          <w:sz w:val="18"/>
          <w:szCs w:val="18"/>
          <w:color w:val="auto"/>
        </w:rPr>
        <w:t>Components of accumulated other comprehensive income (loss) (AOCI) are presented net of tax. The following table presents the changes in plan assets and benefit obligations recognized in other comprehensive (loss) income: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360" w:type="dxa"/>
            <w:vAlign w:val="bottom"/>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r>
      <w:tr>
        <w:trPr>
          <w:trHeight w:val="228"/>
        </w:trPr>
        <w:tc>
          <w:tcPr>
            <w:tcW w:w="6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8"/>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Pension</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actuarial gain</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Settlement costs</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Postretirement</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Net actuarial (gain) loss</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Prior service credit</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Actuarial net gain due to curtailment</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 termination benefits</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Amortization of prior service credit due to curtailment</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credit</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 net actuarial gain (loss)</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80" w:firstLine="324"/>
        <w:spacing w:after="0" w:line="273" w:lineRule="auto"/>
        <w:rPr>
          <w:sz w:val="20"/>
          <w:szCs w:val="20"/>
          <w:color w:val="auto"/>
        </w:rPr>
      </w:pPr>
      <w:r>
        <w:rPr>
          <w:rFonts w:ascii="Arial" w:cs="Arial" w:eastAsia="Arial" w:hAnsi="Arial"/>
          <w:sz w:val="18"/>
          <w:szCs w:val="18"/>
          <w:color w:val="auto"/>
        </w:rPr>
        <w:t>The following table sets forth the valuation assumptions, on a weighted-average basis, used to determine our benefit obligations and net periodic benefit cost:</w:t>
      </w:r>
    </w:p>
    <w:p>
      <w:pPr>
        <w:spacing w:after="0" w:line="2"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2025</w:t>
            </w:r>
          </w:p>
        </w:tc>
        <w:tc>
          <w:tcPr>
            <w:tcW w:w="7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2024</w:t>
            </w:r>
          </w:p>
        </w:tc>
      </w:tr>
      <w:tr>
        <w:trPr>
          <w:trHeight w:val="209"/>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Pension</w:t>
            </w:r>
          </w:p>
        </w:tc>
        <w:tc>
          <w:tcPr>
            <w:tcW w:w="1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Benefit Obligation Assumptions</w:t>
            </w: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Discount rate</w:t>
            </w:r>
          </w:p>
        </w:tc>
        <w:tc>
          <w:tcPr>
            <w:tcW w:w="760" w:type="dxa"/>
            <w:vAlign w:val="bottom"/>
          </w:tcPr>
          <w:p>
            <w:pPr>
              <w:jc w:val="right"/>
              <w:spacing w:after="0"/>
              <w:rPr>
                <w:sz w:val="20"/>
                <w:szCs w:val="20"/>
                <w:color w:val="auto"/>
              </w:rPr>
            </w:pPr>
            <w:r>
              <w:rPr>
                <w:rFonts w:ascii="Arial" w:cs="Arial" w:eastAsia="Arial" w:hAnsi="Arial"/>
                <w:sz w:val="18"/>
                <w:szCs w:val="18"/>
                <w:color w:val="auto"/>
              </w:rPr>
              <w:t>5.52 %</w:t>
            </w:r>
          </w:p>
        </w:tc>
        <w:tc>
          <w:tcPr>
            <w:tcW w:w="8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5.61 %</w:t>
            </w:r>
          </w:p>
        </w:tc>
      </w:tr>
      <w:tr>
        <w:trPr>
          <w:trHeight w:val="230"/>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Rate of compensation increase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4.93 %</w:t>
            </w:r>
          </w:p>
        </w:tc>
      </w:tr>
      <w:tr>
        <w:trPr>
          <w:trHeight w:val="229"/>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Interest crediting rate</w:t>
            </w:r>
          </w:p>
        </w:tc>
        <w:tc>
          <w:tcPr>
            <w:tcW w:w="760" w:type="dxa"/>
            <w:vAlign w:val="bottom"/>
          </w:tcPr>
          <w:p>
            <w:pPr>
              <w:jc w:val="right"/>
              <w:spacing w:after="0"/>
              <w:rPr>
                <w:sz w:val="20"/>
                <w:szCs w:val="20"/>
                <w:color w:val="auto"/>
              </w:rPr>
            </w:pPr>
            <w:r>
              <w:rPr>
                <w:rFonts w:ascii="Arial" w:cs="Arial" w:eastAsia="Arial" w:hAnsi="Arial"/>
                <w:sz w:val="18"/>
                <w:szCs w:val="18"/>
                <w:color w:val="auto"/>
              </w:rPr>
              <w:t>5.00 %</w:t>
            </w:r>
          </w:p>
        </w:tc>
        <w:tc>
          <w:tcPr>
            <w:tcW w:w="8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5.28 %</w:t>
            </w: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Net Periodic Benefit Cost Assumptions</w:t>
            </w: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Discount rate</w:t>
            </w:r>
          </w:p>
        </w:tc>
        <w:tc>
          <w:tcPr>
            <w:tcW w:w="760" w:type="dxa"/>
            <w:vAlign w:val="bottom"/>
          </w:tcPr>
          <w:p>
            <w:pPr>
              <w:jc w:val="right"/>
              <w:spacing w:after="0"/>
              <w:rPr>
                <w:sz w:val="20"/>
                <w:szCs w:val="20"/>
                <w:color w:val="auto"/>
              </w:rPr>
            </w:pPr>
            <w:r>
              <w:rPr>
                <w:rFonts w:ascii="Arial" w:cs="Arial" w:eastAsia="Arial" w:hAnsi="Arial"/>
                <w:sz w:val="18"/>
                <w:szCs w:val="18"/>
                <w:color w:val="auto"/>
              </w:rPr>
              <w:t>5.61 %</w:t>
            </w:r>
          </w:p>
        </w:tc>
        <w:tc>
          <w:tcPr>
            <w:tcW w:w="8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5.22 %</w:t>
            </w:r>
          </w:p>
        </w:tc>
      </w:tr>
      <w:tr>
        <w:trPr>
          <w:trHeight w:val="230"/>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Expected return on assets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6.99 %</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w:t>
            </w:r>
          </w:p>
        </w:tc>
      </w:tr>
      <w:tr>
        <w:trPr>
          <w:trHeight w:val="229"/>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Rate of compensation increase</w:t>
            </w:r>
          </w:p>
        </w:tc>
        <w:tc>
          <w:tcPr>
            <w:tcW w:w="760" w:type="dxa"/>
            <w:vAlign w:val="bottom"/>
          </w:tcPr>
          <w:p>
            <w:pPr>
              <w:jc w:val="right"/>
              <w:spacing w:after="0"/>
              <w:rPr>
                <w:sz w:val="20"/>
                <w:szCs w:val="20"/>
                <w:color w:val="auto"/>
              </w:rPr>
            </w:pPr>
            <w:r>
              <w:rPr>
                <w:rFonts w:ascii="Arial" w:cs="Arial" w:eastAsia="Arial" w:hAnsi="Arial"/>
                <w:sz w:val="18"/>
                <w:szCs w:val="18"/>
                <w:color w:val="auto"/>
              </w:rPr>
              <w:t>4.00 %</w:t>
            </w:r>
          </w:p>
        </w:tc>
        <w:tc>
          <w:tcPr>
            <w:tcW w:w="8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4.96 %</w:t>
            </w:r>
          </w:p>
        </w:tc>
      </w:tr>
      <w:tr>
        <w:trPr>
          <w:trHeight w:val="230"/>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crediting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5.28 %</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6.37 %</w:t>
            </w:r>
          </w:p>
        </w:tc>
      </w:tr>
      <w:tr>
        <w:trPr>
          <w:trHeight w:val="257"/>
        </w:trPr>
        <w:tc>
          <w:tcPr>
            <w:tcW w:w="67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Postretirement</w:t>
            </w: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i w:val="1"/>
                <w:iCs w:val="1"/>
                <w:color w:val="auto"/>
              </w:rPr>
              <w:t>Benefit Obligation Assumptions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30"/>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5.18 %</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5.50 %</w:t>
            </w: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i w:val="1"/>
                <w:iCs w:val="1"/>
                <w:color w:val="auto"/>
              </w:rPr>
              <w:t>Net Periodic Benefit Cost Assumptions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29"/>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5.51 %</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5.13 %</w:t>
            </w:r>
          </w:p>
        </w:tc>
      </w:tr>
      <w:tr>
        <w:trPr>
          <w:trHeight w:val="239"/>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Expected return on assets</w:t>
            </w:r>
          </w:p>
        </w:tc>
        <w:tc>
          <w:tcPr>
            <w:tcW w:w="760" w:type="dxa"/>
            <w:vAlign w:val="bottom"/>
          </w:tcPr>
          <w:p>
            <w:pPr>
              <w:jc w:val="right"/>
              <w:spacing w:after="0"/>
              <w:rPr>
                <w:sz w:val="20"/>
                <w:szCs w:val="20"/>
                <w:color w:val="auto"/>
              </w:rPr>
            </w:pPr>
            <w:r>
              <w:rPr>
                <w:rFonts w:ascii="Arial" w:cs="Arial" w:eastAsia="Arial" w:hAnsi="Arial"/>
                <w:sz w:val="18"/>
                <w:szCs w:val="18"/>
                <w:color w:val="auto"/>
              </w:rPr>
              <w:t>6.99 %</w:t>
            </w:r>
          </w:p>
        </w:tc>
        <w:tc>
          <w:tcPr>
            <w:tcW w:w="8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6.99 %</w:t>
            </w:r>
          </w:p>
        </w:tc>
      </w:tr>
    </w:tbl>
    <w:p>
      <w:pPr>
        <w:spacing w:after="0" w:line="30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 pension plans and postretirement benefit plans that we or our subsidiaries sponsor, we based the discount rate on the FTSE Above Median AA yield curve in 2025 and in 2024. The weighted-average rate of increase in future compensation levels is consistent with our past and anticipated future compensation increases for employees participating in pension plans that determine benefits using compensation. The assumed return on assets is estimated with regard to current market factors but within the context of historical returns for the asset mix that exists at year end.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132" w:name="page133"/>
    <w:bookmarkEnd w:id="132"/>
    <w:p>
      <w:pPr>
        <w:ind w:right="80" w:firstLine="324"/>
        <w:spacing w:after="0" w:line="271" w:lineRule="auto"/>
        <w:rPr>
          <w:sz w:val="20"/>
          <w:szCs w:val="20"/>
          <w:color w:val="auto"/>
        </w:rPr>
      </w:pPr>
      <w:r>
        <w:rPr>
          <w:rFonts w:ascii="Arial" w:cs="Arial" w:eastAsia="Arial" w:hAnsi="Arial"/>
          <w:sz w:val="18"/>
          <w:szCs w:val="18"/>
          <w:color w:val="auto"/>
        </w:rPr>
        <w:t>In 2025 and 2024, we used the Society of Actuaries Pri-2012 mortality assumptions reflecting the MP-2021 scale which plan sponsors in the U.S. use in the actuarial valuations that determine a plan sponsor’s pension and postretirement obligations.</w:t>
      </w:r>
    </w:p>
    <w:p>
      <w:pPr>
        <w:spacing w:after="0" w:line="19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postretirement benefit obligation was determined by application of the terms of medical and dental benefits, including the effect of established maximums on covered costs, together with relevant actuarial assumptions and healthcare cost trend rates projected at an assumed U.S. Consumer Price Index (CPI) increase of 2.4% and 2.45% as of December 31, 2025 and 2024, respectively. Under the terms of our postretirement plans, participants other than certain union employees pay for all medical cost increases in excess of increases in the CPI. For those union employees, we projected that, as of December 31, 2025, health care cost trend rates would be 8.00% in 2026 decreasing until they reach 4.00% in 2034 and remain at 4.00% thereafter. For those union employees, we projected that, as of December 31, 2024, health care cost trend rates would be 6.50% in 2025 decreasing until they reach 4.50% in 2033 and remain at 4.50% thereafter.</w:t>
      </w:r>
    </w:p>
    <w:p>
      <w:pPr>
        <w:spacing w:after="0" w:line="210"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color w:val="auto"/>
        </w:rPr>
        <w:t>The actuarial assumptions used could change in the near term as a result of changes in expected future trends and other factors that, depending on the nature of the changes, could cause increases or decreases in the plan assets and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Plan Assets</w:t>
      </w:r>
    </w:p>
    <w:p>
      <w:pPr>
        <w:spacing w:after="0" w:line="25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employ a total return investment approach that uses a diversified blend of equity and fixed-income investments to optimize the long-term return of plan assets at a prudent level of risk. Equity investments were diversified across U.S. and non-U.S. stocks, as well as differing styles and market capitalizations. Other asset classes, such as private equity and real estate, may have been used with the goals of enhancing long-term returns and improving portfolio diversification. In both 2025 and 2024, the target allocation of pension plan assets was 45% equity securities and 55% debt securities. Investment performance was measured and monitored on an ongoing basis through quarterly investment portfolio and manager guideline compliance reviews, annual liability measurements and periodic studies.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values of our pension plan assets by asset category are as follows: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7"/>
          </w:tcPr>
          <w:p>
            <w:pPr>
              <w:jc w:val="center"/>
              <w:ind w:right="270"/>
              <w:spacing w:after="0"/>
              <w:rPr>
                <w:sz w:val="20"/>
                <w:szCs w:val="20"/>
                <w:color w:val="auto"/>
              </w:rPr>
            </w:pPr>
            <w:r>
              <w:rPr>
                <w:rFonts w:ascii="Arial" w:cs="Arial" w:eastAsia="Arial" w:hAnsi="Arial"/>
                <w:sz w:val="18"/>
                <w:szCs w:val="18"/>
                <w:b w:val="1"/>
                <w:bCs w:val="1"/>
                <w:color w:val="auto"/>
                <w:w w:val="99"/>
              </w:rPr>
              <w:t>Fair Value Measurements at</w:t>
            </w:r>
          </w:p>
        </w:tc>
        <w:tc>
          <w:tcPr>
            <w:tcW w:w="940" w:type="dxa"/>
            <w:vAlign w:val="bottom"/>
          </w:tcPr>
          <w:p>
            <w:pPr>
              <w:spacing w:after="0"/>
              <w:rPr>
                <w:sz w:val="17"/>
                <w:szCs w:val="17"/>
                <w:color w:val="auto"/>
              </w:rPr>
            </w:pPr>
          </w:p>
        </w:tc>
      </w:tr>
      <w:tr>
        <w:trPr>
          <w:trHeight w:val="235"/>
        </w:trPr>
        <w:tc>
          <w:tcPr>
            <w:tcW w:w="60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center"/>
              <w:ind w:right="470"/>
              <w:spacing w:after="0"/>
              <w:rPr>
                <w:sz w:val="20"/>
                <w:szCs w:val="20"/>
                <w:color w:val="auto"/>
              </w:rPr>
            </w:pPr>
            <w:r>
              <w:rPr>
                <w:rFonts w:ascii="Arial" w:cs="Arial" w:eastAsia="Arial" w:hAnsi="Arial"/>
                <w:sz w:val="18"/>
                <w:szCs w:val="18"/>
                <w:b w:val="1"/>
                <w:bCs w:val="1"/>
                <w:color w:val="auto"/>
                <w:w w:val="99"/>
              </w:rPr>
              <w:t>December 31, 2025</w:t>
            </w:r>
          </w:p>
        </w:tc>
        <w:tc>
          <w:tcPr>
            <w:tcW w:w="940" w:type="dxa"/>
            <w:vAlign w:val="bottom"/>
            <w:tcBorders>
              <w:bottom w:val="single" w:sz="8" w:color="auto"/>
            </w:tcBorders>
          </w:tcPr>
          <w:p>
            <w:pPr>
              <w:spacing w:after="0"/>
              <w:rPr>
                <w:sz w:val="20"/>
                <w:szCs w:val="20"/>
                <w:color w:val="auto"/>
              </w:rPr>
            </w:pPr>
          </w:p>
        </w:tc>
      </w:tr>
      <w:tr>
        <w:trPr>
          <w:trHeight w:val="223"/>
        </w:trPr>
        <w:tc>
          <w:tcPr>
            <w:tcW w:w="60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64"/>
        </w:trPr>
        <w:tc>
          <w:tcPr>
            <w:tcW w:w="6080" w:type="dxa"/>
            <w:vAlign w:val="bottom"/>
          </w:tcPr>
          <w:p>
            <w:pPr>
              <w:ind w:left="20"/>
              <w:spacing w:after="0"/>
              <w:rPr>
                <w:sz w:val="20"/>
                <w:szCs w:val="20"/>
                <w:color w:val="auto"/>
              </w:rPr>
            </w:pPr>
            <w:r>
              <w:rPr>
                <w:rFonts w:ascii="Arial" w:cs="Arial" w:eastAsia="Arial" w:hAnsi="Arial"/>
                <w:sz w:val="18"/>
                <w:szCs w:val="18"/>
                <w:color w:val="auto"/>
              </w:rPr>
              <w:t>Asset Class</w:t>
            </w: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60" w:type="dxa"/>
            <w:vAlign w:val="bottom"/>
            <w:gridSpan w:val="6"/>
          </w:tcPr>
          <w:p>
            <w:pPr>
              <w:jc w:val="center"/>
              <w:ind w:right="470"/>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22"/>
                <w:szCs w:val="22"/>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Commingled funds</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Bonds</w:t>
            </w:r>
          </w:p>
        </w:tc>
        <w:tc>
          <w:tcPr>
            <w:tcW w:w="9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Commodities</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U.S. equity</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equity</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color w:val="auto"/>
              </w:rPr>
              <w:t>Total pension plan assets</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r>
      <w:tr>
        <w:trPr>
          <w:trHeight w:val="21"/>
        </w:trPr>
        <w:tc>
          <w:tcPr>
            <w:tcW w:w="6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7"/>
          </w:tcPr>
          <w:p>
            <w:pPr>
              <w:jc w:val="center"/>
              <w:ind w:right="270"/>
              <w:spacing w:after="0"/>
              <w:rPr>
                <w:sz w:val="20"/>
                <w:szCs w:val="20"/>
                <w:color w:val="auto"/>
              </w:rPr>
            </w:pPr>
            <w:r>
              <w:rPr>
                <w:rFonts w:ascii="Arial" w:cs="Arial" w:eastAsia="Arial" w:hAnsi="Arial"/>
                <w:sz w:val="18"/>
                <w:szCs w:val="18"/>
                <w:b w:val="1"/>
                <w:bCs w:val="1"/>
                <w:color w:val="auto"/>
                <w:w w:val="99"/>
              </w:rPr>
              <w:t>Fair Value Measurements at</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center"/>
              <w:ind w:right="470"/>
              <w:spacing w:after="0"/>
              <w:rPr>
                <w:sz w:val="20"/>
                <w:szCs w:val="20"/>
                <w:color w:val="auto"/>
              </w:rPr>
            </w:pPr>
            <w:r>
              <w:rPr>
                <w:rFonts w:ascii="Arial" w:cs="Arial" w:eastAsia="Arial" w:hAnsi="Arial"/>
                <w:sz w:val="18"/>
                <w:szCs w:val="18"/>
                <w:b w:val="1"/>
                <w:bCs w:val="1"/>
                <w:color w:val="auto"/>
                <w:w w:val="99"/>
              </w:rPr>
              <w:t>December 31, 2024</w:t>
            </w:r>
          </w:p>
        </w:tc>
        <w:tc>
          <w:tcPr>
            <w:tcW w:w="9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Asset Class</w:t>
            </w:r>
          </w:p>
        </w:tc>
        <w:tc>
          <w:tcPr>
            <w:tcW w:w="2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60" w:type="dxa"/>
            <w:vAlign w:val="bottom"/>
            <w:gridSpan w:val="6"/>
          </w:tcPr>
          <w:p>
            <w:pPr>
              <w:jc w:val="center"/>
              <w:ind w:right="470"/>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Commingled funds</w:t>
            </w:r>
          </w:p>
        </w:tc>
        <w:tc>
          <w:tcPr>
            <w:tcW w:w="2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Bonds</w:t>
            </w:r>
          </w:p>
        </w:tc>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Commodities</w:t>
            </w:r>
          </w:p>
        </w:tc>
        <w:tc>
          <w:tcPr>
            <w:tcW w:w="2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U.S. equity</w:t>
            </w:r>
          </w:p>
        </w:tc>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equity</w:t>
            </w:r>
          </w:p>
        </w:tc>
        <w:tc>
          <w:tcPr>
            <w:tcW w:w="2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Total pension plan assets</w:t>
            </w:r>
          </w:p>
        </w:tc>
        <w:tc>
          <w:tcPr>
            <w:tcW w:w="23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65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340" w:type="dxa"/>
            <w:vAlign w:val="bottom"/>
            <w:vMerge w:val="restart"/>
          </w:tcPr>
          <w:p>
            <w:pPr>
              <w:jc w:val="right"/>
              <w:ind w:right="250"/>
              <w:spacing w:after="0"/>
              <w:rPr>
                <w:sz w:val="20"/>
                <w:szCs w:val="20"/>
                <w:color w:val="auto"/>
              </w:rPr>
            </w:pPr>
            <w:r>
              <w:rPr>
                <w:rFonts w:ascii="Arial" w:cs="Arial" w:eastAsia="Arial" w:hAnsi="Arial"/>
                <w:sz w:val="18"/>
                <w:szCs w:val="18"/>
                <w:color w:val="auto"/>
              </w:rPr>
              <w:t>133</w:t>
            </w: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1"/>
        </w:trPr>
        <w:tc>
          <w:tcPr>
            <w:tcW w:w="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3" w:name="page134"/>
    <w:bookmarkEnd w:id="133"/>
    <w:p>
      <w:pPr>
        <w:ind w:left="340"/>
        <w:spacing w:after="0"/>
        <w:rPr>
          <w:sz w:val="20"/>
          <w:szCs w:val="20"/>
          <w:color w:val="auto"/>
        </w:rPr>
      </w:pPr>
      <w:r>
        <w:rPr>
          <w:rFonts w:ascii="Arial" w:cs="Arial" w:eastAsia="Arial" w:hAnsi="Arial"/>
          <w:sz w:val="18"/>
          <w:szCs w:val="18"/>
          <w:color w:val="auto"/>
        </w:rPr>
        <w:t>The fair values of our postretirement benefit plan assets by asset category are as follows: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7"/>
          </w:tcPr>
          <w:p>
            <w:pPr>
              <w:jc w:val="center"/>
              <w:ind w:right="270"/>
              <w:spacing w:after="0"/>
              <w:rPr>
                <w:sz w:val="20"/>
                <w:szCs w:val="20"/>
                <w:color w:val="auto"/>
              </w:rPr>
            </w:pPr>
            <w:r>
              <w:rPr>
                <w:rFonts w:ascii="Arial" w:cs="Arial" w:eastAsia="Arial" w:hAnsi="Arial"/>
                <w:sz w:val="18"/>
                <w:szCs w:val="18"/>
                <w:b w:val="1"/>
                <w:bCs w:val="1"/>
                <w:color w:val="auto"/>
                <w:w w:val="99"/>
              </w:rPr>
              <w:t>Fair Value Measurements at</w:t>
            </w:r>
          </w:p>
        </w:tc>
        <w:tc>
          <w:tcPr>
            <w:tcW w:w="940" w:type="dxa"/>
            <w:vAlign w:val="bottom"/>
          </w:tcPr>
          <w:p>
            <w:pPr>
              <w:spacing w:after="0"/>
              <w:rPr>
                <w:sz w:val="17"/>
                <w:szCs w:val="17"/>
                <w:color w:val="auto"/>
              </w:rPr>
            </w:pPr>
          </w:p>
        </w:tc>
      </w:tr>
      <w:tr>
        <w:trPr>
          <w:trHeight w:val="243"/>
        </w:trPr>
        <w:tc>
          <w:tcPr>
            <w:tcW w:w="608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4"/>
          </w:tcPr>
          <w:p>
            <w:pPr>
              <w:jc w:val="center"/>
              <w:ind w:left="194"/>
              <w:spacing w:after="0"/>
              <w:rPr>
                <w:sz w:val="20"/>
                <w:szCs w:val="20"/>
                <w:color w:val="auto"/>
              </w:rPr>
            </w:pPr>
            <w:r>
              <w:rPr>
                <w:rFonts w:ascii="Arial" w:cs="Arial" w:eastAsia="Arial" w:hAnsi="Arial"/>
                <w:sz w:val="18"/>
                <w:szCs w:val="18"/>
                <w:b w:val="1"/>
                <w:bCs w:val="1"/>
                <w:color w:val="auto"/>
                <w:w w:val="99"/>
              </w:rPr>
              <w:t>December 31, 2025</w:t>
            </w: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3"/>
        </w:trPr>
        <w:tc>
          <w:tcPr>
            <w:tcW w:w="60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64"/>
        </w:trPr>
        <w:tc>
          <w:tcPr>
            <w:tcW w:w="6080" w:type="dxa"/>
            <w:vAlign w:val="bottom"/>
          </w:tcPr>
          <w:p>
            <w:pPr>
              <w:ind w:left="20"/>
              <w:spacing w:after="0"/>
              <w:rPr>
                <w:sz w:val="20"/>
                <w:szCs w:val="20"/>
                <w:color w:val="auto"/>
              </w:rPr>
            </w:pPr>
            <w:r>
              <w:rPr>
                <w:rFonts w:ascii="Arial" w:cs="Arial" w:eastAsia="Arial" w:hAnsi="Arial"/>
                <w:sz w:val="18"/>
                <w:szCs w:val="18"/>
                <w:color w:val="auto"/>
              </w:rPr>
              <w:t>Asset Class</w:t>
            </w: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gridSpan w:val="4"/>
          </w:tcPr>
          <w:p>
            <w:pPr>
              <w:jc w:val="center"/>
              <w:ind w:left="194"/>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Commingled funds</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080" w:type="dxa"/>
            <w:vAlign w:val="bottom"/>
          </w:tcPr>
          <w:p>
            <w:pPr>
              <w:ind w:left="180"/>
              <w:spacing w:after="0"/>
              <w:rPr>
                <w:sz w:val="20"/>
                <w:szCs w:val="20"/>
                <w:color w:val="auto"/>
              </w:rPr>
            </w:pPr>
            <w:r>
              <w:rPr>
                <w:rFonts w:ascii="Arial" w:cs="Arial" w:eastAsia="Arial" w:hAnsi="Arial"/>
                <w:sz w:val="18"/>
                <w:szCs w:val="18"/>
                <w:color w:val="auto"/>
              </w:rPr>
              <w:t>Bonds</w:t>
            </w:r>
          </w:p>
        </w:tc>
        <w:tc>
          <w:tcPr>
            <w:tcW w:w="9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29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Commodities</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080" w:type="dxa"/>
            <w:vAlign w:val="bottom"/>
          </w:tcPr>
          <w:p>
            <w:pPr>
              <w:ind w:left="180"/>
              <w:spacing w:after="0"/>
              <w:rPr>
                <w:sz w:val="20"/>
                <w:szCs w:val="20"/>
                <w:color w:val="auto"/>
              </w:rPr>
            </w:pPr>
            <w:r>
              <w:rPr>
                <w:rFonts w:ascii="Arial" w:cs="Arial" w:eastAsia="Arial" w:hAnsi="Arial"/>
                <w:sz w:val="18"/>
                <w:szCs w:val="18"/>
                <w:color w:val="auto"/>
              </w:rPr>
              <w:t>U.S. equity</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12</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equity</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color w:val="auto"/>
              </w:rPr>
              <w:t>Total pension plan assets</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45</w:t>
            </w: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1"/>
        </w:trPr>
        <w:tc>
          <w:tcPr>
            <w:tcW w:w="6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7"/>
          </w:tcPr>
          <w:p>
            <w:pPr>
              <w:jc w:val="center"/>
              <w:ind w:right="270"/>
              <w:spacing w:after="0"/>
              <w:rPr>
                <w:sz w:val="20"/>
                <w:szCs w:val="20"/>
                <w:color w:val="auto"/>
              </w:rPr>
            </w:pPr>
            <w:r>
              <w:rPr>
                <w:rFonts w:ascii="Arial" w:cs="Arial" w:eastAsia="Arial" w:hAnsi="Arial"/>
                <w:sz w:val="18"/>
                <w:szCs w:val="18"/>
                <w:b w:val="1"/>
                <w:bCs w:val="1"/>
                <w:color w:val="auto"/>
                <w:w w:val="99"/>
              </w:rPr>
              <w:t>Fair Value Measurements at</w:t>
            </w:r>
          </w:p>
        </w:tc>
        <w:tc>
          <w:tcPr>
            <w:tcW w:w="940" w:type="dxa"/>
            <w:vAlign w:val="bottom"/>
          </w:tcPr>
          <w:p>
            <w:pPr>
              <w:spacing w:after="0"/>
              <w:rPr>
                <w:sz w:val="17"/>
                <w:szCs w:val="17"/>
                <w:color w:val="auto"/>
              </w:rPr>
            </w:pPr>
          </w:p>
        </w:tc>
      </w:tr>
      <w:tr>
        <w:trPr>
          <w:trHeight w:val="235"/>
        </w:trPr>
        <w:tc>
          <w:tcPr>
            <w:tcW w:w="6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center"/>
              <w:ind w:left="214"/>
              <w:spacing w:after="0"/>
              <w:rPr>
                <w:sz w:val="20"/>
                <w:szCs w:val="20"/>
                <w:color w:val="auto"/>
              </w:rPr>
            </w:pPr>
            <w:r>
              <w:rPr>
                <w:rFonts w:ascii="Arial" w:cs="Arial" w:eastAsia="Arial" w:hAnsi="Arial"/>
                <w:sz w:val="18"/>
                <w:szCs w:val="18"/>
                <w:b w:val="1"/>
                <w:bCs w:val="1"/>
                <w:color w:val="auto"/>
                <w:w w:val="99"/>
              </w:rPr>
              <w:t>December 31, 2024</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6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63"/>
        </w:trPr>
        <w:tc>
          <w:tcPr>
            <w:tcW w:w="6100" w:type="dxa"/>
            <w:vAlign w:val="bottom"/>
          </w:tcPr>
          <w:p>
            <w:pPr>
              <w:ind w:left="20"/>
              <w:spacing w:after="0"/>
              <w:rPr>
                <w:sz w:val="20"/>
                <w:szCs w:val="20"/>
                <w:color w:val="auto"/>
              </w:rPr>
            </w:pPr>
            <w:r>
              <w:rPr>
                <w:rFonts w:ascii="Arial" w:cs="Arial" w:eastAsia="Arial" w:hAnsi="Arial"/>
                <w:sz w:val="18"/>
                <w:szCs w:val="18"/>
                <w:color w:val="auto"/>
              </w:rPr>
              <w:t>Asset Class</w:t>
            </w: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0" w:type="dxa"/>
            <w:vAlign w:val="bottom"/>
            <w:gridSpan w:val="4"/>
          </w:tcPr>
          <w:p>
            <w:pPr>
              <w:jc w:val="center"/>
              <w:ind w:left="194"/>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Commingled funds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Bonds</w:t>
            </w:r>
          </w:p>
        </w:tc>
        <w:tc>
          <w:tcPr>
            <w:tcW w:w="9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26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Commodities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rPr>
              <w:t>U.S. equity</w:t>
            </w:r>
          </w:p>
        </w:tc>
        <w:tc>
          <w:tcPr>
            <w:tcW w:w="90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9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equity</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Total pension plan assets</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1"/>
        </w:trPr>
        <w:tc>
          <w:tcPr>
            <w:tcW w:w="6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Contributions and Benefit Payments</w:t>
      </w:r>
    </w:p>
    <w:p>
      <w:pPr>
        <w:spacing w:after="0" w:line="250" w:lineRule="exact"/>
        <w:rPr>
          <w:sz w:val="20"/>
          <w:szCs w:val="20"/>
          <w:color w:val="auto"/>
        </w:rPr>
      </w:pPr>
    </w:p>
    <w:p>
      <w:pPr>
        <w:jc w:val="both"/>
        <w:ind w:right="280" w:firstLine="324"/>
        <w:spacing w:after="0" w:line="266" w:lineRule="auto"/>
        <w:rPr>
          <w:sz w:val="20"/>
          <w:szCs w:val="20"/>
          <w:color w:val="auto"/>
        </w:rPr>
      </w:pPr>
      <w:r>
        <w:rPr>
          <w:rFonts w:ascii="Arial" w:cs="Arial" w:eastAsia="Arial" w:hAnsi="Arial"/>
          <w:sz w:val="18"/>
          <w:szCs w:val="18"/>
          <w:color w:val="auto"/>
        </w:rPr>
        <w:t>In 2026, we expect to contribute an insignificant amount to our pension plans and expect to contribute $6 million to our postretirement benefit plans. Estimated future undiscounted benefit payments by the plans, which reflect expected future service, as appropriate, are as follows:</w:t>
      </w:r>
    </w:p>
    <w:tbl>
      <w:tblPr>
        <w:tblLayout w:type="fixed"/>
        <w:tblInd w:w="0" w:type="dxa"/>
        <w:tblCellMar>
          <w:top w:w="0" w:type="dxa"/>
          <w:left w:w="0" w:type="dxa"/>
          <w:bottom w:w="0" w:type="dxa"/>
          <w:right w:w="0" w:type="dxa"/>
        </w:tblCellMar>
      </w:tblPr>
      <w:tr>
        <w:trPr>
          <w:trHeight w:val="181"/>
        </w:trPr>
        <w:tc>
          <w:tcPr>
            <w:tcW w:w="7600" w:type="dxa"/>
            <w:vAlign w:val="bottom"/>
          </w:tcPr>
          <w:p>
            <w:pPr>
              <w:spacing w:after="0"/>
              <w:rPr>
                <w:sz w:val="15"/>
                <w:szCs w:val="15"/>
                <w:color w:val="auto"/>
              </w:rPr>
            </w:pPr>
          </w:p>
        </w:tc>
        <w:tc>
          <w:tcPr>
            <w:tcW w:w="1340" w:type="dxa"/>
            <w:vAlign w:val="bottom"/>
          </w:tcPr>
          <w:p>
            <w:pPr>
              <w:jc w:val="right"/>
              <w:ind w:right="30"/>
              <w:spacing w:after="0" w:line="182" w:lineRule="exact"/>
              <w:rPr>
                <w:sz w:val="20"/>
                <w:szCs w:val="20"/>
                <w:color w:val="auto"/>
              </w:rPr>
            </w:pPr>
            <w:r>
              <w:rPr>
                <w:rFonts w:ascii="Arial" w:cs="Arial" w:eastAsia="Arial" w:hAnsi="Arial"/>
                <w:sz w:val="18"/>
                <w:szCs w:val="18"/>
                <w:b w:val="1"/>
                <w:bCs w:val="1"/>
                <w:color w:val="auto"/>
              </w:rPr>
              <w:t>Pension</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right"/>
              <w:ind w:right="150"/>
              <w:spacing w:after="0" w:line="182" w:lineRule="exact"/>
              <w:rPr>
                <w:sz w:val="20"/>
                <w:szCs w:val="20"/>
                <w:color w:val="auto"/>
              </w:rPr>
            </w:pPr>
            <w:r>
              <w:rPr>
                <w:rFonts w:ascii="Arial" w:cs="Arial" w:eastAsia="Arial" w:hAnsi="Arial"/>
                <w:sz w:val="18"/>
                <w:szCs w:val="18"/>
                <w:b w:val="1"/>
                <w:bCs w:val="1"/>
                <w:color w:val="auto"/>
              </w:rPr>
              <w:t>Postretirement</w:t>
            </w:r>
          </w:p>
        </w:tc>
      </w:tr>
      <w:tr>
        <w:trPr>
          <w:trHeight w:val="243"/>
        </w:trPr>
        <w:tc>
          <w:tcPr>
            <w:tcW w:w="7600" w:type="dxa"/>
            <w:vAlign w:val="bottom"/>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Benefits</w:t>
            </w:r>
          </w:p>
        </w:tc>
        <w:tc>
          <w:tcPr>
            <w:tcW w:w="4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Benefits</w:t>
            </w:r>
          </w:p>
        </w:tc>
      </w:tr>
      <w:tr>
        <w:trPr>
          <w:trHeight w:val="263"/>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1340" w:type="dxa"/>
            <w:vAlign w:val="bottom"/>
          </w:tcPr>
          <w:p>
            <w:pPr>
              <w:spacing w:after="0"/>
              <w:rPr>
                <w:sz w:val="22"/>
                <w:szCs w:val="22"/>
                <w:color w:val="auto"/>
              </w:rPr>
            </w:pPr>
          </w:p>
        </w:tc>
        <w:tc>
          <w:tcPr>
            <w:tcW w:w="940" w:type="dxa"/>
            <w:vAlign w:val="bottom"/>
            <w:gridSpan w:val="3"/>
          </w:tcPr>
          <w:p>
            <w:pPr>
              <w:jc w:val="right"/>
              <w:ind w:right="30"/>
              <w:spacing w:after="0"/>
              <w:rPr>
                <w:sz w:val="20"/>
                <w:szCs w:val="20"/>
                <w:color w:val="auto"/>
              </w:rPr>
            </w:pPr>
            <w:r>
              <w:rPr>
                <w:rFonts w:ascii="Arial" w:cs="Arial" w:eastAsia="Arial" w:hAnsi="Arial"/>
                <w:sz w:val="14"/>
                <w:szCs w:val="14"/>
                <w:color w:val="auto"/>
              </w:rPr>
              <w:t>(in millions)</w:t>
            </w:r>
          </w:p>
        </w:tc>
        <w:tc>
          <w:tcPr>
            <w:tcW w:w="1320" w:type="dxa"/>
            <w:vAlign w:val="bottom"/>
          </w:tcPr>
          <w:p>
            <w:pPr>
              <w:spacing w:after="0"/>
              <w:rPr>
                <w:sz w:val="22"/>
                <w:szCs w:val="22"/>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2027</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2029</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9"/>
        </w:trPr>
        <w:tc>
          <w:tcPr>
            <w:tcW w:w="7600" w:type="dxa"/>
            <w:vAlign w:val="bottom"/>
          </w:tcPr>
          <w:p>
            <w:pPr>
              <w:ind w:left="20"/>
              <w:spacing w:after="0"/>
              <w:rPr>
                <w:sz w:val="20"/>
                <w:szCs w:val="20"/>
                <w:color w:val="auto"/>
              </w:rPr>
            </w:pPr>
            <w:r>
              <w:rPr>
                <w:rFonts w:ascii="Arial" w:cs="Arial" w:eastAsia="Arial" w:hAnsi="Arial"/>
                <w:sz w:val="18"/>
                <w:szCs w:val="18"/>
                <w:color w:val="auto"/>
              </w:rPr>
              <w:t>2031 - 2035</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30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REVENUE</w:t>
      </w:r>
    </w:p>
    <w:p>
      <w:pPr>
        <w:spacing w:after="0" w:line="252" w:lineRule="exact"/>
        <w:rPr>
          <w:sz w:val="20"/>
          <w:szCs w:val="20"/>
          <w:color w:val="auto"/>
        </w:rPr>
      </w:pPr>
    </w:p>
    <w:p>
      <w:pPr>
        <w:jc w:val="both"/>
        <w:ind w:right="100" w:firstLine="324"/>
        <w:spacing w:after="0" w:line="287" w:lineRule="auto"/>
        <w:rPr>
          <w:sz w:val="20"/>
          <w:szCs w:val="20"/>
          <w:color w:val="auto"/>
        </w:rPr>
      </w:pPr>
      <w:r>
        <w:rPr>
          <w:rFonts w:ascii="Arial" w:cs="Arial" w:eastAsia="Arial" w:hAnsi="Arial"/>
          <w:sz w:val="18"/>
          <w:szCs w:val="18"/>
          <w:color w:val="auto"/>
        </w:rPr>
        <w:t>The following is a description of our principal activities from which we generate revenue. Revenue from customers is recognized when a customer obtains control of promised goods and the obligations under the terms of a contract are satisfied.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our Produced Oil, Natural Gas and NGLs</w:t>
      </w:r>
    </w:p>
    <w:p>
      <w:pPr>
        <w:spacing w:after="0" w:line="250"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Revenue from sales of our oil, natural gas and NGL production is recognized upon delivery (and transfer of control) of the commodity to the customer. In certain instances, transportation and processing fees are incurred by us prior to delivery to customers. We record these transportation and processing fees as transportation costs on our consolidated statements of operations.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34" w:name="page135"/>
    <w:bookmarkEnd w:id="134"/>
    <w:p>
      <w:pPr>
        <w:ind w:right="240" w:firstLine="324"/>
        <w:spacing w:after="0" w:line="262" w:lineRule="auto"/>
        <w:rPr>
          <w:sz w:val="20"/>
          <w:szCs w:val="20"/>
          <w:color w:val="auto"/>
        </w:rPr>
      </w:pPr>
      <w:r>
        <w:rPr>
          <w:rFonts w:ascii="Arial" w:cs="Arial" w:eastAsia="Arial" w:hAnsi="Arial"/>
          <w:sz w:val="18"/>
          <w:szCs w:val="18"/>
          <w:color w:val="auto"/>
        </w:rPr>
        <w:t>Our contracts with customers are generally less than a year and based on index prices. We recognize revenue in the amount that we expect to receive once we are able to adequately estimate the consideration (i.e., when market prices are known). Our contracts with customers typically require payment within 30 days following the month of delivery. The following table provides disaggregated revenue for sales of produced oil, natural gas and NGLs to external customers: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center"/>
              <w:ind w:left="70"/>
              <w:spacing w:after="0"/>
              <w:rPr>
                <w:sz w:val="20"/>
                <w:szCs w:val="20"/>
                <w:color w:val="auto"/>
              </w:rPr>
            </w:pPr>
            <w:r>
              <w:rPr>
                <w:rFonts w:ascii="Arial" w:cs="Arial" w:eastAsia="Arial" w:hAnsi="Arial"/>
                <w:sz w:val="18"/>
                <w:szCs w:val="18"/>
                <w:b w:val="1"/>
                <w:bCs w:val="1"/>
                <w:color w:val="auto"/>
                <w:w w:val="99"/>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3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93"/>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r>
      <w:tr>
        <w:trPr>
          <w:trHeight w:val="233"/>
        </w:trPr>
        <w:tc>
          <w:tcPr>
            <w:tcW w:w="6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4"/>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2,647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r>
      <w:tr>
        <w:trPr>
          <w:trHeight w:val="229"/>
        </w:trPr>
        <w:tc>
          <w:tcPr>
            <w:tcW w:w="63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29"/>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Natural gas liquids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3"/>
        </w:trPr>
        <w:tc>
          <w:tcPr>
            <w:tcW w:w="6340" w:type="dxa"/>
            <w:vAlign w:val="bottom"/>
          </w:tcPr>
          <w:p>
            <w:pPr>
              <w:ind w:left="140"/>
              <w:spacing w:after="0"/>
              <w:rPr>
                <w:sz w:val="20"/>
                <w:szCs w:val="20"/>
                <w:color w:val="auto"/>
              </w:rPr>
            </w:pPr>
            <w:r>
              <w:rPr>
                <w:rFonts w:ascii="Arial" w:cs="Arial" w:eastAsia="Arial" w:hAnsi="Arial"/>
                <w:sz w:val="18"/>
                <w:szCs w:val="18"/>
                <w:color w:val="auto"/>
              </w:rPr>
              <w:t>Oil, natural gas and natural gas liquids sales</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2,910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w:t>
            </w:r>
          </w:p>
        </w:tc>
      </w:tr>
      <w:tr>
        <w:trPr>
          <w:trHeight w:val="20"/>
        </w:trPr>
        <w:tc>
          <w:tcPr>
            <w:tcW w:w="6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We also process third-party wet gas at one of our gas processing facilities and the purity products are then sold to customers. We recognized $3 million, $3 million and $15 million included in other revenue on our consolidated statements of operations for the years ended December 31, 2025, 2024 and 2023,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 Revenue</w:t>
      </w:r>
    </w:p>
    <w:p>
      <w:pPr>
        <w:spacing w:after="0" w:line="25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electrical output of our Elk Hills power plant that is not used in our operations is primarily sold into the California Independent System Operator (CAISO) wholesale power market. We also enter into contracts with load-serving entities to ensure there is sufficient capacity to support forecasted demand in the California market. Our contracts for capacity are at market prices and generally for a term that does not exceed twelve months. For the twelve months ended December 31, 2023, we sold power to a California utility under a power purchase and sales agreement (PPA), which included a monthly capacity payment plus a variable payment based on the quantity of power purchased each month.</w:t>
      </w:r>
    </w:p>
    <w:p>
      <w:pPr>
        <w:spacing w:after="0" w:line="209"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As part of the Berry Merger, we acquired four cogeneration plants. The electrical output of one of these plants that is not used in our operations is sold to a California investor-owned utility, Pacific Gas and Electric under a power purchase and sales agreement that expires in November 2026.</w:t>
      </w:r>
    </w:p>
    <w:p>
      <w:pPr>
        <w:spacing w:after="0" w:line="198"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Revenue is recognized when obligations under the terms of a contract are satisfied; generally, this occurs upon delivery of the electricity. Revenue is measured as the amount of consideration we expect to receive based on CAISO market pricing with payment due the month following delivery. We recognize electricity revenue using the output method and consider our performance obligations to be satisfied upon delivery of electricity or as the contracted amount of capacity is made available to the customer in the case of capacity payments.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i w:val="1"/>
          <w:iCs w:val="1"/>
          <w:color w:val="auto"/>
        </w:rPr>
        <w:t>Revenue from Marketing of Purchased Commodities</w:t>
      </w:r>
    </w:p>
    <w:p>
      <w:pPr>
        <w:spacing w:after="0" w:line="250"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From time-to-time, we enter into transactions for third-party production, which we report as revenue from marketing of purchased commodities on our consolidated statements of operations. Revenues from marketing of purchased commodities results from (1) the storage or transportation of natural gas to take advantage of differences in pricing or location, (2) marketing oil sales that have resulted from third-party purchases or (3) sales of NGLs from inventory storage. To transport our natural gas as well as third-party volumes, we have entered into firm pipeline transportation commitments. We report associated expense related to the cost of marketing purchased commodities in operating expenses on our consolidated statements of operations. We consider our performance obligations to be satisfied upon transfer of control of the commodity.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36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73"/>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r>
      <w:tr>
        <w:trPr>
          <w:trHeight w:val="233"/>
        </w:trPr>
        <w:tc>
          <w:tcPr>
            <w:tcW w:w="6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w:t>
            </w: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360" w:type="dxa"/>
            <w:vAlign w:val="bottom"/>
          </w:tcPr>
          <w:p>
            <w:pPr>
              <w:ind w:left="140"/>
              <w:spacing w:after="0"/>
              <w:rPr>
                <w:sz w:val="20"/>
                <w:szCs w:val="20"/>
                <w:color w:val="auto"/>
              </w:rPr>
            </w:pPr>
            <w:r>
              <w:rPr>
                <w:rFonts w:ascii="Arial" w:cs="Arial" w:eastAsia="Arial" w:hAnsi="Arial"/>
                <w:sz w:val="18"/>
                <w:szCs w:val="18"/>
                <w:color w:val="auto"/>
              </w:rPr>
              <w:t>Revenue from marketing of purchased commodities</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r>
      <w:tr>
        <w:trPr>
          <w:trHeight w:val="21"/>
        </w:trPr>
        <w:tc>
          <w:tcPr>
            <w:tcW w:w="6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SEGMENT INFORMATION</w:t>
      </w:r>
    </w:p>
    <w:p>
      <w:pPr>
        <w:spacing w:after="0" w:line="252" w:lineRule="exact"/>
        <w:rPr>
          <w:sz w:val="20"/>
          <w:szCs w:val="20"/>
          <w:color w:val="auto"/>
        </w:rPr>
      </w:pPr>
    </w:p>
    <w:p>
      <w:pPr>
        <w:ind w:right="240" w:firstLine="324"/>
        <w:spacing w:after="0" w:line="244" w:lineRule="auto"/>
        <w:rPr>
          <w:sz w:val="20"/>
          <w:szCs w:val="20"/>
          <w:color w:val="auto"/>
        </w:rPr>
      </w:pPr>
      <w:r>
        <w:rPr>
          <w:rFonts w:ascii="Arial" w:cs="Arial" w:eastAsia="Arial" w:hAnsi="Arial"/>
          <w:sz w:val="18"/>
          <w:szCs w:val="18"/>
          <w:color w:val="auto"/>
        </w:rPr>
        <w:t>We conduct our business primarily through two reportable segments: (1) oil and natural gas exploration and production and (2) carbon management. We identified these segments based on the nature of their activities, the types of products sold and services to be provided. Our oil and natural gas segment explores for, develops, and produces oil and condensate, natural gas liquids and natural gas. Our carbon management segment, that we refer to as Carbon TerraVault, is expected to build, install, operate and maintain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capture equipment, transportation assets and storage facilities. Our oil and natural gas segment operates assets located in California and Utah. Our carbon management segment operates exclusively in California.</w:t>
      </w:r>
    </w:p>
    <w:p>
      <w:pPr>
        <w:spacing w:after="0" w:line="218"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Our chief operating decision maker (CODM), the Chief Executive Officer, uses segment profit or loss to assess the performance of each business, as well as our overall performance, and to make decisions about resources to be allocated to each segment, including capital investments.</w:t>
      </w:r>
    </w:p>
    <w:p>
      <w:pPr>
        <w:spacing w:after="0" w:line="198" w:lineRule="exact"/>
        <w:rPr>
          <w:sz w:val="20"/>
          <w:szCs w:val="20"/>
          <w:color w:val="auto"/>
        </w:rPr>
      </w:pPr>
    </w:p>
    <w:p>
      <w:pPr>
        <w:jc w:val="both"/>
        <w:ind w:right="140" w:firstLine="324"/>
        <w:spacing w:after="0" w:line="268" w:lineRule="auto"/>
        <w:rPr>
          <w:sz w:val="20"/>
          <w:szCs w:val="20"/>
          <w:color w:val="auto"/>
        </w:rPr>
      </w:pPr>
      <w:r>
        <w:rPr>
          <w:rFonts w:ascii="Arial" w:cs="Arial" w:eastAsia="Arial" w:hAnsi="Arial"/>
          <w:sz w:val="18"/>
          <w:szCs w:val="18"/>
          <w:color w:val="auto"/>
        </w:rPr>
        <w:t>The following tables provide segment profit or loss and reconciliations to consolidated income before income taxes for the years ended December 31, 2025, 2024, and 2023. The consolidation and elimination entries necessary to arrive at our consolidated financial information is presented separately.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8"/>
          </w:tcPr>
          <w:p>
            <w:pPr>
              <w:ind w:left="860"/>
              <w:spacing w:after="0"/>
              <w:rPr>
                <w:sz w:val="20"/>
                <w:szCs w:val="20"/>
                <w:color w:val="auto"/>
              </w:rPr>
            </w:pPr>
            <w:r>
              <w:rPr>
                <w:rFonts w:ascii="Arial" w:cs="Arial" w:eastAsia="Arial" w:hAnsi="Arial"/>
                <w:sz w:val="16"/>
                <w:szCs w:val="16"/>
                <w:b w:val="1"/>
                <w:bCs w:val="1"/>
                <w:color w:val="auto"/>
              </w:rPr>
              <w:t>Year ended December 31, 2025</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144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rPr>
              <w:t>Oil and Natural</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Carbon</w:t>
            </w:r>
          </w:p>
        </w:tc>
        <w:tc>
          <w:tcPr>
            <w:tcW w:w="136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Total Reportable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Elimination</w:t>
            </w:r>
          </w:p>
        </w:tc>
        <w:tc>
          <w:tcPr>
            <w:tcW w:w="300" w:type="dxa"/>
            <w:vAlign w:val="bottom"/>
          </w:tcPr>
          <w:p>
            <w:pPr>
              <w:spacing w:after="0"/>
              <w:rPr>
                <w:sz w:val="13"/>
                <w:szCs w:val="13"/>
                <w:color w:val="auto"/>
              </w:rPr>
            </w:pP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Gas</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Management</w:t>
            </w:r>
          </w:p>
        </w:tc>
        <w:tc>
          <w:tcPr>
            <w:tcW w:w="200" w:type="dxa"/>
            <w:vAlign w:val="bottom"/>
          </w:tcPr>
          <w:p>
            <w:pPr>
              <w:spacing w:after="0"/>
              <w:rPr>
                <w:sz w:val="18"/>
                <w:szCs w:val="18"/>
                <w:color w:val="auto"/>
              </w:rPr>
            </w:pPr>
          </w:p>
        </w:tc>
        <w:tc>
          <w:tcPr>
            <w:tcW w:w="1160" w:type="dxa"/>
            <w:vAlign w:val="bottom"/>
          </w:tcPr>
          <w:p>
            <w:pPr>
              <w:jc w:val="right"/>
              <w:ind w:right="221"/>
              <w:spacing w:after="0"/>
              <w:rPr>
                <w:sz w:val="20"/>
                <w:szCs w:val="20"/>
                <w:color w:val="auto"/>
              </w:rPr>
            </w:pPr>
            <w:r>
              <w:rPr>
                <w:rFonts w:ascii="Arial" w:cs="Arial" w:eastAsia="Arial" w:hAnsi="Arial"/>
                <w:sz w:val="16"/>
                <w:szCs w:val="16"/>
                <w:b w:val="1"/>
                <w:bCs w:val="1"/>
                <w:color w:val="auto"/>
              </w:rPr>
              <w:t>Segments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9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81"/>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natural gas and natural gas liquids sales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2,957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operating revenues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revenues and income</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210"/>
        </w:trPr>
        <w:tc>
          <w:tcPr>
            <w:tcW w:w="3940" w:type="dxa"/>
            <w:vAlign w:val="bottom"/>
          </w:tcPr>
          <w:p>
            <w:pPr>
              <w:ind w:left="240"/>
              <w:spacing w:after="0"/>
              <w:rPr>
                <w:sz w:val="20"/>
                <w:szCs w:val="20"/>
                <w:color w:val="auto"/>
              </w:rPr>
            </w:pPr>
            <w:r>
              <w:rPr>
                <w:rFonts w:ascii="Arial" w:cs="Arial" w:eastAsia="Arial" w:hAnsi="Arial"/>
                <w:sz w:val="16"/>
                <w:szCs w:val="16"/>
                <w:color w:val="auto"/>
              </w:rPr>
              <w:t>Total operating revenues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3,669</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right="20" w:hanging="332"/>
        <w:spacing w:after="0" w:line="305" w:lineRule="auto"/>
        <w:tabs>
          <w:tab w:leader="none" w:pos="327" w:val="left"/>
        </w:tabs>
        <w:numPr>
          <w:ilvl w:val="0"/>
          <w:numId w:val="60"/>
        </w:numPr>
        <w:rPr>
          <w:rFonts w:ascii="Arial" w:cs="Arial" w:eastAsia="Arial" w:hAnsi="Arial"/>
          <w:sz w:val="14"/>
          <w:szCs w:val="14"/>
          <w:color w:val="auto"/>
        </w:rPr>
      </w:pPr>
      <w:r>
        <w:rPr>
          <w:rFonts w:ascii="Arial" w:cs="Arial" w:eastAsia="Arial" w:hAnsi="Arial"/>
          <w:sz w:val="14"/>
          <w:szCs w:val="14"/>
          <w:color w:val="auto"/>
        </w:rPr>
        <w:t>Other revenues and income includes net gain from commodity derivatives, revenue from marketing of purchased commodities, electricity sales and unallocated interest and other revenue.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17"/>
        </w:trPr>
        <w:tc>
          <w:tcPr>
            <w:tcW w:w="3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gridSpan w:val="8"/>
          </w:tcPr>
          <w:p>
            <w:pPr>
              <w:jc w:val="right"/>
              <w:ind w:right="1319"/>
              <w:spacing w:after="0"/>
              <w:rPr>
                <w:sz w:val="20"/>
                <w:szCs w:val="20"/>
                <w:color w:val="auto"/>
              </w:rPr>
            </w:pPr>
            <w:r>
              <w:rPr>
                <w:rFonts w:ascii="Arial" w:cs="Arial" w:eastAsia="Arial" w:hAnsi="Arial"/>
                <w:sz w:val="16"/>
                <w:szCs w:val="16"/>
                <w:b w:val="1"/>
                <w:bCs w:val="1"/>
                <w:color w:val="auto"/>
              </w:rPr>
              <w:t>Year ended December 31, 2025</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46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rPr>
              <w:t>Oil and Natural</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9"/>
              </w:rPr>
              <w:t>Carbon</w:t>
            </w:r>
          </w:p>
        </w:tc>
        <w:tc>
          <w:tcPr>
            <w:tcW w:w="136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Total Reportable</w:t>
            </w:r>
          </w:p>
        </w:tc>
        <w:tc>
          <w:tcPr>
            <w:tcW w:w="100" w:type="dxa"/>
            <w:vAlign w:val="bottom"/>
          </w:tcPr>
          <w:p>
            <w:pPr>
              <w:spacing w:after="0"/>
              <w:rPr>
                <w:sz w:val="13"/>
                <w:szCs w:val="13"/>
                <w:color w:val="auto"/>
              </w:rPr>
            </w:pPr>
          </w:p>
        </w:tc>
        <w:tc>
          <w:tcPr>
            <w:tcW w:w="1860" w:type="dxa"/>
            <w:vAlign w:val="bottom"/>
            <w:gridSpan w:val="3"/>
          </w:tcPr>
          <w:p>
            <w:pPr>
              <w:jc w:val="right"/>
              <w:ind w:right="479"/>
              <w:spacing w:after="0" w:line="155" w:lineRule="exact"/>
              <w:rPr>
                <w:sz w:val="20"/>
                <w:szCs w:val="20"/>
                <w:color w:val="auto"/>
              </w:rPr>
            </w:pPr>
            <w:r>
              <w:rPr>
                <w:rFonts w:ascii="Arial" w:cs="Arial" w:eastAsia="Arial" w:hAnsi="Arial"/>
                <w:sz w:val="16"/>
                <w:szCs w:val="16"/>
                <w:b w:val="1"/>
                <w:bCs w:val="1"/>
                <w:color w:val="auto"/>
              </w:rPr>
              <w:t>Reconciliation</w:t>
            </w:r>
          </w:p>
        </w:tc>
        <w:tc>
          <w:tcPr>
            <w:tcW w:w="10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Gas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Management</w:t>
            </w:r>
          </w:p>
        </w:tc>
        <w:tc>
          <w:tcPr>
            <w:tcW w:w="200" w:type="dxa"/>
            <w:vAlign w:val="bottom"/>
          </w:tcPr>
          <w:p>
            <w:pPr>
              <w:spacing w:after="0"/>
              <w:rPr>
                <w:sz w:val="18"/>
                <w:szCs w:val="18"/>
                <w:color w:val="auto"/>
              </w:rPr>
            </w:pPr>
          </w:p>
        </w:tc>
        <w:tc>
          <w:tcPr>
            <w:tcW w:w="1160" w:type="dxa"/>
            <w:vAlign w:val="bottom"/>
          </w:tcPr>
          <w:p>
            <w:pPr>
              <w:jc w:val="right"/>
              <w:ind w:right="200"/>
              <w:spacing w:after="0"/>
              <w:rPr>
                <w:sz w:val="20"/>
                <w:szCs w:val="20"/>
                <w:color w:val="auto"/>
              </w:rPr>
            </w:pPr>
            <w:r>
              <w:rPr>
                <w:rFonts w:ascii="Arial" w:cs="Arial" w:eastAsia="Arial" w:hAnsi="Arial"/>
                <w:sz w:val="16"/>
                <w:szCs w:val="16"/>
                <w:b w:val="1"/>
                <w:bCs w:val="1"/>
                <w:color w:val="auto"/>
              </w:rPr>
              <w:t>Segments</w:t>
            </w:r>
          </w:p>
        </w:tc>
        <w:tc>
          <w:tcPr>
            <w:tcW w:w="100" w:type="dxa"/>
            <w:vAlign w:val="bottom"/>
          </w:tcPr>
          <w:p>
            <w:pPr>
              <w:spacing w:after="0"/>
              <w:rPr>
                <w:sz w:val="18"/>
                <w:szCs w:val="18"/>
                <w:color w:val="auto"/>
              </w:rPr>
            </w:pPr>
          </w:p>
        </w:tc>
        <w:tc>
          <w:tcPr>
            <w:tcW w:w="186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(Income)/Expense</w:t>
            </w: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9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8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2,967</w:t>
            </w:r>
          </w:p>
        </w:tc>
        <w:tc>
          <w:tcPr>
            <w:tcW w:w="1960" w:type="dxa"/>
            <w:vAlign w:val="bottom"/>
            <w:gridSpan w:val="4"/>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2,967</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Less: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costs: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Energy operating costs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405</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Gas processing costs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Non-energy operating costs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856</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 expenses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15"/>
        </w:trPr>
        <w:tc>
          <w:tcPr>
            <w:tcW w:w="3940" w:type="dxa"/>
            <w:vAlign w:val="bottom"/>
          </w:tcPr>
          <w:p>
            <w:pPr>
              <w:ind w:left="140"/>
              <w:spacing w:after="0"/>
              <w:rPr>
                <w:sz w:val="20"/>
                <w:szCs w:val="20"/>
                <w:color w:val="auto"/>
              </w:rPr>
            </w:pPr>
            <w:r>
              <w:rPr>
                <w:rFonts w:ascii="Arial" w:cs="Arial" w:eastAsia="Arial" w:hAnsi="Arial"/>
                <w:sz w:val="16"/>
                <w:szCs w:val="16"/>
                <w:color w:val="auto"/>
              </w:rPr>
              <w:t>Depreciation, depletion and amortization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492</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on income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5"/>
        </w:trPr>
        <w:tc>
          <w:tcPr>
            <w:tcW w:w="3940" w:type="dxa"/>
            <w:vAlign w:val="bottom"/>
          </w:tcPr>
          <w:p>
            <w:pPr>
              <w:ind w:left="140"/>
              <w:spacing w:after="0"/>
              <w:rPr>
                <w:sz w:val="20"/>
                <w:szCs w:val="20"/>
                <w:color w:val="auto"/>
              </w:rPr>
            </w:pPr>
            <w:r>
              <w:rPr>
                <w:rFonts w:ascii="Arial" w:cs="Arial" w:eastAsia="Arial" w:hAnsi="Arial"/>
                <w:sz w:val="16"/>
                <w:szCs w:val="16"/>
                <w:color w:val="auto"/>
              </w:rPr>
              <w:t>Interest and debt expense, net</w:t>
            </w:r>
          </w:p>
        </w:tc>
        <w:tc>
          <w:tcPr>
            <w:tcW w:w="3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63"/>
        </w:trPr>
        <w:tc>
          <w:tcPr>
            <w:tcW w:w="394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Equity loss (income) from unconsolidated</w:t>
            </w:r>
          </w:p>
        </w:tc>
        <w:tc>
          <w:tcPr>
            <w:tcW w:w="3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5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subsidiaries</w:t>
            </w:r>
          </w:p>
        </w:tc>
        <w:tc>
          <w:tcPr>
            <w:tcW w:w="3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5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Other segment expenses</w:t>
            </w:r>
            <w:r>
              <w:rPr>
                <w:rFonts w:ascii="Arial" w:cs="Arial" w:eastAsia="Arial" w:hAnsi="Arial"/>
                <w:sz w:val="21"/>
                <w:szCs w:val="21"/>
                <w:color w:val="auto"/>
                <w:vertAlign w:val="superscript"/>
              </w:rPr>
              <w:t>(a)</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gridSpan w:val="3"/>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3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profit or (loss)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profit or loss</w:t>
            </w:r>
            <w:r>
              <w:rPr>
                <w:rFonts w:ascii="Arial" w:cs="Arial" w:eastAsia="Arial" w:hAnsi="Arial"/>
                <w:sz w:val="21"/>
                <w:szCs w:val="21"/>
                <w:color w:val="auto"/>
                <w:vertAlign w:val="superscript"/>
              </w:rPr>
              <w:t>(b)</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Unallocated amounts</w:t>
            </w:r>
            <w:r>
              <w:rPr>
                <w:rFonts w:ascii="Arial" w:cs="Arial" w:eastAsia="Arial" w:hAnsi="Arial"/>
                <w:sz w:val="21"/>
                <w:szCs w:val="21"/>
                <w:color w:val="auto"/>
                <w:vertAlign w:val="superscript"/>
              </w:rPr>
              <w:t>(c)</w:t>
            </w:r>
          </w:p>
        </w:tc>
        <w:tc>
          <w:tcPr>
            <w:tcW w:w="3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340" w:right="180" w:hanging="332"/>
        <w:spacing w:after="0" w:line="291" w:lineRule="auto"/>
        <w:tabs>
          <w:tab w:leader="none" w:pos="327" w:val="left"/>
        </w:tabs>
        <w:numPr>
          <w:ilvl w:val="0"/>
          <w:numId w:val="61"/>
        </w:numPr>
        <w:rPr>
          <w:rFonts w:ascii="Arial" w:cs="Arial" w:eastAsia="Arial" w:hAnsi="Arial"/>
          <w:sz w:val="14"/>
          <w:szCs w:val="14"/>
          <w:color w:val="auto"/>
        </w:rPr>
      </w:pPr>
      <w:r>
        <w:rPr>
          <w:rFonts w:ascii="Arial" w:cs="Arial" w:eastAsia="Arial" w:hAnsi="Arial"/>
          <w:sz w:val="14"/>
          <w:szCs w:val="14"/>
          <w:color w:val="auto"/>
        </w:rPr>
        <w:t>Other segment expenses for our oil and natural gas segment include transportation costs, accretion expense, asset impairment and other operating expenses, net. Other segment expenses for our carbon management segment primarily includes operating lease costs and asset impairment.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Other profit or loss includes the margin we earn from marketing activities and the margin we earn on sales of electricity from our Elk Hills power plant to customers.</w:t>
      </w:r>
    </w:p>
    <w:p>
      <w:pPr>
        <w:spacing w:after="0" w:line="41" w:lineRule="exact"/>
        <w:rPr>
          <w:rFonts w:ascii="Arial" w:cs="Arial" w:eastAsia="Arial" w:hAnsi="Arial"/>
          <w:sz w:val="14"/>
          <w:szCs w:val="14"/>
          <w:color w:val="auto"/>
        </w:rPr>
      </w:pPr>
    </w:p>
    <w:p>
      <w:pPr>
        <w:ind w:left="340" w:right="480" w:hanging="332"/>
        <w:spacing w:after="0" w:line="305" w:lineRule="auto"/>
        <w:tabs>
          <w:tab w:leader="none" w:pos="332" w:val="left"/>
        </w:tabs>
        <w:numPr>
          <w:ilvl w:val="0"/>
          <w:numId w:val="61"/>
        </w:numPr>
        <w:rPr>
          <w:rFonts w:ascii="Arial" w:cs="Arial" w:eastAsia="Arial" w:hAnsi="Arial"/>
          <w:sz w:val="14"/>
          <w:szCs w:val="14"/>
          <w:color w:val="auto"/>
        </w:rPr>
      </w:pPr>
      <w:r>
        <w:rPr>
          <w:rFonts w:ascii="Arial" w:cs="Arial" w:eastAsia="Arial" w:hAnsi="Arial"/>
          <w:sz w:val="14"/>
          <w:szCs w:val="14"/>
          <w:color w:val="auto"/>
        </w:rPr>
        <w:t>Unallocated amounts include net gain from commodity derivatives, net loss on natural gas purchase derivatives, transportation costs, other operating expenses, net, interest income, unallocated other revenue, and other non-operating income.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8"/>
          </w:tcPr>
          <w:p>
            <w:pPr>
              <w:ind w:left="860"/>
              <w:spacing w:after="0"/>
              <w:rPr>
                <w:sz w:val="20"/>
                <w:szCs w:val="20"/>
                <w:color w:val="auto"/>
              </w:rPr>
            </w:pPr>
            <w:r>
              <w:rPr>
                <w:rFonts w:ascii="Arial" w:cs="Arial" w:eastAsia="Arial" w:hAnsi="Arial"/>
                <w:sz w:val="16"/>
                <w:szCs w:val="16"/>
                <w:b w:val="1"/>
                <w:bCs w:val="1"/>
                <w:color w:val="auto"/>
              </w:rPr>
              <w:t>Year ended December 31, 2024</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44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rPr>
              <w:t>Oil and Natural</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Carbon</w:t>
            </w:r>
          </w:p>
        </w:tc>
        <w:tc>
          <w:tcPr>
            <w:tcW w:w="136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Total Reportable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Elimination</w:t>
            </w:r>
          </w:p>
        </w:tc>
        <w:tc>
          <w:tcPr>
            <w:tcW w:w="300" w:type="dxa"/>
            <w:vAlign w:val="bottom"/>
          </w:tcPr>
          <w:p>
            <w:pPr>
              <w:spacing w:after="0"/>
              <w:rPr>
                <w:sz w:val="13"/>
                <w:szCs w:val="13"/>
                <w:color w:val="auto"/>
              </w:rPr>
            </w:pP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Gas</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Management</w:t>
            </w:r>
          </w:p>
        </w:tc>
        <w:tc>
          <w:tcPr>
            <w:tcW w:w="200" w:type="dxa"/>
            <w:vAlign w:val="bottom"/>
          </w:tcPr>
          <w:p>
            <w:pPr>
              <w:spacing w:after="0"/>
              <w:rPr>
                <w:sz w:val="18"/>
                <w:szCs w:val="18"/>
                <w:color w:val="auto"/>
              </w:rPr>
            </w:pPr>
          </w:p>
        </w:tc>
        <w:tc>
          <w:tcPr>
            <w:tcW w:w="1160" w:type="dxa"/>
            <w:vAlign w:val="bottom"/>
          </w:tcPr>
          <w:p>
            <w:pPr>
              <w:jc w:val="right"/>
              <w:ind w:right="221"/>
              <w:spacing w:after="0"/>
              <w:rPr>
                <w:sz w:val="20"/>
                <w:szCs w:val="20"/>
                <w:color w:val="auto"/>
              </w:rPr>
            </w:pPr>
            <w:r>
              <w:rPr>
                <w:rFonts w:ascii="Arial" w:cs="Arial" w:eastAsia="Arial" w:hAnsi="Arial"/>
                <w:sz w:val="16"/>
                <w:szCs w:val="16"/>
                <w:b w:val="1"/>
                <w:bCs w:val="1"/>
                <w:color w:val="auto"/>
              </w:rPr>
              <w:t>Segments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9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81"/>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natural gas and natural gas liquids sales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2,565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operating revenues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2,572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revenues and income</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10"/>
        </w:trPr>
        <w:tc>
          <w:tcPr>
            <w:tcW w:w="3940" w:type="dxa"/>
            <w:vAlign w:val="bottom"/>
          </w:tcPr>
          <w:p>
            <w:pPr>
              <w:ind w:left="240"/>
              <w:spacing w:after="0"/>
              <w:rPr>
                <w:sz w:val="20"/>
                <w:szCs w:val="20"/>
                <w:color w:val="auto"/>
              </w:rPr>
            </w:pPr>
            <w:r>
              <w:rPr>
                <w:rFonts w:ascii="Arial" w:cs="Arial" w:eastAsia="Arial" w:hAnsi="Arial"/>
                <w:sz w:val="16"/>
                <w:szCs w:val="16"/>
                <w:color w:val="auto"/>
              </w:rPr>
              <w:t>Total operating revenue</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right="20" w:hanging="332"/>
        <w:spacing w:after="0" w:line="285" w:lineRule="auto"/>
        <w:tabs>
          <w:tab w:leader="none" w:pos="327" w:val="left"/>
        </w:tabs>
        <w:numPr>
          <w:ilvl w:val="0"/>
          <w:numId w:val="62"/>
        </w:numPr>
        <w:rPr>
          <w:rFonts w:ascii="Arial" w:cs="Arial" w:eastAsia="Arial" w:hAnsi="Arial"/>
          <w:sz w:val="14"/>
          <w:szCs w:val="14"/>
          <w:color w:val="auto"/>
        </w:rPr>
      </w:pPr>
      <w:r>
        <w:rPr>
          <w:rFonts w:ascii="Arial" w:cs="Arial" w:eastAsia="Arial" w:hAnsi="Arial"/>
          <w:sz w:val="14"/>
          <w:szCs w:val="14"/>
          <w:color w:val="auto"/>
        </w:rPr>
        <w:t>Other revenues and income includes net gain from commodity derivatives, revenue from marketing of purchased commodities, electricity sales and unallocated interest and other revenue.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17"/>
        </w:trPr>
        <w:tc>
          <w:tcPr>
            <w:tcW w:w="3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gridSpan w:val="8"/>
          </w:tcPr>
          <w:p>
            <w:pPr>
              <w:jc w:val="right"/>
              <w:ind w:right="1359"/>
              <w:spacing w:after="0"/>
              <w:rPr>
                <w:sz w:val="20"/>
                <w:szCs w:val="20"/>
                <w:color w:val="auto"/>
              </w:rPr>
            </w:pPr>
            <w:r>
              <w:rPr>
                <w:rFonts w:ascii="Arial" w:cs="Arial" w:eastAsia="Arial" w:hAnsi="Arial"/>
                <w:sz w:val="16"/>
                <w:szCs w:val="16"/>
                <w:b w:val="1"/>
                <w:bCs w:val="1"/>
                <w:color w:val="auto"/>
              </w:rPr>
              <w:t>Year ended December 31, 2024</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144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rPr>
              <w:t>Oil and Natural</w:t>
            </w:r>
          </w:p>
        </w:tc>
        <w:tc>
          <w:tcPr>
            <w:tcW w:w="160" w:type="dxa"/>
            <w:vAlign w:val="bottom"/>
          </w:tcPr>
          <w:p>
            <w:pPr>
              <w:spacing w:after="0"/>
              <w:rPr>
                <w:sz w:val="13"/>
                <w:szCs w:val="13"/>
                <w:color w:val="auto"/>
              </w:rPr>
            </w:pPr>
          </w:p>
        </w:tc>
        <w:tc>
          <w:tcPr>
            <w:tcW w:w="13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9"/>
              </w:rPr>
              <w:t>Carbon</w:t>
            </w:r>
          </w:p>
        </w:tc>
        <w:tc>
          <w:tcPr>
            <w:tcW w:w="136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Total Reportable</w:t>
            </w:r>
          </w:p>
        </w:tc>
        <w:tc>
          <w:tcPr>
            <w:tcW w:w="100" w:type="dxa"/>
            <w:vAlign w:val="bottom"/>
          </w:tcPr>
          <w:p>
            <w:pPr>
              <w:spacing w:after="0"/>
              <w:rPr>
                <w:sz w:val="13"/>
                <w:szCs w:val="13"/>
                <w:color w:val="auto"/>
              </w:rPr>
            </w:pPr>
          </w:p>
        </w:tc>
        <w:tc>
          <w:tcPr>
            <w:tcW w:w="1920" w:type="dxa"/>
            <w:vAlign w:val="bottom"/>
            <w:gridSpan w:val="3"/>
          </w:tcPr>
          <w:p>
            <w:pPr>
              <w:jc w:val="right"/>
              <w:ind w:right="519"/>
              <w:spacing w:after="0" w:line="155" w:lineRule="exact"/>
              <w:rPr>
                <w:sz w:val="20"/>
                <w:szCs w:val="20"/>
                <w:color w:val="auto"/>
              </w:rPr>
            </w:pPr>
            <w:r>
              <w:rPr>
                <w:rFonts w:ascii="Arial" w:cs="Arial" w:eastAsia="Arial" w:hAnsi="Arial"/>
                <w:sz w:val="16"/>
                <w:szCs w:val="16"/>
                <w:b w:val="1"/>
                <w:bCs w:val="1"/>
                <w:color w:val="auto"/>
              </w:rPr>
              <w:t>Reconciliation</w:t>
            </w: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Gas</w:t>
            </w:r>
          </w:p>
        </w:tc>
        <w:tc>
          <w:tcPr>
            <w:tcW w:w="16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Management</w:t>
            </w:r>
          </w:p>
        </w:tc>
        <w:tc>
          <w:tcPr>
            <w:tcW w:w="200" w:type="dxa"/>
            <w:vAlign w:val="bottom"/>
          </w:tcPr>
          <w:p>
            <w:pPr>
              <w:spacing w:after="0"/>
              <w:rPr>
                <w:sz w:val="18"/>
                <w:szCs w:val="18"/>
                <w:color w:val="auto"/>
              </w:rPr>
            </w:pPr>
          </w:p>
        </w:tc>
        <w:tc>
          <w:tcPr>
            <w:tcW w:w="1160" w:type="dxa"/>
            <w:vAlign w:val="bottom"/>
          </w:tcPr>
          <w:p>
            <w:pPr>
              <w:jc w:val="right"/>
              <w:ind w:right="220"/>
              <w:spacing w:after="0"/>
              <w:rPr>
                <w:sz w:val="20"/>
                <w:szCs w:val="20"/>
                <w:color w:val="auto"/>
              </w:rPr>
            </w:pPr>
            <w:r>
              <w:rPr>
                <w:rFonts w:ascii="Arial" w:cs="Arial" w:eastAsia="Arial" w:hAnsi="Arial"/>
                <w:sz w:val="16"/>
                <w:szCs w:val="16"/>
                <w:b w:val="1"/>
                <w:bCs w:val="1"/>
                <w:color w:val="auto"/>
              </w:rPr>
              <w:t>Segments</w:t>
            </w:r>
          </w:p>
        </w:tc>
        <w:tc>
          <w:tcPr>
            <w:tcW w:w="100" w:type="dxa"/>
            <w:vAlign w:val="bottom"/>
          </w:tcPr>
          <w:p>
            <w:pPr>
              <w:spacing w:after="0"/>
              <w:rPr>
                <w:sz w:val="18"/>
                <w:szCs w:val="18"/>
                <w:color w:val="auto"/>
              </w:rPr>
            </w:pPr>
          </w:p>
        </w:tc>
        <w:tc>
          <w:tcPr>
            <w:tcW w:w="192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(Income)/Expense</w:t>
            </w: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8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6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w:t>
            </w:r>
          </w:p>
        </w:tc>
        <w:tc>
          <w:tcPr>
            <w:tcW w:w="2020" w:type="dxa"/>
            <w:vAlign w:val="bottom"/>
            <w:gridSpan w:val="4"/>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w:t>
            </w:r>
          </w:p>
        </w:tc>
        <w:tc>
          <w:tcPr>
            <w:tcW w:w="0" w:type="dxa"/>
            <w:vAlign w:val="bottom"/>
          </w:tcPr>
          <w:p>
            <w:pPr>
              <w:spacing w:after="0"/>
              <w:rPr>
                <w:sz w:val="1"/>
                <w:szCs w:val="1"/>
                <w:color w:val="auto"/>
              </w:rPr>
            </w:pPr>
          </w:p>
        </w:tc>
      </w:tr>
      <w:tr>
        <w:trPr>
          <w:trHeight w:val="215"/>
        </w:trPr>
        <w:tc>
          <w:tcPr>
            <w:tcW w:w="3880" w:type="dxa"/>
            <w:vAlign w:val="bottom"/>
          </w:tcPr>
          <w:p>
            <w:pPr>
              <w:ind w:left="20"/>
              <w:spacing w:after="0"/>
              <w:rPr>
                <w:sz w:val="20"/>
                <w:szCs w:val="20"/>
                <w:color w:val="auto"/>
              </w:rPr>
            </w:pPr>
            <w:r>
              <w:rPr>
                <w:rFonts w:ascii="Arial" w:cs="Arial" w:eastAsia="Arial" w:hAnsi="Arial"/>
                <w:sz w:val="16"/>
                <w:szCs w:val="16"/>
                <w:color w:val="auto"/>
              </w:rPr>
              <w:t>Less: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costs: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tcPr>
          <w:p>
            <w:pPr>
              <w:ind w:left="240"/>
              <w:spacing w:after="0"/>
              <w:rPr>
                <w:sz w:val="20"/>
                <w:szCs w:val="20"/>
                <w:color w:val="auto"/>
              </w:rPr>
            </w:pPr>
            <w:r>
              <w:rPr>
                <w:rFonts w:ascii="Arial" w:cs="Arial" w:eastAsia="Arial" w:hAnsi="Arial"/>
                <w:sz w:val="16"/>
                <w:szCs w:val="16"/>
                <w:color w:val="auto"/>
              </w:rPr>
              <w:t>Energy operating costs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296</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Gas processing costs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5"/>
        </w:trPr>
        <w:tc>
          <w:tcPr>
            <w:tcW w:w="3880" w:type="dxa"/>
            <w:vAlign w:val="bottom"/>
          </w:tcPr>
          <w:p>
            <w:pPr>
              <w:ind w:left="240"/>
              <w:spacing w:after="0"/>
              <w:rPr>
                <w:sz w:val="20"/>
                <w:szCs w:val="20"/>
                <w:color w:val="auto"/>
              </w:rPr>
            </w:pPr>
            <w:r>
              <w:rPr>
                <w:rFonts w:ascii="Arial" w:cs="Arial" w:eastAsia="Arial" w:hAnsi="Arial"/>
                <w:sz w:val="16"/>
                <w:szCs w:val="16"/>
                <w:color w:val="auto"/>
              </w:rPr>
              <w:t>Non-energy operating costs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18"/>
                <w:szCs w:val="18"/>
                <w:color w:val="auto"/>
              </w:rPr>
            </w:pPr>
          </w:p>
        </w:tc>
        <w:tc>
          <w:tcPr>
            <w:tcW w:w="1920" w:type="dxa"/>
            <w:vAlign w:val="bottom"/>
            <w:gridSpan w:val="3"/>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 expenses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5"/>
        </w:trPr>
        <w:tc>
          <w:tcPr>
            <w:tcW w:w="3880" w:type="dxa"/>
            <w:vAlign w:val="bottom"/>
          </w:tcPr>
          <w:p>
            <w:pPr>
              <w:ind w:left="140"/>
              <w:spacing w:after="0"/>
              <w:rPr>
                <w:sz w:val="20"/>
                <w:szCs w:val="20"/>
                <w:color w:val="auto"/>
              </w:rPr>
            </w:pPr>
            <w:r>
              <w:rPr>
                <w:rFonts w:ascii="Arial" w:cs="Arial" w:eastAsia="Arial" w:hAnsi="Arial"/>
                <w:sz w:val="16"/>
                <w:szCs w:val="16"/>
                <w:color w:val="auto"/>
              </w:rPr>
              <w:t>Depreciation, depletion and amortization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354</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on income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5"/>
        </w:trPr>
        <w:tc>
          <w:tcPr>
            <w:tcW w:w="3880" w:type="dxa"/>
            <w:vAlign w:val="bottom"/>
          </w:tcPr>
          <w:p>
            <w:pPr>
              <w:ind w:left="140"/>
              <w:spacing w:after="0"/>
              <w:rPr>
                <w:sz w:val="20"/>
                <w:szCs w:val="20"/>
                <w:color w:val="auto"/>
              </w:rPr>
            </w:pPr>
            <w:r>
              <w:rPr>
                <w:rFonts w:ascii="Arial" w:cs="Arial" w:eastAsia="Arial" w:hAnsi="Arial"/>
                <w:sz w:val="16"/>
                <w:szCs w:val="16"/>
                <w:color w:val="auto"/>
              </w:rPr>
              <w:t>Interest and debt expense, net</w:t>
            </w: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63"/>
        </w:trPr>
        <w:tc>
          <w:tcPr>
            <w:tcW w:w="388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Equity loss (income) from unconsolidated</w:t>
            </w:r>
          </w:p>
        </w:tc>
        <w:tc>
          <w:tcPr>
            <w:tcW w:w="3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6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subsidiaries</w:t>
            </w:r>
          </w:p>
        </w:tc>
        <w:tc>
          <w:tcPr>
            <w:tcW w:w="3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6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Other segment expenses</w:t>
            </w:r>
            <w:r>
              <w:rPr>
                <w:rFonts w:ascii="Arial" w:cs="Arial" w:eastAsia="Arial" w:hAnsi="Arial"/>
                <w:sz w:val="21"/>
                <w:szCs w:val="21"/>
                <w:color w:val="auto"/>
                <w:vertAlign w:val="superscript"/>
              </w:rPr>
              <w:t>(a)</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gridSpan w:val="3"/>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35"/>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profit or (loss)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profit or loss</w:t>
            </w:r>
            <w:r>
              <w:rPr>
                <w:rFonts w:ascii="Arial" w:cs="Arial" w:eastAsia="Arial" w:hAnsi="Arial"/>
                <w:sz w:val="21"/>
                <w:szCs w:val="21"/>
                <w:color w:val="auto"/>
                <w:vertAlign w:val="superscript"/>
              </w:rPr>
              <w:t>(b)</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6"/>
        </w:trPr>
        <w:tc>
          <w:tcPr>
            <w:tcW w:w="38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Unallocated amounts</w:t>
            </w:r>
            <w:r>
              <w:rPr>
                <w:rFonts w:ascii="Arial" w:cs="Arial" w:eastAsia="Arial" w:hAnsi="Arial"/>
                <w:sz w:val="21"/>
                <w:szCs w:val="21"/>
                <w:color w:val="auto"/>
                <w:vertAlign w:val="superscript"/>
              </w:rPr>
              <w:t>(c)</w:t>
            </w:r>
          </w:p>
        </w:tc>
        <w:tc>
          <w:tcPr>
            <w:tcW w:w="3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34"/>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340" w:right="440" w:hanging="332"/>
        <w:spacing w:after="0" w:line="291" w:lineRule="auto"/>
        <w:tabs>
          <w:tab w:leader="none" w:pos="327" w:val="left"/>
        </w:tabs>
        <w:numPr>
          <w:ilvl w:val="0"/>
          <w:numId w:val="63"/>
        </w:numPr>
        <w:rPr>
          <w:rFonts w:ascii="Arial" w:cs="Arial" w:eastAsia="Arial" w:hAnsi="Arial"/>
          <w:sz w:val="14"/>
          <w:szCs w:val="14"/>
          <w:color w:val="auto"/>
        </w:rPr>
      </w:pPr>
      <w:r>
        <w:rPr>
          <w:rFonts w:ascii="Arial" w:cs="Arial" w:eastAsia="Arial" w:hAnsi="Arial"/>
          <w:sz w:val="14"/>
          <w:szCs w:val="14"/>
          <w:color w:val="auto"/>
        </w:rPr>
        <w:t>Amounts for our oil and natural gas segment include transportation costs, accretion expense, asset impairment, and other operating expenses, net and gain on asset divestitures. Amounts for our carbon management segment primarily include operating lease costs.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Other profit or loss includes margin from purchased commodities and the margin we earn on sales of electricity from our Elk Hills power plant to customers.</w:t>
      </w:r>
    </w:p>
    <w:p>
      <w:pPr>
        <w:spacing w:after="0" w:line="41" w:lineRule="exact"/>
        <w:rPr>
          <w:rFonts w:ascii="Arial" w:cs="Arial" w:eastAsia="Arial" w:hAnsi="Arial"/>
          <w:sz w:val="14"/>
          <w:szCs w:val="14"/>
          <w:color w:val="auto"/>
        </w:rPr>
      </w:pPr>
    </w:p>
    <w:p>
      <w:pPr>
        <w:ind w:left="340" w:right="120" w:hanging="332"/>
        <w:spacing w:after="0" w:line="305" w:lineRule="auto"/>
        <w:tabs>
          <w:tab w:leader="none" w:pos="332" w:val="left"/>
        </w:tabs>
        <w:numPr>
          <w:ilvl w:val="0"/>
          <w:numId w:val="63"/>
        </w:numPr>
        <w:rPr>
          <w:rFonts w:ascii="Arial" w:cs="Arial" w:eastAsia="Arial" w:hAnsi="Arial"/>
          <w:sz w:val="14"/>
          <w:szCs w:val="14"/>
          <w:color w:val="auto"/>
        </w:rPr>
      </w:pPr>
      <w:r>
        <w:rPr>
          <w:rFonts w:ascii="Arial" w:cs="Arial" w:eastAsia="Arial" w:hAnsi="Arial"/>
          <w:sz w:val="14"/>
          <w:szCs w:val="14"/>
          <w:color w:val="auto"/>
        </w:rPr>
        <w:t>Unallocated amounts include net gain from commodity derivatives, net loss on natural gas purchase derivatives, transportation costs, other operating expenses, net, other non-operating loss, interest income, unallocated other revenue and loss on early extinguishment of debt, and gain on asset divestiture.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gridSpan w:val="9"/>
          </w:tcPr>
          <w:p>
            <w:pPr>
              <w:ind w:left="860"/>
              <w:spacing w:after="0"/>
              <w:rPr>
                <w:sz w:val="20"/>
                <w:szCs w:val="20"/>
                <w:color w:val="auto"/>
              </w:rPr>
            </w:pPr>
            <w:r>
              <w:rPr>
                <w:rFonts w:ascii="Arial" w:cs="Arial" w:eastAsia="Arial" w:hAnsi="Arial"/>
                <w:sz w:val="16"/>
                <w:szCs w:val="16"/>
                <w:b w:val="1"/>
                <w:bCs w:val="1"/>
                <w:color w:val="auto"/>
              </w:rPr>
              <w:t>Year ended December 31, 2023</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144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rPr>
              <w:t>Oil and Natural</w:t>
            </w:r>
          </w:p>
        </w:tc>
        <w:tc>
          <w:tcPr>
            <w:tcW w:w="160" w:type="dxa"/>
            <w:vAlign w:val="bottom"/>
          </w:tcPr>
          <w:p>
            <w:pPr>
              <w:spacing w:after="0"/>
              <w:rPr>
                <w:sz w:val="13"/>
                <w:szCs w:val="13"/>
                <w:color w:val="auto"/>
              </w:rPr>
            </w:pPr>
          </w:p>
        </w:tc>
        <w:tc>
          <w:tcPr>
            <w:tcW w:w="1320" w:type="dxa"/>
            <w:vAlign w:val="bottom"/>
            <w:gridSpan w:val="2"/>
          </w:tcPr>
          <w:p>
            <w:pPr>
              <w:ind w:left="240"/>
              <w:spacing w:after="0" w:line="155" w:lineRule="exact"/>
              <w:rPr>
                <w:sz w:val="20"/>
                <w:szCs w:val="20"/>
                <w:color w:val="auto"/>
              </w:rPr>
            </w:pPr>
            <w:r>
              <w:rPr>
                <w:rFonts w:ascii="Arial" w:cs="Arial" w:eastAsia="Arial" w:hAnsi="Arial"/>
                <w:sz w:val="16"/>
                <w:szCs w:val="16"/>
                <w:b w:val="1"/>
                <w:bCs w:val="1"/>
                <w:color w:val="auto"/>
              </w:rPr>
              <w:t>Carbon</w:t>
            </w:r>
          </w:p>
        </w:tc>
        <w:tc>
          <w:tcPr>
            <w:tcW w:w="136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Total Reportable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3"/>
            <w:vMerge w:val="restart"/>
          </w:tcPr>
          <w:p>
            <w:pPr>
              <w:jc w:val="right"/>
              <w:ind w:right="619"/>
              <w:spacing w:after="0"/>
              <w:rPr>
                <w:sz w:val="20"/>
                <w:szCs w:val="20"/>
                <w:color w:val="auto"/>
              </w:rPr>
            </w:pPr>
            <w:r>
              <w:rPr>
                <w:rFonts w:ascii="Arial" w:cs="Arial" w:eastAsia="Arial" w:hAnsi="Arial"/>
                <w:sz w:val="16"/>
                <w:szCs w:val="16"/>
                <w:b w:val="1"/>
                <w:bCs w:val="1"/>
                <w:color w:val="auto"/>
              </w:rPr>
              <w:t>Elimination</w:t>
            </w: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Gas</w:t>
            </w: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Management</w:t>
            </w:r>
          </w:p>
        </w:tc>
        <w:tc>
          <w:tcPr>
            <w:tcW w:w="200" w:type="dxa"/>
            <w:vAlign w:val="bottom"/>
          </w:tcPr>
          <w:p>
            <w:pPr>
              <w:spacing w:after="0"/>
              <w:rPr>
                <w:sz w:val="18"/>
                <w:szCs w:val="18"/>
                <w:color w:val="auto"/>
              </w:rPr>
            </w:pPr>
          </w:p>
        </w:tc>
        <w:tc>
          <w:tcPr>
            <w:tcW w:w="1160" w:type="dxa"/>
            <w:vAlign w:val="bottom"/>
          </w:tcPr>
          <w:p>
            <w:pPr>
              <w:jc w:val="right"/>
              <w:ind w:right="221"/>
              <w:spacing w:after="0"/>
              <w:rPr>
                <w:sz w:val="20"/>
                <w:szCs w:val="20"/>
                <w:color w:val="auto"/>
              </w:rPr>
            </w:pPr>
            <w:r>
              <w:rPr>
                <w:rFonts w:ascii="Arial" w:cs="Arial" w:eastAsia="Arial" w:hAnsi="Arial"/>
                <w:sz w:val="16"/>
                <w:szCs w:val="16"/>
                <w:b w:val="1"/>
                <w:bCs w:val="1"/>
                <w:color w:val="auto"/>
              </w:rPr>
              <w:t>Segments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9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81"/>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natural gas and natural gas liquids sales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2,041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6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3"/>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 revenue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Segment operating revenues</w:t>
            </w: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2,172</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2,172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2,172</w:t>
            </w:r>
          </w:p>
        </w:tc>
        <w:tc>
          <w:tcPr>
            <w:tcW w:w="0" w:type="dxa"/>
            <w:vAlign w:val="bottom"/>
          </w:tcPr>
          <w:p>
            <w:pPr>
              <w:spacing w:after="0"/>
              <w:rPr>
                <w:sz w:val="1"/>
                <w:szCs w:val="1"/>
                <w:color w:val="auto"/>
              </w:rPr>
            </w:pPr>
          </w:p>
        </w:tc>
      </w:tr>
      <w:tr>
        <w:trPr>
          <w:trHeight w:val="251"/>
        </w:trPr>
        <w:tc>
          <w:tcPr>
            <w:tcW w:w="39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Other revenues and income</w:t>
            </w:r>
            <w:r>
              <w:rPr>
                <w:rFonts w:ascii="Arial" w:cs="Arial" w:eastAsia="Arial" w:hAnsi="Arial"/>
                <w:sz w:val="21"/>
                <w:szCs w:val="21"/>
                <w:color w:val="auto"/>
                <w:vertAlign w:val="superscript"/>
              </w:rPr>
              <w:t>(a)</w:t>
            </w:r>
          </w:p>
        </w:tc>
        <w:tc>
          <w:tcPr>
            <w:tcW w:w="3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35"/>
        </w:trPr>
        <w:tc>
          <w:tcPr>
            <w:tcW w:w="3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operating revenues</w:t>
            </w: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40" w:right="40" w:hanging="332"/>
        <w:spacing w:after="0" w:line="285" w:lineRule="auto"/>
        <w:tabs>
          <w:tab w:leader="none" w:pos="327" w:val="left"/>
        </w:tabs>
        <w:numPr>
          <w:ilvl w:val="0"/>
          <w:numId w:val="64"/>
        </w:numPr>
        <w:rPr>
          <w:rFonts w:ascii="Arial" w:cs="Arial" w:eastAsia="Arial" w:hAnsi="Arial"/>
          <w:sz w:val="14"/>
          <w:szCs w:val="14"/>
          <w:color w:val="auto"/>
        </w:rPr>
      </w:pPr>
      <w:r>
        <w:rPr>
          <w:rFonts w:ascii="Arial" w:cs="Arial" w:eastAsia="Arial" w:hAnsi="Arial"/>
          <w:sz w:val="14"/>
          <w:szCs w:val="14"/>
          <w:color w:val="auto"/>
        </w:rPr>
        <w:t>Other revenues and income includes net loss from commodity derivatives, revenue from marketing of purchased commodities, electricity sales and unallocated interest and other revenue.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17"/>
        </w:trPr>
        <w:tc>
          <w:tcPr>
            <w:tcW w:w="3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gridSpan w:val="8"/>
          </w:tcPr>
          <w:p>
            <w:pPr>
              <w:jc w:val="right"/>
              <w:ind w:right="1339"/>
              <w:spacing w:after="0"/>
              <w:rPr>
                <w:sz w:val="20"/>
                <w:szCs w:val="20"/>
                <w:color w:val="auto"/>
              </w:rPr>
            </w:pPr>
            <w:r>
              <w:rPr>
                <w:rFonts w:ascii="Arial" w:cs="Arial" w:eastAsia="Arial" w:hAnsi="Arial"/>
                <w:sz w:val="16"/>
                <w:szCs w:val="16"/>
                <w:b w:val="1"/>
                <w:bCs w:val="1"/>
                <w:color w:val="auto"/>
              </w:rPr>
              <w:t>Year ended December 31, 2023</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46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rPr>
              <w:t>Oil and Natural</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9"/>
              </w:rPr>
              <w:t>Carbon</w:t>
            </w:r>
          </w:p>
        </w:tc>
        <w:tc>
          <w:tcPr>
            <w:tcW w:w="136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Total Reportable</w:t>
            </w:r>
          </w:p>
        </w:tc>
        <w:tc>
          <w:tcPr>
            <w:tcW w:w="100" w:type="dxa"/>
            <w:vAlign w:val="bottom"/>
          </w:tcPr>
          <w:p>
            <w:pPr>
              <w:spacing w:after="0"/>
              <w:rPr>
                <w:sz w:val="13"/>
                <w:szCs w:val="13"/>
                <w:color w:val="auto"/>
              </w:rPr>
            </w:pPr>
          </w:p>
        </w:tc>
        <w:tc>
          <w:tcPr>
            <w:tcW w:w="1900" w:type="dxa"/>
            <w:vAlign w:val="bottom"/>
            <w:gridSpan w:val="3"/>
          </w:tcPr>
          <w:p>
            <w:pPr>
              <w:jc w:val="right"/>
              <w:ind w:right="519"/>
              <w:spacing w:after="0" w:line="155" w:lineRule="exact"/>
              <w:rPr>
                <w:sz w:val="20"/>
                <w:szCs w:val="20"/>
                <w:color w:val="auto"/>
              </w:rPr>
            </w:pPr>
            <w:r>
              <w:rPr>
                <w:rFonts w:ascii="Arial" w:cs="Arial" w:eastAsia="Arial" w:hAnsi="Arial"/>
                <w:sz w:val="16"/>
                <w:szCs w:val="16"/>
                <w:b w:val="1"/>
                <w:bCs w:val="1"/>
                <w:color w:val="auto"/>
              </w:rPr>
              <w:t>Reconciliation</w:t>
            </w: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Gas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Management</w:t>
            </w:r>
          </w:p>
        </w:tc>
        <w:tc>
          <w:tcPr>
            <w:tcW w:w="200" w:type="dxa"/>
            <w:vAlign w:val="bottom"/>
          </w:tcPr>
          <w:p>
            <w:pPr>
              <w:spacing w:after="0"/>
              <w:rPr>
                <w:sz w:val="18"/>
                <w:szCs w:val="18"/>
                <w:color w:val="auto"/>
              </w:rPr>
            </w:pPr>
          </w:p>
        </w:tc>
        <w:tc>
          <w:tcPr>
            <w:tcW w:w="1160" w:type="dxa"/>
            <w:vAlign w:val="bottom"/>
          </w:tcPr>
          <w:p>
            <w:pPr>
              <w:jc w:val="right"/>
              <w:ind w:right="200"/>
              <w:spacing w:after="0"/>
              <w:rPr>
                <w:sz w:val="20"/>
                <w:szCs w:val="20"/>
                <w:color w:val="auto"/>
              </w:rPr>
            </w:pPr>
            <w:r>
              <w:rPr>
                <w:rFonts w:ascii="Arial" w:cs="Arial" w:eastAsia="Arial" w:hAnsi="Arial"/>
                <w:sz w:val="16"/>
                <w:szCs w:val="16"/>
                <w:b w:val="1"/>
                <w:bCs w:val="1"/>
                <w:color w:val="auto"/>
              </w:rPr>
              <w:t>Segments</w:t>
            </w:r>
          </w:p>
        </w:tc>
        <w:tc>
          <w:tcPr>
            <w:tcW w:w="100" w:type="dxa"/>
            <w:vAlign w:val="bottom"/>
          </w:tcPr>
          <w:p>
            <w:pPr>
              <w:spacing w:after="0"/>
              <w:rPr>
                <w:sz w:val="18"/>
                <w:szCs w:val="18"/>
                <w:color w:val="auto"/>
              </w:rPr>
            </w:pPr>
          </w:p>
        </w:tc>
        <w:tc>
          <w:tcPr>
            <w:tcW w:w="190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(Income)/Expense</w:t>
            </w: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9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6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2000" w:type="dxa"/>
            <w:vAlign w:val="bottom"/>
            <w:gridSpan w:val="4"/>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6"/>
                <w:szCs w:val="16"/>
                <w:color w:val="auto"/>
              </w:rPr>
              <w:t>Less: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costs: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00" w:type="dxa"/>
            <w:vAlign w:val="bottom"/>
          </w:tcPr>
          <w:p>
            <w:pPr>
              <w:ind w:left="240"/>
              <w:spacing w:after="0"/>
              <w:rPr>
                <w:sz w:val="20"/>
                <w:szCs w:val="20"/>
                <w:color w:val="auto"/>
              </w:rPr>
            </w:pPr>
            <w:r>
              <w:rPr>
                <w:rFonts w:ascii="Arial" w:cs="Arial" w:eastAsia="Arial" w:hAnsi="Arial"/>
                <w:sz w:val="16"/>
                <w:szCs w:val="16"/>
                <w:color w:val="auto"/>
              </w:rPr>
              <w:t>Energy operating costs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1900" w:type="dxa"/>
            <w:vAlign w:val="bottom"/>
            <w:gridSpan w:val="3"/>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Gas processing costs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5"/>
        </w:trPr>
        <w:tc>
          <w:tcPr>
            <w:tcW w:w="3900" w:type="dxa"/>
            <w:vAlign w:val="bottom"/>
          </w:tcPr>
          <w:p>
            <w:pPr>
              <w:ind w:left="240"/>
              <w:spacing w:after="0"/>
              <w:rPr>
                <w:sz w:val="20"/>
                <w:szCs w:val="20"/>
                <w:color w:val="auto"/>
              </w:rPr>
            </w:pPr>
            <w:r>
              <w:rPr>
                <w:rFonts w:ascii="Arial" w:cs="Arial" w:eastAsia="Arial" w:hAnsi="Arial"/>
                <w:sz w:val="16"/>
                <w:szCs w:val="16"/>
                <w:color w:val="auto"/>
              </w:rPr>
              <w:t>Non-energy operating costs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8"/>
                <w:szCs w:val="18"/>
                <w:color w:val="auto"/>
              </w:rPr>
            </w:pPr>
          </w:p>
        </w:tc>
        <w:tc>
          <w:tcPr>
            <w:tcW w:w="1900" w:type="dxa"/>
            <w:vAlign w:val="bottom"/>
            <w:gridSpan w:val="3"/>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 expenses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5"/>
        </w:trPr>
        <w:tc>
          <w:tcPr>
            <w:tcW w:w="3900" w:type="dxa"/>
            <w:vAlign w:val="bottom"/>
          </w:tcPr>
          <w:p>
            <w:pPr>
              <w:ind w:left="140"/>
              <w:spacing w:after="0"/>
              <w:rPr>
                <w:sz w:val="20"/>
                <w:szCs w:val="20"/>
                <w:color w:val="auto"/>
              </w:rPr>
            </w:pPr>
            <w:r>
              <w:rPr>
                <w:rFonts w:ascii="Arial" w:cs="Arial" w:eastAsia="Arial" w:hAnsi="Arial"/>
                <w:sz w:val="16"/>
                <w:szCs w:val="16"/>
                <w:color w:val="auto"/>
              </w:rPr>
              <w:t>Depreciation, depletion and amortization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205</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on income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5"/>
        </w:trPr>
        <w:tc>
          <w:tcPr>
            <w:tcW w:w="3900" w:type="dxa"/>
            <w:vAlign w:val="bottom"/>
          </w:tcPr>
          <w:p>
            <w:pPr>
              <w:ind w:left="140"/>
              <w:spacing w:after="0"/>
              <w:rPr>
                <w:sz w:val="20"/>
                <w:szCs w:val="20"/>
                <w:color w:val="auto"/>
              </w:rPr>
            </w:pPr>
            <w:r>
              <w:rPr>
                <w:rFonts w:ascii="Arial" w:cs="Arial" w:eastAsia="Arial" w:hAnsi="Arial"/>
                <w:sz w:val="16"/>
                <w:szCs w:val="16"/>
                <w:color w:val="auto"/>
              </w:rPr>
              <w:t>Interest and debt expense, net</w:t>
            </w:r>
          </w:p>
        </w:tc>
        <w:tc>
          <w:tcPr>
            <w:tcW w:w="3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loss from unconsolidated subsidiary</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Other segment expenses</w:t>
            </w:r>
            <w:r>
              <w:rPr>
                <w:rFonts w:ascii="Arial" w:cs="Arial" w:eastAsia="Arial" w:hAnsi="Arial"/>
                <w:sz w:val="21"/>
                <w:szCs w:val="21"/>
                <w:color w:val="auto"/>
                <w:vertAlign w:val="superscript"/>
              </w:rPr>
              <w:t>(a)</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gridSpan w:val="3"/>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3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profit or (loss)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profit or loss</w:t>
            </w:r>
            <w:r>
              <w:rPr>
                <w:rFonts w:ascii="Arial" w:cs="Arial" w:eastAsia="Arial" w:hAnsi="Arial"/>
                <w:sz w:val="21"/>
                <w:szCs w:val="21"/>
                <w:color w:val="auto"/>
                <w:vertAlign w:val="superscript"/>
              </w:rPr>
              <w:t>(b)</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Unallocated amounts</w:t>
            </w:r>
            <w:r>
              <w:rPr>
                <w:rFonts w:ascii="Arial" w:cs="Arial" w:eastAsia="Arial" w:hAnsi="Arial"/>
                <w:sz w:val="21"/>
                <w:szCs w:val="21"/>
                <w:color w:val="auto"/>
                <w:vertAlign w:val="superscript"/>
              </w:rPr>
              <w:t>(c)</w:t>
            </w:r>
          </w:p>
        </w:tc>
        <w:tc>
          <w:tcPr>
            <w:tcW w:w="3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3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340" w:right="300" w:hanging="332"/>
        <w:spacing w:after="0" w:line="291" w:lineRule="auto"/>
        <w:tabs>
          <w:tab w:leader="none" w:pos="327" w:val="left"/>
        </w:tabs>
        <w:numPr>
          <w:ilvl w:val="0"/>
          <w:numId w:val="65"/>
        </w:numPr>
        <w:rPr>
          <w:rFonts w:ascii="Arial" w:cs="Arial" w:eastAsia="Arial" w:hAnsi="Arial"/>
          <w:sz w:val="14"/>
          <w:szCs w:val="14"/>
          <w:color w:val="auto"/>
        </w:rPr>
      </w:pPr>
      <w:r>
        <w:rPr>
          <w:rFonts w:ascii="Arial" w:cs="Arial" w:eastAsia="Arial" w:hAnsi="Arial"/>
          <w:sz w:val="14"/>
          <w:szCs w:val="14"/>
          <w:color w:val="auto"/>
        </w:rPr>
        <w:t>Amounts for our oil and natural gas segment include transportation costs, accretion expense, other operating expenses and gain on asset divestitures. Amounts for our carbon management segment primarily include operating lease costs.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Other profit or loss includes margin from purchased commodities and the margin we earn on sale of electricity from our Elk Hills power plant to customers.</w:t>
      </w:r>
    </w:p>
    <w:p>
      <w:pPr>
        <w:spacing w:after="0" w:line="41" w:lineRule="exact"/>
        <w:rPr>
          <w:rFonts w:ascii="Arial" w:cs="Arial" w:eastAsia="Arial" w:hAnsi="Arial"/>
          <w:sz w:val="14"/>
          <w:szCs w:val="14"/>
          <w:color w:val="auto"/>
        </w:rPr>
      </w:pPr>
    </w:p>
    <w:p>
      <w:pPr>
        <w:ind w:left="340" w:right="120" w:hanging="332"/>
        <w:spacing w:after="0" w:line="305" w:lineRule="auto"/>
        <w:tabs>
          <w:tab w:leader="none" w:pos="332" w:val="left"/>
        </w:tabs>
        <w:numPr>
          <w:ilvl w:val="0"/>
          <w:numId w:val="65"/>
        </w:numPr>
        <w:rPr>
          <w:rFonts w:ascii="Arial" w:cs="Arial" w:eastAsia="Arial" w:hAnsi="Arial"/>
          <w:sz w:val="14"/>
          <w:szCs w:val="14"/>
          <w:color w:val="auto"/>
        </w:rPr>
      </w:pPr>
      <w:r>
        <w:rPr>
          <w:rFonts w:ascii="Arial" w:cs="Arial" w:eastAsia="Arial" w:hAnsi="Arial"/>
          <w:sz w:val="14"/>
          <w:szCs w:val="14"/>
          <w:color w:val="auto"/>
        </w:rPr>
        <w:t>Unallocated amounts include net loss from commodity derivatives, net loss on natural gas purchase derivatives, transportation costs, other operating expenses, net, other non-operating income, interest income, unallocated other revenue and loss on early extinguishment of debt.</w:t>
      </w:r>
    </w:p>
    <w:p>
      <w:pPr>
        <w:spacing w:after="0" w:line="175"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 xml:space="preserve">Total assets by segment is not provided to our CODM for decision-making; however, we regularly provide capital investment by segment to our CODM. The table below presents capital by segment with a reconciliation to our consolidated capital investment for the years ended December 31, 2025, 2024 and 2023. See </w:t>
      </w:r>
      <w:r>
        <w:rPr>
          <w:rFonts w:ascii="Arial" w:cs="Arial" w:eastAsia="Arial" w:hAnsi="Arial"/>
          <w:sz w:val="18"/>
          <w:szCs w:val="18"/>
          <w:i w:val="1"/>
          <w:iCs w:val="1"/>
          <w:color w:val="auto"/>
        </w:rPr>
        <w:t>Note 4 Investments and Related Party Transactions</w:t>
      </w:r>
      <w:r>
        <w:rPr>
          <w:rFonts w:ascii="Arial" w:cs="Arial" w:eastAsia="Arial" w:hAnsi="Arial"/>
          <w:sz w:val="18"/>
          <w:szCs w:val="18"/>
          <w:color w:val="auto"/>
        </w:rPr>
        <w:t xml:space="preserve"> for information on our investment in the Carbon TerraVault JV, which is part of our carbon management segment. See </w:t>
      </w:r>
      <w:r>
        <w:rPr>
          <w:rFonts w:ascii="Arial" w:cs="Arial" w:eastAsia="Arial" w:hAnsi="Arial"/>
          <w:sz w:val="18"/>
          <w:szCs w:val="18"/>
          <w:i w:val="1"/>
          <w:iCs w:val="1"/>
          <w:color w:val="auto"/>
        </w:rPr>
        <w:t>Note 13 Leases</w:t>
      </w:r>
      <w:r>
        <w:rPr>
          <w:rFonts w:ascii="Arial" w:cs="Arial" w:eastAsia="Arial" w:hAnsi="Arial"/>
          <w:sz w:val="18"/>
          <w:szCs w:val="18"/>
          <w:color w:val="auto"/>
        </w:rPr>
        <w:t xml:space="preserve"> for information leases we have entered into for our carbon management business. Included in our oil and gas segment is $659 million of oil and gas property, inclusive of C&amp;J Well Services, we acquired in the Berry Merger and $3 billion of oil and gas property acquired in the Aera Merger. Refer to </w:t>
      </w:r>
      <w:r>
        <w:rPr>
          <w:rFonts w:ascii="Arial" w:cs="Arial" w:eastAsia="Arial" w:hAnsi="Arial"/>
          <w:sz w:val="18"/>
          <w:szCs w:val="18"/>
          <w:i w:val="1"/>
          <w:iCs w:val="1"/>
          <w:color w:val="auto"/>
        </w:rPr>
        <w:t>Note 2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for additional information on these transactions.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8"/>
                <w:szCs w:val="18"/>
                <w:color w:val="auto"/>
              </w:rPr>
            </w:pPr>
          </w:p>
        </w:tc>
        <w:tc>
          <w:tcPr>
            <w:tcW w:w="17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Oil and Natural Gas</w:t>
            </w:r>
          </w:p>
        </w:tc>
        <w:tc>
          <w:tcPr>
            <w:tcW w:w="10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ind w:left="340"/>
              <w:spacing w:after="0"/>
              <w:rPr>
                <w:sz w:val="20"/>
                <w:szCs w:val="20"/>
                <w:color w:val="auto"/>
              </w:rPr>
            </w:pPr>
            <w:r>
              <w:rPr>
                <w:rFonts w:ascii="Arial" w:cs="Arial" w:eastAsia="Arial" w:hAnsi="Arial"/>
                <w:sz w:val="18"/>
                <w:szCs w:val="18"/>
                <w:b w:val="1"/>
                <w:bCs w:val="1"/>
                <w:color w:val="auto"/>
              </w:rPr>
              <w:t>Carbon</w:t>
            </w:r>
          </w:p>
        </w:tc>
        <w:tc>
          <w:tcPr>
            <w:tcW w:w="1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8"/>
              </w:rPr>
              <w:t>Corporate and Other</w:t>
            </w:r>
          </w:p>
        </w:tc>
        <w:tc>
          <w:tcPr>
            <w:tcW w:w="10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178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rPr>
              <w:t>Management</w:t>
            </w:r>
          </w:p>
        </w:tc>
        <w:tc>
          <w:tcPr>
            <w:tcW w:w="100" w:type="dxa"/>
            <w:vAlign w:val="bottom"/>
          </w:tcPr>
          <w:p>
            <w:pPr>
              <w:spacing w:after="0"/>
              <w:rPr>
                <w:sz w:val="21"/>
                <w:szCs w:val="21"/>
                <w:color w:val="auto"/>
              </w:rPr>
            </w:pPr>
          </w:p>
        </w:tc>
        <w:tc>
          <w:tcPr>
            <w:tcW w:w="178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3"/>
          </w:tcPr>
          <w:p>
            <w:pPr>
              <w:ind w:left="1260"/>
              <w:spacing w:after="0"/>
              <w:rPr>
                <w:sz w:val="20"/>
                <w:szCs w:val="20"/>
                <w:color w:val="auto"/>
              </w:rPr>
            </w:pPr>
            <w:r>
              <w:rPr>
                <w:rFonts w:ascii="Arial" w:cs="Arial" w:eastAsia="Arial" w:hAnsi="Arial"/>
                <w:sz w:val="14"/>
                <w:szCs w:val="14"/>
                <w:color w:val="auto"/>
              </w:rPr>
              <w:t>(in millions)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2025</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Year ended December 31, 2024</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2023</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854"/>
        </w:trPr>
        <w:tc>
          <w:tcPr>
            <w:tcW w:w="3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gridSpan w:val="3"/>
          </w:tcPr>
          <w:p>
            <w:pPr>
              <w:jc w:val="right"/>
              <w:ind w:right="30"/>
              <w:spacing w:after="0"/>
              <w:rPr>
                <w:sz w:val="20"/>
                <w:szCs w:val="20"/>
                <w:color w:val="auto"/>
              </w:rPr>
            </w:pPr>
            <w:r>
              <w:rPr>
                <w:rFonts w:ascii="Arial" w:cs="Arial" w:eastAsia="Arial" w:hAnsi="Arial"/>
                <w:sz w:val="18"/>
                <w:szCs w:val="18"/>
                <w:color w:val="auto"/>
              </w:rPr>
              <w:t>139</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7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47"/>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NOTE 17  SUPPLEMENTAL ACCOUNT BALANCES</w:t>
            </w:r>
          </w:p>
        </w:tc>
        <w:tc>
          <w:tcPr>
            <w:tcW w:w="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459"/>
        </w:trPr>
        <w:tc>
          <w:tcPr>
            <w:tcW w:w="40" w:type="dxa"/>
            <w:vAlign w:val="bottom"/>
          </w:tcPr>
          <w:p>
            <w:pPr>
              <w:spacing w:after="0"/>
              <w:rPr>
                <w:sz w:val="24"/>
                <w:szCs w:val="24"/>
                <w:color w:val="auto"/>
              </w:rPr>
            </w:pPr>
          </w:p>
        </w:tc>
        <w:tc>
          <w:tcPr>
            <w:tcW w:w="754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 xml:space="preserve">Other current assets, net — </w:t>
            </w:r>
            <w:r>
              <w:rPr>
                <w:rFonts w:ascii="Arial" w:cs="Arial" w:eastAsia="Arial" w:hAnsi="Arial"/>
                <w:sz w:val="18"/>
                <w:szCs w:val="18"/>
                <w:color w:val="auto"/>
              </w:rPr>
              <w:t>Other current assets, net include the following:</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5"/>
        </w:trPr>
        <w:tc>
          <w:tcPr>
            <w:tcW w:w="40" w:type="dxa"/>
            <w:vAlign w:val="bottom"/>
          </w:tcPr>
          <w:p>
            <w:pPr>
              <w:spacing w:after="0"/>
              <w:rPr>
                <w:sz w:val="21"/>
                <w:szCs w:val="21"/>
                <w:color w:val="auto"/>
              </w:rPr>
            </w:pPr>
          </w:p>
        </w:tc>
        <w:tc>
          <w:tcPr>
            <w:tcW w:w="7540" w:type="dxa"/>
            <w:vAlign w:val="bottom"/>
          </w:tcPr>
          <w:p>
            <w:pPr>
              <w:spacing w:after="0"/>
              <w:rPr>
                <w:sz w:val="21"/>
                <w:szCs w:val="21"/>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2025</w:t>
            </w:r>
          </w:p>
        </w:tc>
        <w:tc>
          <w:tcPr>
            <w:tcW w:w="120" w:type="dxa"/>
            <w:vAlign w:val="bottom"/>
          </w:tcPr>
          <w:p>
            <w:pPr>
              <w:spacing w:after="0"/>
              <w:rPr>
                <w:sz w:val="21"/>
                <w:szCs w:val="21"/>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2024</w:t>
            </w:r>
          </w:p>
        </w:tc>
      </w:tr>
      <w:tr>
        <w:trPr>
          <w:trHeight w:val="233"/>
        </w:trPr>
        <w:tc>
          <w:tcPr>
            <w:tcW w:w="4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980" w:type="dxa"/>
            <w:vAlign w:val="bottom"/>
            <w:gridSpan w:val="3"/>
          </w:tcPr>
          <w:p>
            <w:pPr>
              <w:jc w:val="right"/>
              <w:ind w:right="450"/>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20"/>
                <w:szCs w:val="20"/>
                <w:color w:val="auto"/>
              </w:rPr>
            </w:pPr>
          </w:p>
        </w:tc>
      </w:tr>
      <w:tr>
        <w:trPr>
          <w:trHeight w:val="233"/>
        </w:trPr>
        <w:tc>
          <w:tcPr>
            <w:tcW w:w="40" w:type="dxa"/>
            <w:vAlign w:val="bottom"/>
          </w:tcPr>
          <w:p>
            <w:pPr>
              <w:spacing w:after="0"/>
              <w:rPr>
                <w:sz w:val="20"/>
                <w:szCs w:val="20"/>
                <w:color w:val="auto"/>
              </w:rPr>
            </w:pPr>
          </w:p>
        </w:tc>
        <w:tc>
          <w:tcPr>
            <w:tcW w:w="7540" w:type="dxa"/>
            <w:vAlign w:val="bottom"/>
            <w:shd w:val="clear" w:color="auto" w:fill="CCEEFF"/>
          </w:tcPr>
          <w:p>
            <w:pPr>
              <w:spacing w:after="0" w:line="233" w:lineRule="exact"/>
              <w:rPr>
                <w:sz w:val="20"/>
                <w:szCs w:val="20"/>
                <w:color w:val="auto"/>
              </w:rPr>
            </w:pPr>
            <w:r>
              <w:rPr>
                <w:rFonts w:ascii="Arial" w:cs="Arial" w:eastAsia="Arial" w:hAnsi="Arial"/>
                <w:sz w:val="18"/>
                <w:szCs w:val="18"/>
                <w:color w:val="auto"/>
              </w:rPr>
              <w:t>Net amounts due from joint interest partners</w:t>
            </w:r>
            <w:r>
              <w:rPr>
                <w:rFonts w:ascii="Arial" w:cs="Arial" w:eastAsia="Arial" w:hAnsi="Arial"/>
                <w:sz w:val="23"/>
                <w:szCs w:val="23"/>
                <w:color w:val="auto"/>
                <w:vertAlign w:val="superscript"/>
              </w:rPr>
              <w:t>(a)</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4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Fair value of commodity derivative contracts</w:t>
            </w:r>
          </w:p>
        </w:tc>
        <w:tc>
          <w:tcPr>
            <w:tcW w:w="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0" w:type="dxa"/>
            <w:vAlign w:val="bottom"/>
          </w:tcPr>
          <w:p>
            <w:pPr>
              <w:spacing w:after="0"/>
              <w:rPr>
                <w:sz w:val="19"/>
                <w:szCs w:val="19"/>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4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Greenhouse gas allowances</w:t>
            </w:r>
          </w:p>
        </w:tc>
        <w:tc>
          <w:tcPr>
            <w:tcW w:w="7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40" w:type="dxa"/>
            <w:vAlign w:val="bottom"/>
          </w:tcPr>
          <w:p>
            <w:pPr>
              <w:spacing w:after="0"/>
              <w:rPr>
                <w:sz w:val="19"/>
                <w:szCs w:val="19"/>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40" w:type="dxa"/>
            <w:vAlign w:val="bottom"/>
          </w:tcPr>
          <w:p>
            <w:pPr>
              <w:spacing w:after="0"/>
              <w:rPr>
                <w:sz w:val="19"/>
                <w:szCs w:val="19"/>
                <w:color w:val="auto"/>
              </w:rPr>
            </w:pPr>
          </w:p>
        </w:tc>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40" w:type="dxa"/>
            <w:vAlign w:val="bottom"/>
          </w:tcPr>
          <w:p>
            <w:pPr>
              <w:spacing w:after="0"/>
              <w:rPr>
                <w:sz w:val="21"/>
                <w:szCs w:val="21"/>
                <w:color w:val="auto"/>
              </w:rPr>
            </w:pPr>
          </w:p>
        </w:tc>
        <w:tc>
          <w:tcPr>
            <w:tcW w:w="7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current assets, net</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0"/>
        </w:trPr>
        <w:tc>
          <w:tcPr>
            <w:tcW w:w="40" w:type="dxa"/>
            <w:vAlign w:val="bottom"/>
          </w:tcPr>
          <w:p>
            <w:pPr>
              <w:spacing w:after="0" w:line="20" w:lineRule="exact"/>
              <w:rPr>
                <w:sz w:val="1"/>
                <w:szCs w:val="1"/>
                <w:color w:val="auto"/>
              </w:rPr>
            </w:pPr>
          </w:p>
        </w:tc>
        <w:tc>
          <w:tcPr>
            <w:tcW w:w="7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right="320" w:hanging="332"/>
        <w:spacing w:after="0" w:line="285" w:lineRule="auto"/>
        <w:tabs>
          <w:tab w:leader="none" w:pos="3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amounts due from joint interest partners include $2 million and an insignificant amount of allowances for credit losses as of December 31, 2025 and December 31, 2024,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7500" w:type="dxa"/>
            <w:vAlign w:val="bottom"/>
          </w:tcPr>
          <w:p>
            <w:pPr>
              <w:ind w:left="620"/>
              <w:spacing w:after="0"/>
              <w:rPr>
                <w:sz w:val="20"/>
                <w:szCs w:val="20"/>
                <w:color w:val="auto"/>
              </w:rPr>
            </w:pPr>
            <w:r>
              <w:rPr>
                <w:rFonts w:ascii="Arial" w:cs="Arial" w:eastAsia="Arial" w:hAnsi="Arial"/>
                <w:sz w:val="18"/>
                <w:szCs w:val="18"/>
                <w:b w:val="1"/>
                <w:bCs w:val="1"/>
                <w:i w:val="1"/>
                <w:iCs w:val="1"/>
                <w:color w:val="auto"/>
              </w:rPr>
              <w:t xml:space="preserve">Other noncurrent assets — </w:t>
            </w:r>
            <w:r>
              <w:rPr>
                <w:rFonts w:ascii="Arial" w:cs="Arial" w:eastAsia="Arial" w:hAnsi="Arial"/>
                <w:sz w:val="18"/>
                <w:szCs w:val="18"/>
                <w:color w:val="auto"/>
              </w:rPr>
              <w:t>Other noncurrent assets include the following:</w:t>
            </w: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8"/>
        </w:trPr>
        <w:tc>
          <w:tcPr>
            <w:tcW w:w="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8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December 31, 2025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December 31, 2024</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0" w:type="dxa"/>
            <w:vAlign w:val="bottom"/>
            <w:gridSpan w:val="4"/>
          </w:tcPr>
          <w:p>
            <w:pPr>
              <w:jc w:val="right"/>
              <w:ind w:right="450"/>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960" w:type="dxa"/>
            <w:vAlign w:val="bottom"/>
            <w:gridSpan w:val="3"/>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Deferred financing costs - Revolving Credit Facility</w:t>
            </w:r>
          </w:p>
        </w:tc>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Emission reduction credits</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Fair value of commodity derivative contracts</w:t>
            </w:r>
          </w:p>
        </w:tc>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Funded pension</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Postretirement plan</w:t>
            </w:r>
          </w:p>
        </w:tc>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Other noncurrent assets</w:t>
            </w: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500" w:type="dxa"/>
            <w:vAlign w:val="bottom"/>
            <w:vMerge w:val="restart"/>
          </w:tcPr>
          <w:p>
            <w:pPr>
              <w:ind w:left="300"/>
              <w:spacing w:after="0"/>
              <w:rPr>
                <w:sz w:val="20"/>
                <w:szCs w:val="20"/>
                <w:color w:val="auto"/>
              </w:rPr>
            </w:pPr>
            <w:r>
              <w:rPr>
                <w:rFonts w:ascii="Arial" w:cs="Arial" w:eastAsia="Arial" w:hAnsi="Arial"/>
                <w:sz w:val="18"/>
                <w:szCs w:val="18"/>
                <w:b w:val="1"/>
                <w:bCs w:val="1"/>
                <w:i w:val="1"/>
                <w:iCs w:val="1"/>
                <w:color w:val="auto"/>
              </w:rPr>
              <w:t xml:space="preserve">Accrued liabilities — </w:t>
            </w:r>
            <w:r>
              <w:rPr>
                <w:rFonts w:ascii="Arial" w:cs="Arial" w:eastAsia="Arial" w:hAnsi="Arial"/>
                <w:sz w:val="18"/>
                <w:szCs w:val="18"/>
                <w:color w:val="auto"/>
              </w:rPr>
              <w:t>Accrued liabilities include the following:</w:t>
            </w:r>
          </w:p>
        </w:tc>
        <w:tc>
          <w:tcPr>
            <w:tcW w:w="7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9"/>
        </w:trPr>
        <w:tc>
          <w:tcPr>
            <w:tcW w:w="40" w:type="dxa"/>
            <w:vAlign w:val="bottom"/>
          </w:tcPr>
          <w:p>
            <w:pPr>
              <w:spacing w:after="0"/>
              <w:rPr>
                <w:sz w:val="24"/>
                <w:szCs w:val="24"/>
                <w:color w:val="auto"/>
              </w:rPr>
            </w:pPr>
          </w:p>
        </w:tc>
        <w:tc>
          <w:tcPr>
            <w:tcW w:w="7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8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December 31, 2025</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0" w:type="dxa"/>
            <w:vAlign w:val="bottom"/>
            <w:gridSpan w:val="4"/>
          </w:tcPr>
          <w:p>
            <w:pPr>
              <w:jc w:val="right"/>
              <w:ind w:right="470"/>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Compensation-related liabilities</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960" w:type="dxa"/>
            <w:vAlign w:val="bottom"/>
            <w:gridSpan w:val="3"/>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Taxes other than on income</w:t>
            </w:r>
          </w:p>
        </w:tc>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 - current portion</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Interest</w:t>
            </w:r>
          </w:p>
        </w:tc>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Settlements and premiums due on commodity derivative contracts</w:t>
            </w:r>
          </w:p>
        </w:tc>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Advanced payments</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Payables to the former owners of Aera</w:t>
            </w:r>
          </w:p>
        </w:tc>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Greenhouse gas liability</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Signal Hill offshore platform expense accrual</w:t>
            </w:r>
          </w:p>
        </w:tc>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derivative contracts</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7500" w:type="dxa"/>
            <w:vAlign w:val="bottom"/>
            <w:tcBorders>
              <w:top w:val="single" w:sz="8" w:color="CCEEFF"/>
              <w:bottom w:val="single" w:sz="8" w:color="CCEEFF"/>
            </w:tcBorders>
            <w:vMerge w:val="restart"/>
          </w:tcPr>
          <w:p>
            <w:pPr>
              <w:ind w:left="5440"/>
              <w:spacing w:after="0"/>
              <w:rPr>
                <w:sz w:val="20"/>
                <w:szCs w:val="20"/>
                <w:color w:val="auto"/>
              </w:rPr>
            </w:pPr>
            <w:r>
              <w:rPr>
                <w:rFonts w:ascii="Arial" w:cs="Arial" w:eastAsia="Arial" w:hAnsi="Arial"/>
                <w:sz w:val="18"/>
                <w:szCs w:val="18"/>
                <w:color w:val="auto"/>
              </w:rPr>
              <w:t>140</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40" w:type="dxa"/>
            <w:vAlign w:val="bottom"/>
            <w:vMerge w:val="continue"/>
          </w:tcPr>
          <w:p>
            <w:pPr>
              <w:spacing w:after="0"/>
              <w:rPr>
                <w:sz w:val="24"/>
                <w:szCs w:val="24"/>
                <w:color w:val="auto"/>
              </w:rPr>
            </w:pPr>
          </w:p>
        </w:tc>
        <w:tc>
          <w:tcPr>
            <w:tcW w:w="7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47"/>
        </w:trPr>
        <w:tc>
          <w:tcPr>
            <w:tcW w:w="756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 xml:space="preserve">Other long-term liabilities — </w:t>
            </w:r>
            <w:r>
              <w:rPr>
                <w:rFonts w:ascii="Arial" w:cs="Arial" w:eastAsia="Arial" w:hAnsi="Arial"/>
                <w:sz w:val="18"/>
                <w:szCs w:val="18"/>
                <w:color w:val="auto"/>
              </w:rPr>
              <w:t>Other long-term liabilities includes the following:</w:t>
            </w:r>
          </w:p>
        </w:tc>
        <w:tc>
          <w:tcPr>
            <w:tcW w:w="7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488"/>
        </w:trPr>
        <w:tc>
          <w:tcPr>
            <w:tcW w:w="7560" w:type="dxa"/>
            <w:vAlign w:val="bottom"/>
          </w:tcPr>
          <w:p>
            <w:pPr>
              <w:spacing w:after="0"/>
              <w:rPr>
                <w:sz w:val="24"/>
                <w:szCs w:val="24"/>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2025</w:t>
            </w:r>
          </w:p>
        </w:tc>
        <w:tc>
          <w:tcPr>
            <w:tcW w:w="10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2024</w:t>
            </w:r>
          </w:p>
        </w:tc>
      </w:tr>
      <w:tr>
        <w:trPr>
          <w:trHeight w:val="233"/>
        </w:trPr>
        <w:tc>
          <w:tcPr>
            <w:tcW w:w="7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0" w:type="dxa"/>
            <w:vAlign w:val="bottom"/>
            <w:gridSpan w:val="3"/>
          </w:tcPr>
          <w:p>
            <w:pPr>
              <w:jc w:val="right"/>
              <w:ind w:right="470"/>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20"/>
                <w:szCs w:val="20"/>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Compensation-related liabilities</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Postretirement and pension benefit plans</w:t>
            </w: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Fair value of commodity derivative contracts</w:t>
            </w: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7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Contingent liability</w:t>
            </w:r>
            <w:r>
              <w:rPr>
                <w:rFonts w:ascii="Arial" w:cs="Arial" w:eastAsia="Arial" w:hAnsi="Arial"/>
                <w:sz w:val="23"/>
                <w:szCs w:val="23"/>
                <w:color w:val="auto"/>
                <w:vertAlign w:val="superscript"/>
              </w:rPr>
              <w:t>(a)</w:t>
            </w: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48"/>
        </w:trPr>
        <w:tc>
          <w:tcPr>
            <w:tcW w:w="7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 xml:space="preserve">See </w:t>
      </w:r>
      <w:r>
        <w:rPr>
          <w:rFonts w:ascii="Arial" w:cs="Arial" w:eastAsia="Arial" w:hAnsi="Arial"/>
          <w:sz w:val="14"/>
          <w:szCs w:val="14"/>
          <w:i w:val="1"/>
          <w:iCs w:val="1"/>
          <w:color w:val="auto"/>
        </w:rPr>
        <w:t>Note 4 Investments and Related Party Transactions</w:t>
      </w:r>
      <w:r>
        <w:rPr>
          <w:rFonts w:ascii="Arial" w:cs="Arial" w:eastAsia="Arial" w:hAnsi="Arial"/>
          <w:sz w:val="14"/>
          <w:szCs w:val="14"/>
          <w:color w:val="auto"/>
        </w:rPr>
        <w:t xml:space="preserve"> for information on the contingent liability related to the Carbon TerraVault JV.</w:t>
      </w:r>
    </w:p>
    <w:p>
      <w:pPr>
        <w:spacing w:after="0" w:line="2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7"/>
          <w:szCs w:val="17"/>
          <w:b w:val="1"/>
          <w:bCs w:val="1"/>
          <w:color w:val="auto"/>
        </w:rPr>
        <w:t>CONDENSED CONSOLIDATING FINANCIAL INFORMATION</w:t>
      </w:r>
    </w:p>
    <w:p>
      <w:pPr>
        <w:spacing w:after="0" w:line="25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have designated certain of our subsidiaries as Unrestricted Subsidiaries under the indenture governing our 2026 Senior Notes (2026 Senior Notes Indenture), 2029 Senior Notes (2029 Senior Notes Indenture) and 2034 Senior Notes (2034 Senior Notes Indenture). Unrestricted Subsidiaries (as defined in the 2026 Senior Notes Indenture, 2029 Senior Notes Indenture, and 2034 Senior Notes Indenture) are subject to fewer restrictions under the indentures. We are required under the 2026 Senior Notes Indenture, 2029 Senior Notes Indenture and 2034 Senior Notes Indenture to present the financial condition and results of operations of CRC and its Restricted Subsidiaries (as defined in the 2026 Senior Notes Indenture, 2029 Senior Notes Indenture, and 2034 Senior Notes Indenture) separate from the financial condition and results of operations of its Unrestricted Subsidiaries. The following consolidating balance sheets as of December 31, 2025 and 2024 and the consolidating statements of operations for the year ended December 31, 2025, 2024, and 2023, as applicable, reflect the consolidating financial information of CRC (Parent), our combined Unrestricted Subsidiaries, our combined Restricted Subsidiaries and the elimination entries necessary to arrive at the information for the Company on a consolidated basis. The financial information may not necessarily be indicative of the financial condition and results of operations had the Unrestricted Subsidiaries operated as independent entities.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2025 and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center"/>
              <w:ind w:left="1030"/>
              <w:spacing w:after="0"/>
              <w:rPr>
                <w:sz w:val="20"/>
                <w:szCs w:val="20"/>
                <w:color w:val="auto"/>
              </w:rPr>
            </w:pPr>
            <w:r>
              <w:rPr>
                <w:rFonts w:ascii="Arial" w:cs="Arial" w:eastAsia="Arial" w:hAnsi="Arial"/>
                <w:sz w:val="18"/>
                <w:szCs w:val="18"/>
                <w:b w:val="1"/>
                <w:bCs w:val="1"/>
                <w:color w:val="auto"/>
                <w:w w:val="99"/>
              </w:rPr>
              <w:t>As of December 31, 2025</w:t>
            </w: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7"/>
              </w:rPr>
              <w:t>Combined</w:t>
            </w:r>
          </w:p>
        </w:tc>
        <w:tc>
          <w:tcPr>
            <w:tcW w:w="180" w:type="dxa"/>
            <w:vAlign w:val="bottom"/>
          </w:tcPr>
          <w:p>
            <w:pPr>
              <w:spacing w:after="0"/>
              <w:rPr>
                <w:sz w:val="14"/>
                <w:szCs w:val="14"/>
                <w:color w:val="auto"/>
              </w:rPr>
            </w:pPr>
          </w:p>
        </w:tc>
        <w:tc>
          <w:tcPr>
            <w:tcW w:w="14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9"/>
              </w:rPr>
              <w:t>Combined</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Parent</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line="183" w:lineRule="exact"/>
              <w:rPr>
                <w:sz w:val="20"/>
                <w:szCs w:val="20"/>
                <w:color w:val="auto"/>
              </w:rPr>
            </w:pPr>
            <w:r>
              <w:rPr>
                <w:rFonts w:ascii="Arial" w:cs="Arial" w:eastAsia="Arial" w:hAnsi="Arial"/>
                <w:sz w:val="18"/>
                <w:szCs w:val="18"/>
                <w:b w:val="1"/>
                <w:bCs w:val="1"/>
                <w:color w:val="auto"/>
                <w:w w:val="99"/>
              </w:rPr>
              <w:t>Unrestricted</w:t>
            </w:r>
          </w:p>
        </w:tc>
        <w:tc>
          <w:tcPr>
            <w:tcW w:w="180" w:type="dxa"/>
            <w:vAlign w:val="bottom"/>
          </w:tcPr>
          <w:p>
            <w:pPr>
              <w:spacing w:after="0"/>
              <w:rPr>
                <w:sz w:val="15"/>
                <w:szCs w:val="15"/>
                <w:color w:val="auto"/>
              </w:rPr>
            </w:pPr>
          </w:p>
        </w:tc>
        <w:tc>
          <w:tcPr>
            <w:tcW w:w="1440" w:type="dxa"/>
            <w:vAlign w:val="bottom"/>
            <w:gridSpan w:val="2"/>
          </w:tcPr>
          <w:p>
            <w:pPr>
              <w:jc w:val="center"/>
              <w:ind w:right="280"/>
              <w:spacing w:after="0" w:line="183" w:lineRule="exact"/>
              <w:rPr>
                <w:sz w:val="20"/>
                <w:szCs w:val="20"/>
                <w:color w:val="auto"/>
              </w:rPr>
            </w:pPr>
            <w:r>
              <w:rPr>
                <w:rFonts w:ascii="Arial" w:cs="Arial" w:eastAsia="Arial" w:hAnsi="Arial"/>
                <w:sz w:val="18"/>
                <w:szCs w:val="18"/>
                <w:b w:val="1"/>
                <w:bCs w:val="1"/>
                <w:color w:val="auto"/>
                <w:w w:val="99"/>
              </w:rPr>
              <w:t>Restricted</w:t>
            </w:r>
          </w:p>
        </w:tc>
        <w:tc>
          <w:tcPr>
            <w:tcW w:w="200" w:type="dxa"/>
            <w:vAlign w:val="bottom"/>
          </w:tcPr>
          <w:p>
            <w:pPr>
              <w:spacing w:after="0"/>
              <w:rPr>
                <w:sz w:val="15"/>
                <w:szCs w:val="15"/>
                <w:color w:val="auto"/>
              </w:rPr>
            </w:pPr>
          </w:p>
        </w:tc>
        <w:tc>
          <w:tcPr>
            <w:tcW w:w="1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5"/>
        </w:trPr>
        <w:tc>
          <w:tcPr>
            <w:tcW w:w="3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Subsidiaries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rPr>
              <w:t>Subsidiaries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Total property, plant and equipment,</w:t>
            </w: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5,857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vMerge w:val="restart"/>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5,905</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net</w:t>
            </w:r>
          </w:p>
        </w:tc>
        <w:tc>
          <w:tcPr>
            <w:tcW w:w="3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Investments in consolidated</w:t>
            </w:r>
          </w:p>
        </w:tc>
        <w:tc>
          <w:tcPr>
            <w:tcW w:w="3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6,579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18,099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ind w:left="620"/>
              <w:spacing w:after="0"/>
              <w:rPr>
                <w:sz w:val="20"/>
                <w:szCs w:val="20"/>
                <w:color w:val="auto"/>
              </w:rPr>
            </w:pPr>
            <w:r>
              <w:rPr>
                <w:rFonts w:ascii="Arial" w:cs="Arial" w:eastAsia="Arial" w:hAnsi="Arial"/>
                <w:sz w:val="18"/>
                <w:szCs w:val="18"/>
                <w:color w:val="auto"/>
              </w:rPr>
              <w:t>(24,627)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subsidiaries</w:t>
            </w:r>
          </w:p>
        </w:tc>
        <w:tc>
          <w:tcPr>
            <w:tcW w:w="32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Investment in unconsolidated</w:t>
            </w:r>
          </w:p>
        </w:tc>
        <w:tc>
          <w:tcPr>
            <w:tcW w:w="32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subsidiaries</w:t>
            </w:r>
          </w:p>
        </w:tc>
        <w:tc>
          <w:tcPr>
            <w:tcW w:w="320" w:type="dxa"/>
            <w:vAlign w:val="bottom"/>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(24,627)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7,403</w:t>
            </w:r>
          </w:p>
        </w:tc>
        <w:tc>
          <w:tcPr>
            <w:tcW w:w="0" w:type="dxa"/>
            <w:vAlign w:val="bottom"/>
          </w:tcPr>
          <w:p>
            <w:pPr>
              <w:spacing w:after="0"/>
              <w:rPr>
                <w:sz w:val="1"/>
                <w:szCs w:val="1"/>
                <w:color w:val="auto"/>
              </w:rPr>
            </w:pPr>
          </w:p>
        </w:tc>
      </w:tr>
      <w:tr>
        <w:trPr>
          <w:trHeight w:val="250"/>
        </w:trPr>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Amounts due to (from) affiliates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(24,627)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156"/>
        </w:trPr>
        <w:tc>
          <w:tcPr>
            <w:tcW w:w="31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TOTAL LIABILITIES AND</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6,909</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25,044</w:t>
            </w:r>
          </w:p>
        </w:tc>
        <w:tc>
          <w:tcPr>
            <w:tcW w:w="1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ind w:left="620"/>
              <w:spacing w:after="0"/>
              <w:rPr>
                <w:sz w:val="20"/>
                <w:szCs w:val="20"/>
                <w:color w:val="auto"/>
              </w:rPr>
            </w:pPr>
            <w:r>
              <w:rPr>
                <w:rFonts w:ascii="Arial" w:cs="Arial" w:eastAsia="Arial" w:hAnsi="Arial"/>
                <w:sz w:val="18"/>
                <w:szCs w:val="18"/>
                <w:color w:val="auto"/>
              </w:rPr>
              <w:t>(24,627)</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7,403</w:t>
            </w:r>
          </w:p>
        </w:tc>
        <w:tc>
          <w:tcPr>
            <w:tcW w:w="0" w:type="dxa"/>
            <w:vAlign w:val="bottom"/>
          </w:tcPr>
          <w:p>
            <w:pPr>
              <w:spacing w:after="0"/>
              <w:rPr>
                <w:sz w:val="1"/>
                <w:szCs w:val="1"/>
                <w:color w:val="auto"/>
              </w:rPr>
            </w:pPr>
          </w:p>
        </w:tc>
      </w:tr>
      <w:tr>
        <w:trPr>
          <w:trHeight w:val="221"/>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1"/>
        </w:trPr>
        <w:tc>
          <w:tcPr>
            <w:tcW w:w="3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35"/>
        </w:trPr>
        <w:tc>
          <w:tcPr>
            <w:tcW w:w="3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center"/>
              <w:ind w:left="1030"/>
              <w:spacing w:after="0"/>
              <w:rPr>
                <w:sz w:val="20"/>
                <w:szCs w:val="20"/>
                <w:color w:val="auto"/>
              </w:rPr>
            </w:pPr>
            <w:r>
              <w:rPr>
                <w:rFonts w:ascii="Arial" w:cs="Arial" w:eastAsia="Arial" w:hAnsi="Arial"/>
                <w:sz w:val="18"/>
                <w:szCs w:val="18"/>
                <w:b w:val="1"/>
                <w:bCs w:val="1"/>
                <w:color w:val="auto"/>
                <w:w w:val="99"/>
              </w:rPr>
              <w:t>As of December 31, 2024</w:t>
            </w: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7"/>
              </w:rPr>
              <w:t>Combined</w:t>
            </w:r>
          </w:p>
        </w:tc>
        <w:tc>
          <w:tcPr>
            <w:tcW w:w="180" w:type="dxa"/>
            <w:vAlign w:val="bottom"/>
          </w:tcPr>
          <w:p>
            <w:pPr>
              <w:spacing w:after="0"/>
              <w:rPr>
                <w:sz w:val="14"/>
                <w:szCs w:val="14"/>
                <w:color w:val="auto"/>
              </w:rPr>
            </w:pPr>
          </w:p>
        </w:tc>
        <w:tc>
          <w:tcPr>
            <w:tcW w:w="14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9"/>
              </w:rPr>
              <w:t>Combined</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Parent</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line="183" w:lineRule="exact"/>
              <w:rPr>
                <w:sz w:val="20"/>
                <w:szCs w:val="20"/>
                <w:color w:val="auto"/>
              </w:rPr>
            </w:pPr>
            <w:r>
              <w:rPr>
                <w:rFonts w:ascii="Arial" w:cs="Arial" w:eastAsia="Arial" w:hAnsi="Arial"/>
                <w:sz w:val="18"/>
                <w:szCs w:val="18"/>
                <w:b w:val="1"/>
                <w:bCs w:val="1"/>
                <w:color w:val="auto"/>
                <w:w w:val="99"/>
              </w:rPr>
              <w:t>Unrestricted</w:t>
            </w:r>
          </w:p>
        </w:tc>
        <w:tc>
          <w:tcPr>
            <w:tcW w:w="180" w:type="dxa"/>
            <w:vAlign w:val="bottom"/>
          </w:tcPr>
          <w:p>
            <w:pPr>
              <w:spacing w:after="0"/>
              <w:rPr>
                <w:sz w:val="15"/>
                <w:szCs w:val="15"/>
                <w:color w:val="auto"/>
              </w:rPr>
            </w:pPr>
          </w:p>
        </w:tc>
        <w:tc>
          <w:tcPr>
            <w:tcW w:w="1440" w:type="dxa"/>
            <w:vAlign w:val="bottom"/>
            <w:gridSpan w:val="2"/>
          </w:tcPr>
          <w:p>
            <w:pPr>
              <w:jc w:val="center"/>
              <w:ind w:right="280"/>
              <w:spacing w:after="0" w:line="183" w:lineRule="exact"/>
              <w:rPr>
                <w:sz w:val="20"/>
                <w:szCs w:val="20"/>
                <w:color w:val="auto"/>
              </w:rPr>
            </w:pPr>
            <w:r>
              <w:rPr>
                <w:rFonts w:ascii="Arial" w:cs="Arial" w:eastAsia="Arial" w:hAnsi="Arial"/>
                <w:sz w:val="18"/>
                <w:szCs w:val="18"/>
                <w:b w:val="1"/>
                <w:bCs w:val="1"/>
                <w:color w:val="auto"/>
                <w:w w:val="99"/>
              </w:rPr>
              <w:t>Restricted</w:t>
            </w:r>
          </w:p>
        </w:tc>
        <w:tc>
          <w:tcPr>
            <w:tcW w:w="200" w:type="dxa"/>
            <w:vAlign w:val="bottom"/>
          </w:tcPr>
          <w:p>
            <w:pPr>
              <w:spacing w:after="0"/>
              <w:rPr>
                <w:sz w:val="15"/>
                <w:szCs w:val="15"/>
                <w:color w:val="auto"/>
              </w:rPr>
            </w:pPr>
          </w:p>
        </w:tc>
        <w:tc>
          <w:tcPr>
            <w:tcW w:w="1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5"/>
        </w:trPr>
        <w:tc>
          <w:tcPr>
            <w:tcW w:w="3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Subsidiaries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rPr>
              <w:t>Subsidiaries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Total property, plant and equipment,</w:t>
            </w: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5,635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vMerge w:val="restart"/>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net</w:t>
            </w:r>
          </w:p>
        </w:tc>
        <w:tc>
          <w:tcPr>
            <w:tcW w:w="3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Investments in consolidated</w:t>
            </w:r>
          </w:p>
        </w:tc>
        <w:tc>
          <w:tcPr>
            <w:tcW w:w="3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15,050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ind w:left="620"/>
              <w:spacing w:after="0"/>
              <w:rPr>
                <w:sz w:val="20"/>
                <w:szCs w:val="20"/>
                <w:color w:val="auto"/>
              </w:rPr>
            </w:pPr>
            <w:r>
              <w:rPr>
                <w:rFonts w:ascii="Arial" w:cs="Arial" w:eastAsia="Arial" w:hAnsi="Arial"/>
                <w:sz w:val="18"/>
                <w:szCs w:val="18"/>
                <w:color w:val="auto"/>
              </w:rPr>
              <w:t>(19,887)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subsidiaries</w:t>
            </w:r>
          </w:p>
        </w:tc>
        <w:tc>
          <w:tcPr>
            <w:tcW w:w="32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Investment in unconsolidated</w:t>
            </w:r>
          </w:p>
        </w:tc>
        <w:tc>
          <w:tcPr>
            <w:tcW w:w="32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subsidiaries</w:t>
            </w:r>
          </w:p>
        </w:tc>
        <w:tc>
          <w:tcPr>
            <w:tcW w:w="320" w:type="dxa"/>
            <w:vAlign w:val="bottom"/>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(19,887)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7,135</w:t>
            </w:r>
          </w:p>
        </w:tc>
        <w:tc>
          <w:tcPr>
            <w:tcW w:w="0" w:type="dxa"/>
            <w:vAlign w:val="bottom"/>
          </w:tcPr>
          <w:p>
            <w:pPr>
              <w:spacing w:after="0"/>
              <w:rPr>
                <w:sz w:val="1"/>
                <w:szCs w:val="1"/>
                <w:color w:val="auto"/>
              </w:rPr>
            </w:pPr>
          </w:p>
        </w:tc>
      </w:tr>
      <w:tr>
        <w:trPr>
          <w:trHeight w:val="250"/>
        </w:trPr>
        <w:tc>
          <w:tcPr>
            <w:tcW w:w="3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(from) affiliates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(19,887)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156"/>
        </w:trPr>
        <w:tc>
          <w:tcPr>
            <w:tcW w:w="31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TOTAL LIABILITIES AND</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21,386</w:t>
            </w:r>
          </w:p>
        </w:tc>
        <w:tc>
          <w:tcPr>
            <w:tcW w:w="1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ind w:left="620"/>
              <w:spacing w:after="0"/>
              <w:rPr>
                <w:sz w:val="20"/>
                <w:szCs w:val="20"/>
                <w:color w:val="auto"/>
              </w:rPr>
            </w:pPr>
            <w:r>
              <w:rPr>
                <w:rFonts w:ascii="Arial" w:cs="Arial" w:eastAsia="Arial" w:hAnsi="Arial"/>
                <w:sz w:val="18"/>
                <w:szCs w:val="18"/>
                <w:color w:val="auto"/>
              </w:rPr>
              <w:t>(19,887)</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7,135</w:t>
            </w:r>
          </w:p>
        </w:tc>
        <w:tc>
          <w:tcPr>
            <w:tcW w:w="0" w:type="dxa"/>
            <w:vAlign w:val="bottom"/>
          </w:tcPr>
          <w:p>
            <w:pPr>
              <w:spacing w:after="0"/>
              <w:rPr>
                <w:sz w:val="1"/>
                <w:szCs w:val="1"/>
                <w:color w:val="auto"/>
              </w:rPr>
            </w:pPr>
          </w:p>
        </w:tc>
      </w:tr>
      <w:tr>
        <w:trPr>
          <w:trHeight w:val="221"/>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8"/>
        </w:trPr>
        <w:tc>
          <w:tcPr>
            <w:tcW w:w="3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2025, 2024 and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gridSpan w:val="8"/>
          </w:tcPr>
          <w:p>
            <w:pPr>
              <w:ind w:left="900"/>
              <w:spacing w:after="0"/>
              <w:rPr>
                <w:sz w:val="20"/>
                <w:szCs w:val="20"/>
                <w:color w:val="auto"/>
              </w:rPr>
            </w:pPr>
            <w:r>
              <w:rPr>
                <w:rFonts w:ascii="Arial" w:cs="Arial" w:eastAsia="Arial" w:hAnsi="Arial"/>
                <w:sz w:val="18"/>
                <w:szCs w:val="18"/>
                <w:b w:val="1"/>
                <w:bCs w:val="1"/>
                <w:color w:val="auto"/>
              </w:rPr>
              <w:t>Year ended December 31, 2025</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7"/>
              </w:rPr>
              <w:t>Combined</w:t>
            </w:r>
          </w:p>
        </w:tc>
        <w:tc>
          <w:tcPr>
            <w:tcW w:w="180" w:type="dxa"/>
            <w:vAlign w:val="bottom"/>
          </w:tcPr>
          <w:p>
            <w:pPr>
              <w:spacing w:after="0"/>
              <w:rPr>
                <w:sz w:val="14"/>
                <w:szCs w:val="14"/>
                <w:color w:val="auto"/>
              </w:rPr>
            </w:pPr>
          </w:p>
        </w:tc>
        <w:tc>
          <w:tcPr>
            <w:tcW w:w="1440" w:type="dxa"/>
            <w:vAlign w:val="bottom"/>
            <w:gridSpan w:val="2"/>
          </w:tcPr>
          <w:p>
            <w:pPr>
              <w:ind w:left="140"/>
              <w:spacing w:after="0" w:line="169" w:lineRule="exact"/>
              <w:rPr>
                <w:sz w:val="20"/>
                <w:szCs w:val="20"/>
                <w:color w:val="auto"/>
              </w:rPr>
            </w:pPr>
            <w:r>
              <w:rPr>
                <w:rFonts w:ascii="Arial" w:cs="Arial" w:eastAsia="Arial" w:hAnsi="Arial"/>
                <w:sz w:val="18"/>
                <w:szCs w:val="18"/>
                <w:b w:val="1"/>
                <w:bCs w:val="1"/>
                <w:color w:val="auto"/>
              </w:rPr>
              <w:t>Combined</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Parent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line="183" w:lineRule="exact"/>
              <w:rPr>
                <w:sz w:val="20"/>
                <w:szCs w:val="20"/>
                <w:color w:val="auto"/>
              </w:rPr>
            </w:pPr>
            <w:r>
              <w:rPr>
                <w:rFonts w:ascii="Arial" w:cs="Arial" w:eastAsia="Arial" w:hAnsi="Arial"/>
                <w:sz w:val="18"/>
                <w:szCs w:val="18"/>
                <w:b w:val="1"/>
                <w:bCs w:val="1"/>
                <w:color w:val="auto"/>
                <w:w w:val="99"/>
              </w:rPr>
              <w:t>Unrestricted</w:t>
            </w:r>
          </w:p>
        </w:tc>
        <w:tc>
          <w:tcPr>
            <w:tcW w:w="180" w:type="dxa"/>
            <w:vAlign w:val="bottom"/>
          </w:tcPr>
          <w:p>
            <w:pPr>
              <w:spacing w:after="0"/>
              <w:rPr>
                <w:sz w:val="15"/>
                <w:szCs w:val="15"/>
                <w:color w:val="auto"/>
              </w:rPr>
            </w:pPr>
          </w:p>
        </w:tc>
        <w:tc>
          <w:tcPr>
            <w:tcW w:w="1440" w:type="dxa"/>
            <w:vAlign w:val="bottom"/>
            <w:gridSpan w:val="2"/>
          </w:tcPr>
          <w:p>
            <w:pPr>
              <w:ind w:left="140"/>
              <w:spacing w:after="0" w:line="183" w:lineRule="exact"/>
              <w:rPr>
                <w:sz w:val="20"/>
                <w:szCs w:val="20"/>
                <w:color w:val="auto"/>
              </w:rPr>
            </w:pPr>
            <w:r>
              <w:rPr>
                <w:rFonts w:ascii="Arial" w:cs="Arial" w:eastAsia="Arial" w:hAnsi="Arial"/>
                <w:sz w:val="18"/>
                <w:szCs w:val="18"/>
                <w:b w:val="1"/>
                <w:bCs w:val="1"/>
                <w:color w:val="auto"/>
              </w:rPr>
              <w:t>Restricted</w:t>
            </w:r>
          </w:p>
        </w:tc>
        <w:tc>
          <w:tcPr>
            <w:tcW w:w="180" w:type="dxa"/>
            <w:vAlign w:val="bottom"/>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5"/>
        </w:trPr>
        <w:tc>
          <w:tcPr>
            <w:tcW w:w="3120" w:type="dxa"/>
            <w:vAlign w:val="bottom"/>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Subsidiaries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Subsidiaries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revenues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Total costs and other</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asset divestitures</w:t>
            </w: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Non-operating (loss) income</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56"/>
        </w:trPr>
        <w:tc>
          <w:tcPr>
            <w:tcW w:w="31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(LOSS) INCOME BEFORE INCOME</w:t>
            </w:r>
          </w:p>
        </w:tc>
        <w:tc>
          <w:tcPr>
            <w:tcW w:w="10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gridSpan w:val="2"/>
            <w:vMerge w:val="restart"/>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TAXES</w:t>
            </w:r>
          </w:p>
        </w:tc>
        <w:tc>
          <w:tcPr>
            <w:tcW w:w="1080" w:type="dxa"/>
            <w:vAlign w:val="bottom"/>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08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3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8"/>
          </w:tcPr>
          <w:p>
            <w:pPr>
              <w:ind w:left="900"/>
              <w:spacing w:after="0"/>
              <w:rPr>
                <w:sz w:val="20"/>
                <w:szCs w:val="20"/>
                <w:color w:val="auto"/>
              </w:rPr>
            </w:pPr>
            <w:r>
              <w:rPr>
                <w:rFonts w:ascii="Arial" w:cs="Arial" w:eastAsia="Arial" w:hAnsi="Arial"/>
                <w:sz w:val="18"/>
                <w:szCs w:val="18"/>
                <w:b w:val="1"/>
                <w:bCs w:val="1"/>
                <w:color w:val="auto"/>
              </w:rPr>
              <w:t>Year ended December 31, 2024</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7"/>
              </w:rPr>
              <w:t>Combined</w:t>
            </w:r>
          </w:p>
        </w:tc>
        <w:tc>
          <w:tcPr>
            <w:tcW w:w="180" w:type="dxa"/>
            <w:vAlign w:val="bottom"/>
          </w:tcPr>
          <w:p>
            <w:pPr>
              <w:spacing w:after="0"/>
              <w:rPr>
                <w:sz w:val="14"/>
                <w:szCs w:val="14"/>
                <w:color w:val="auto"/>
              </w:rPr>
            </w:pPr>
          </w:p>
        </w:tc>
        <w:tc>
          <w:tcPr>
            <w:tcW w:w="1440" w:type="dxa"/>
            <w:vAlign w:val="bottom"/>
            <w:gridSpan w:val="2"/>
          </w:tcPr>
          <w:p>
            <w:pPr>
              <w:ind w:left="140"/>
              <w:spacing w:after="0" w:line="169" w:lineRule="exact"/>
              <w:rPr>
                <w:sz w:val="20"/>
                <w:szCs w:val="20"/>
                <w:color w:val="auto"/>
              </w:rPr>
            </w:pPr>
            <w:r>
              <w:rPr>
                <w:rFonts w:ascii="Arial" w:cs="Arial" w:eastAsia="Arial" w:hAnsi="Arial"/>
                <w:sz w:val="18"/>
                <w:szCs w:val="18"/>
                <w:b w:val="1"/>
                <w:bCs w:val="1"/>
                <w:color w:val="auto"/>
              </w:rPr>
              <w:t>Combined</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Parent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Unrestricted</w:t>
            </w:r>
          </w:p>
        </w:tc>
        <w:tc>
          <w:tcPr>
            <w:tcW w:w="180" w:type="dxa"/>
            <w:vAlign w:val="bottom"/>
          </w:tcPr>
          <w:p>
            <w:pPr>
              <w:spacing w:after="0"/>
              <w:rPr>
                <w:sz w:val="15"/>
                <w:szCs w:val="15"/>
                <w:color w:val="auto"/>
              </w:rPr>
            </w:pPr>
          </w:p>
        </w:tc>
        <w:tc>
          <w:tcPr>
            <w:tcW w:w="1440" w:type="dxa"/>
            <w:vAlign w:val="bottom"/>
            <w:gridSpan w:val="2"/>
          </w:tcPr>
          <w:p>
            <w:pPr>
              <w:ind w:left="140"/>
              <w:spacing w:after="0" w:line="176" w:lineRule="exact"/>
              <w:rPr>
                <w:sz w:val="20"/>
                <w:szCs w:val="20"/>
                <w:color w:val="auto"/>
              </w:rPr>
            </w:pPr>
            <w:r>
              <w:rPr>
                <w:rFonts w:ascii="Arial" w:cs="Arial" w:eastAsia="Arial" w:hAnsi="Arial"/>
                <w:sz w:val="18"/>
                <w:szCs w:val="18"/>
                <w:b w:val="1"/>
                <w:bCs w:val="1"/>
                <w:color w:val="auto"/>
              </w:rPr>
              <w:t>Restricted</w:t>
            </w:r>
          </w:p>
        </w:tc>
        <w:tc>
          <w:tcPr>
            <w:tcW w:w="180" w:type="dxa"/>
            <w:vAlign w:val="bottom"/>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Subsidiaries</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Subsidiaries</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revenues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Total costs and other</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asset divestitures</w:t>
            </w: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Non-operating (loss) income</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55"/>
        </w:trPr>
        <w:tc>
          <w:tcPr>
            <w:tcW w:w="31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(LOSS) INCOME BEFORE INCOME</w:t>
            </w:r>
          </w:p>
        </w:tc>
        <w:tc>
          <w:tcPr>
            <w:tcW w:w="10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gridSpan w:val="2"/>
            <w:vMerge w:val="restart"/>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TAXES</w:t>
            </w:r>
          </w:p>
        </w:tc>
        <w:tc>
          <w:tcPr>
            <w:tcW w:w="1080" w:type="dxa"/>
            <w:vAlign w:val="bottom"/>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08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3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8"/>
          </w:tcPr>
          <w:p>
            <w:pPr>
              <w:ind w:left="900"/>
              <w:spacing w:after="0"/>
              <w:rPr>
                <w:sz w:val="20"/>
                <w:szCs w:val="20"/>
                <w:color w:val="auto"/>
              </w:rPr>
            </w:pPr>
            <w:r>
              <w:rPr>
                <w:rFonts w:ascii="Arial" w:cs="Arial" w:eastAsia="Arial" w:hAnsi="Arial"/>
                <w:sz w:val="18"/>
                <w:szCs w:val="18"/>
                <w:b w:val="1"/>
                <w:bCs w:val="1"/>
                <w:color w:val="auto"/>
              </w:rPr>
              <w:t>Year ended December 31, 2023</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line="177" w:lineRule="exact"/>
              <w:rPr>
                <w:sz w:val="20"/>
                <w:szCs w:val="20"/>
                <w:color w:val="auto"/>
              </w:rPr>
            </w:pPr>
            <w:r>
              <w:rPr>
                <w:rFonts w:ascii="Arial" w:cs="Arial" w:eastAsia="Arial" w:hAnsi="Arial"/>
                <w:sz w:val="18"/>
                <w:szCs w:val="18"/>
                <w:b w:val="1"/>
                <w:bCs w:val="1"/>
                <w:color w:val="auto"/>
                <w:w w:val="97"/>
              </w:rPr>
              <w:t>Combined</w:t>
            </w:r>
          </w:p>
        </w:tc>
        <w:tc>
          <w:tcPr>
            <w:tcW w:w="180" w:type="dxa"/>
            <w:vAlign w:val="bottom"/>
          </w:tcPr>
          <w:p>
            <w:pPr>
              <w:spacing w:after="0"/>
              <w:rPr>
                <w:sz w:val="15"/>
                <w:szCs w:val="15"/>
                <w:color w:val="auto"/>
              </w:rPr>
            </w:pPr>
          </w:p>
        </w:tc>
        <w:tc>
          <w:tcPr>
            <w:tcW w:w="1440" w:type="dxa"/>
            <w:vAlign w:val="bottom"/>
            <w:gridSpan w:val="2"/>
          </w:tcPr>
          <w:p>
            <w:pPr>
              <w:ind w:left="140"/>
              <w:spacing w:after="0" w:line="177" w:lineRule="exact"/>
              <w:rPr>
                <w:sz w:val="20"/>
                <w:szCs w:val="20"/>
                <w:color w:val="auto"/>
              </w:rPr>
            </w:pPr>
            <w:r>
              <w:rPr>
                <w:rFonts w:ascii="Arial" w:cs="Arial" w:eastAsia="Arial" w:hAnsi="Arial"/>
                <w:sz w:val="18"/>
                <w:szCs w:val="18"/>
                <w:b w:val="1"/>
                <w:bCs w:val="1"/>
                <w:color w:val="auto"/>
              </w:rPr>
              <w:t>Combined</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Parent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line="181" w:lineRule="exact"/>
              <w:rPr>
                <w:sz w:val="20"/>
                <w:szCs w:val="20"/>
                <w:color w:val="auto"/>
              </w:rPr>
            </w:pPr>
            <w:r>
              <w:rPr>
                <w:rFonts w:ascii="Arial" w:cs="Arial" w:eastAsia="Arial" w:hAnsi="Arial"/>
                <w:sz w:val="18"/>
                <w:szCs w:val="18"/>
                <w:b w:val="1"/>
                <w:bCs w:val="1"/>
                <w:color w:val="auto"/>
                <w:w w:val="99"/>
              </w:rPr>
              <w:t>Unrestricted</w:t>
            </w:r>
          </w:p>
        </w:tc>
        <w:tc>
          <w:tcPr>
            <w:tcW w:w="180" w:type="dxa"/>
            <w:vAlign w:val="bottom"/>
          </w:tcPr>
          <w:p>
            <w:pPr>
              <w:spacing w:after="0"/>
              <w:rPr>
                <w:sz w:val="15"/>
                <w:szCs w:val="15"/>
                <w:color w:val="auto"/>
              </w:rPr>
            </w:pPr>
          </w:p>
        </w:tc>
        <w:tc>
          <w:tcPr>
            <w:tcW w:w="1440" w:type="dxa"/>
            <w:vAlign w:val="bottom"/>
            <w:gridSpan w:val="2"/>
          </w:tcPr>
          <w:p>
            <w:pPr>
              <w:ind w:left="140"/>
              <w:spacing w:after="0" w:line="181" w:lineRule="exact"/>
              <w:rPr>
                <w:sz w:val="20"/>
                <w:szCs w:val="20"/>
                <w:color w:val="auto"/>
              </w:rPr>
            </w:pPr>
            <w:r>
              <w:rPr>
                <w:rFonts w:ascii="Arial" w:cs="Arial" w:eastAsia="Arial" w:hAnsi="Arial"/>
                <w:sz w:val="18"/>
                <w:szCs w:val="18"/>
                <w:b w:val="1"/>
                <w:bCs w:val="1"/>
                <w:color w:val="auto"/>
              </w:rPr>
              <w:t>Restricted</w:t>
            </w:r>
          </w:p>
        </w:tc>
        <w:tc>
          <w:tcPr>
            <w:tcW w:w="180" w:type="dxa"/>
            <w:vAlign w:val="bottom"/>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Subsidiaries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Subsidiaries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revenues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Total costs and other</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asset divestitures</w:t>
            </w: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Non-operating (loss) income</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64"/>
        </w:trPr>
        <w:tc>
          <w:tcPr>
            <w:tcW w:w="312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b w:val="1"/>
                <w:bCs w:val="1"/>
                <w:color w:val="auto"/>
              </w:rPr>
              <w:t>(LOSS) INCOME BEFORE INCOME</w:t>
            </w:r>
          </w:p>
        </w:tc>
        <w:tc>
          <w:tcPr>
            <w:tcW w:w="108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5"/>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TAXES</w:t>
            </w:r>
          </w:p>
        </w:tc>
        <w:tc>
          <w:tcPr>
            <w:tcW w:w="1080" w:type="dxa"/>
            <w:vAlign w:val="bottom"/>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08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4" w:name="page145"/>
    <w:bookmarkEnd w:id="144"/>
    <w:p>
      <w:pPr>
        <w:spacing w:after="0"/>
        <w:tabs>
          <w:tab w:leader="none" w:pos="94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SUBSEQUENT EVENTS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w:t>
      </w:r>
    </w:p>
    <w:p>
      <w:pPr>
        <w:spacing w:after="0" w:line="250" w:lineRule="exact"/>
        <w:rPr>
          <w:sz w:val="20"/>
          <w:szCs w:val="20"/>
          <w:color w:val="auto"/>
        </w:rPr>
      </w:pPr>
    </w:p>
    <w:p>
      <w:pPr>
        <w:jc w:val="both"/>
        <w:ind w:right="240" w:firstLine="324"/>
        <w:spacing w:after="0" w:line="268" w:lineRule="auto"/>
        <w:rPr>
          <w:sz w:val="20"/>
          <w:szCs w:val="20"/>
          <w:color w:val="auto"/>
        </w:rPr>
      </w:pPr>
      <w:r>
        <w:rPr>
          <w:rFonts w:ascii="Arial" w:cs="Arial" w:eastAsia="Arial" w:hAnsi="Arial"/>
          <w:sz w:val="18"/>
          <w:szCs w:val="18"/>
          <w:color w:val="auto"/>
        </w:rPr>
        <w:t>In February 2026, we undertook a reduction in force following the Berry Merger that resulted in a reduction of our headcount and we expect to recognize a charge of approximately $22 million in other operating expenses, net on our condensed consolidated statement of operations for the three months ended March 31, 2026, which primarily includes severance.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0"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color w:val="auto"/>
        </w:rPr>
        <w:t>On March 1, 2026, our Board of Directors declared a cash dividend of $0.405 per share of common stock. The dividend is payable to shareholders of record at the close of business on March 13, 2026 and is expected to be paid on March 20, 2026.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50"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In February 2026, our Board of Directors increased the Share Repurchase Program by $430 million and extended the program through December 31, 2027.</w:t>
      </w:r>
    </w:p>
    <w:p>
      <w:pPr>
        <w:spacing w:after="0" w:line="200" w:lineRule="exact"/>
        <w:rPr>
          <w:sz w:val="20"/>
          <w:szCs w:val="20"/>
          <w:color w:val="auto"/>
        </w:rPr>
      </w:pPr>
    </w:p>
    <w:p>
      <w:pPr>
        <w:spacing w:after="0" w:line="2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90" w:right="51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Supplemental Oil and Gas Information (Unaudited)</w:t>
      </w:r>
    </w:p>
    <w:p>
      <w:pPr>
        <w:spacing w:after="0" w:line="144"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following table sets forth our net operating and non-operating interests in quantities of proved developed and undeveloped reserves of oil (including condensate), NGLs and natural gas and changes in such quantities. Estimated reserves include our economic interests under PSCs in our Long Beach operations in the Wilmington field. Our proved reserves are located within the United States.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PROVED DEVELOPED AND UNDEVELOPED RESERVES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20" w:type="dxa"/>
            <w:vAlign w:val="bottom"/>
          </w:tcPr>
          <w:p>
            <w:pPr>
              <w:spacing w:after="0"/>
              <w:rPr>
                <w:sz w:val="22"/>
                <w:szCs w:val="22"/>
                <w:color w:val="auto"/>
              </w:rPr>
            </w:pPr>
          </w:p>
        </w:tc>
        <w:tc>
          <w:tcPr>
            <w:tcW w:w="1020" w:type="dxa"/>
            <w:vAlign w:val="bottom"/>
            <w:tcBorders>
              <w:bottom w:val="single" w:sz="8" w:color="auto"/>
            </w:tcBorders>
          </w:tcPr>
          <w:p>
            <w:pPr>
              <w:jc w:val="center"/>
              <w:ind w:left="319"/>
              <w:spacing w:after="0"/>
              <w:rPr>
                <w:sz w:val="20"/>
                <w:szCs w:val="20"/>
                <w:color w:val="auto"/>
              </w:rPr>
            </w:pPr>
            <w:r>
              <w:rPr>
                <w:rFonts w:ascii="Arial" w:cs="Arial" w:eastAsia="Arial" w:hAnsi="Arial"/>
                <w:sz w:val="18"/>
                <w:szCs w:val="18"/>
                <w:b w:val="1"/>
                <w:bCs w:val="1"/>
                <w:color w:val="auto"/>
                <w:w w:val="88"/>
              </w:rPr>
              <w:t>Oil</w:t>
            </w:r>
            <w:r>
              <w:rPr>
                <w:rFonts w:ascii="Arial" w:cs="Arial" w:eastAsia="Arial" w:hAnsi="Arial"/>
                <w:sz w:val="23"/>
                <w:szCs w:val="23"/>
                <w:b w:val="1"/>
                <w:bCs w:val="1"/>
                <w:color w:val="auto"/>
                <w:w w:val="88"/>
                <w:vertAlign w:val="superscript"/>
              </w:rPr>
              <w:t>(a)</w:t>
            </w:r>
          </w:p>
        </w:tc>
        <w:tc>
          <w:tcPr>
            <w:tcW w:w="4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Borders>
              <w:bottom w:val="single" w:sz="8" w:color="auto"/>
            </w:tcBorders>
          </w:tcPr>
          <w:p>
            <w:pPr>
              <w:jc w:val="center"/>
              <w:ind w:left="299"/>
              <w:spacing w:after="0"/>
              <w:rPr>
                <w:sz w:val="20"/>
                <w:szCs w:val="20"/>
                <w:color w:val="auto"/>
              </w:rPr>
            </w:pPr>
            <w:r>
              <w:rPr>
                <w:rFonts w:ascii="Arial" w:cs="Arial" w:eastAsia="Arial" w:hAnsi="Arial"/>
                <w:sz w:val="18"/>
                <w:szCs w:val="18"/>
                <w:b w:val="1"/>
                <w:bCs w:val="1"/>
                <w:color w:val="auto"/>
                <w:w w:val="99"/>
              </w:rPr>
              <w:t>NGLs</w:t>
            </w:r>
          </w:p>
        </w:tc>
        <w:tc>
          <w:tcPr>
            <w:tcW w:w="3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Natural Gas</w:t>
            </w:r>
          </w:p>
        </w:tc>
        <w:tc>
          <w:tcPr>
            <w:tcW w:w="120" w:type="dxa"/>
            <w:vAlign w:val="bottom"/>
          </w:tcPr>
          <w:p>
            <w:pPr>
              <w:spacing w:after="0"/>
              <w:rPr>
                <w:sz w:val="22"/>
                <w:szCs w:val="22"/>
                <w:color w:val="auto"/>
              </w:rPr>
            </w:pPr>
          </w:p>
        </w:tc>
        <w:tc>
          <w:tcPr>
            <w:tcW w:w="14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Total</w:t>
            </w:r>
            <w:r>
              <w:rPr>
                <w:rFonts w:ascii="Arial" w:cs="Arial" w:eastAsia="Arial" w:hAnsi="Arial"/>
                <w:sz w:val="23"/>
                <w:szCs w:val="23"/>
                <w:b w:val="1"/>
                <w:bCs w:val="1"/>
                <w:color w:val="auto"/>
                <w:vertAlign w:val="superscript"/>
              </w:rPr>
              <w:t>(b)</w:t>
            </w:r>
          </w:p>
        </w:tc>
      </w:tr>
      <w:tr>
        <w:trPr>
          <w:trHeight w:val="192"/>
        </w:trPr>
        <w:tc>
          <w:tcPr>
            <w:tcW w:w="5120" w:type="dxa"/>
            <w:vAlign w:val="bottom"/>
          </w:tcPr>
          <w:p>
            <w:pPr>
              <w:spacing w:after="0"/>
              <w:rPr>
                <w:sz w:val="16"/>
                <w:szCs w:val="16"/>
                <w:color w:val="auto"/>
              </w:rPr>
            </w:pPr>
          </w:p>
        </w:tc>
        <w:tc>
          <w:tcPr>
            <w:tcW w:w="1020" w:type="dxa"/>
            <w:vAlign w:val="bottom"/>
          </w:tcPr>
          <w:p>
            <w:pPr>
              <w:jc w:val="center"/>
              <w:ind w:left="319"/>
              <w:spacing w:after="0"/>
              <w:rPr>
                <w:sz w:val="20"/>
                <w:szCs w:val="20"/>
                <w:color w:val="auto"/>
              </w:rPr>
            </w:pPr>
            <w:r>
              <w:rPr>
                <w:rFonts w:ascii="Arial" w:cs="Arial" w:eastAsia="Arial" w:hAnsi="Arial"/>
                <w:sz w:val="14"/>
                <w:szCs w:val="14"/>
                <w:color w:val="auto"/>
              </w:rPr>
              <w:t>(MMBbl)</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left="279"/>
              <w:spacing w:after="0"/>
              <w:rPr>
                <w:sz w:val="20"/>
                <w:szCs w:val="20"/>
                <w:color w:val="auto"/>
              </w:rPr>
            </w:pPr>
            <w:r>
              <w:rPr>
                <w:rFonts w:ascii="Arial" w:cs="Arial" w:eastAsia="Arial" w:hAnsi="Arial"/>
                <w:sz w:val="14"/>
                <w:szCs w:val="14"/>
                <w:color w:val="auto"/>
              </w:rPr>
              <w:t>(MMBbl)</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rPr>
              <w:t>(Bcf)</w:t>
            </w:r>
          </w:p>
        </w:tc>
        <w:tc>
          <w:tcPr>
            <w:tcW w:w="1440" w:type="dxa"/>
            <w:vAlign w:val="bottom"/>
          </w:tcPr>
          <w:p>
            <w:pPr>
              <w:jc w:val="right"/>
              <w:ind w:right="331"/>
              <w:spacing w:after="0"/>
              <w:rPr>
                <w:sz w:val="20"/>
                <w:szCs w:val="20"/>
                <w:color w:val="auto"/>
              </w:rPr>
            </w:pPr>
            <w:r>
              <w:rPr>
                <w:rFonts w:ascii="Arial" w:cs="Arial" w:eastAsia="Arial" w:hAnsi="Arial"/>
                <w:sz w:val="14"/>
                <w:szCs w:val="14"/>
                <w:color w:val="auto"/>
              </w:rPr>
              <w:t>(MMBoe)</w:t>
            </w:r>
          </w:p>
        </w:tc>
      </w:tr>
      <w:tr>
        <w:trPr>
          <w:trHeight w:val="234"/>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294</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29"/>
        </w:trPr>
        <w:tc>
          <w:tcPr>
            <w:tcW w:w="61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Revisions of previous estimates</w:t>
            </w:r>
            <w:r>
              <w:rPr>
                <w:rFonts w:ascii="Arial" w:cs="Arial" w:eastAsia="Arial" w:hAnsi="Arial"/>
                <w:sz w:val="23"/>
                <w:szCs w:val="23"/>
                <w:color w:val="auto"/>
                <w:vertAlign w:val="superscript"/>
              </w:rPr>
              <w:t>(c)</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Improved recovery</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140" w:type="dxa"/>
            <w:vAlign w:val="bottom"/>
            <w:gridSpan w:val="2"/>
          </w:tcPr>
          <w:p>
            <w:pPr>
              <w:ind w:left="140"/>
              <w:spacing w:after="0"/>
              <w:rPr>
                <w:sz w:val="20"/>
                <w:szCs w:val="20"/>
                <w:color w:val="auto"/>
              </w:rPr>
            </w:pPr>
            <w:r>
              <w:rPr>
                <w:rFonts w:ascii="Arial" w:cs="Arial" w:eastAsia="Arial" w:hAnsi="Arial"/>
                <w:sz w:val="18"/>
                <w:szCs w:val="18"/>
                <w:color w:val="auto"/>
              </w:rPr>
              <w:t>Extensions and discoveries</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Acquisitions and divestitures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Production</w:t>
            </w: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10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256</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0"/>
        </w:trPr>
        <w:tc>
          <w:tcPr>
            <w:tcW w:w="6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03"/>
        </w:trPr>
        <w:tc>
          <w:tcPr>
            <w:tcW w:w="5120" w:type="dxa"/>
            <w:vAlign w:val="bottom"/>
          </w:tcPr>
          <w:p>
            <w:pPr>
              <w:ind w:left="140"/>
              <w:spacing w:after="0" w:line="203" w:lineRule="exact"/>
              <w:rPr>
                <w:sz w:val="20"/>
                <w:szCs w:val="20"/>
                <w:color w:val="auto"/>
              </w:rPr>
            </w:pPr>
            <w:r>
              <w:rPr>
                <w:rFonts w:ascii="Arial" w:cs="Arial" w:eastAsia="Arial" w:hAnsi="Arial"/>
                <w:sz w:val="18"/>
                <w:szCs w:val="18"/>
                <w:color w:val="auto"/>
              </w:rPr>
              <w:t>Revisions of previous estimates</w:t>
            </w:r>
            <w:r>
              <w:rPr>
                <w:rFonts w:ascii="Arial" w:cs="Arial" w:eastAsia="Arial" w:hAnsi="Arial"/>
                <w:sz w:val="23"/>
                <w:szCs w:val="23"/>
                <w:color w:val="auto"/>
                <w:vertAlign w:val="superscript"/>
              </w:rPr>
              <w:t>(c)</w:t>
            </w:r>
          </w:p>
        </w:tc>
        <w:tc>
          <w:tcPr>
            <w:tcW w:w="10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w:t>
            </w:r>
          </w:p>
        </w:tc>
        <w:tc>
          <w:tcPr>
            <w:tcW w:w="14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(72)</w:t>
            </w:r>
          </w:p>
        </w:tc>
        <w:tc>
          <w:tcPr>
            <w:tcW w:w="120" w:type="dxa"/>
            <w:vAlign w:val="bottom"/>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r>
      <w:tr>
        <w:trPr>
          <w:trHeight w:val="230"/>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Improved recovery</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140" w:type="dxa"/>
            <w:vAlign w:val="bottom"/>
            <w:gridSpan w:val="2"/>
          </w:tcPr>
          <w:p>
            <w:pPr>
              <w:ind w:left="140"/>
              <w:spacing w:after="0"/>
              <w:rPr>
                <w:sz w:val="20"/>
                <w:szCs w:val="20"/>
                <w:color w:val="auto"/>
              </w:rPr>
            </w:pPr>
            <w:r>
              <w:rPr>
                <w:rFonts w:ascii="Arial" w:cs="Arial" w:eastAsia="Arial" w:hAnsi="Arial"/>
                <w:sz w:val="18"/>
                <w:szCs w:val="18"/>
                <w:color w:val="auto"/>
              </w:rPr>
              <w:t>Acquisitions and divestitures</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234</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Production</w:t>
            </w: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614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443</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120" w:type="dxa"/>
            <w:vAlign w:val="bottom"/>
            <w:shd w:val="clear" w:color="auto" w:fill="CCEEFF"/>
          </w:tcPr>
          <w:p>
            <w:pPr>
              <w:ind w:left="140"/>
              <w:spacing w:after="0" w:line="223" w:lineRule="exact"/>
              <w:rPr>
                <w:sz w:val="20"/>
                <w:szCs w:val="20"/>
                <w:color w:val="auto"/>
              </w:rPr>
            </w:pPr>
            <w:r>
              <w:rPr>
                <w:rFonts w:ascii="Arial" w:cs="Arial" w:eastAsia="Arial" w:hAnsi="Arial"/>
                <w:sz w:val="18"/>
                <w:szCs w:val="18"/>
                <w:color w:val="auto"/>
              </w:rPr>
              <w:t>Revisions of previous estimates</w:t>
            </w:r>
            <w:r>
              <w:rPr>
                <w:rFonts w:ascii="Arial" w:cs="Arial" w:eastAsia="Arial" w:hAnsi="Arial"/>
                <w:sz w:val="23"/>
                <w:szCs w:val="23"/>
                <w:color w:val="auto"/>
                <w:vertAlign w:val="superscript"/>
              </w:rPr>
              <w:t>(c)</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6140" w:type="dxa"/>
            <w:vAlign w:val="bottom"/>
            <w:gridSpan w:val="2"/>
          </w:tcPr>
          <w:p>
            <w:pPr>
              <w:ind w:left="140"/>
              <w:spacing w:after="0"/>
              <w:rPr>
                <w:sz w:val="20"/>
                <w:szCs w:val="20"/>
                <w:color w:val="auto"/>
              </w:rPr>
            </w:pPr>
            <w:r>
              <w:rPr>
                <w:rFonts w:ascii="Arial" w:cs="Arial" w:eastAsia="Arial" w:hAnsi="Arial"/>
                <w:sz w:val="18"/>
                <w:szCs w:val="18"/>
                <w:color w:val="auto"/>
              </w:rPr>
              <w:t>Improved recovery</w:t>
            </w: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Extensions and discoveries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140" w:type="dxa"/>
            <w:vAlign w:val="bottom"/>
            <w:gridSpan w:val="2"/>
          </w:tcPr>
          <w:p>
            <w:pPr>
              <w:ind w:left="140"/>
              <w:spacing w:after="0"/>
              <w:rPr>
                <w:sz w:val="20"/>
                <w:szCs w:val="20"/>
                <w:color w:val="auto"/>
              </w:rPr>
            </w:pPr>
            <w:r>
              <w:rPr>
                <w:rFonts w:ascii="Arial" w:cs="Arial" w:eastAsia="Arial" w:hAnsi="Arial"/>
                <w:sz w:val="18"/>
                <w:szCs w:val="18"/>
                <w:color w:val="auto"/>
              </w:rPr>
              <w:t>Acquisitions and divestitures</w:t>
            </w:r>
          </w:p>
        </w:tc>
        <w:tc>
          <w:tcPr>
            <w:tcW w:w="40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Production</w:t>
            </w: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614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December 31, 2025</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541</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29"/>
        </w:trPr>
        <w:tc>
          <w:tcPr>
            <w:tcW w:w="6140" w:type="dxa"/>
            <w:vAlign w:val="bottom"/>
            <w:gridSpan w:val="2"/>
          </w:tcPr>
          <w:p>
            <w:pPr>
              <w:ind w:left="20"/>
              <w:spacing w:after="0"/>
              <w:rPr>
                <w:sz w:val="20"/>
                <w:szCs w:val="20"/>
                <w:color w:val="auto"/>
              </w:rPr>
            </w:pPr>
            <w:r>
              <w:rPr>
                <w:rFonts w:ascii="Arial" w:cs="Arial" w:eastAsia="Arial" w:hAnsi="Arial"/>
                <w:sz w:val="18"/>
                <w:szCs w:val="18"/>
                <w:b w:val="1"/>
                <w:bCs w:val="1"/>
                <w:color w:val="auto"/>
              </w:rPr>
              <w:t>PROVED DEVELOPED RESERVES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December 31, 2022</w:t>
            </w:r>
          </w:p>
        </w:tc>
        <w:tc>
          <w:tcPr>
            <w:tcW w:w="10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251</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0"/>
        </w:trPr>
        <w:tc>
          <w:tcPr>
            <w:tcW w:w="5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3"/>
        </w:trPr>
        <w:tc>
          <w:tcPr>
            <w:tcW w:w="614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December 31, 2023</w:t>
            </w:r>
          </w:p>
        </w:tc>
        <w:tc>
          <w:tcPr>
            <w:tcW w:w="400" w:type="dxa"/>
            <w:vAlign w:val="bottom"/>
          </w:tcPr>
          <w:p>
            <w:pPr>
              <w:jc w:val="right"/>
              <w:spacing w:after="0" w:line="203" w:lineRule="exact"/>
              <w:rPr>
                <w:sz w:val="20"/>
                <w:szCs w:val="20"/>
                <w:color w:val="auto"/>
              </w:rPr>
            </w:pPr>
            <w:r>
              <w:rPr>
                <w:rFonts w:ascii="Arial" w:cs="Arial" w:eastAsia="Arial" w:hAnsi="Arial"/>
                <w:sz w:val="18"/>
                <w:szCs w:val="18"/>
                <w:color w:val="auto"/>
                <w:w w:val="99"/>
              </w:rPr>
              <w:t>223</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Arial" w:cs="Arial" w:eastAsia="Arial" w:hAnsi="Arial"/>
                <w:sz w:val="18"/>
                <w:szCs w:val="18"/>
                <w:color w:val="auto"/>
              </w:rPr>
              <w:t>34</w:t>
            </w:r>
          </w:p>
        </w:tc>
        <w:tc>
          <w:tcPr>
            <w:tcW w:w="14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445</w:t>
            </w:r>
          </w:p>
        </w:tc>
        <w:tc>
          <w:tcPr>
            <w:tcW w:w="1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331</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December 31, 2024</w:t>
            </w:r>
          </w:p>
        </w:tc>
        <w:tc>
          <w:tcPr>
            <w:tcW w:w="10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412</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0"/>
        </w:trPr>
        <w:tc>
          <w:tcPr>
            <w:tcW w:w="5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3"/>
        </w:trPr>
        <w:tc>
          <w:tcPr>
            <w:tcW w:w="614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December 31, 2025</w:t>
            </w:r>
          </w:p>
        </w:tc>
        <w:tc>
          <w:tcPr>
            <w:tcW w:w="400" w:type="dxa"/>
            <w:vAlign w:val="bottom"/>
          </w:tcPr>
          <w:p>
            <w:pPr>
              <w:jc w:val="right"/>
              <w:spacing w:after="0" w:line="203" w:lineRule="exact"/>
              <w:rPr>
                <w:sz w:val="20"/>
                <w:szCs w:val="20"/>
                <w:color w:val="auto"/>
              </w:rPr>
            </w:pPr>
            <w:r>
              <w:rPr>
                <w:rFonts w:ascii="Arial" w:cs="Arial" w:eastAsia="Arial" w:hAnsi="Arial"/>
                <w:sz w:val="18"/>
                <w:szCs w:val="18"/>
                <w:color w:val="auto"/>
                <w:w w:val="99"/>
              </w:rPr>
              <w:t>452</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Arial" w:cs="Arial" w:eastAsia="Arial" w:hAnsi="Arial"/>
                <w:sz w:val="18"/>
                <w:szCs w:val="18"/>
                <w:color w:val="auto"/>
              </w:rPr>
              <w:t>30</w:t>
            </w:r>
          </w:p>
        </w:tc>
        <w:tc>
          <w:tcPr>
            <w:tcW w:w="14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351</w:t>
            </w:r>
          </w:p>
        </w:tc>
        <w:tc>
          <w:tcPr>
            <w:tcW w:w="1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541</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30"/>
        </w:trPr>
        <w:tc>
          <w:tcPr>
            <w:tcW w:w="6140" w:type="dxa"/>
            <w:vAlign w:val="bottom"/>
            <w:gridSpan w:val="2"/>
          </w:tcPr>
          <w:p>
            <w:pPr>
              <w:ind w:left="20"/>
              <w:spacing w:after="0"/>
              <w:rPr>
                <w:sz w:val="20"/>
                <w:szCs w:val="20"/>
                <w:color w:val="auto"/>
              </w:rPr>
            </w:pPr>
            <w:r>
              <w:rPr>
                <w:rFonts w:ascii="Arial" w:cs="Arial" w:eastAsia="Arial" w:hAnsi="Arial"/>
                <w:sz w:val="18"/>
                <w:szCs w:val="18"/>
                <w:b w:val="1"/>
                <w:bCs w:val="1"/>
                <w:color w:val="auto"/>
              </w:rPr>
              <w:t>PROVED UNDEVELOPED RESERVES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December 31, 2022</w:t>
            </w:r>
          </w:p>
        </w:tc>
        <w:tc>
          <w:tcPr>
            <w:tcW w:w="10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5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3"/>
        </w:trPr>
        <w:tc>
          <w:tcPr>
            <w:tcW w:w="614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December 31, 2023</w:t>
            </w:r>
          </w:p>
        </w:tc>
        <w:tc>
          <w:tcPr>
            <w:tcW w:w="400" w:type="dxa"/>
            <w:vAlign w:val="bottom"/>
          </w:tcPr>
          <w:p>
            <w:pPr>
              <w:jc w:val="right"/>
              <w:spacing w:after="0" w:line="203" w:lineRule="exact"/>
              <w:rPr>
                <w:sz w:val="20"/>
                <w:szCs w:val="20"/>
                <w:color w:val="auto"/>
              </w:rPr>
            </w:pPr>
            <w:r>
              <w:rPr>
                <w:rFonts w:ascii="Arial" w:cs="Arial" w:eastAsia="Arial" w:hAnsi="Arial"/>
                <w:sz w:val="18"/>
                <w:szCs w:val="18"/>
                <w:color w:val="auto"/>
              </w:rPr>
              <w:t>33</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73</w:t>
            </w:r>
          </w:p>
        </w:tc>
        <w:tc>
          <w:tcPr>
            <w:tcW w:w="1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46</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December 31, 2024</w:t>
            </w:r>
          </w:p>
        </w:tc>
        <w:tc>
          <w:tcPr>
            <w:tcW w:w="10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5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3"/>
        </w:trPr>
        <w:tc>
          <w:tcPr>
            <w:tcW w:w="614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December 31, 2025</w:t>
            </w:r>
          </w:p>
        </w:tc>
        <w:tc>
          <w:tcPr>
            <w:tcW w:w="400" w:type="dxa"/>
            <w:vAlign w:val="bottom"/>
          </w:tcPr>
          <w:p>
            <w:pPr>
              <w:jc w:val="right"/>
              <w:spacing w:after="0" w:line="203" w:lineRule="exact"/>
              <w:rPr>
                <w:sz w:val="20"/>
                <w:szCs w:val="20"/>
                <w:color w:val="auto"/>
              </w:rPr>
            </w:pPr>
            <w:r>
              <w:rPr>
                <w:rFonts w:ascii="Arial" w:cs="Arial" w:eastAsia="Arial" w:hAnsi="Arial"/>
                <w:sz w:val="18"/>
                <w:szCs w:val="18"/>
                <w:color w:val="auto"/>
              </w:rPr>
              <w:t>89</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113</w:t>
            </w:r>
          </w:p>
        </w:tc>
      </w:tr>
      <w:tr>
        <w:trPr>
          <w:trHeight w:val="20"/>
        </w:trPr>
        <w:tc>
          <w:tcPr>
            <w:tcW w:w="5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500" w:right="100" w:hanging="330"/>
        <w:spacing w:after="0" w:line="272" w:lineRule="auto"/>
        <w:tabs>
          <w:tab w:leader="none" w:pos="487"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proved reserves related to economic arrangements similar to PSCs of 51 MMBbl, 62 MMBbl, 76 MMBbl and 92 MMBbl at December 31, 2025, 2024, 2023 and 2022, respectively.</w:t>
      </w:r>
    </w:p>
    <w:p>
      <w:pPr>
        <w:ind w:left="500" w:right="140" w:hanging="330"/>
        <w:spacing w:after="0" w:line="251" w:lineRule="auto"/>
        <w:tabs>
          <w:tab w:leader="none" w:pos="487" w:val="left"/>
        </w:tabs>
        <w:numPr>
          <w:ilvl w:val="0"/>
          <w:numId w:val="67"/>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of six Mcf of natural gas to one Bbl of oil. Barrels of oil equivalence does not necessarily result in price equivalence.</w:t>
      </w:r>
    </w:p>
    <w:p>
      <w:pPr>
        <w:ind w:left="500" w:right="140" w:hanging="330"/>
        <w:spacing w:after="0" w:line="257" w:lineRule="auto"/>
        <w:tabs>
          <w:tab w:leader="none" w:pos="492" w:val="left"/>
        </w:tabs>
        <w:numPr>
          <w:ilvl w:val="0"/>
          <w:numId w:val="67"/>
        </w:numPr>
        <w:rPr>
          <w:rFonts w:ascii="Arial" w:cs="Arial" w:eastAsia="Arial" w:hAnsi="Arial"/>
          <w:sz w:val="14"/>
          <w:szCs w:val="14"/>
          <w:color w:val="auto"/>
        </w:rPr>
      </w:pPr>
      <w:r>
        <w:rPr>
          <w:rFonts w:ascii="Arial" w:cs="Arial" w:eastAsia="Arial" w:hAnsi="Arial"/>
          <w:sz w:val="14"/>
          <w:szCs w:val="14"/>
          <w:color w:val="auto"/>
        </w:rPr>
        <w:t>Commodity price changes affect the proved reserves we record. For example, higher prices generally increase the economically recoverable reserves in all of our operations, because the extra margin extends their expected lives and renders more projects economic. Partially offsetting this effect, higher prices decrease our share of proved cost recovery reserves under arrangements similar to production-sharing contracts at our Long Beach operations in the Wilmington field because fewer reserves are required to recover costs. Conversely, when prices drop, we experience the opposite effects. Performance-related revisions can include upward or downward changes to previous proved reserves estimates due to the evaluation or interpretation of recent geologic, production decline or operating performance data.</w:t>
      </w:r>
    </w:p>
    <w:p>
      <w:pPr>
        <w:spacing w:after="0" w:line="2" w:lineRule="exact"/>
        <w:rPr>
          <w:rFonts w:ascii="Arial" w:cs="Arial" w:eastAsia="Arial" w:hAnsi="Arial"/>
          <w:sz w:val="14"/>
          <w:szCs w:val="14"/>
          <w:color w:val="auto"/>
        </w:rPr>
      </w:pPr>
    </w:p>
    <w:p>
      <w:pPr>
        <w:ind w:left="500" w:right="180" w:hanging="330"/>
        <w:spacing w:after="0" w:line="272" w:lineRule="auto"/>
        <w:tabs>
          <w:tab w:leader="none" w:pos="487" w:val="left"/>
        </w:tabs>
        <w:numPr>
          <w:ilvl w:val="0"/>
          <w:numId w:val="67"/>
        </w:numPr>
        <w:rPr>
          <w:rFonts w:ascii="Arial" w:cs="Arial" w:eastAsia="Arial" w:hAnsi="Arial"/>
          <w:sz w:val="14"/>
          <w:szCs w:val="14"/>
          <w:color w:val="auto"/>
        </w:rPr>
      </w:pPr>
      <w:r>
        <w:rPr>
          <w:rFonts w:ascii="Arial" w:cs="Arial" w:eastAsia="Arial" w:hAnsi="Arial"/>
          <w:sz w:val="14"/>
          <w:szCs w:val="14"/>
          <w:color w:val="auto"/>
        </w:rPr>
        <w:t>Approximately 10% of proved developed oil reserves, 6% of proved developed NGLs reserves, 7% of proved developed natural gas reserves and, overall, 10% of total proved developed reserves at December 31, 2025 are non-producing. A majority of our non-producing reserves relate to steamfloods and waterfloods where full production response has not yet occurred due to the nature of such projects.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2025</w:t>
      </w:r>
    </w:p>
    <w:p>
      <w:pPr>
        <w:spacing w:after="0" w:line="250"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i w:val="1"/>
          <w:iCs w:val="1"/>
          <w:color w:val="auto"/>
        </w:rPr>
        <w:t xml:space="preserve">Revisions of previous estimates </w:t>
      </w:r>
      <w:r>
        <w:rPr>
          <w:rFonts w:ascii="Arial" w:cs="Arial" w:eastAsia="Arial" w:hAnsi="Arial"/>
          <w:sz w:val="18"/>
          <w:szCs w:val="18"/>
          <w:color w:val="auto"/>
        </w:rPr>
        <w:t>– We had net negative price-related revisions of 25 MMBoe. Included in these revisions are negative</w:t>
      </w:r>
      <w:r>
        <w:rPr>
          <w:rFonts w:ascii="Arial" w:cs="Arial" w:eastAsia="Arial" w:hAnsi="Arial"/>
          <w:sz w:val="18"/>
          <w:szCs w:val="18"/>
          <w:i w:val="1"/>
          <w:iCs w:val="1"/>
          <w:color w:val="auto"/>
        </w:rPr>
        <w:t xml:space="preserve"> </w:t>
      </w:r>
      <w:r>
        <w:rPr>
          <w:rFonts w:ascii="Arial" w:cs="Arial" w:eastAsia="Arial" w:hAnsi="Arial"/>
          <w:sz w:val="18"/>
          <w:szCs w:val="18"/>
          <w:color w:val="auto"/>
        </w:rPr>
        <w:t>price-related revisions of 37 MMboe, which were partially offset by 23 MMBoe of positive revisions. These negative revisions are primarily a result of lower average realized SEC Prices in 2025 as compared to 2024, including lower natural gas realizations in certain areas. These negative revisions were partially offset by positive revisions primarily from lower operating costs related to steamflood management.</w:t>
      </w:r>
    </w:p>
    <w:p>
      <w:pPr>
        <w:spacing w:after="0" w:line="203" w:lineRule="exact"/>
        <w:rPr>
          <w:sz w:val="20"/>
          <w:szCs w:val="20"/>
          <w:color w:val="auto"/>
        </w:rPr>
      </w:pPr>
    </w:p>
    <w:p>
      <w:pPr>
        <w:jc w:val="both"/>
        <w:ind w:right="280" w:firstLine="324"/>
        <w:spacing w:after="0" w:line="262" w:lineRule="auto"/>
        <w:rPr>
          <w:sz w:val="20"/>
          <w:szCs w:val="20"/>
          <w:color w:val="auto"/>
        </w:rPr>
      </w:pPr>
      <w:r>
        <w:rPr>
          <w:rFonts w:ascii="Arial" w:cs="Arial" w:eastAsia="Arial" w:hAnsi="Arial"/>
          <w:sz w:val="18"/>
          <w:szCs w:val="18"/>
          <w:color w:val="auto"/>
        </w:rPr>
        <w:t xml:space="preserve">Also included in the net negative price-related revisions are negative revisions of 12 MMBoe offset by 1 MMBoe of positive revisions, which were due the extension of the cap-and-invest program. The majority of these revisions were located in the San Joaquin basin. See </w:t>
      </w:r>
      <w:r>
        <w:rPr>
          <w:rFonts w:ascii="Arial" w:cs="Arial" w:eastAsia="Arial" w:hAnsi="Arial"/>
          <w:sz w:val="18"/>
          <w:szCs w:val="18"/>
          <w:i w:val="1"/>
          <w:iCs w:val="1"/>
          <w:color w:val="auto"/>
        </w:rPr>
        <w:t>Part I, Item 1 and 2 Business and Properties, Regulation of the Industries in Which We Operate, Regulation of Exploration and Production Activities</w:t>
      </w:r>
      <w:r>
        <w:rPr>
          <w:rFonts w:ascii="Arial" w:cs="Arial" w:eastAsia="Arial" w:hAnsi="Arial"/>
          <w:sz w:val="18"/>
          <w:szCs w:val="18"/>
          <w:color w:val="auto"/>
        </w:rPr>
        <w:t>.</w:t>
      </w:r>
    </w:p>
    <w:p>
      <w:pPr>
        <w:spacing w:after="0" w:line="203"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We had 61 MMBoe of net positive performance-related revisions which included positive performance-related revisions of 80 MMBoe and negative performance-related revisions of 19 MMBoe. Our positive performance-related revisions primarily related to additional drilling activity in the San Joaquin basin, maintaining higher than forecasted base production, and extension of field life through steam management.</w:t>
      </w:r>
    </w:p>
    <w:p>
      <w:pPr>
        <w:sectPr>
          <w:pgSz w:w="11900" w:h="16838" w:orient="portrait"/>
          <w:cols w:equalWidth="0" w:num="1">
            <w:col w:w="11240"/>
          </w:cols>
          <w:pgMar w:left="320" w:top="1039" w:right="339" w:bottom="0" w:gutter="0" w:footer="0" w:header="0"/>
        </w:sectPr>
      </w:pPr>
    </w:p>
    <w:bookmarkStart w:id="146" w:name="page147"/>
    <w:bookmarkEnd w:id="146"/>
    <w:p>
      <w:pPr>
        <w:ind w:right="260"/>
        <w:spacing w:after="0" w:line="286" w:lineRule="auto"/>
        <w:rPr>
          <w:sz w:val="20"/>
          <w:szCs w:val="20"/>
          <w:color w:val="auto"/>
        </w:rPr>
      </w:pPr>
      <w:r>
        <w:rPr>
          <w:rFonts w:ascii="Arial" w:cs="Arial" w:eastAsia="Arial" w:hAnsi="Arial"/>
          <w:sz w:val="18"/>
          <w:szCs w:val="18"/>
          <w:color w:val="auto"/>
        </w:rPr>
        <w:t>Our negative performance-related revisions primarily were due to lower overall expected recovery from certain projects in the San Joaquin basin.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We added 3 MMBoe related to drilling in the San Joaquin basin.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Improved recovery </w:t>
      </w:r>
      <w:r>
        <w:rPr>
          <w:rFonts w:ascii="Arial" w:cs="Arial" w:eastAsia="Arial" w:hAnsi="Arial"/>
          <w:sz w:val="18"/>
          <w:szCs w:val="18"/>
          <w:color w:val="auto"/>
        </w:rPr>
        <w:t>– We added 27 MMBoe related to increased drilling activity associated with steamfloods in the San Joaquin basin.</w:t>
      </w:r>
    </w:p>
    <w:p>
      <w:pPr>
        <w:spacing w:after="0" w:line="239" w:lineRule="exact"/>
        <w:rPr>
          <w:sz w:val="20"/>
          <w:szCs w:val="20"/>
          <w:color w:val="auto"/>
        </w:rPr>
      </w:pPr>
    </w:p>
    <w:p>
      <w:pPr>
        <w:ind w:right="560" w:firstLine="324"/>
        <w:spacing w:after="0" w:line="271" w:lineRule="auto"/>
        <w:rPr>
          <w:sz w:val="20"/>
          <w:szCs w:val="20"/>
          <w:color w:val="auto"/>
        </w:rPr>
      </w:pPr>
      <w:r>
        <w:rPr>
          <w:rFonts w:ascii="Arial" w:cs="Arial" w:eastAsia="Arial" w:hAnsi="Arial"/>
          <w:sz w:val="18"/>
          <w:szCs w:val="18"/>
          <w:i w:val="1"/>
          <w:iCs w:val="1"/>
          <w:color w:val="auto"/>
        </w:rPr>
        <w:t xml:space="preserve">Acquisitions and divestitures </w:t>
      </w:r>
      <w:r>
        <w:rPr>
          <w:rFonts w:ascii="Arial" w:cs="Arial" w:eastAsia="Arial" w:hAnsi="Arial"/>
          <w:sz w:val="18"/>
          <w:szCs w:val="18"/>
          <w:color w:val="auto"/>
        </w:rPr>
        <w:t>– We added 93 MMBoe related to the Berry Merger in the San Joaquin and Uinta basins. See</w:t>
      </w:r>
      <w:r>
        <w:rPr>
          <w:rFonts w:ascii="Arial" w:cs="Arial" w:eastAsia="Arial" w:hAnsi="Arial"/>
          <w:sz w:val="18"/>
          <w:szCs w:val="18"/>
          <w:i w:val="1"/>
          <w:iCs w:val="1"/>
          <w:color w:val="auto"/>
        </w:rPr>
        <w:t xml:space="preserve"> Note 2 Business Combinations </w:t>
      </w:r>
      <w:r>
        <w:rPr>
          <w:rFonts w:ascii="Arial" w:cs="Arial" w:eastAsia="Arial" w:hAnsi="Arial"/>
          <w:sz w:val="18"/>
          <w:szCs w:val="18"/>
          <w:color w:val="auto"/>
        </w:rPr>
        <w:t>for more information on this transaction.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2024</w:t>
      </w:r>
    </w:p>
    <w:p>
      <w:pPr>
        <w:spacing w:after="0" w:line="250"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i w:val="1"/>
          <w:iCs w:val="1"/>
          <w:color w:val="auto"/>
        </w:rPr>
        <w:t xml:space="preserve">Revisions of previous estimates </w:t>
      </w:r>
      <w:r>
        <w:rPr>
          <w:rFonts w:ascii="Arial" w:cs="Arial" w:eastAsia="Arial" w:hAnsi="Arial"/>
          <w:sz w:val="18"/>
          <w:szCs w:val="18"/>
          <w:color w:val="auto"/>
        </w:rPr>
        <w:t>– We had net negative price-related revisions of 15 MMBoe primarily resulting from lower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realized prices in 2024 as compared to 2023, including lower natural gas realizations in 2024. These revisions included negative price-related revisions of 18 MMBoe, which were partially offset by 3 MMBoe of positive revisions from operating cost efficiencies.</w:t>
      </w:r>
    </w:p>
    <w:p>
      <w:pPr>
        <w:spacing w:after="0" w:line="198"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We had 2 MMBoe of net positive performance-related revisions which included positive performance-related revisions of 12 MMBoe and negative performance-related revisions of 10 MMBoe. Our positive performance-related revisions primarily related to better-than-expected well performance. Our negative performance-related revisions primarily were due to lower overall expected recovery in the San Joaquin basin.</w:t>
      </w:r>
    </w:p>
    <w:p>
      <w:pPr>
        <w:spacing w:after="0" w:line="20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We had 7 MMBoe of negative revisions due to lower maximum allowable surface injection pressure at the Wilmington field in the Los Angeles basin. We had 1 MMBoe of negative revisions due to the impact of AB 2716 at the Inglewood field in the Los Angeles basin. We had 2 MMBoe of negative revisions due to the retraction of the SB 1137 referendum and our analysis of sensitive receptor designations. The majority of these revisions were located in the Los Angeles basin. We had 6 MMBoe of negative revisions associated with delays in obtaining new well drilling permits. The majority of the revisions related to permits was in the San Joaquin basin. See </w:t>
      </w:r>
      <w:r>
        <w:rPr>
          <w:rFonts w:ascii="Arial" w:cs="Arial" w:eastAsia="Arial" w:hAnsi="Arial"/>
          <w:sz w:val="18"/>
          <w:szCs w:val="18"/>
          <w:i w:val="1"/>
          <w:iCs w:val="1"/>
          <w:color w:val="auto"/>
        </w:rPr>
        <w:t>Part I, Item 1 and 2 Business and</w:t>
      </w:r>
      <w:r>
        <w:rPr>
          <w:rFonts w:ascii="Arial" w:cs="Arial" w:eastAsia="Arial" w:hAnsi="Arial"/>
          <w:sz w:val="18"/>
          <w:szCs w:val="18"/>
          <w:color w:val="auto"/>
        </w:rPr>
        <w:t xml:space="preserve"> </w:t>
      </w:r>
      <w:r>
        <w:rPr>
          <w:rFonts w:ascii="Arial" w:cs="Arial" w:eastAsia="Arial" w:hAnsi="Arial"/>
          <w:sz w:val="18"/>
          <w:szCs w:val="18"/>
          <w:i w:val="1"/>
          <w:iCs w:val="1"/>
          <w:color w:val="auto"/>
        </w:rPr>
        <w:t>Properties, Regulation of the Industries in Which We Operate, Regulation of Exploration and Production Activities</w:t>
      </w:r>
      <w:r>
        <w:rPr>
          <w:rFonts w:ascii="Arial" w:cs="Arial" w:eastAsia="Arial" w:hAnsi="Arial"/>
          <w:sz w:val="18"/>
          <w:szCs w:val="18"/>
          <w:color w:val="auto"/>
        </w:rPr>
        <w:t>.</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Improved recovery </w:t>
      </w:r>
      <w:r>
        <w:rPr>
          <w:rFonts w:ascii="Arial" w:cs="Arial" w:eastAsia="Arial" w:hAnsi="Arial"/>
          <w:sz w:val="18"/>
          <w:szCs w:val="18"/>
          <w:color w:val="auto"/>
        </w:rPr>
        <w:t>– We added 1 MMBoe related to increased well performance in certain areas in the San Joaquin basin.</w:t>
      </w:r>
    </w:p>
    <w:p>
      <w:pPr>
        <w:spacing w:after="0" w:line="252"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i w:val="1"/>
          <w:iCs w:val="1"/>
          <w:color w:val="auto"/>
        </w:rPr>
        <w:t xml:space="preserve">Acquisitions and divestitures </w:t>
      </w:r>
      <w:r>
        <w:rPr>
          <w:rFonts w:ascii="Arial" w:cs="Arial" w:eastAsia="Arial" w:hAnsi="Arial"/>
          <w:sz w:val="18"/>
          <w:szCs w:val="18"/>
          <w:color w:val="auto"/>
        </w:rPr>
        <w:t>– We acquired 236 MMBoe in the Aera Merger. See</w:t>
      </w:r>
      <w:r>
        <w:rPr>
          <w:rFonts w:ascii="Arial" w:cs="Arial" w:eastAsia="Arial" w:hAnsi="Arial"/>
          <w:sz w:val="18"/>
          <w:szCs w:val="18"/>
          <w:i w:val="1"/>
          <w:iCs w:val="1"/>
          <w:color w:val="auto"/>
        </w:rPr>
        <w:t xml:space="preserve"> Note 2 Business Combinations </w:t>
      </w:r>
      <w:r>
        <w:rPr>
          <w:rFonts w:ascii="Arial" w:cs="Arial" w:eastAsia="Arial" w:hAnsi="Arial"/>
          <w:sz w:val="18"/>
          <w:szCs w:val="18"/>
          <w:color w:val="auto"/>
        </w:rPr>
        <w:t>for more information on</w:t>
      </w:r>
      <w:r>
        <w:rPr>
          <w:rFonts w:ascii="Arial" w:cs="Arial" w:eastAsia="Arial" w:hAnsi="Arial"/>
          <w:sz w:val="18"/>
          <w:szCs w:val="18"/>
          <w:i w:val="1"/>
          <w:iCs w:val="1"/>
          <w:color w:val="auto"/>
        </w:rPr>
        <w:t xml:space="preserve"> </w:t>
      </w:r>
      <w:r>
        <w:rPr>
          <w:rFonts w:ascii="Arial" w:cs="Arial" w:eastAsia="Arial" w:hAnsi="Arial"/>
          <w:sz w:val="18"/>
          <w:szCs w:val="18"/>
          <w:color w:val="auto"/>
        </w:rPr>
        <w:t>this transaction.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2023</w:t>
      </w:r>
    </w:p>
    <w:p>
      <w:pPr>
        <w:spacing w:after="0" w:line="250"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i w:val="1"/>
          <w:iCs w:val="1"/>
          <w:color w:val="auto"/>
        </w:rPr>
        <w:t xml:space="preserve">Revisions of previous estimates </w:t>
      </w:r>
      <w:r>
        <w:rPr>
          <w:rFonts w:ascii="Arial" w:cs="Arial" w:eastAsia="Arial" w:hAnsi="Arial"/>
          <w:sz w:val="18"/>
          <w:szCs w:val="18"/>
          <w:color w:val="auto"/>
        </w:rPr>
        <w:t>– We had net negative price-related revisions of 13 MMBoe primarily resulting from a lower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price environment in 2023 compared to 2022. Negative price-related revisions of 22 MMBoe were partially offset by 9 MMBoe of positive revisions from operating cost efficiencies.</w:t>
      </w:r>
    </w:p>
    <w:p>
      <w:pPr>
        <w:spacing w:after="0" w:line="19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had 23 MMBoe of net positive performance-related revisions which included positive performance-related revisions of 38 MMBoe and negative performance-related revisions of 15 MMBoe. Our negative performance-related revisions primarily were due to wells and incremental waterflood response that underperformed forecasts and removal of proved undeveloped locations due to unsuccessful drilling results in certain areas. Our positive performance-related revisions primarily related to better-than-expected well performance. The majority of these revisions were located in the San Joaquin basin.</w:t>
      </w:r>
    </w:p>
    <w:p>
      <w:pPr>
        <w:spacing w:after="0" w:line="206"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 xml:space="preserve">We had 12 MMBoe of negative revisions to our proved reserves due to the uncertainty of the outcome of the referendum and potential impact of Senate Bill No. 1137. The majority of these volumes are in the Los Angeles basin. See </w:t>
      </w:r>
      <w:r>
        <w:rPr>
          <w:rFonts w:ascii="Arial" w:cs="Arial" w:eastAsia="Arial" w:hAnsi="Arial"/>
          <w:sz w:val="18"/>
          <w:szCs w:val="18"/>
          <w:i w:val="1"/>
          <w:iCs w:val="1"/>
          <w:color w:val="auto"/>
        </w:rPr>
        <w:t>Part I, Item 1 and 2 Business and</w:t>
      </w:r>
      <w:r>
        <w:rPr>
          <w:rFonts w:ascii="Arial" w:cs="Arial" w:eastAsia="Arial" w:hAnsi="Arial"/>
          <w:sz w:val="18"/>
          <w:szCs w:val="18"/>
          <w:color w:val="auto"/>
        </w:rPr>
        <w:t xml:space="preserve"> </w:t>
      </w:r>
      <w:r>
        <w:rPr>
          <w:rFonts w:ascii="Arial" w:cs="Arial" w:eastAsia="Arial" w:hAnsi="Arial"/>
          <w:sz w:val="18"/>
          <w:szCs w:val="18"/>
          <w:i w:val="1"/>
          <w:iCs w:val="1"/>
          <w:color w:val="auto"/>
        </w:rPr>
        <w:t>Properties, Regulation of the Industries in Which We Operate, Regulation of Exploration and Production Activities</w:t>
      </w:r>
      <w:r>
        <w:rPr>
          <w:rFonts w:ascii="Arial" w:cs="Arial" w:eastAsia="Arial" w:hAnsi="Arial"/>
          <w:sz w:val="18"/>
          <w:szCs w:val="18"/>
          <w:color w:val="auto"/>
        </w:rPr>
        <w:t>.</w:t>
      </w:r>
    </w:p>
    <w:p>
      <w:pPr>
        <w:spacing w:after="0" w:line="198"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We added 5 MMBoe from extensions resulting from successful drilling and workovers in the San Joaquin,</w:t>
      </w:r>
      <w:r>
        <w:rPr>
          <w:rFonts w:ascii="Arial" w:cs="Arial" w:eastAsia="Arial" w:hAnsi="Arial"/>
          <w:sz w:val="18"/>
          <w:szCs w:val="18"/>
          <w:i w:val="1"/>
          <w:iCs w:val="1"/>
          <w:color w:val="auto"/>
        </w:rPr>
        <w:t xml:space="preserve"> </w:t>
      </w:r>
      <w:r>
        <w:rPr>
          <w:rFonts w:ascii="Arial" w:cs="Arial" w:eastAsia="Arial" w:hAnsi="Arial"/>
          <w:sz w:val="18"/>
          <w:szCs w:val="18"/>
          <w:color w:val="auto"/>
        </w:rPr>
        <w:t>Los Angeles and Sacramento basins.</w:t>
      </w:r>
    </w:p>
    <w:p>
      <w:pPr>
        <w:spacing w:after="0" w:line="180"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i w:val="1"/>
          <w:iCs w:val="1"/>
          <w:color w:val="auto"/>
        </w:rPr>
        <w:t xml:space="preserve">Acquisitions and divestitures </w:t>
      </w:r>
      <w:r>
        <w:rPr>
          <w:rFonts w:ascii="Arial" w:cs="Arial" w:eastAsia="Arial" w:hAnsi="Arial"/>
          <w:sz w:val="18"/>
          <w:szCs w:val="18"/>
          <w:color w:val="auto"/>
        </w:rPr>
        <w:t>– We had a reduction of 12 MMBoe which related to our Round Mountain Unit divestiture. See</w:t>
      </w:r>
      <w:r>
        <w:rPr>
          <w:rFonts w:ascii="Arial" w:cs="Arial" w:eastAsia="Arial" w:hAnsi="Arial"/>
          <w:sz w:val="18"/>
          <w:szCs w:val="18"/>
          <w:i w:val="1"/>
          <w:iCs w:val="1"/>
          <w:color w:val="auto"/>
        </w:rPr>
        <w:t xml:space="preserve"> Note 9 Divestitures and Acquisitions </w:t>
      </w:r>
      <w:r>
        <w:rPr>
          <w:rFonts w:ascii="Arial" w:cs="Arial" w:eastAsia="Arial" w:hAnsi="Arial"/>
          <w:sz w:val="18"/>
          <w:szCs w:val="18"/>
          <w:color w:val="auto"/>
        </w:rPr>
        <w:t>for more information on this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252"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Capitalized costs relating to oil and natural gas producing activities and related accumulated depreciation, depletion and amortization (DD&amp;A) were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December 31, 2025</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December 31, 2024</w:t>
            </w:r>
          </w:p>
        </w:tc>
      </w:tr>
      <w:tr>
        <w:trPr>
          <w:trHeight w:val="233"/>
        </w:trPr>
        <w:tc>
          <w:tcPr>
            <w:tcW w:w="7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40" w:type="dxa"/>
            <w:vAlign w:val="bottom"/>
            <w:gridSpan w:val="4"/>
          </w:tcPr>
          <w:p>
            <w:pPr>
              <w:jc w:val="right"/>
              <w:ind w:right="1650"/>
              <w:spacing w:after="0"/>
              <w:rPr>
                <w:sz w:val="20"/>
                <w:szCs w:val="20"/>
                <w:color w:val="auto"/>
              </w:rPr>
            </w:pPr>
            <w:r>
              <w:rPr>
                <w:rFonts w:ascii="Arial" w:cs="Arial" w:eastAsia="Arial" w:hAnsi="Arial"/>
                <w:sz w:val="14"/>
                <w:szCs w:val="14"/>
                <w:color w:val="auto"/>
              </w:rPr>
              <w:t>(in millions)</w:t>
            </w:r>
          </w:p>
        </w:tc>
      </w:tr>
      <w:tr>
        <w:trPr>
          <w:trHeight w:val="234"/>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Proved properties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Unproved properties</w:t>
            </w: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capitalized costs</w:t>
            </w: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w:t>
            </w:r>
          </w:p>
        </w:tc>
      </w:tr>
      <w:tr>
        <w:trPr>
          <w:trHeight w:val="229"/>
        </w:trPr>
        <w:tc>
          <w:tcPr>
            <w:tcW w:w="7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depreciation, depletion and amortization</w:t>
            </w: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capitalized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5,391</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INCURRED</w:t>
      </w:r>
    </w:p>
    <w:p>
      <w:pPr>
        <w:spacing w:after="0" w:line="252" w:lineRule="exact"/>
        <w:rPr>
          <w:sz w:val="20"/>
          <w:szCs w:val="20"/>
          <w:color w:val="auto"/>
        </w:rPr>
      </w:pPr>
    </w:p>
    <w:p>
      <w:pPr>
        <w:ind w:right="660" w:firstLine="324"/>
        <w:spacing w:after="0" w:line="287" w:lineRule="auto"/>
        <w:rPr>
          <w:sz w:val="20"/>
          <w:szCs w:val="20"/>
          <w:color w:val="auto"/>
        </w:rPr>
      </w:pPr>
      <w:r>
        <w:rPr>
          <w:rFonts w:ascii="Arial" w:cs="Arial" w:eastAsia="Arial" w:hAnsi="Arial"/>
          <w:sz w:val="18"/>
          <w:szCs w:val="18"/>
          <w:color w:val="auto"/>
        </w:rPr>
        <w:t>Costs incurred relating to oil and natural gas activities include capital investments, exploration (whether expensed or capitalized), acquisitions and asset retirement obligations but exclude corporate items. The following table summarizes our costs incurred:</w:t>
      </w:r>
    </w:p>
    <w:p>
      <w:pPr>
        <w:sectPr>
          <w:pgSz w:w="11900" w:h="16838" w:orient="portrait"/>
          <w:cols w:equalWidth="0" w:num="1">
            <w:col w:w="11240"/>
          </w:cols>
          <w:pgMar w:left="320" w:top="121" w:right="339" w:bottom="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35"/>
        </w:trPr>
        <w:tc>
          <w:tcPr>
            <w:tcW w:w="492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23"/>
        </w:trPr>
        <w:tc>
          <w:tcPr>
            <w:tcW w:w="4920" w:type="dxa"/>
            <w:vAlign w:val="bottom"/>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313"/>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2023</w:t>
            </w:r>
          </w:p>
        </w:tc>
      </w:tr>
      <w:tr>
        <w:trPr>
          <w:trHeight w:val="233"/>
        </w:trPr>
        <w:tc>
          <w:tcPr>
            <w:tcW w:w="49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4"/>
                <w:szCs w:val="14"/>
                <w:color w:val="auto"/>
              </w:rPr>
              <w:t>(in millions)</w:t>
            </w: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properties</w:t>
            </w:r>
          </w:p>
        </w:tc>
        <w:tc>
          <w:tcPr>
            <w:tcW w:w="14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Proved properties</w:t>
            </w:r>
          </w:p>
        </w:tc>
        <w:tc>
          <w:tcPr>
            <w:tcW w:w="1440" w:type="dxa"/>
            <w:vAlign w:val="bottom"/>
          </w:tcPr>
          <w:p>
            <w:pPr>
              <w:jc w:val="right"/>
              <w:ind w:right="12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637</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Unproved properties</w:t>
            </w:r>
          </w:p>
        </w:tc>
        <w:tc>
          <w:tcPr>
            <w:tcW w:w="14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Exploration costs</w:t>
            </w:r>
          </w:p>
        </w:tc>
        <w:tc>
          <w:tcPr>
            <w:tcW w:w="1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Development costs</w:t>
            </w:r>
            <w:r>
              <w:rPr>
                <w:rFonts w:ascii="Arial" w:cs="Arial" w:eastAsia="Arial" w:hAnsi="Arial"/>
                <w:sz w:val="23"/>
                <w:szCs w:val="23"/>
                <w:color w:val="auto"/>
                <w:vertAlign w:val="superscript"/>
              </w:rPr>
              <w:t>(a)</w:t>
            </w:r>
          </w:p>
        </w:tc>
        <w:tc>
          <w:tcPr>
            <w:tcW w:w="1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Costs incurred</w:t>
            </w:r>
          </w:p>
        </w:tc>
        <w:tc>
          <w:tcPr>
            <w:tcW w:w="14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21"/>
        </w:trPr>
        <w:tc>
          <w:tcPr>
            <w:tcW w:w="49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right="400" w:hanging="332"/>
        <w:spacing w:after="0" w:line="273"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Development costs include a $238 million decrease, $28 million decrease and $44 million increase in ARO (including assets held for sale) in 2025, 2024 and 2023, respectively. Development costs in 2025 include $6 million related to installing carbon capture infrastructure at our Elk Hills gas processing facility. The remaining $45 million related to facility construction in 2024 and 2025 is included in our carbon management business.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4" w:lineRule="exact"/>
        <w:rPr>
          <w:sz w:val="20"/>
          <w:szCs w:val="20"/>
          <w:color w:val="auto"/>
        </w:rPr>
      </w:pPr>
    </w:p>
    <w:p>
      <w:pPr>
        <w:ind w:right="280" w:firstLine="324"/>
        <w:spacing w:after="0" w:line="273" w:lineRule="auto"/>
        <w:rPr>
          <w:sz w:val="20"/>
          <w:szCs w:val="20"/>
          <w:color w:val="auto"/>
        </w:rPr>
      </w:pPr>
      <w:r>
        <w:rPr>
          <w:rFonts w:ascii="Arial" w:cs="Arial" w:eastAsia="Arial" w:hAnsi="Arial"/>
          <w:sz w:val="18"/>
          <w:szCs w:val="18"/>
          <w:color w:val="auto"/>
        </w:rPr>
        <w:t>Our oil and natural gas producing activities, which exclude items such as asset dispositions, corporate overhead and interest, were as follows: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23"/>
        </w:trPr>
        <w:tc>
          <w:tcPr>
            <w:tcW w:w="4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2025</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2024</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820" w:type="dxa"/>
            <w:vAlign w:val="bottom"/>
            <w:tcBorders>
              <w:bottom w:val="single" w:sz="8" w:color="auto"/>
            </w:tcBorders>
          </w:tcPr>
          <w:p>
            <w:pPr>
              <w:spacing w:after="0"/>
              <w:rPr>
                <w:sz w:val="19"/>
                <w:szCs w:val="19"/>
                <w:color w:val="auto"/>
              </w:rPr>
            </w:pPr>
          </w:p>
        </w:tc>
      </w:tr>
      <w:tr>
        <w:trPr>
          <w:trHeight w:val="233"/>
        </w:trPr>
        <w:tc>
          <w:tcPr>
            <w:tcW w:w="4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(millions)</w:t>
            </w:r>
          </w:p>
        </w:tc>
        <w:tc>
          <w:tcPr>
            <w:tcW w:w="200" w:type="dxa"/>
            <w:vAlign w:val="bottom"/>
          </w:tcPr>
          <w:p>
            <w:pPr>
              <w:spacing w:after="0"/>
              <w:rPr>
                <w:sz w:val="20"/>
                <w:szCs w:val="20"/>
                <w:color w:val="auto"/>
              </w:rPr>
            </w:pPr>
          </w:p>
        </w:tc>
        <w:tc>
          <w:tcPr>
            <w:tcW w:w="760" w:type="dxa"/>
            <w:vAlign w:val="bottom"/>
          </w:tcPr>
          <w:p>
            <w:pPr>
              <w:jc w:val="right"/>
              <w:ind w:right="152"/>
              <w:spacing w:after="0"/>
              <w:rPr>
                <w:sz w:val="20"/>
                <w:szCs w:val="20"/>
                <w:color w:val="auto"/>
              </w:rPr>
            </w:pPr>
            <w:r>
              <w:rPr>
                <w:rFonts w:ascii="Arial" w:cs="Arial" w:eastAsia="Arial" w:hAnsi="Arial"/>
                <w:sz w:val="14"/>
                <w:szCs w:val="14"/>
                <w:color w:val="auto"/>
              </w:rPr>
              <w:t>($/Boe)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color w:val="auto"/>
              </w:rPr>
              <w:t>(millions)</w:t>
            </w:r>
          </w:p>
        </w:tc>
        <w:tc>
          <w:tcPr>
            <w:tcW w:w="20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color w:val="auto"/>
              </w:rPr>
              <w:t>($/Boe)</w:t>
            </w: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color w:val="auto"/>
              </w:rPr>
              <w:t>(millions)</w:t>
            </w:r>
          </w:p>
        </w:tc>
        <w:tc>
          <w:tcPr>
            <w:tcW w:w="220" w:type="dxa"/>
            <w:vAlign w:val="bottom"/>
          </w:tcPr>
          <w:p>
            <w:pPr>
              <w:spacing w:after="0"/>
              <w:rPr>
                <w:sz w:val="20"/>
                <w:szCs w:val="20"/>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color w:val="auto"/>
              </w:rPr>
              <w:t>($/Boe)</w:t>
            </w:r>
          </w:p>
        </w:tc>
      </w:tr>
      <w:tr>
        <w:trPr>
          <w:trHeight w:val="23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natural gas and natural gas liquids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0.54</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Operating costs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26.24</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Exploration expenses</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Pretax income</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w:t>
            </w:r>
          </w:p>
        </w:tc>
      </w:tr>
      <w:tr>
        <w:trPr>
          <w:trHeight w:val="230"/>
        </w:trPr>
        <w:tc>
          <w:tcPr>
            <w:tcW w:w="47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Income tax provision</w:t>
            </w:r>
            <w:r>
              <w:rPr>
                <w:rFonts w:ascii="Arial" w:cs="Arial" w:eastAsia="Arial" w:hAnsi="Arial"/>
                <w:sz w:val="23"/>
                <w:szCs w:val="23"/>
                <w:color w:val="auto"/>
                <w:vertAlign w:val="superscript"/>
              </w:rPr>
              <w:t>(a)</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Results of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right="140"/>
        <w:spacing w:after="0" w:line="270" w:lineRule="auto"/>
        <w:rPr>
          <w:sz w:val="20"/>
          <w:szCs w:val="20"/>
          <w:color w:val="auto"/>
        </w:rPr>
      </w:pPr>
      <w:r>
        <w:rPr>
          <w:rFonts w:ascii="Arial" w:cs="Arial" w:eastAsia="Arial" w:hAnsi="Arial"/>
          <w:sz w:val="14"/>
          <w:szCs w:val="14"/>
          <w:color w:val="auto"/>
        </w:rPr>
        <w:t>Note: Beginning in 2025, we updated our Results of Operations to include revenues, including sales to affiliates, less operating costs, exploration expenses, DD&amp;A impairment an income taxes. Results of Operations do not include the effects of derivatives. The results presented in 2024 and 2023 have been updated to conform to the current presentation.</w:t>
      </w:r>
    </w:p>
    <w:p>
      <w:pPr>
        <w:spacing w:after="0" w:line="151" w:lineRule="exact"/>
        <w:rPr>
          <w:sz w:val="20"/>
          <w:szCs w:val="20"/>
          <w:color w:val="auto"/>
        </w:rPr>
      </w:pPr>
    </w:p>
    <w:p>
      <w:pPr>
        <w:ind w:left="340" w:right="80" w:hanging="332"/>
        <w:spacing w:after="0" w:line="284"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Income taxes are calculated on the basis of a stand-alone tax filing entity. The combined U.S. federal and California statutory tax rate was 27% in 2025 and 2024 and 28% in 2023. The effective tax rates for 2025 and 2024 include the benefit of marginal well tax credits.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STANDARDIZED MEASURE, INCLUDING YEAR-TO-YEAR CHANGES THEREIN, OF DISCOUNTED FUTURE NET CASH FLOWS</w:t>
      </w:r>
    </w:p>
    <w:p>
      <w:pPr>
        <w:spacing w:after="0" w:line="1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purposes of the following disclosures, discounted future net cash flows were computed by applying to our proved oil and natural gas reserves the unweighted arithmetic average of the first-day-of-the-month price for each month within the years ended December 31, 2025, 2024 and 2023, respectively. The realized prices used to calculate future cash flows vary by producing area and market conditions. Future operating and capital costs were determined using the current cost environment applied to expectations of future operating and development activities. Future income tax expense was computed by applying, generally, year-end statutory tax rates (adjusted for permanent differences and tax credits) to the estimated net future pre-tax cash flows, after allowing for the deductions for intangible drilling costs and tax DD&amp;A. The cash flows were discounted using a 10% discount factor. The calculations assumed the continuation of existing economic, operating and contractual conditions at December 31, 2025, 2024 and 2023. Such assumptions, which are prescribed by regulation, have not always proven accurate in the past. Other valid assumptions would give rise to substantially different results.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Standardized Measure of Discounted Future Net Cash Flows</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85"/>
        </w:trPr>
        <w:tc>
          <w:tcPr>
            <w:tcW w:w="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4"/>
                <w:szCs w:val="2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4"/>
                <w:szCs w:val="24"/>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8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r>
      <w:tr>
        <w:trPr>
          <w:trHeight w:val="233"/>
        </w:trPr>
        <w:tc>
          <w:tcPr>
            <w:tcW w:w="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4"/>
        </w:trPr>
        <w:tc>
          <w:tcPr>
            <w:tcW w:w="80" w:type="dxa"/>
            <w:vAlign w:val="bottom"/>
          </w:tcPr>
          <w:p>
            <w:pPr>
              <w:spacing w:after="0"/>
              <w:rPr>
                <w:sz w:val="20"/>
                <w:szCs w:val="20"/>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cash inflows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24,813</w:t>
            </w:r>
          </w:p>
        </w:tc>
      </w:tr>
      <w:tr>
        <w:trPr>
          <w:trHeight w:val="229"/>
        </w:trPr>
        <w:tc>
          <w:tcPr>
            <w:tcW w:w="8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Future costs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61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Operating costs</w:t>
            </w:r>
            <w:r>
              <w:rPr>
                <w:rFonts w:ascii="Arial" w:cs="Arial" w:eastAsia="Arial" w:hAnsi="Arial"/>
                <w:sz w:val="23"/>
                <w:szCs w:val="23"/>
                <w:color w:val="auto"/>
                <w:vertAlign w:val="superscript"/>
              </w:rPr>
              <w:t>(a)</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(12,479)</w:t>
            </w:r>
          </w:p>
        </w:tc>
      </w:tr>
      <w:tr>
        <w:trPr>
          <w:trHeight w:val="230"/>
        </w:trPr>
        <w:tc>
          <w:tcPr>
            <w:tcW w:w="80" w:type="dxa"/>
            <w:vAlign w:val="bottom"/>
          </w:tcPr>
          <w:p>
            <w:pPr>
              <w:spacing w:after="0"/>
              <w:rPr>
                <w:sz w:val="19"/>
                <w:szCs w:val="19"/>
                <w:color w:val="auto"/>
              </w:rPr>
            </w:pPr>
          </w:p>
        </w:tc>
        <w:tc>
          <w:tcPr>
            <w:tcW w:w="6160" w:type="dxa"/>
            <w:vAlign w:val="bottom"/>
          </w:tcPr>
          <w:p>
            <w:pPr>
              <w:ind w:left="140"/>
              <w:spacing w:after="0" w:line="230" w:lineRule="exact"/>
              <w:rPr>
                <w:sz w:val="20"/>
                <w:szCs w:val="20"/>
                <w:color w:val="auto"/>
              </w:rPr>
            </w:pPr>
            <w:r>
              <w:rPr>
                <w:rFonts w:ascii="Arial" w:cs="Arial" w:eastAsia="Arial" w:hAnsi="Arial"/>
                <w:sz w:val="18"/>
                <w:szCs w:val="18"/>
                <w:color w:val="auto"/>
              </w:rPr>
              <w:t>Development costs</w:t>
            </w:r>
            <w:r>
              <w:rPr>
                <w:rFonts w:ascii="Arial" w:cs="Arial" w:eastAsia="Arial" w:hAnsi="Arial"/>
                <w:sz w:val="23"/>
                <w:szCs w:val="23"/>
                <w:color w:val="auto"/>
                <w:vertAlign w:val="superscript"/>
              </w:rPr>
              <w:t>(b)</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(1,805)</w:t>
            </w:r>
          </w:p>
        </w:tc>
      </w:tr>
      <w:tr>
        <w:trPr>
          <w:trHeight w:val="229"/>
        </w:trPr>
        <w:tc>
          <w:tcPr>
            <w:tcW w:w="80" w:type="dxa"/>
            <w:vAlign w:val="bottom"/>
          </w:tcPr>
          <w:p>
            <w:pPr>
              <w:spacing w:after="0"/>
              <w:rPr>
                <w:sz w:val="19"/>
                <w:szCs w:val="19"/>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w:t>
            </w:r>
          </w:p>
        </w:tc>
      </w:tr>
      <w:tr>
        <w:trPr>
          <w:trHeight w:val="223"/>
        </w:trPr>
        <w:tc>
          <w:tcPr>
            <w:tcW w:w="8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Future net cash flows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11,849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7,745</w:t>
            </w:r>
          </w:p>
        </w:tc>
      </w:tr>
      <w:tr>
        <w:trPr>
          <w:trHeight w:val="230"/>
        </w:trPr>
        <w:tc>
          <w:tcPr>
            <w:tcW w:w="80" w:type="dxa"/>
            <w:vAlign w:val="bottom"/>
          </w:tcPr>
          <w:p>
            <w:pPr>
              <w:spacing w:after="0"/>
              <w:rPr>
                <w:sz w:val="19"/>
                <w:szCs w:val="19"/>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 percent discount factor</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w:t>
            </w:r>
          </w:p>
        </w:tc>
      </w:tr>
      <w:tr>
        <w:trPr>
          <w:trHeight w:val="223"/>
        </w:trPr>
        <w:tc>
          <w:tcPr>
            <w:tcW w:w="8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8"/>
                <w:szCs w:val="18"/>
                <w:b w:val="1"/>
                <w:bCs w:val="1"/>
                <w:color w:val="auto"/>
              </w:rPr>
              <w:t>Standardized measure of discounted future net cash flows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w:t>
            </w:r>
          </w:p>
        </w:tc>
      </w:tr>
      <w:tr>
        <w:trPr>
          <w:trHeight w:val="21"/>
        </w:trPr>
        <w:tc>
          <w:tcPr>
            <w:tcW w:w="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480" w:hanging="310"/>
        <w:spacing w:after="0"/>
        <w:tabs>
          <w:tab w:leader="none" w:pos="4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general and administrative expenses related to our field operations and taxes other than on income.</w:t>
      </w:r>
    </w:p>
    <w:p>
      <w:pPr>
        <w:spacing w:after="0" w:line="28" w:lineRule="exact"/>
        <w:rPr>
          <w:rFonts w:ascii="Arial" w:cs="Arial" w:eastAsia="Arial" w:hAnsi="Arial"/>
          <w:sz w:val="14"/>
          <w:szCs w:val="14"/>
          <w:color w:val="auto"/>
        </w:rPr>
      </w:pPr>
    </w:p>
    <w:p>
      <w:pPr>
        <w:ind w:left="480" w:hanging="310"/>
        <w:spacing w:after="0"/>
        <w:tabs>
          <w:tab w:leader="none" w:pos="4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asset retirement costs.</w:t>
      </w:r>
    </w:p>
    <w:p>
      <w:pPr>
        <w:sectPr>
          <w:pgSz w:w="11900" w:h="16838" w:orient="portrait"/>
          <w:cols w:equalWidth="0" w:num="1">
            <w:col w:w="11240"/>
          </w:cols>
          <w:pgMar w:left="320" w:top="161" w:right="3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Standardized Measure of Discounted Future Net Cash Flows from Proved Reserve Quantities</w:t>
      </w:r>
    </w:p>
    <w:p>
      <w:pPr>
        <w:sectPr>
          <w:pgSz w:w="11900" w:h="16838" w:orient="portrait"/>
          <w:cols w:equalWidth="0" w:num="1">
            <w:col w:w="11240"/>
          </w:cols>
          <w:pgMar w:left="320" w:top="161" w:right="339" w:bottom="1440" w:gutter="0" w:footer="0" w:header="0"/>
          <w:type w:val="continuous"/>
        </w:sectPr>
      </w:pPr>
    </w:p>
    <w:bookmarkStart w:id="148" w:name="page149"/>
    <w:bookmarkEnd w:id="148"/>
    <w:tbl>
      <w:tblPr>
        <w:tblLayout w:type="fixed"/>
        <w:tblInd w:w="0" w:type="dxa"/>
        <w:tblCellMar>
          <w:top w:w="0" w:type="dxa"/>
          <w:left w:w="0" w:type="dxa"/>
          <w:bottom w:w="0" w:type="dxa"/>
          <w:right w:w="0" w:type="dxa"/>
        </w:tblCellMar>
      </w:tblPr>
      <w:tr>
        <w:trPr>
          <w:trHeight w:val="235"/>
        </w:trPr>
        <w:tc>
          <w:tcPr>
            <w:tcW w:w="7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r>
      <w:tr>
        <w:trPr>
          <w:trHeight w:val="232"/>
        </w:trPr>
        <w:tc>
          <w:tcPr>
            <w:tcW w:w="7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4"/>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of year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6,726</w:t>
            </w:r>
          </w:p>
        </w:tc>
      </w:tr>
      <w:tr>
        <w:trPr>
          <w:trHeight w:val="229"/>
        </w:trPr>
        <w:tc>
          <w:tcPr>
            <w:tcW w:w="7120" w:type="dxa"/>
            <w:vAlign w:val="bottom"/>
          </w:tcPr>
          <w:p>
            <w:pPr>
              <w:ind w:left="140"/>
              <w:spacing w:after="0"/>
              <w:rPr>
                <w:sz w:val="20"/>
                <w:szCs w:val="20"/>
                <w:color w:val="auto"/>
              </w:rPr>
            </w:pPr>
            <w:r>
              <w:rPr>
                <w:rFonts w:ascii="Arial" w:cs="Arial" w:eastAsia="Arial" w:hAnsi="Arial"/>
                <w:sz w:val="18"/>
                <w:szCs w:val="18"/>
                <w:color w:val="auto"/>
              </w:rPr>
              <w:t>Sales of oil and natural gas, net of production and other operating costs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(1,604)</w:t>
            </w:r>
          </w:p>
        </w:tc>
      </w:tr>
      <w:tr>
        <w:trPr>
          <w:trHeight w:val="230"/>
        </w:trPr>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price, net of production and other operating costs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r>
      <w:tr>
        <w:trPr>
          <w:trHeight w:val="229"/>
        </w:trPr>
        <w:tc>
          <w:tcPr>
            <w:tcW w:w="7120" w:type="dxa"/>
            <w:vAlign w:val="bottom"/>
          </w:tcPr>
          <w:p>
            <w:pPr>
              <w:ind w:left="140"/>
              <w:spacing w:after="0"/>
              <w:rPr>
                <w:sz w:val="20"/>
                <w:szCs w:val="20"/>
                <w:color w:val="auto"/>
              </w:rPr>
            </w:pPr>
            <w:r>
              <w:rPr>
                <w:rFonts w:ascii="Arial" w:cs="Arial" w:eastAsia="Arial" w:hAnsi="Arial"/>
                <w:sz w:val="18"/>
                <w:szCs w:val="18"/>
                <w:color w:val="auto"/>
              </w:rPr>
              <w:t>Previously estimated development costs incurred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estimated future development costs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Extensions, discoveries and improved recovery, net of costs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71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Revisions of previous quantity estimates</w:t>
            </w:r>
            <w:r>
              <w:rPr>
                <w:rFonts w:ascii="Arial" w:cs="Arial" w:eastAsia="Arial" w:hAnsi="Arial"/>
                <w:sz w:val="23"/>
                <w:szCs w:val="23"/>
                <w:color w:val="auto"/>
                <w:vertAlign w:val="superscript"/>
              </w:rPr>
              <w:t>(a)</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7120" w:type="dxa"/>
            <w:vAlign w:val="bottom"/>
          </w:tcPr>
          <w:p>
            <w:pPr>
              <w:ind w:left="140"/>
              <w:spacing w:after="0"/>
              <w:rPr>
                <w:sz w:val="20"/>
                <w:szCs w:val="20"/>
                <w:color w:val="auto"/>
              </w:rPr>
            </w:pPr>
            <w:r>
              <w:rPr>
                <w:rFonts w:ascii="Arial" w:cs="Arial" w:eastAsia="Arial" w:hAnsi="Arial"/>
                <w:sz w:val="18"/>
                <w:szCs w:val="18"/>
                <w:color w:val="auto"/>
              </w:rPr>
              <w:t>Accretion of discount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30"/>
        </w:trPr>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r>
      <w:tr>
        <w:trPr>
          <w:trHeight w:val="229"/>
        </w:trPr>
        <w:tc>
          <w:tcPr>
            <w:tcW w:w="7120" w:type="dxa"/>
            <w:vAlign w:val="bottom"/>
          </w:tcPr>
          <w:p>
            <w:pPr>
              <w:ind w:left="140"/>
              <w:spacing w:after="0"/>
              <w:rPr>
                <w:sz w:val="20"/>
                <w:szCs w:val="20"/>
                <w:color w:val="auto"/>
              </w:rPr>
            </w:pPr>
            <w:r>
              <w:rPr>
                <w:rFonts w:ascii="Arial" w:cs="Arial" w:eastAsia="Arial" w:hAnsi="Arial"/>
                <w:sz w:val="18"/>
                <w:szCs w:val="18"/>
                <w:color w:val="auto"/>
              </w:rPr>
              <w:t>Purchases and sales of reserves in place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timing of estimated future production and other</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change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w:t>
            </w: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4"/>
          <w:szCs w:val="14"/>
          <w:color w:val="auto"/>
        </w:rPr>
        <w:t>(a)</w:t>
        <w:tab/>
        <w:t>Includes revisions related to performance and price changes.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149" w:name="page150"/>
    <w:bookmarkEnd w:id="149"/>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Assessment of and Report on Internal Control Over Financial Reporting</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system of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208"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 xml:space="preserve">Our management has assessed the effectiveness of our internal control system as of December 31, 2025 based on the criteria for effective internal control over financial reporting described in Internal Control – Integrated Framework issued in 2013 by the Committee of Sponsoring Organizations of the Treadway Commission (COSO). Based on this assessment, our management believes that, as of December 31, 2025, our system of internal control over financial reporting is effective. As described in </w:t>
      </w:r>
      <w:r>
        <w:rPr>
          <w:rFonts w:ascii="Arial" w:cs="Arial" w:eastAsia="Arial" w:hAnsi="Arial"/>
          <w:sz w:val="18"/>
          <w:szCs w:val="18"/>
          <w:i w:val="1"/>
          <w:iCs w:val="1"/>
          <w:color w:val="auto"/>
        </w:rPr>
        <w:t>Part II, Item 8 – 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Supplementary Data, Note 2 Business Combinations, </w:t>
      </w:r>
      <w:r>
        <w:rPr>
          <w:rFonts w:ascii="Arial" w:cs="Arial" w:eastAsia="Arial" w:hAnsi="Arial"/>
          <w:sz w:val="18"/>
          <w:szCs w:val="18"/>
          <w:color w:val="auto"/>
        </w:rPr>
        <w:t>we completed a merger with Berry on December 18, 2025. Berry was excluded</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scope of our assessment of internal controls over financial reporting as of December 31, 2025, because it was acquired in a business combination during 2025. The total assets of Berry represented approximately 12% of the related consolidated financial statement amounts as of December 31, 2025. The total revenue of Berry represented less than 1% of the related consolidated financial statement amount for the year ended December 31, 2025.</w:t>
      </w:r>
    </w:p>
    <w:p>
      <w:pPr>
        <w:spacing w:after="0" w:line="208"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 xml:space="preserve">Our independent auditors, KPMG LLP, have issued a report on our internal control over financial reporting, which is set forth in </w:t>
      </w:r>
      <w:r>
        <w:rPr>
          <w:rFonts w:ascii="Arial" w:cs="Arial" w:eastAsia="Arial" w:hAnsi="Arial"/>
          <w:sz w:val="18"/>
          <w:szCs w:val="18"/>
          <w:i w:val="1"/>
          <w:iCs w:val="1"/>
          <w:color w:val="auto"/>
        </w:rPr>
        <w:t>Item 8 –</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and Supplementary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2" w:lineRule="exact"/>
        <w:rPr>
          <w:sz w:val="20"/>
          <w:szCs w:val="20"/>
          <w:color w:val="auto"/>
        </w:rPr>
      </w:pPr>
    </w:p>
    <w:p>
      <w:pPr>
        <w:ind w:right="60" w:firstLine="200"/>
        <w:spacing w:after="0" w:line="253" w:lineRule="auto"/>
        <w:rPr>
          <w:sz w:val="20"/>
          <w:szCs w:val="20"/>
          <w:color w:val="auto"/>
        </w:rPr>
      </w:pPr>
      <w:r>
        <w:rPr>
          <w:rFonts w:ascii="Arial" w:cs="Arial" w:eastAsia="Arial" w:hAnsi="Arial"/>
          <w:sz w:val="18"/>
          <w:szCs w:val="18"/>
          <w:color w:val="auto"/>
        </w:rPr>
        <w:t xml:space="preserve">Our Chief Executive Officer and Chief Financial Officer supervised and participated in management's evaluation of our disclosure controls and procedures (as defined in Rules 13a-15(e) and 15d-15(e) under the Securities Exchange Act of 1934) as of the end of the period covered by this Annual Report on Form 10-K. Based upon that evaluation, our Chief Executive Officer and our Chief Financial Officer concluded that as of December 31, 2025, our disclosure controls and procedures were effective and were designed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Chief Executive Officer and our Chief Financial Officer, as appropriate, to allow timely decisions regarding required disclosure. As disclosed in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 Note 2 Business Combinations</w:t>
      </w:r>
      <w:r>
        <w:rPr>
          <w:rFonts w:ascii="Arial" w:cs="Arial" w:eastAsia="Arial" w:hAnsi="Arial"/>
          <w:sz w:val="18"/>
          <w:szCs w:val="18"/>
          <w:color w:val="auto"/>
        </w:rPr>
        <w:t>, we completed the Berry Merger on December 18, 2025. As part of the ongoing</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integration of Berry, we are in process of incorporating the controls and related procedures of Berry. Management's evaluation of our disclosure controls and procedures as of December 31, 2025 excludes an evaluation of the disclosure controls and procedures of Berry. The total assets of Berry represented approximately 12% of the related consolidated financial statement amounts as of December 31, 2025. The total revenue of Berry represented less than 1% of the related consolidated financial statement amount for the year ended December 31, 2025.</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Changes in Internal Control</w:t>
      </w:r>
    </w:p>
    <w:p>
      <w:pPr>
        <w:spacing w:after="0" w:line="252" w:lineRule="exact"/>
        <w:rPr>
          <w:sz w:val="20"/>
          <w:szCs w:val="20"/>
          <w:color w:val="auto"/>
        </w:rPr>
      </w:pPr>
    </w:p>
    <w:p>
      <w:pPr>
        <w:ind w:right="520" w:firstLine="324"/>
        <w:spacing w:after="0" w:line="268" w:lineRule="auto"/>
        <w:rPr>
          <w:sz w:val="20"/>
          <w:szCs w:val="20"/>
          <w:color w:val="auto"/>
        </w:rPr>
      </w:pPr>
      <w:r>
        <w:rPr>
          <w:rFonts w:ascii="Arial" w:cs="Arial" w:eastAsia="Arial" w:hAnsi="Arial"/>
          <w:sz w:val="18"/>
          <w:szCs w:val="18"/>
          <w:color w:val="auto"/>
        </w:rPr>
        <w:t>Other than the on-going incorporation of Berry's controls, there were no changes in our internal controls over financial reporting (as defined in Rules 13a-15(f) and 15d-15(f) of the Exchange Act of 1934) during the three months ended December 31, 2025 that have materially affected, or are reasonably likely to materially affect, our internal controls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52" w:lineRule="exact"/>
        <w:rPr>
          <w:sz w:val="20"/>
          <w:szCs w:val="20"/>
          <w:color w:val="auto"/>
        </w:rPr>
      </w:pPr>
    </w:p>
    <w:p>
      <w:pPr>
        <w:ind w:right="540" w:firstLine="324"/>
        <w:spacing w:after="0" w:line="287"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w:t>
      </w:r>
    </w:p>
    <w:p>
      <w:pPr>
        <w:spacing w:after="0" w:line="1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Arrangements</w:t>
      </w:r>
    </w:p>
    <w:p>
      <w:pPr>
        <w:spacing w:after="0" w:line="250"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color w:val="auto"/>
        </w:rPr>
        <w:t>During the three months ended December 31, 2025, no directors or officers adopted or terminated a “Rule 10b5-1 trading arrangement” or “non-Rule 10b5-1 trading arrangement,” as each term is defined in Item 408 of Regulation S-K.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Bylaws</w:t>
      </w:r>
    </w:p>
    <w:p>
      <w:pPr>
        <w:spacing w:after="0" w:line="25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February 24, 2026, the Board amended and restated the Company’s Amended and Restated Bylaws to clarify, among other things, (i) notice requirements for adjournment of remote meetings, (ii) requirements for notices of shareholder meetings, (iii) information to be provided by shareholders who submit proposals at the Company’s annual meeting and (iv) make various other updates, including clarifying, ministerial and conforming changes. The above description of the Company’s Second Amended and Restated Bylaws is a summary and does not purport to be complete. It is subject to and qualified in its entirety by reference to such Second Amended and Restated Bylaws filed herewith as Exhibit 3.4 to this Annual Report on Form 10-K.</w:t>
      </w:r>
    </w:p>
    <w:p>
      <w:pPr>
        <w:spacing w:after="0" w:line="20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51" w:name="page152"/>
    <w:bookmarkEnd w:id="151"/>
    <w:p>
      <w:pPr>
        <w:spacing w:after="0"/>
        <w:rPr>
          <w:sz w:val="20"/>
          <w:szCs w:val="20"/>
          <w:color w:val="auto"/>
        </w:rPr>
      </w:pPr>
      <w:r>
        <w:rPr>
          <w:rFonts w:ascii="Arial" w:cs="Arial" w:eastAsia="Arial" w:hAnsi="Arial"/>
          <w:sz w:val="20"/>
          <w:szCs w:val="20"/>
          <w:b w:val="1"/>
          <w:bCs w:val="1"/>
          <w:color w:val="auto"/>
        </w:rPr>
        <w:t>PART III</w:t>
      </w:r>
    </w:p>
    <w:p>
      <w:pPr>
        <w:spacing w:after="0" w:line="26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52" w:lineRule="exact"/>
        <w:rPr>
          <w:sz w:val="20"/>
          <w:szCs w:val="20"/>
          <w:color w:val="auto"/>
        </w:rPr>
      </w:pPr>
    </w:p>
    <w:p>
      <w:pPr>
        <w:ind w:right="120" w:firstLine="283"/>
        <w:spacing w:after="0" w:line="268" w:lineRule="auto"/>
        <w:rPr>
          <w:sz w:val="20"/>
          <w:szCs w:val="20"/>
          <w:color w:val="auto"/>
        </w:rPr>
      </w:pPr>
      <w:r>
        <w:rPr>
          <w:rFonts w:ascii="Arial" w:cs="Arial" w:eastAsia="Arial" w:hAnsi="Arial"/>
          <w:sz w:val="18"/>
          <w:szCs w:val="18"/>
          <w:color w:val="auto"/>
        </w:rPr>
        <w:t>The information required by this item is incorporated by reference from our Proxy Statement for the 2026 Annual Meeting of Stockholders, which will be filed with the SEC within 120 days of the fiscal year ended December 31, 2025 (2026 Proxy Statement). See the list of our executive officers and related information below.</w:t>
      </w:r>
    </w:p>
    <w:p>
      <w:pPr>
        <w:spacing w:after="0" w:line="198" w:lineRule="exact"/>
        <w:rPr>
          <w:sz w:val="20"/>
          <w:szCs w:val="20"/>
          <w:color w:val="auto"/>
        </w:rPr>
      </w:pPr>
    </w:p>
    <w:p>
      <w:pPr>
        <w:ind w:right="100" w:firstLine="283"/>
        <w:spacing w:after="0" w:line="268" w:lineRule="auto"/>
        <w:rPr>
          <w:sz w:val="20"/>
          <w:szCs w:val="20"/>
          <w:color w:val="auto"/>
        </w:rPr>
      </w:pPr>
      <w:r>
        <w:rPr>
          <w:rFonts w:ascii="Arial" w:cs="Arial" w:eastAsia="Arial" w:hAnsi="Arial"/>
          <w:sz w:val="18"/>
          <w:szCs w:val="18"/>
          <w:color w:val="auto"/>
        </w:rPr>
        <w:t>Our board of directors has adopted a code of business conduct applicable to all officers, directors and employees, which is available on our website (www.crc.com). We intend to satisfy the disclosure requirement under Item 5.05 of Form 8-K regarding amendment to, or waiver from, a provision of our code of business conduct by posting such information on our website at the address specified above.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Executive officers are appointed annually by the Board of Directors. The following table sets forth our current executive officers: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6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Employment History</w:t>
            </w:r>
          </w:p>
        </w:tc>
        <w:tc>
          <w:tcPr>
            <w:tcW w:w="2080" w:type="dxa"/>
            <w:vAlign w:val="bottom"/>
            <w:gridSpan w:val="2"/>
          </w:tcPr>
          <w:p>
            <w:pPr>
              <w:ind w:left="20"/>
              <w:spacing w:after="0"/>
              <w:rPr>
                <w:sz w:val="20"/>
                <w:szCs w:val="20"/>
                <w:color w:val="auto"/>
              </w:rPr>
            </w:pPr>
            <w:r>
              <w:rPr>
                <w:rFonts w:ascii="Arial" w:cs="Arial" w:eastAsia="Arial" w:hAnsi="Arial"/>
                <w:sz w:val="18"/>
                <w:szCs w:val="18"/>
                <w:b w:val="1"/>
                <w:bCs w:val="1"/>
                <w:color w:val="auto"/>
              </w:rPr>
              <w:t>Age at</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2260" w:type="dxa"/>
            <w:vAlign w:val="bottom"/>
            <w:gridSpan w:val="2"/>
            <w:vMerge w:val="continue"/>
          </w:tcPr>
          <w:p>
            <w:pPr>
              <w:spacing w:after="0"/>
              <w:rPr>
                <w:sz w:val="20"/>
                <w:szCs w:val="20"/>
                <w:color w:val="auto"/>
              </w:rPr>
            </w:pPr>
          </w:p>
        </w:tc>
        <w:tc>
          <w:tcPr>
            <w:tcW w:w="6860" w:type="dxa"/>
            <w:vAlign w:val="bottom"/>
            <w:gridSpan w:val="2"/>
            <w:vMerge w:val="continue"/>
          </w:tcPr>
          <w:p>
            <w:pPr>
              <w:spacing w:after="0"/>
              <w:rPr>
                <w:sz w:val="20"/>
                <w:szCs w:val="20"/>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2, 2026</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2160" w:type="dxa"/>
            <w:vAlign w:val="bottom"/>
            <w:tcBorders>
              <w:top w:val="single" w:sz="8" w:color="auto"/>
            </w:tcBorders>
            <w:shd w:val="clear" w:color="auto" w:fill="CCEEFF"/>
          </w:tcPr>
          <w:p>
            <w:pPr>
              <w:ind w:left="20"/>
              <w:spacing w:after="0" w:line="177" w:lineRule="exact"/>
              <w:rPr>
                <w:sz w:val="20"/>
                <w:szCs w:val="20"/>
                <w:color w:val="auto"/>
              </w:rPr>
            </w:pPr>
            <w:r>
              <w:rPr>
                <w:rFonts w:ascii="Arial" w:cs="Arial" w:eastAsia="Arial" w:hAnsi="Arial"/>
                <w:sz w:val="18"/>
                <w:szCs w:val="18"/>
                <w:color w:val="auto"/>
              </w:rPr>
              <w:t>Francisco J. Leon</w:t>
            </w:r>
          </w:p>
        </w:tc>
        <w:tc>
          <w:tcPr>
            <w:tcW w:w="100" w:type="dxa"/>
            <w:vAlign w:val="bottom"/>
            <w:tcBorders>
              <w:top w:val="single" w:sz="8" w:color="CCEEFF"/>
            </w:tcBorders>
            <w:shd w:val="clear" w:color="auto" w:fill="CCEEFF"/>
          </w:tcPr>
          <w:p>
            <w:pPr>
              <w:spacing w:after="0"/>
              <w:rPr>
                <w:sz w:val="15"/>
                <w:szCs w:val="15"/>
                <w:color w:val="auto"/>
              </w:rPr>
            </w:pPr>
          </w:p>
        </w:tc>
        <w:tc>
          <w:tcPr>
            <w:tcW w:w="6760" w:type="dxa"/>
            <w:vAlign w:val="bottom"/>
            <w:tcBorders>
              <w:top w:val="single" w:sz="8" w:color="auto"/>
            </w:tcBorders>
            <w:shd w:val="clear" w:color="auto" w:fill="CCEEFF"/>
          </w:tcPr>
          <w:p>
            <w:pPr>
              <w:ind w:left="20"/>
              <w:spacing w:after="0" w:line="177" w:lineRule="exact"/>
              <w:rPr>
                <w:sz w:val="20"/>
                <w:szCs w:val="20"/>
                <w:color w:val="auto"/>
              </w:rPr>
            </w:pPr>
            <w:r>
              <w:rPr>
                <w:rFonts w:ascii="Arial" w:cs="Arial" w:eastAsia="Arial" w:hAnsi="Arial"/>
                <w:sz w:val="18"/>
                <w:szCs w:val="18"/>
                <w:color w:val="auto"/>
              </w:rPr>
              <w:t>President, Chief Executive Officer and Director since 2023; Executive Vice</w:t>
            </w:r>
          </w:p>
        </w:tc>
        <w:tc>
          <w:tcPr>
            <w:tcW w:w="100" w:type="dxa"/>
            <w:vAlign w:val="bottom"/>
            <w:tcBorders>
              <w:top w:val="single" w:sz="8" w:color="CCEEFF"/>
            </w:tcBorders>
            <w:shd w:val="clear" w:color="auto" w:fill="CCEEFF"/>
          </w:tcPr>
          <w:p>
            <w:pPr>
              <w:spacing w:after="0"/>
              <w:rPr>
                <w:sz w:val="15"/>
                <w:szCs w:val="15"/>
                <w:color w:val="auto"/>
              </w:rPr>
            </w:pPr>
          </w:p>
        </w:tc>
        <w:tc>
          <w:tcPr>
            <w:tcW w:w="2060" w:type="dxa"/>
            <w:vAlign w:val="bottom"/>
            <w:tcBorders>
              <w:top w:val="single" w:sz="8" w:color="auto"/>
            </w:tcBorders>
            <w:shd w:val="clear" w:color="auto" w:fill="CCEEFF"/>
          </w:tcPr>
          <w:p>
            <w:pPr>
              <w:jc w:val="right"/>
              <w:ind w:right="850"/>
              <w:spacing w:after="0" w:line="177"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8"/>
                <w:szCs w:val="18"/>
                <w:color w:val="auto"/>
              </w:rPr>
              <w:t>President and Chief Financial Officer 2020 to 2023; Executive Vice President -</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Corporate Development and Strategic Planning 2018 to 2020; Vice President -</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Portfolio Management and Strategic Planning 2014 to 2018; Occidental Director -</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8"/>
                <w:szCs w:val="18"/>
                <w:color w:val="auto"/>
              </w:rPr>
              <w:t>Portfolio Management 2012 to 2014; Occidental Director of Corporate Development</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and M&amp;A 2010 to 2012; Occidental Manager of Business Development 2008 to</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2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Clio Crespy</w:t>
            </w:r>
          </w:p>
        </w:tc>
        <w:tc>
          <w:tcPr>
            <w:tcW w:w="68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Executive Vice President and Chief Financial Officer since 2025; Guggenheim</w:t>
            </w:r>
          </w:p>
        </w:tc>
        <w:tc>
          <w:tcPr>
            <w:tcW w:w="2060" w:type="dxa"/>
            <w:vAlign w:val="bottom"/>
          </w:tcPr>
          <w:p>
            <w:pPr>
              <w:jc w:val="right"/>
              <w:ind w:right="850"/>
              <w:spacing w:after="0" w:line="183"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Securities Senior Managing Director, Investment Banking, Global Energy &amp; Power</w:t>
            </w: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2020 to 2024; Evercore Managing Director 2017 to 2020; BNP Paribas VP,</w:t>
            </w: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Investment Banking 2008 to 2017.</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2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Omar Hayat</w:t>
            </w:r>
          </w:p>
        </w:tc>
        <w:tc>
          <w:tcPr>
            <w:tcW w:w="68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Executive Vice President and Chief Operating Officer since 2025; Executive Vice</w:t>
            </w:r>
          </w:p>
        </w:tc>
        <w:tc>
          <w:tcPr>
            <w:tcW w:w="2060" w:type="dxa"/>
            <w:vAlign w:val="bottom"/>
            <w:shd w:val="clear" w:color="auto" w:fill="CCEEFF"/>
          </w:tcPr>
          <w:p>
            <w:pPr>
              <w:jc w:val="right"/>
              <w:ind w:right="850"/>
              <w:spacing w:after="0" w:line="183"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8"/>
                <w:szCs w:val="18"/>
                <w:color w:val="auto"/>
              </w:rPr>
              <w:t>President Operations 2023 to 2025; Senior Vice President Operations 2023; Vice</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President of Operations for Elk Hills production complex from 2021 to 2023;</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Operations Manager 2019 to 2021; various technical and operational positions with</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8"/>
                <w:szCs w:val="18"/>
                <w:color w:val="auto"/>
              </w:rPr>
              <w:t>the Company, Occidental Petroleum, Aera Energy and Engro Chemical (formerly</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Exxon Chemical) 1997 to 2019.</w:t>
            </w:r>
          </w:p>
        </w:tc>
        <w:tc>
          <w:tcPr>
            <w:tcW w:w="2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2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Michael L. Preston</w:t>
            </w:r>
          </w:p>
        </w:tc>
        <w:tc>
          <w:tcPr>
            <w:tcW w:w="68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Executive Vice President, Chief Strategy Officer and General Counsel since 2023;</w:t>
            </w:r>
          </w:p>
        </w:tc>
        <w:tc>
          <w:tcPr>
            <w:tcW w:w="2060" w:type="dxa"/>
            <w:vAlign w:val="bottom"/>
          </w:tcPr>
          <w:p>
            <w:pPr>
              <w:jc w:val="right"/>
              <w:ind w:right="850"/>
              <w:spacing w:after="0" w:line="183"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Executive Vice President, Chief Administrative Officer and General Counsel 2019 to</w:t>
            </w: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2023; Executive Vice President, General Counsel and Corporate Secretary 2014 to</w:t>
            </w: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2019; Occidental Oil and Gas Vice President and General Counsel 2001 to 2014.</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2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Jay A. Bys</w:t>
            </w:r>
          </w:p>
        </w:tc>
        <w:tc>
          <w:tcPr>
            <w:tcW w:w="68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Executive Vice President and Chief Commercial Officer since 2021; Private Energy</w:t>
            </w:r>
          </w:p>
        </w:tc>
        <w:tc>
          <w:tcPr>
            <w:tcW w:w="2060" w:type="dxa"/>
            <w:vAlign w:val="bottom"/>
            <w:shd w:val="clear" w:color="auto" w:fill="CCEEFF"/>
          </w:tcPr>
          <w:p>
            <w:pPr>
              <w:jc w:val="right"/>
              <w:ind w:right="850"/>
              <w:spacing w:after="0" w:line="183"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8"/>
                <w:szCs w:val="18"/>
                <w:color w:val="auto"/>
              </w:rPr>
              <w:t>Advisor 2019 to 2020 and 2015 to 2016; GenOn Energy and affiliate companies</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Chief Commercial Officer 2017 to 2018; Luminant Energy Vice President Origination</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and Capital Management 2007 to 2014; TXU, Enserch Energy various positions</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1997 to 2007.</w:t>
            </w:r>
          </w:p>
        </w:tc>
        <w:tc>
          <w:tcPr>
            <w:tcW w:w="20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2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Chris D. Gould</w:t>
            </w:r>
          </w:p>
        </w:tc>
        <w:tc>
          <w:tcPr>
            <w:tcW w:w="68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Executive Vice President and Chief Sustainability Officer since 2021; Exelon</w:t>
            </w:r>
          </w:p>
        </w:tc>
        <w:tc>
          <w:tcPr>
            <w:tcW w:w="2060" w:type="dxa"/>
            <w:vAlign w:val="bottom"/>
          </w:tcPr>
          <w:p>
            <w:pPr>
              <w:jc w:val="right"/>
              <w:ind w:right="850"/>
              <w:spacing w:after="0" w:line="183"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Corporation Senior Vice President Corporate Strategy and Chief Innovation and</w:t>
            </w: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Sustainability Officer 2010 to 2021; Exelon Corporation Vice President, Corporate</w:t>
            </w: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Financial Planning and Analysis 2008 to 2010.</w:t>
            </w: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6"/>
        </w:trPr>
        <w:tc>
          <w:tcPr>
            <w:tcW w:w="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60" w:type="dxa"/>
            <w:vAlign w:val="bottom"/>
          </w:tcPr>
          <w:p>
            <w:pPr>
              <w:ind w:left="318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52" w:name="page153"/>
    <w:bookmarkEnd w:id="152"/>
    <w:p>
      <w:pPr>
        <w:spacing w:after="0"/>
        <w:tabs>
          <w:tab w:leader="none" w:pos="11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5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 xml:space="preserve">The information required by this item is incorporated by reference from our 2026 Proxy Statement. Pursuant to the rules and regulations under the Exchange Act, the information in the </w:t>
      </w:r>
      <w:r>
        <w:rPr>
          <w:rFonts w:ascii="Arial" w:cs="Arial" w:eastAsia="Arial" w:hAnsi="Arial"/>
          <w:sz w:val="18"/>
          <w:szCs w:val="18"/>
          <w:i w:val="1"/>
          <w:iCs w:val="1"/>
          <w:color w:val="auto"/>
        </w:rPr>
        <w:t>Compensation Discussion and Analysis – Compensation Committee Report</w:t>
      </w:r>
      <w:r>
        <w:rPr>
          <w:rFonts w:ascii="Arial" w:cs="Arial" w:eastAsia="Arial" w:hAnsi="Arial"/>
          <w:sz w:val="18"/>
          <w:szCs w:val="18"/>
          <w:color w:val="auto"/>
        </w:rPr>
        <w:t xml:space="preserve"> section shall not be deemed to be "soliciting material," or to be "filed" with the SEC, or subject to Regulation 14A or 14C under the Exchange Act or to the liabilities under Section 18 of the Exchange Act, nor shall it be deemed incorporated by reference into any filing under the Securities Act of 1933.</w:t>
      </w:r>
    </w:p>
    <w:p>
      <w:pPr>
        <w:spacing w:after="0" w:line="206" w:lineRule="exact"/>
        <w:rPr>
          <w:sz w:val="20"/>
          <w:szCs w:val="20"/>
          <w:color w:val="auto"/>
        </w:rPr>
      </w:pPr>
    </w:p>
    <w:p>
      <w:pPr>
        <w:ind w:left="1140" w:hanging="1133"/>
        <w:spacing w:after="0" w:line="296"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4" w:lineRule="exact"/>
        <w:rPr>
          <w:sz w:val="20"/>
          <w:szCs w:val="20"/>
          <w:color w:val="auto"/>
        </w:rPr>
      </w:pPr>
    </w:p>
    <w:p>
      <w:pPr>
        <w:jc w:val="both"/>
        <w:ind w:right="240" w:firstLine="283"/>
        <w:spacing w:after="0" w:line="268" w:lineRule="auto"/>
        <w:rPr>
          <w:sz w:val="20"/>
          <w:szCs w:val="20"/>
          <w:color w:val="auto"/>
        </w:rPr>
      </w:pPr>
      <w:r>
        <w:rPr>
          <w:rFonts w:ascii="Arial" w:cs="Arial" w:eastAsia="Arial" w:hAnsi="Arial"/>
          <w:sz w:val="18"/>
          <w:szCs w:val="18"/>
          <w:color w:val="auto"/>
        </w:rPr>
        <w:t xml:space="preserve">The information required by this item is incorporated by reference from our 2026 Proxy Statement. See also </w:t>
      </w:r>
      <w:r>
        <w:rPr>
          <w:rFonts w:ascii="Arial" w:cs="Arial" w:eastAsia="Arial" w:hAnsi="Arial"/>
          <w:sz w:val="18"/>
          <w:szCs w:val="18"/>
          <w:i w:val="1"/>
          <w:iCs w:val="1"/>
          <w:color w:val="auto"/>
        </w:rPr>
        <w:t>Part II, Item 5 – Market for</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Registrant's Common Equity, Related Stockholder Matters and Issuer Purchases of Equity Securities – Securities Authorized for Issuance Under Equity Compensation Plans</w:t>
      </w:r>
      <w:r>
        <w:rPr>
          <w:rFonts w:ascii="Arial" w:cs="Arial" w:eastAsia="Arial" w:hAnsi="Arial"/>
          <w:sz w:val="18"/>
          <w:szCs w:val="18"/>
          <w:color w:val="auto"/>
        </w:rPr>
        <w:t>.</w:t>
      </w:r>
    </w:p>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information required by this item is incorporated by reference from our 2026 Proxy Statement</w:t>
      </w:r>
      <w:r>
        <w:rPr>
          <w:rFonts w:ascii="Arial" w:cs="Arial" w:eastAsia="Arial" w:hAnsi="Arial"/>
          <w:sz w:val="18"/>
          <w:szCs w:val="18"/>
          <w:i w:val="1"/>
          <w:iCs w:val="1"/>
          <w:color w:val="auto"/>
        </w:rPr>
        <w:t>.</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independent registered public accounting firm is KPMG LLP, Los Angeles, CA, Auditor ID: 185.</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information required by this item is incorporated by reference from our 2026 Proxy Statement.</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53" w:name="page154"/>
    <w:bookmarkEnd w:id="153"/>
    <w:p>
      <w:pPr>
        <w:spacing w:after="0"/>
        <w:rPr>
          <w:sz w:val="20"/>
          <w:szCs w:val="20"/>
          <w:color w:val="auto"/>
        </w:rPr>
      </w:pPr>
      <w:r>
        <w:rPr>
          <w:rFonts w:ascii="Arial" w:cs="Arial" w:eastAsia="Arial" w:hAnsi="Arial"/>
          <w:sz w:val="20"/>
          <w:szCs w:val="20"/>
          <w:b w:val="1"/>
          <w:bCs w:val="1"/>
          <w:color w:val="auto"/>
        </w:rPr>
        <w:t>PART IV</w:t>
      </w:r>
    </w:p>
    <w:p>
      <w:pPr>
        <w:spacing w:after="0" w:line="26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w:t>
      </w:r>
    </w:p>
    <w:p>
      <w:pPr>
        <w:spacing w:after="0" w:line="252"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agreements included as exhibits to this report are included to provide information about their terms and not to provide any other factual or disclosure information about us or the other parties to the agreements. The agreements contain representations and warranties by each of the parties to the applicable agreement that were made solely for the benefit of the other agreement parties and:</w:t>
      </w:r>
    </w:p>
    <w:p>
      <w:pPr>
        <w:spacing w:after="0" w:line="63" w:lineRule="exact"/>
        <w:rPr>
          <w:sz w:val="20"/>
          <w:szCs w:val="20"/>
          <w:color w:val="auto"/>
        </w:rPr>
      </w:pPr>
    </w:p>
    <w:p>
      <w:pPr>
        <w:ind w:left="660" w:right="880" w:hanging="328"/>
        <w:spacing w:after="0" w:line="287" w:lineRule="auto"/>
        <w:tabs>
          <w:tab w:leader="none" w:pos="655" w:val="left"/>
        </w:tabs>
        <w:numPr>
          <w:ilvl w:val="1"/>
          <w:numId w:val="71"/>
        </w:numPr>
        <w:rPr>
          <w:rFonts w:ascii="Arial" w:cs="Arial" w:eastAsia="Arial" w:hAnsi="Arial"/>
          <w:sz w:val="18"/>
          <w:szCs w:val="18"/>
          <w:color w:val="auto"/>
        </w:rPr>
      </w:pPr>
      <w:r>
        <w:rPr>
          <w:rFonts w:ascii="Arial" w:cs="Arial" w:eastAsia="Arial" w:hAnsi="Arial"/>
          <w:sz w:val="18"/>
          <w:szCs w:val="18"/>
          <w:color w:val="auto"/>
        </w:rPr>
        <w:t>should not be treated as categorical statements of fact, but rather as a way of allocating the risk among the parties if those statements prove to be inaccurate;</w:t>
      </w:r>
    </w:p>
    <w:p>
      <w:pPr>
        <w:spacing w:after="0" w:line="44" w:lineRule="exact"/>
        <w:rPr>
          <w:rFonts w:ascii="Arial" w:cs="Arial" w:eastAsia="Arial" w:hAnsi="Arial"/>
          <w:sz w:val="18"/>
          <w:szCs w:val="18"/>
          <w:color w:val="auto"/>
        </w:rPr>
      </w:pPr>
    </w:p>
    <w:p>
      <w:pPr>
        <w:ind w:left="660" w:right="100" w:hanging="328"/>
        <w:spacing w:after="0" w:line="287" w:lineRule="auto"/>
        <w:tabs>
          <w:tab w:leader="none" w:pos="655" w:val="left"/>
        </w:tabs>
        <w:numPr>
          <w:ilvl w:val="1"/>
          <w:numId w:val="71"/>
        </w:numPr>
        <w:rPr>
          <w:rFonts w:ascii="Arial" w:cs="Arial" w:eastAsia="Arial" w:hAnsi="Arial"/>
          <w:sz w:val="18"/>
          <w:szCs w:val="18"/>
          <w:color w:val="auto"/>
        </w:rPr>
      </w:pPr>
      <w:r>
        <w:rPr>
          <w:rFonts w:ascii="Arial" w:cs="Arial" w:eastAsia="Arial" w:hAnsi="Arial"/>
          <w:sz w:val="18"/>
          <w:szCs w:val="18"/>
          <w:color w:val="auto"/>
        </w:rPr>
        <w:t>have been qualified by disclosures that were made to the other party in connection with the negotiation of the applicable agreement, which disclosures are not necessarily reflected in the agreement;</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may apply standards of materiality in a way that is different from the way the Company and investors may view materiality; and</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1"/>
          <w:numId w:val="71"/>
        </w:numPr>
        <w:rPr>
          <w:rFonts w:ascii="Arial" w:cs="Arial" w:eastAsia="Arial" w:hAnsi="Arial"/>
          <w:sz w:val="18"/>
          <w:szCs w:val="18"/>
          <w:color w:val="auto"/>
        </w:rPr>
      </w:pPr>
      <w:r>
        <w:rPr>
          <w:rFonts w:ascii="Arial" w:cs="Arial" w:eastAsia="Arial" w:hAnsi="Arial"/>
          <w:sz w:val="18"/>
          <w:szCs w:val="18"/>
          <w:color w:val="auto"/>
        </w:rPr>
        <w:t>were made only as of the date of the applicable agreement or such other date or dates as may be specified in the agreement and are subject to more recent developments.</w:t>
      </w:r>
    </w:p>
    <w:p>
      <w:pPr>
        <w:spacing w:after="0" w:line="179" w:lineRule="exact"/>
        <w:rPr>
          <w:rFonts w:ascii="Arial" w:cs="Arial" w:eastAsia="Arial" w:hAnsi="Arial"/>
          <w:sz w:val="18"/>
          <w:szCs w:val="18"/>
          <w:color w:val="auto"/>
        </w:rPr>
      </w:pPr>
    </w:p>
    <w:p>
      <w:pPr>
        <w:ind w:left="280" w:hanging="272"/>
        <w:spacing w:after="0"/>
        <w:tabs>
          <w:tab w:leader="none" w:pos="2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(1) and (2). Financial Statements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Reference is made to Item 8 of the Table of Contents of this report where these documents are listed.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Arial" w:cs="Arial" w:eastAsia="Arial" w:hAnsi="Arial"/>
                <w:sz w:val="18"/>
                <w:szCs w:val="18"/>
                <w:color w:val="auto"/>
              </w:rPr>
              <w:t>Exhibit</w:t>
            </w:r>
          </w:p>
        </w:tc>
        <w:tc>
          <w:tcPr>
            <w:tcW w:w="10080" w:type="dxa"/>
            <w:vAlign w:val="bottom"/>
            <w:gridSpan w:val="23"/>
            <w:vMerge w:val="restart"/>
          </w:tcPr>
          <w:p>
            <w:pPr>
              <w:spacing w:after="0"/>
              <w:rPr>
                <w:sz w:val="20"/>
                <w:szCs w:val="20"/>
                <w:color w:val="auto"/>
              </w:rPr>
            </w:pPr>
            <w:r>
              <w:rPr>
                <w:rFonts w:ascii="Arial" w:cs="Arial" w:eastAsia="Arial" w:hAnsi="Arial"/>
                <w:sz w:val="18"/>
                <w:szCs w:val="18"/>
                <w:color w:val="auto"/>
              </w:rPr>
              <w:t>Exhibit Description</w:t>
            </w:r>
          </w:p>
        </w:tc>
        <w:tc>
          <w:tcPr>
            <w:tcW w:w="0" w:type="dxa"/>
            <w:vAlign w:val="bottom"/>
          </w:tcPr>
          <w:p>
            <w:pPr>
              <w:spacing w:after="0"/>
              <w:rPr>
                <w:sz w:val="1"/>
                <w:szCs w:val="1"/>
                <w:color w:val="auto"/>
              </w:rPr>
            </w:pPr>
          </w:p>
        </w:tc>
      </w:tr>
      <w:tr>
        <w:trPr>
          <w:trHeight w:val="243"/>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080" w:type="dxa"/>
            <w:vAlign w:val="bottom"/>
            <w:tcBorders>
              <w:bottom w:val="single" w:sz="8" w:color="auto"/>
            </w:tcBorders>
            <w:gridSpan w:val="2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2.1</w:t>
            </w:r>
          </w:p>
        </w:tc>
        <w:tc>
          <w:tcPr>
            <w:tcW w:w="10080" w:type="dxa"/>
            <w:vAlign w:val="bottom"/>
            <w:gridSpan w:val="23"/>
          </w:tcPr>
          <w:p>
            <w:pPr>
              <w:spacing w:after="0" w:line="169" w:lineRule="exact"/>
              <w:rPr>
                <w:rFonts w:ascii="Arial" w:cs="Arial" w:eastAsia="Arial" w:hAnsi="Arial"/>
                <w:sz w:val="18"/>
                <w:szCs w:val="18"/>
                <w:color w:val="0000FF"/>
              </w:rPr>
            </w:pPr>
            <w:hyperlink r:id="rId192">
              <w:r>
                <w:rPr>
                  <w:rFonts w:ascii="Arial" w:cs="Arial" w:eastAsia="Arial" w:hAnsi="Arial"/>
                  <w:sz w:val="18"/>
                  <w:szCs w:val="18"/>
                  <w:color w:val="0000FF"/>
                </w:rPr>
                <w:t>Separation and Distribution Agreement, dated as of November 25, 2014, between Occidental Petroleum Corporation and</w:t>
              </w:r>
            </w:hyperlink>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9620" w:type="dxa"/>
            <w:vAlign w:val="bottom"/>
            <w:tcBorders>
              <w:top w:val="single" w:sz="8" w:color="0000FF"/>
            </w:tcBorders>
            <w:gridSpan w:val="10"/>
          </w:tcPr>
          <w:p>
            <w:pPr>
              <w:spacing w:after="0" w:line="162" w:lineRule="exact"/>
              <w:rPr>
                <w:rFonts w:ascii="Arial" w:cs="Arial" w:eastAsia="Arial" w:hAnsi="Arial"/>
                <w:sz w:val="18"/>
                <w:szCs w:val="18"/>
                <w:color w:val="0000FF"/>
              </w:rPr>
            </w:pPr>
            <w:hyperlink r:id="rId192">
              <w:r>
                <w:rPr>
                  <w:rFonts w:ascii="Arial" w:cs="Arial" w:eastAsia="Arial" w:hAnsi="Arial"/>
                  <w:sz w:val="18"/>
                  <w:szCs w:val="18"/>
                  <w:color w:val="0000FF"/>
                </w:rPr>
                <w:t>California Resources Corporation (filed as Exhibit 2.1 to the Registrant’s Current Report on Form 8-K filed December 1,</w:t>
              </w:r>
            </w:hyperlink>
          </w:p>
        </w:tc>
        <w:tc>
          <w:tcPr>
            <w:tcW w:w="380" w:type="dxa"/>
            <w:vAlign w:val="bottom"/>
            <w:gridSpan w:val="10"/>
          </w:tcPr>
          <w:p>
            <w:pPr>
              <w:jc w:val="right"/>
              <w:ind w:right="80"/>
              <w:spacing w:after="0" w:line="162" w:lineRule="exact"/>
              <w:rPr>
                <w:rFonts w:ascii="Arial" w:cs="Arial" w:eastAsia="Arial" w:hAnsi="Arial"/>
                <w:sz w:val="17"/>
                <w:szCs w:val="17"/>
                <w:color w:val="0000FF"/>
                <w:w w:val="73"/>
              </w:rPr>
            </w:pPr>
            <w:hyperlink r:id="rId192">
              <w:r>
                <w:rPr>
                  <w:rFonts w:ascii="Arial" w:cs="Arial" w:eastAsia="Arial" w:hAnsi="Arial"/>
                  <w:sz w:val="17"/>
                  <w:szCs w:val="17"/>
                  <w:color w:val="0000FF"/>
                  <w:w w:val="73"/>
                </w:rPr>
                <w:t>2014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9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and incorporated herein by reference).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2.2</w:t>
            </w:r>
          </w:p>
        </w:tc>
        <w:tc>
          <w:tcPr>
            <w:tcW w:w="10080" w:type="dxa"/>
            <w:vAlign w:val="bottom"/>
            <w:gridSpan w:val="23"/>
          </w:tcPr>
          <w:p>
            <w:pPr>
              <w:spacing w:after="0"/>
              <w:rPr>
                <w:rFonts w:ascii="Arial" w:cs="Arial" w:eastAsia="Arial" w:hAnsi="Arial"/>
                <w:sz w:val="18"/>
                <w:szCs w:val="18"/>
                <w:color w:val="0000FF"/>
              </w:rPr>
            </w:pPr>
            <w:hyperlink r:id="rId193">
              <w:r>
                <w:rPr>
                  <w:rFonts w:ascii="Arial" w:cs="Arial" w:eastAsia="Arial" w:hAnsi="Arial"/>
                  <w:sz w:val="18"/>
                  <w:szCs w:val="18"/>
                  <w:color w:val="0000FF"/>
                </w:rPr>
                <w:t>Amended Debtors’ Joint Plan of Reorganization Under Chapter 11 of the Bankruptcy Code (filed as Exhibit 2.1 to the</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26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193">
              <w:r>
                <w:rPr>
                  <w:rFonts w:ascii="Arial" w:cs="Arial" w:eastAsia="Arial" w:hAnsi="Arial"/>
                  <w:sz w:val="18"/>
                  <w:szCs w:val="18"/>
                  <w:color w:val="0000FF"/>
                </w:rPr>
                <w:t>Registrant’s Current Report on Form 8-K filed October 19, 2020 and incorporated herein by reference).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40" w:type="dxa"/>
            <w:vAlign w:val="bottom"/>
            <w:gridSpan w:val="2"/>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2.3***</w:t>
            </w:r>
          </w:p>
        </w:tc>
        <w:tc>
          <w:tcPr>
            <w:tcW w:w="10080" w:type="dxa"/>
            <w:vAlign w:val="bottom"/>
            <w:gridSpan w:val="23"/>
          </w:tcPr>
          <w:p>
            <w:pPr>
              <w:spacing w:after="0"/>
              <w:rPr>
                <w:rFonts w:ascii="Arial" w:cs="Arial" w:eastAsia="Arial" w:hAnsi="Arial"/>
                <w:sz w:val="18"/>
                <w:szCs w:val="18"/>
                <w:color w:val="0000FF"/>
              </w:rPr>
            </w:pPr>
            <w:hyperlink r:id="rId194">
              <w:r>
                <w:rPr>
                  <w:rFonts w:ascii="Arial" w:cs="Arial" w:eastAsia="Arial" w:hAnsi="Arial"/>
                  <w:sz w:val="18"/>
                  <w:szCs w:val="18"/>
                  <w:color w:val="0000FF"/>
                </w:rPr>
                <w:t>Agreement and Plan of Merger, dated February 7, 2024, between California Resources Corporation and Petra Merger Sub I,</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9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LLC, Petra Merger Sub C, LLC, Petra Merger Sub O, LLC, Petra Merger Sub O2, LLC, Petra Merger Sub O3, LLC, each 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3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194">
              <w:r>
                <w:rPr>
                  <w:rFonts w:ascii="Arial" w:cs="Arial" w:eastAsia="Arial" w:hAnsi="Arial"/>
                  <w:sz w:val="18"/>
                  <w:szCs w:val="18"/>
                  <w:color w:val="0000FF"/>
                  <w:w w:val="99"/>
                </w:rPr>
                <w:t>Delaware limited liability company and a wholly-owned direct subsidiary of the Company, Petra Merger Sub S, LLC, a</w:t>
              </w:r>
            </w:hyperlink>
          </w:p>
        </w:tc>
        <w:tc>
          <w:tcPr>
            <w:tcW w:w="400" w:type="dxa"/>
            <w:vAlign w:val="bottom"/>
            <w:tcBorders>
              <w:top w:val="single" w:sz="8" w:color="0000FF"/>
            </w:tcBorders>
            <w:gridSpan w:val="3"/>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80" w:type="dxa"/>
            <w:vAlign w:val="bottom"/>
            <w:gridSpan w:val="23"/>
          </w:tcPr>
          <w:p>
            <w:pPr>
              <w:spacing w:after="0" w:line="169" w:lineRule="exact"/>
              <w:rPr>
                <w:rFonts w:ascii="Arial" w:cs="Arial" w:eastAsia="Arial" w:hAnsi="Arial"/>
                <w:sz w:val="18"/>
                <w:szCs w:val="18"/>
                <w:color w:val="0000FF"/>
              </w:rPr>
            </w:pPr>
            <w:hyperlink r:id="rId194">
              <w:r>
                <w:rPr>
                  <w:rFonts w:ascii="Arial" w:cs="Arial" w:eastAsia="Arial" w:hAnsi="Arial"/>
                  <w:sz w:val="18"/>
                  <w:szCs w:val="18"/>
                  <w:color w:val="0000FF"/>
                </w:rPr>
                <w:t>Delaware limited liability company and a wholly-owned direct subsidiary of the Company, IKAV Impact USA Inc., a Delaware</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8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corporation, CPPIB Vedder US Holdings LLC, a Delaware limited liability company, Opps Xb Aera E CTB, LLC, a Delaware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8"/>
              </w:rPr>
            </w:pPr>
            <w:hyperlink r:id="rId194">
              <w:r>
                <w:rPr>
                  <w:rFonts w:ascii="Arial" w:cs="Arial" w:eastAsia="Arial" w:hAnsi="Arial"/>
                  <w:sz w:val="18"/>
                  <w:szCs w:val="18"/>
                  <w:color w:val="0000FF"/>
                  <w:w w:val="98"/>
                </w:rPr>
                <w:t>limited liability company, Opps XI Aera E CTB, LLC, a Delaware limited liability company, Green Gate COI, LLC, a Delaware</w:t>
              </w:r>
            </w:hyperlink>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80" w:type="dxa"/>
            <w:vAlign w:val="bottom"/>
            <w:gridSpan w:val="23"/>
          </w:tcPr>
          <w:p>
            <w:pPr>
              <w:spacing w:after="0" w:line="169" w:lineRule="exact"/>
              <w:rPr>
                <w:rFonts w:ascii="Arial" w:cs="Arial" w:eastAsia="Arial" w:hAnsi="Arial"/>
                <w:sz w:val="18"/>
                <w:szCs w:val="18"/>
                <w:color w:val="0000FF"/>
              </w:rPr>
            </w:pPr>
            <w:hyperlink r:id="rId194">
              <w:r>
                <w:rPr>
                  <w:rFonts w:ascii="Arial" w:cs="Arial" w:eastAsia="Arial" w:hAnsi="Arial"/>
                  <w:sz w:val="18"/>
                  <w:szCs w:val="18"/>
                  <w:color w:val="0000FF"/>
                </w:rPr>
                <w:t>limited liability company and solely for purposes of the Member Provisions (as defined in the Merger Agreement), IKAV Impact</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S.a.r.l., a Luxembourg corporation, Simlog Inc., a Delaware corporation, and IKAV Energy Inc., a Delaware corporation, CPP</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2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194">
              <w:r>
                <w:rPr>
                  <w:rFonts w:ascii="Arial" w:cs="Arial" w:eastAsia="Arial" w:hAnsi="Arial"/>
                  <w:sz w:val="18"/>
                  <w:szCs w:val="18"/>
                  <w:color w:val="0000FF"/>
                  <w:w w:val="99"/>
                </w:rPr>
                <w:t>Investment Board Private Holdings (6), Inc., a Canadian corporation, OCM Opps Xb AIF Holdings (Delaware), L.P., a</w:t>
              </w:r>
            </w:hyperlink>
          </w:p>
        </w:tc>
        <w:tc>
          <w:tcPr>
            <w:tcW w:w="6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80" w:type="dxa"/>
            <w:vAlign w:val="bottom"/>
            <w:gridSpan w:val="23"/>
          </w:tcPr>
          <w:p>
            <w:pPr>
              <w:spacing w:after="0" w:line="169" w:lineRule="exact"/>
              <w:rPr>
                <w:rFonts w:ascii="Arial" w:cs="Arial" w:eastAsia="Arial" w:hAnsi="Arial"/>
                <w:sz w:val="18"/>
                <w:szCs w:val="18"/>
                <w:color w:val="0000FF"/>
              </w:rPr>
            </w:pPr>
            <w:hyperlink r:id="rId194">
              <w:r>
                <w:rPr>
                  <w:rFonts w:ascii="Arial" w:cs="Arial" w:eastAsia="Arial" w:hAnsi="Arial"/>
                  <w:sz w:val="18"/>
                  <w:szCs w:val="18"/>
                  <w:color w:val="0000FF"/>
                </w:rPr>
                <w:t>Delaware limited partnership, Oaktree Huntington Investment Fund II AIF (Delaware), L.P. – Class C, a Delaware limited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40" w:type="dxa"/>
            <w:vAlign w:val="bottom"/>
            <w:gridSpan w:val="2"/>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60" w:type="dxa"/>
            <w:vAlign w:val="bottom"/>
          </w:tcPr>
          <w:p>
            <w:pPr>
              <w:spacing w:after="0"/>
              <w:rPr>
                <w:sz w:val="13"/>
                <w:szCs w:val="13"/>
                <w:color w:val="auto"/>
              </w:rPr>
            </w:pPr>
          </w:p>
        </w:tc>
        <w:tc>
          <w:tcPr>
            <w:tcW w:w="9880" w:type="dxa"/>
            <w:vAlign w:val="bottom"/>
            <w:tcBorders>
              <w:bottom w:val="single" w:sz="8" w:color="0000FF"/>
            </w:tcBorders>
            <w:gridSpan w:val="15"/>
          </w:tcPr>
          <w:p>
            <w:pPr>
              <w:spacing w:after="0" w:line="156" w:lineRule="exact"/>
              <w:rPr>
                <w:rFonts w:ascii="Arial" w:cs="Arial" w:eastAsia="Arial" w:hAnsi="Arial"/>
                <w:sz w:val="18"/>
                <w:szCs w:val="18"/>
                <w:color w:val="0000FF"/>
                <w:w w:val="99"/>
              </w:rPr>
            </w:pPr>
            <w:hyperlink r:id="rId194">
              <w:r>
                <w:rPr>
                  <w:rFonts w:ascii="Arial" w:cs="Arial" w:eastAsia="Arial" w:hAnsi="Arial"/>
                  <w:sz w:val="18"/>
                  <w:szCs w:val="18"/>
                  <w:color w:val="0000FF"/>
                  <w:w w:val="99"/>
                </w:rPr>
                <w:t>partnership, OCM Opps XI AIV Holdings (Delaware), L.P., a Delaware limited partnership and OCM Aera E Holdings, LLC, a</w:t>
              </w:r>
            </w:hyperlink>
          </w:p>
        </w:tc>
        <w:tc>
          <w:tcPr>
            <w:tcW w:w="2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80" w:type="dxa"/>
            <w:vAlign w:val="bottom"/>
            <w:gridSpan w:val="23"/>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Delaware limited liability company. (filed as Exhibit 10.1 to the Registrant's Current Report on Form 8-K filed February 9, 2024</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0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194">
              <w:r>
                <w:rPr>
                  <w:rFonts w:ascii="Arial" w:cs="Arial" w:eastAsia="Arial" w:hAnsi="Arial"/>
                  <w:sz w:val="18"/>
                  <w:szCs w:val="18"/>
                  <w:color w:val="0000FF"/>
                </w:rPr>
                <w:t>and incorporated herein by reference).</w:t>
              </w:r>
            </w:hyperlink>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2.4***</w:t>
            </w:r>
          </w:p>
        </w:tc>
        <w:tc>
          <w:tcPr>
            <w:tcW w:w="10080" w:type="dxa"/>
            <w:vAlign w:val="bottom"/>
            <w:gridSpan w:val="23"/>
          </w:tcPr>
          <w:p>
            <w:pPr>
              <w:spacing w:after="0"/>
              <w:rPr>
                <w:rFonts w:ascii="Arial" w:cs="Arial" w:eastAsia="Arial" w:hAnsi="Arial"/>
                <w:sz w:val="18"/>
                <w:szCs w:val="18"/>
                <w:color w:val="0000FF"/>
              </w:rPr>
            </w:pPr>
            <w:hyperlink r:id="rId195">
              <w:r>
                <w:rPr>
                  <w:rFonts w:ascii="Arial" w:cs="Arial" w:eastAsia="Arial" w:hAnsi="Arial"/>
                  <w:sz w:val="18"/>
                  <w:szCs w:val="18"/>
                  <w:color w:val="0000FF"/>
                </w:rPr>
                <w:t>Agreement and Plan of Merger, dated September 14, 2025, by and among California Resources Corporation, Berry</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40" w:type="dxa"/>
            <w:vAlign w:val="bottom"/>
            <w:gridSpan w:val="2"/>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10080" w:type="dxa"/>
            <w:vAlign w:val="bottom"/>
            <w:gridSpan w:val="23"/>
          </w:tcPr>
          <w:p>
            <w:pPr>
              <w:spacing w:after="0" w:line="156" w:lineRule="exact"/>
              <w:rPr>
                <w:rFonts w:ascii="Arial" w:cs="Arial" w:eastAsia="Arial" w:hAnsi="Arial"/>
                <w:sz w:val="18"/>
                <w:szCs w:val="18"/>
                <w:color w:val="0000FF"/>
              </w:rPr>
            </w:pPr>
            <w:hyperlink r:id="rId195">
              <w:r>
                <w:rPr>
                  <w:rFonts w:ascii="Arial" w:cs="Arial" w:eastAsia="Arial" w:hAnsi="Arial"/>
                  <w:sz w:val="18"/>
                  <w:szCs w:val="18"/>
                  <w:color w:val="0000FF"/>
                </w:rPr>
                <w:t>Corporation (bry) and Dornoch Merger Sub, LLC (filed as Exhibit 2.1 to the Registrant’s Current Report on Form 8-K filed on</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84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95">
              <w:r>
                <w:rPr>
                  <w:rFonts w:ascii="Arial" w:cs="Arial" w:eastAsia="Arial" w:hAnsi="Arial"/>
                  <w:sz w:val="18"/>
                  <w:szCs w:val="18"/>
                  <w:color w:val="0000FF"/>
                </w:rPr>
                <w:t>September 17, 2025 and incorporated herein by reference).</w:t>
              </w:r>
            </w:hyperlink>
          </w:p>
        </w:tc>
        <w:tc>
          <w:tcPr>
            <w:tcW w:w="100" w:type="dxa"/>
            <w:vAlign w:val="bottom"/>
            <w:gridSpan w:val="5"/>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40" w:type="dxa"/>
            <w:vAlign w:val="bottom"/>
            <w:gridSpan w:val="2"/>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40" w:type="dxa"/>
            <w:vAlign w:val="bottom"/>
            <w:gridSpan w:val="1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3.1</w:t>
            </w:r>
          </w:p>
        </w:tc>
        <w:tc>
          <w:tcPr>
            <w:tcW w:w="10080" w:type="dxa"/>
            <w:vAlign w:val="bottom"/>
            <w:gridSpan w:val="23"/>
          </w:tcPr>
          <w:p>
            <w:pPr>
              <w:spacing w:after="0"/>
              <w:rPr>
                <w:rFonts w:ascii="Arial" w:cs="Arial" w:eastAsia="Arial" w:hAnsi="Arial"/>
                <w:sz w:val="18"/>
                <w:szCs w:val="18"/>
                <w:color w:val="0000FF"/>
              </w:rPr>
            </w:pPr>
            <w:hyperlink r:id="rId196">
              <w:r>
                <w:rPr>
                  <w:rFonts w:ascii="Arial" w:cs="Arial" w:eastAsia="Arial" w:hAnsi="Arial"/>
                  <w:sz w:val="18"/>
                  <w:szCs w:val="18"/>
                  <w:color w:val="0000FF"/>
                </w:rPr>
                <w:t>Amended and Restated Certificate of Incorporation of California Resources Corporation (filed as Exhibit 3.1 to the Registrant’s</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8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196">
              <w:r>
                <w:rPr>
                  <w:rFonts w:ascii="Arial" w:cs="Arial" w:eastAsia="Arial" w:hAnsi="Arial"/>
                  <w:sz w:val="18"/>
                  <w:szCs w:val="18"/>
                  <w:color w:val="0000FF"/>
                  <w:w w:val="99"/>
                </w:rPr>
                <w:t>Registration Statement on Form 8-A filed October 27, 2020 and incorporated herein by reference).</w:t>
              </w:r>
            </w:hyperlink>
          </w:p>
        </w:tc>
        <w:tc>
          <w:tcPr>
            <w:tcW w:w="2220" w:type="dxa"/>
            <w:vAlign w:val="bottom"/>
            <w:tcBorders>
              <w:top w:val="single" w:sz="8" w:color="0000FF"/>
            </w:tcBorders>
            <w:gridSpan w:val="19"/>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3.2</w:t>
            </w:r>
          </w:p>
        </w:tc>
        <w:tc>
          <w:tcPr>
            <w:tcW w:w="10080" w:type="dxa"/>
            <w:vAlign w:val="bottom"/>
            <w:gridSpan w:val="23"/>
          </w:tcPr>
          <w:p>
            <w:pPr>
              <w:spacing w:after="0"/>
              <w:rPr>
                <w:rFonts w:ascii="Arial" w:cs="Arial" w:eastAsia="Arial" w:hAnsi="Arial"/>
                <w:sz w:val="18"/>
                <w:szCs w:val="18"/>
                <w:color w:val="0000FF"/>
              </w:rPr>
            </w:pPr>
            <w:hyperlink r:id="rId197">
              <w:r>
                <w:rPr>
                  <w:rFonts w:ascii="Arial" w:cs="Arial" w:eastAsia="Arial" w:hAnsi="Arial"/>
                  <w:sz w:val="18"/>
                  <w:szCs w:val="18"/>
                  <w:color w:val="0000FF"/>
                </w:rPr>
                <w:t>Certificate of Amendment of Amended and Restated Certificate of Incorporation of California Resources Corporation (filed as</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9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97">
              <w:r>
                <w:rPr>
                  <w:rFonts w:ascii="Arial" w:cs="Arial" w:eastAsia="Arial" w:hAnsi="Arial"/>
                  <w:sz w:val="18"/>
                  <w:szCs w:val="18"/>
                  <w:color w:val="0000FF"/>
                </w:rPr>
                <w:t>Exhibit 3.1 to Registrant’s Current Report on Form 8-K filed on May 6, 2022 and incorporated herein by reference).</w:t>
              </w:r>
            </w:hyperlink>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100" w:type="dxa"/>
            <w:vAlign w:val="bottom"/>
            <w:gridSpan w:val="5"/>
            <w:shd w:val="clear" w:color="auto" w:fill="0000FF"/>
          </w:tcPr>
          <w:p>
            <w:pPr>
              <w:spacing w:after="0" w:line="20" w:lineRule="exact"/>
              <w:rPr>
                <w:sz w:val="1"/>
                <w:szCs w:val="1"/>
                <w:color w:val="auto"/>
              </w:rPr>
            </w:pPr>
          </w:p>
        </w:tc>
        <w:tc>
          <w:tcPr>
            <w:tcW w:w="98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3.3</w:t>
            </w:r>
          </w:p>
        </w:tc>
        <w:tc>
          <w:tcPr>
            <w:tcW w:w="10080" w:type="dxa"/>
            <w:vAlign w:val="bottom"/>
            <w:gridSpan w:val="23"/>
          </w:tcPr>
          <w:p>
            <w:pPr>
              <w:spacing w:after="0"/>
              <w:rPr>
                <w:rFonts w:ascii="Arial" w:cs="Arial" w:eastAsia="Arial" w:hAnsi="Arial"/>
                <w:sz w:val="18"/>
                <w:szCs w:val="18"/>
                <w:color w:val="0000FF"/>
              </w:rPr>
            </w:pPr>
            <w:hyperlink r:id="rId198">
              <w:r>
                <w:rPr>
                  <w:rFonts w:ascii="Arial" w:cs="Arial" w:eastAsia="Arial" w:hAnsi="Arial"/>
                  <w:sz w:val="18"/>
                  <w:szCs w:val="18"/>
                  <w:color w:val="0000FF"/>
                </w:rPr>
                <w:t>Certificate of Amendment of Amended and Restated Certificate of Incorporation of California Resources Corporation (filed as</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9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98">
              <w:r>
                <w:rPr>
                  <w:rFonts w:ascii="Arial" w:cs="Arial" w:eastAsia="Arial" w:hAnsi="Arial"/>
                  <w:sz w:val="18"/>
                  <w:szCs w:val="18"/>
                  <w:color w:val="0000FF"/>
                </w:rPr>
                <w:t>Exhibit 3.1 to Registrant’s Current Report on Form 8-K filed on May 1, 2023 and incorporated herein by reference).</w:t>
              </w:r>
            </w:hyperlink>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699"/>
        </w:trPr>
        <w:tc>
          <w:tcPr>
            <w:tcW w:w="1160" w:type="dxa"/>
            <w:vAlign w:val="bottom"/>
          </w:tcPr>
          <w:p>
            <w:pPr>
              <w:spacing w:after="0"/>
              <w:rPr>
                <w:sz w:val="24"/>
                <w:szCs w:val="24"/>
                <w:color w:val="auto"/>
              </w:rPr>
            </w:pPr>
          </w:p>
        </w:tc>
        <w:tc>
          <w:tcPr>
            <w:tcW w:w="4740" w:type="dxa"/>
            <w:vAlign w:val="bottom"/>
            <w:tcBorders>
              <w:top w:val="single" w:sz="8" w:color="0000FF"/>
            </w:tcBorders>
            <w:gridSpan w:val="2"/>
          </w:tcPr>
          <w:p>
            <w:pPr>
              <w:ind w:left="4320"/>
              <w:spacing w:after="0"/>
              <w:rPr>
                <w:sz w:val="20"/>
                <w:szCs w:val="20"/>
                <w:color w:val="auto"/>
              </w:rPr>
            </w:pPr>
            <w:r>
              <w:rPr>
                <w:rFonts w:ascii="Arial" w:cs="Arial" w:eastAsia="Arial" w:hAnsi="Arial"/>
                <w:sz w:val="18"/>
                <w:szCs w:val="18"/>
                <w:color w:val="auto"/>
              </w:rPr>
              <w:t>151</w:t>
            </w:r>
          </w:p>
        </w:tc>
        <w:tc>
          <w:tcPr>
            <w:tcW w:w="30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Arial" w:cs="Arial" w:eastAsia="Arial" w:hAnsi="Arial"/>
                <w:sz w:val="18"/>
                <w:szCs w:val="18"/>
                <w:color w:val="auto"/>
              </w:rPr>
              <w:t>Exhibit</w:t>
            </w:r>
          </w:p>
        </w:tc>
        <w:tc>
          <w:tcPr>
            <w:tcW w:w="10160" w:type="dxa"/>
            <w:vAlign w:val="bottom"/>
            <w:gridSpan w:val="39"/>
            <w:vMerge w:val="restart"/>
          </w:tcPr>
          <w:p>
            <w:pPr>
              <w:spacing w:after="0"/>
              <w:rPr>
                <w:sz w:val="20"/>
                <w:szCs w:val="20"/>
                <w:color w:val="auto"/>
              </w:rPr>
            </w:pPr>
            <w:r>
              <w:rPr>
                <w:rFonts w:ascii="Arial" w:cs="Arial" w:eastAsia="Arial" w:hAnsi="Arial"/>
                <w:sz w:val="18"/>
                <w:szCs w:val="18"/>
                <w:color w:val="auto"/>
              </w:rPr>
              <w:t>Exhibit Description</w:t>
            </w:r>
          </w:p>
        </w:tc>
        <w:tc>
          <w:tcPr>
            <w:tcW w:w="0" w:type="dxa"/>
            <w:vAlign w:val="bottom"/>
          </w:tcPr>
          <w:p>
            <w:pPr>
              <w:spacing w:after="0"/>
              <w:rPr>
                <w:sz w:val="1"/>
                <w:szCs w:val="1"/>
                <w:color w:val="auto"/>
              </w:rPr>
            </w:pPr>
          </w:p>
        </w:tc>
      </w:tr>
      <w:tr>
        <w:trPr>
          <w:trHeight w:val="243"/>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160" w:type="dxa"/>
            <w:vAlign w:val="bottom"/>
            <w:tcBorders>
              <w:bottom w:val="single" w:sz="8" w:color="auto"/>
            </w:tcBorders>
            <w:gridSpan w:val="39"/>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3.4*</w:t>
            </w:r>
          </w:p>
        </w:tc>
        <w:tc>
          <w:tcPr>
            <w:tcW w:w="6140" w:type="dxa"/>
            <w:vAlign w:val="bottom"/>
            <w:tcBorders>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99"/>
              </w:rPr>
              <w:t>Second Amended and Restated Bylaws of California Resources Corporation.</w:t>
            </w:r>
          </w:p>
        </w:tc>
        <w:tc>
          <w:tcPr>
            <w:tcW w:w="4020" w:type="dxa"/>
            <w:vAlign w:val="bottom"/>
            <w:gridSpan w:val="31"/>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4.1</w:t>
            </w:r>
          </w:p>
        </w:tc>
        <w:tc>
          <w:tcPr>
            <w:tcW w:w="10160" w:type="dxa"/>
            <w:vAlign w:val="bottom"/>
            <w:gridSpan w:val="39"/>
          </w:tcPr>
          <w:p>
            <w:pPr>
              <w:spacing w:after="0"/>
              <w:rPr>
                <w:rFonts w:ascii="Arial" w:cs="Arial" w:eastAsia="Arial" w:hAnsi="Arial"/>
                <w:sz w:val="18"/>
                <w:szCs w:val="18"/>
                <w:color w:val="0000FF"/>
              </w:rPr>
            </w:pPr>
            <w:hyperlink r:id="rId201">
              <w:r>
                <w:rPr>
                  <w:rFonts w:ascii="Arial" w:cs="Arial" w:eastAsia="Arial" w:hAnsi="Arial"/>
                  <w:sz w:val="18"/>
                  <w:szCs w:val="18"/>
                  <w:color w:val="0000FF"/>
                </w:rPr>
                <w:t>Description of Registrant's Securities (filed as Exhibit 4.1 to the Registrant's Annual Report on Form 10-K filed March 11, 2021</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6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4.2</w:t>
            </w:r>
          </w:p>
        </w:tc>
        <w:tc>
          <w:tcPr>
            <w:tcW w:w="10160" w:type="dxa"/>
            <w:vAlign w:val="bottom"/>
            <w:gridSpan w:val="39"/>
          </w:tcPr>
          <w:p>
            <w:pPr>
              <w:spacing w:after="0"/>
              <w:rPr>
                <w:rFonts w:ascii="Arial" w:cs="Arial" w:eastAsia="Arial" w:hAnsi="Arial"/>
                <w:sz w:val="18"/>
                <w:szCs w:val="18"/>
                <w:color w:val="0000FF"/>
              </w:rPr>
            </w:pPr>
            <w:hyperlink r:id="rId202">
              <w:r>
                <w:rPr>
                  <w:rFonts w:ascii="Arial" w:cs="Arial" w:eastAsia="Arial" w:hAnsi="Arial"/>
                  <w:sz w:val="18"/>
                  <w:szCs w:val="18"/>
                  <w:color w:val="0000FF"/>
                </w:rPr>
                <w:t>Indenture, dated January 20, 2021, by and among California Resources Corporation, the Guarantors and Wilmington Trust,</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8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02">
              <w:r>
                <w:rPr>
                  <w:rFonts w:ascii="Arial" w:cs="Arial" w:eastAsia="Arial" w:hAnsi="Arial"/>
                  <w:sz w:val="18"/>
                  <w:szCs w:val="18"/>
                  <w:color w:val="0000FF"/>
                </w:rPr>
                <w:t>National Association (filed as Exhibit 4.1 to the Registrant's Current Report on Form 8-K filed January 21, 2021 and</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9"/>
              </w:rPr>
            </w:pPr>
            <w:hyperlink r:id="rId202">
              <w:r>
                <w:rPr>
                  <w:rFonts w:ascii="Arial" w:cs="Arial" w:eastAsia="Arial" w:hAnsi="Arial"/>
                  <w:sz w:val="18"/>
                  <w:szCs w:val="18"/>
                  <w:color w:val="0000FF"/>
                  <w:w w:val="99"/>
                </w:rPr>
                <w:t>incorporated herein by reference).</w:t>
              </w:r>
            </w:hyperlink>
          </w:p>
        </w:tc>
        <w:tc>
          <w:tcPr>
            <w:tcW w:w="6440" w:type="dxa"/>
            <w:vAlign w:val="bottom"/>
            <w:tcBorders>
              <w:top w:val="single" w:sz="8" w:color="0000FF"/>
            </w:tcBorders>
            <w:gridSpan w:val="9"/>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4.3</w:t>
            </w:r>
          </w:p>
        </w:tc>
        <w:tc>
          <w:tcPr>
            <w:tcW w:w="10160" w:type="dxa"/>
            <w:vAlign w:val="bottom"/>
            <w:gridSpan w:val="39"/>
          </w:tcPr>
          <w:p>
            <w:pPr>
              <w:spacing w:after="0"/>
              <w:rPr>
                <w:rFonts w:ascii="Arial" w:cs="Arial" w:eastAsia="Arial" w:hAnsi="Arial"/>
                <w:sz w:val="18"/>
                <w:szCs w:val="18"/>
                <w:color w:val="0000FF"/>
              </w:rPr>
            </w:pPr>
            <w:hyperlink r:id="rId203">
              <w:r>
                <w:rPr>
                  <w:rFonts w:ascii="Arial" w:cs="Arial" w:eastAsia="Arial" w:hAnsi="Arial"/>
                  <w:sz w:val="18"/>
                  <w:szCs w:val="18"/>
                  <w:color w:val="0000FF"/>
                </w:rPr>
                <w:t>First Supplemental Indenture to the 2026 Indenture, dated January 20, 2021, by and among California Resources Corporation,</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14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203">
              <w:r>
                <w:rPr>
                  <w:rFonts w:ascii="Arial" w:cs="Arial" w:eastAsia="Arial" w:hAnsi="Arial"/>
                  <w:sz w:val="18"/>
                  <w:szCs w:val="18"/>
                  <w:color w:val="0000FF"/>
                </w:rPr>
                <w:t>the Guarantors, Elk Hills Power, LLC, EHP Midco Holding Company, LLC, EHP Topco Holding Company, LLC and Wilmington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20" w:type="dxa"/>
            <w:vAlign w:val="bottom"/>
            <w:tcBorders>
              <w:top w:val="single" w:sz="8" w:color="0000FF"/>
            </w:tcBorders>
            <w:gridSpan w:val="32"/>
          </w:tcPr>
          <w:p>
            <w:pPr>
              <w:spacing w:after="0" w:line="169" w:lineRule="exact"/>
              <w:rPr>
                <w:rFonts w:ascii="Arial" w:cs="Arial" w:eastAsia="Arial" w:hAnsi="Arial"/>
                <w:sz w:val="18"/>
                <w:szCs w:val="18"/>
                <w:color w:val="0000FF"/>
              </w:rPr>
            </w:pPr>
            <w:hyperlink r:id="rId203">
              <w:r>
                <w:rPr>
                  <w:rFonts w:ascii="Arial" w:cs="Arial" w:eastAsia="Arial" w:hAnsi="Arial"/>
                  <w:sz w:val="18"/>
                  <w:szCs w:val="18"/>
                  <w:color w:val="0000FF"/>
                </w:rPr>
                <w:t>Trust, National Association (filed as Exhibit 4.2 to the Registrant's Current Report on Form 8-K filed January 21, 2021 and</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203">
              <w:r>
                <w:rPr>
                  <w:rFonts w:ascii="Arial" w:cs="Arial" w:eastAsia="Arial" w:hAnsi="Arial"/>
                  <w:sz w:val="18"/>
                  <w:szCs w:val="18"/>
                  <w:color w:val="0000FF"/>
                  <w:w w:val="99"/>
                </w:rPr>
                <w:t>incorporated herein by reference).</w:t>
              </w:r>
            </w:hyperlink>
          </w:p>
        </w:tc>
        <w:tc>
          <w:tcPr>
            <w:tcW w:w="69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4.4</w:t>
            </w:r>
          </w:p>
        </w:tc>
        <w:tc>
          <w:tcPr>
            <w:tcW w:w="10160" w:type="dxa"/>
            <w:vAlign w:val="bottom"/>
            <w:gridSpan w:val="39"/>
          </w:tcPr>
          <w:p>
            <w:pPr>
              <w:spacing w:after="0"/>
              <w:rPr>
                <w:rFonts w:ascii="Arial" w:cs="Arial" w:eastAsia="Arial" w:hAnsi="Arial"/>
                <w:sz w:val="18"/>
                <w:szCs w:val="18"/>
                <w:color w:val="0000FF"/>
              </w:rPr>
            </w:pPr>
            <w:hyperlink r:id="rId204">
              <w:r>
                <w:rPr>
                  <w:rFonts w:ascii="Arial" w:cs="Arial" w:eastAsia="Arial" w:hAnsi="Arial"/>
                  <w:sz w:val="18"/>
                  <w:szCs w:val="18"/>
                  <w:color w:val="0000FF"/>
                </w:rPr>
                <w:t>Second Supplemental Indenture to the 2026 Indenture, dated July 1, 2024, by and among California Resources Corporation,</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8"/>
              </w:rPr>
            </w:pPr>
            <w:hyperlink r:id="rId204">
              <w:r>
                <w:rPr>
                  <w:rFonts w:ascii="Arial" w:cs="Arial" w:eastAsia="Arial" w:hAnsi="Arial"/>
                  <w:sz w:val="18"/>
                  <w:szCs w:val="18"/>
                  <w:color w:val="0000FF"/>
                  <w:w w:val="98"/>
                </w:rPr>
                <w:t>the Guarantors, Aera Energy LLC, Aera Energy Services Company, Aera Federal LLC, Belridge Farms &amp; Packing LLC, Green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160" w:type="dxa"/>
            <w:vAlign w:val="bottom"/>
          </w:tcPr>
          <w:p>
            <w:pPr>
              <w:spacing w:after="0"/>
              <w:rPr>
                <w:sz w:val="14"/>
                <w:szCs w:val="14"/>
                <w:color w:val="auto"/>
              </w:rPr>
            </w:pPr>
          </w:p>
        </w:tc>
        <w:tc>
          <w:tcPr>
            <w:tcW w:w="10040" w:type="dxa"/>
            <w:vAlign w:val="bottom"/>
            <w:gridSpan w:val="33"/>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Gate San Ardo LLC, Terrain Technology Inc., Green Gate Intermediate LLC, Green Gate Resources E LLC, Green Gate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9540" w:type="dxa"/>
            <w:vAlign w:val="bottom"/>
            <w:tcBorders>
              <w:top w:val="single" w:sz="8" w:color="0000FF"/>
            </w:tcBorders>
            <w:gridSpan w:val="18"/>
          </w:tcPr>
          <w:p>
            <w:pPr>
              <w:spacing w:after="0" w:line="162" w:lineRule="exact"/>
              <w:rPr>
                <w:rFonts w:ascii="Arial" w:cs="Arial" w:eastAsia="Arial" w:hAnsi="Arial"/>
                <w:sz w:val="18"/>
                <w:szCs w:val="18"/>
                <w:color w:val="0000FF"/>
                <w:w w:val="99"/>
              </w:rPr>
            </w:pPr>
            <w:hyperlink r:id="rId204">
              <w:r>
                <w:rPr>
                  <w:rFonts w:ascii="Arial" w:cs="Arial" w:eastAsia="Arial" w:hAnsi="Arial"/>
                  <w:sz w:val="18"/>
                  <w:szCs w:val="18"/>
                  <w:color w:val="0000FF"/>
                  <w:w w:val="99"/>
                </w:rPr>
                <w:t>Resources S LLC, Green Gate Resources Holdings LLC, Green Gate Resources Parent LLC, Petra Merger Sub S, LLC,</w:t>
              </w:r>
            </w:hyperlink>
          </w:p>
        </w:tc>
        <w:tc>
          <w:tcPr>
            <w:tcW w:w="620" w:type="dxa"/>
            <w:vAlign w:val="bottom"/>
            <w:gridSpan w:val="21"/>
          </w:tcPr>
          <w:p>
            <w:pPr>
              <w:jc w:val="center"/>
              <w:ind w:right="200"/>
              <w:spacing w:after="0" w:line="162" w:lineRule="exact"/>
              <w:rPr>
                <w:rFonts w:ascii="Arial" w:cs="Arial" w:eastAsia="Arial" w:hAnsi="Arial"/>
                <w:sz w:val="18"/>
                <w:szCs w:val="18"/>
                <w:color w:val="0000FF"/>
              </w:rPr>
            </w:pPr>
            <w:hyperlink r:id="rId204">
              <w:r>
                <w:rPr>
                  <w:rFonts w:ascii="Arial" w:cs="Arial" w:eastAsia="Arial" w:hAnsi="Arial"/>
                  <w:sz w:val="18"/>
                  <w:szCs w:val="18"/>
                  <w:color w:val="0000FF"/>
                </w:rPr>
                <w:t>the</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8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other guarantors party thereto and Wilmington Trust, National Association (filed as Exhibit 10.6 to the Registrant's Current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68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204">
              <w:r>
                <w:rPr>
                  <w:rFonts w:ascii="Arial" w:cs="Arial" w:eastAsia="Arial" w:hAnsi="Arial"/>
                  <w:sz w:val="18"/>
                  <w:szCs w:val="18"/>
                  <w:color w:val="0000FF"/>
                </w:rPr>
                <w:t>Report on Form 8-K filed July 1, 2024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4.5</w:t>
            </w:r>
          </w:p>
        </w:tc>
        <w:tc>
          <w:tcPr>
            <w:tcW w:w="9460" w:type="dxa"/>
            <w:vAlign w:val="bottom"/>
            <w:tcBorders>
              <w:bottom w:val="single" w:sz="8" w:color="0000FF"/>
            </w:tcBorders>
            <w:gridSpan w:val="16"/>
          </w:tcPr>
          <w:p>
            <w:pPr>
              <w:spacing w:after="0"/>
              <w:rPr>
                <w:rFonts w:ascii="Arial" w:cs="Arial" w:eastAsia="Arial" w:hAnsi="Arial"/>
                <w:sz w:val="18"/>
                <w:szCs w:val="18"/>
                <w:color w:val="0000FF"/>
                <w:w w:val="99"/>
              </w:rPr>
            </w:pPr>
            <w:hyperlink r:id="rId205">
              <w:r>
                <w:rPr>
                  <w:rFonts w:ascii="Arial" w:cs="Arial" w:eastAsia="Arial" w:hAnsi="Arial"/>
                  <w:sz w:val="18"/>
                  <w:szCs w:val="18"/>
                  <w:color w:val="0000FF"/>
                  <w:w w:val="99"/>
                </w:rPr>
                <w:t>Indenture, dated June 5, 2024, by and among California Resources Corporation, the Guarantors and Wilmington Trust,</w:t>
              </w:r>
            </w:hyperlink>
          </w:p>
        </w:tc>
        <w:tc>
          <w:tcPr>
            <w:tcW w:w="700" w:type="dxa"/>
            <w:vAlign w:val="bottom"/>
            <w:gridSpan w:val="23"/>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160" w:type="dxa"/>
            <w:vAlign w:val="bottom"/>
            <w:gridSpan w:val="39"/>
          </w:tcPr>
          <w:p>
            <w:pPr>
              <w:spacing w:after="0" w:line="156" w:lineRule="exact"/>
              <w:rPr>
                <w:rFonts w:ascii="Arial" w:cs="Arial" w:eastAsia="Arial" w:hAnsi="Arial"/>
                <w:sz w:val="18"/>
                <w:szCs w:val="18"/>
                <w:color w:val="0000FF"/>
              </w:rPr>
            </w:pPr>
            <w:hyperlink r:id="rId205">
              <w:r>
                <w:rPr>
                  <w:rFonts w:ascii="Arial" w:cs="Arial" w:eastAsia="Arial" w:hAnsi="Arial"/>
                  <w:sz w:val="18"/>
                  <w:szCs w:val="18"/>
                  <w:color w:val="0000FF"/>
                </w:rPr>
                <w:t>National Association (filed as Exhibit 4.1 to the Registrant's Current Report on Form 8-K filed June 5, 2024 and incorporated</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86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r:id="rId205">
              <w:r>
                <w:rPr>
                  <w:rFonts w:ascii="Arial" w:cs="Arial" w:eastAsia="Arial" w:hAnsi="Arial"/>
                  <w:sz w:val="18"/>
                  <w:szCs w:val="18"/>
                  <w:color w:val="0000FF"/>
                </w:rPr>
                <w:t>herein by reference).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4.6</w:t>
            </w:r>
          </w:p>
        </w:tc>
        <w:tc>
          <w:tcPr>
            <w:tcW w:w="10160" w:type="dxa"/>
            <w:vAlign w:val="bottom"/>
            <w:gridSpan w:val="39"/>
          </w:tcPr>
          <w:p>
            <w:pPr>
              <w:spacing w:after="0"/>
              <w:rPr>
                <w:rFonts w:ascii="Arial" w:cs="Arial" w:eastAsia="Arial" w:hAnsi="Arial"/>
                <w:sz w:val="18"/>
                <w:szCs w:val="18"/>
                <w:color w:val="0000FF"/>
              </w:rPr>
            </w:pPr>
            <w:hyperlink r:id="rId206">
              <w:r>
                <w:rPr>
                  <w:rFonts w:ascii="Arial" w:cs="Arial" w:eastAsia="Arial" w:hAnsi="Arial"/>
                  <w:sz w:val="18"/>
                  <w:szCs w:val="18"/>
                  <w:color w:val="0000FF"/>
                </w:rPr>
                <w:t>First Supplemental Indenture to the 2029 Indenture, dated July 1, 2024, by and among California Resources Corporation, the</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9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Guarantors, Aera Energy LLC, Aera Energy Services Company, Aera Federal LLC, Belridge Farms &amp; Packing LLC, Green</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160" w:type="dxa"/>
            <w:vAlign w:val="bottom"/>
          </w:tcPr>
          <w:p>
            <w:pPr>
              <w:spacing w:after="0"/>
              <w:rPr>
                <w:sz w:val="14"/>
                <w:szCs w:val="14"/>
                <w:color w:val="auto"/>
              </w:rPr>
            </w:pPr>
          </w:p>
        </w:tc>
        <w:tc>
          <w:tcPr>
            <w:tcW w:w="97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Gate San Ardo LLC, Terrain Technology Inc., Green Gate Intermediate LLC, Green Gate Resources E LLC, Green Gate</w:t>
              </w:r>
            </w:hyperlink>
          </w:p>
        </w:tc>
        <w:tc>
          <w:tcPr>
            <w:tcW w:w="1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9540" w:type="dxa"/>
            <w:vAlign w:val="bottom"/>
            <w:tcBorders>
              <w:top w:val="single" w:sz="8" w:color="0000FF"/>
            </w:tcBorders>
            <w:gridSpan w:val="18"/>
          </w:tcPr>
          <w:p>
            <w:pPr>
              <w:spacing w:after="0" w:line="162" w:lineRule="exact"/>
              <w:rPr>
                <w:rFonts w:ascii="Arial" w:cs="Arial" w:eastAsia="Arial" w:hAnsi="Arial"/>
                <w:sz w:val="18"/>
                <w:szCs w:val="18"/>
                <w:color w:val="0000FF"/>
                <w:w w:val="99"/>
              </w:rPr>
            </w:pPr>
            <w:hyperlink r:id="rId206">
              <w:r>
                <w:rPr>
                  <w:rFonts w:ascii="Arial" w:cs="Arial" w:eastAsia="Arial" w:hAnsi="Arial"/>
                  <w:sz w:val="18"/>
                  <w:szCs w:val="18"/>
                  <w:color w:val="0000FF"/>
                  <w:w w:val="99"/>
                </w:rPr>
                <w:t>Resources S LLC, Green Gate Resources Holdings LLC, Green Gate Resources Parent LLC, Petra Merger Sub S, LLC,</w:t>
              </w:r>
            </w:hyperlink>
          </w:p>
        </w:tc>
        <w:tc>
          <w:tcPr>
            <w:tcW w:w="620" w:type="dxa"/>
            <w:vAlign w:val="bottom"/>
            <w:gridSpan w:val="21"/>
          </w:tcPr>
          <w:p>
            <w:pPr>
              <w:jc w:val="center"/>
              <w:ind w:right="200"/>
              <w:spacing w:after="0" w:line="162" w:lineRule="exact"/>
              <w:rPr>
                <w:rFonts w:ascii="Arial" w:cs="Arial" w:eastAsia="Arial" w:hAnsi="Arial"/>
                <w:sz w:val="18"/>
                <w:szCs w:val="18"/>
                <w:color w:val="0000FF"/>
              </w:rPr>
            </w:pPr>
            <w:hyperlink r:id="rId206">
              <w:r>
                <w:rPr>
                  <w:rFonts w:ascii="Arial" w:cs="Arial" w:eastAsia="Arial" w:hAnsi="Arial"/>
                  <w:sz w:val="18"/>
                  <w:szCs w:val="18"/>
                  <w:color w:val="0000FF"/>
                </w:rPr>
                <w:t>the</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8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other guarantors party thereto and Wilmington Trust, National Association (filed as Exhibit 10.7 to the Registrant's Current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68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206">
              <w:r>
                <w:rPr>
                  <w:rFonts w:ascii="Arial" w:cs="Arial" w:eastAsia="Arial" w:hAnsi="Arial"/>
                  <w:sz w:val="18"/>
                  <w:szCs w:val="18"/>
                  <w:color w:val="0000FF"/>
                </w:rPr>
                <w:t>Report on Form 8-K filed July 1, 2024 and incorporated herein by reference).</w:t>
              </w:r>
            </w:hyperlink>
          </w:p>
        </w:tc>
        <w:tc>
          <w:tcPr>
            <w:tcW w:w="20" w:type="dxa"/>
            <w:vAlign w:val="bottom"/>
          </w:tcPr>
          <w:p>
            <w:pPr>
              <w:spacing w:after="0"/>
              <w:rPr>
                <w:sz w:val="14"/>
                <w:szCs w:val="14"/>
                <w:color w:val="auto"/>
              </w:rPr>
            </w:pPr>
          </w:p>
        </w:tc>
        <w:tc>
          <w:tcPr>
            <w:tcW w:w="2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60" w:type="dxa"/>
            <w:vAlign w:val="bottom"/>
          </w:tcPr>
          <w:p>
            <w:pPr>
              <w:ind w:left="20"/>
              <w:spacing w:after="0"/>
              <w:rPr>
                <w:sz w:val="20"/>
                <w:szCs w:val="20"/>
                <w:color w:val="auto"/>
              </w:rPr>
            </w:pPr>
            <w:r>
              <w:rPr>
                <w:rFonts w:ascii="Arial" w:cs="Arial" w:eastAsia="Arial" w:hAnsi="Arial"/>
                <w:sz w:val="18"/>
                <w:szCs w:val="18"/>
                <w:color w:val="auto"/>
              </w:rPr>
              <w:t>4.7</w:t>
            </w:r>
          </w:p>
        </w:tc>
        <w:tc>
          <w:tcPr>
            <w:tcW w:w="10160" w:type="dxa"/>
            <w:vAlign w:val="bottom"/>
            <w:gridSpan w:val="39"/>
          </w:tcPr>
          <w:p>
            <w:pPr>
              <w:spacing w:after="0"/>
              <w:rPr>
                <w:rFonts w:ascii="Arial" w:cs="Arial" w:eastAsia="Arial" w:hAnsi="Arial"/>
                <w:sz w:val="18"/>
                <w:szCs w:val="18"/>
                <w:color w:val="0000FF"/>
              </w:rPr>
            </w:pPr>
            <w:hyperlink r:id="rId207">
              <w:r>
                <w:rPr>
                  <w:rFonts w:ascii="Arial" w:cs="Arial" w:eastAsia="Arial" w:hAnsi="Arial"/>
                  <w:sz w:val="18"/>
                  <w:szCs w:val="18"/>
                  <w:color w:val="0000FF"/>
                </w:rPr>
                <w:t>Second Supplemental Indenture to the 2029 Indenture, dated July 1, 2024, by and among California Resources Corporation,</w:t>
              </w:r>
            </w:hyperlink>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9940" w:type="dxa"/>
            <w:vAlign w:val="bottom"/>
            <w:tcBorders>
              <w:top w:val="single" w:sz="8" w:color="0000FF"/>
            </w:tcBorders>
            <w:gridSpan w:val="28"/>
          </w:tcPr>
          <w:p>
            <w:pPr>
              <w:spacing w:after="0" w:line="162" w:lineRule="exact"/>
              <w:rPr>
                <w:rFonts w:ascii="Arial" w:cs="Arial" w:eastAsia="Arial" w:hAnsi="Arial"/>
                <w:sz w:val="18"/>
                <w:szCs w:val="18"/>
                <w:color w:val="0000FF"/>
              </w:rPr>
            </w:pPr>
            <w:hyperlink r:id="rId207">
              <w:r>
                <w:rPr>
                  <w:rFonts w:ascii="Arial" w:cs="Arial" w:eastAsia="Arial" w:hAnsi="Arial"/>
                  <w:sz w:val="18"/>
                  <w:szCs w:val="18"/>
                  <w:color w:val="0000FF"/>
                </w:rPr>
                <w:t>the Guarantors, and Wilmington Trust, National Association (filed as Exhibit 4.1 to the Registrant's Current Report on Form 8</w:t>
              </w:r>
            </w:hyperlink>
          </w:p>
        </w:tc>
        <w:tc>
          <w:tcPr>
            <w:tcW w:w="140" w:type="dxa"/>
            <w:vAlign w:val="bottom"/>
            <w:gridSpan w:val="7"/>
          </w:tcPr>
          <w:p>
            <w:pPr>
              <w:jc w:val="right"/>
              <w:ind w:right="120"/>
              <w:spacing w:after="0"/>
              <w:rPr>
                <w:rFonts w:ascii="Arial" w:cs="Arial" w:eastAsia="Arial" w:hAnsi="Arial"/>
                <w:sz w:val="1"/>
                <w:szCs w:val="1"/>
                <w:color w:val="0000FF"/>
                <w:w w:val="4294967282"/>
              </w:rPr>
            </w:pPr>
            <w:hyperlink r:id="rId207">
              <w:r>
                <w:rPr>
                  <w:rFonts w:ascii="Arial" w:cs="Arial" w:eastAsia="Arial" w:hAnsi="Arial"/>
                  <w:sz w:val="1"/>
                  <w:szCs w:val="1"/>
                  <w:color w:val="0000FF"/>
                  <w:w w:val="4294967282"/>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9"/>
              </w:rPr>
            </w:pPr>
            <w:hyperlink r:id="rId207">
              <w:r>
                <w:rPr>
                  <w:rFonts w:ascii="Arial" w:cs="Arial" w:eastAsia="Arial" w:hAnsi="Arial"/>
                  <w:sz w:val="18"/>
                  <w:szCs w:val="18"/>
                  <w:color w:val="0000FF"/>
                  <w:w w:val="99"/>
                </w:rPr>
                <w:t>K filed August 22, 2024 and incorporated herein by reference).</w:t>
              </w:r>
            </w:hyperlink>
          </w:p>
        </w:tc>
        <w:tc>
          <w:tcPr>
            <w:tcW w:w="5020" w:type="dxa"/>
            <w:vAlign w:val="bottom"/>
            <w:tcBorders>
              <w:top w:val="single" w:sz="8" w:color="0000FF"/>
            </w:tcBorders>
            <w:gridSpan w:val="26"/>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4.8</w:t>
            </w:r>
          </w:p>
        </w:tc>
        <w:tc>
          <w:tcPr>
            <w:tcW w:w="10160" w:type="dxa"/>
            <w:vAlign w:val="bottom"/>
            <w:gridSpan w:val="39"/>
          </w:tcPr>
          <w:p>
            <w:pPr>
              <w:spacing w:after="0"/>
              <w:rPr>
                <w:rFonts w:ascii="Arial" w:cs="Arial" w:eastAsia="Arial" w:hAnsi="Arial"/>
                <w:sz w:val="18"/>
                <w:szCs w:val="18"/>
                <w:color w:val="0000FF"/>
              </w:rPr>
            </w:pPr>
            <w:hyperlink r:id="rId208">
              <w:r>
                <w:rPr>
                  <w:rFonts w:ascii="Arial" w:cs="Arial" w:eastAsia="Arial" w:hAnsi="Arial"/>
                  <w:sz w:val="18"/>
                  <w:szCs w:val="18"/>
                  <w:color w:val="0000FF"/>
                </w:rPr>
                <w:t>Indenture, dated October 8, 2025, by and among California Resources Corporation, the Guarantors and Wilmington Trust,</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7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08">
              <w:r>
                <w:rPr>
                  <w:rFonts w:ascii="Arial" w:cs="Arial" w:eastAsia="Arial" w:hAnsi="Arial"/>
                  <w:sz w:val="18"/>
                  <w:szCs w:val="18"/>
                  <w:color w:val="0000FF"/>
                </w:rPr>
                <w:t>National Association (filed as Exhibit 4.1 to the Registrant's Current Report on Form 8-K filed October 8, 2025 and</w:t>
              </w:r>
            </w:hyperlink>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9"/>
              </w:rPr>
            </w:pPr>
            <w:hyperlink r:id="rId208">
              <w:r>
                <w:rPr>
                  <w:rFonts w:ascii="Arial" w:cs="Arial" w:eastAsia="Arial" w:hAnsi="Arial"/>
                  <w:sz w:val="18"/>
                  <w:szCs w:val="18"/>
                  <w:color w:val="0000FF"/>
                  <w:w w:val="99"/>
                </w:rPr>
                <w:t>incorporated herein by reference).</w:t>
              </w:r>
            </w:hyperlink>
          </w:p>
        </w:tc>
        <w:tc>
          <w:tcPr>
            <w:tcW w:w="6340" w:type="dxa"/>
            <w:vAlign w:val="bottom"/>
            <w:tcBorders>
              <w:top w:val="single" w:sz="8" w:color="0000FF"/>
            </w:tcBorders>
            <w:gridSpan w:val="8"/>
          </w:tcPr>
          <w:p>
            <w:pPr>
              <w:spacing w:after="0"/>
              <w:rPr>
                <w:sz w:val="14"/>
                <w:szCs w:val="14"/>
                <w:color w:val="auto"/>
              </w:rPr>
            </w:pPr>
          </w:p>
        </w:tc>
        <w:tc>
          <w:tcPr>
            <w:tcW w:w="2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38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10.1</w:t>
            </w:r>
          </w:p>
        </w:tc>
        <w:tc>
          <w:tcPr>
            <w:tcW w:w="10160" w:type="dxa"/>
            <w:vAlign w:val="bottom"/>
            <w:gridSpan w:val="39"/>
          </w:tcPr>
          <w:p>
            <w:pPr>
              <w:spacing w:after="0"/>
              <w:rPr>
                <w:rFonts w:ascii="Arial" w:cs="Arial" w:eastAsia="Arial" w:hAnsi="Arial"/>
                <w:sz w:val="18"/>
                <w:szCs w:val="18"/>
                <w:color w:val="0000FF"/>
              </w:rPr>
            </w:pPr>
            <w:hyperlink r:id="rId209">
              <w:r>
                <w:rPr>
                  <w:rFonts w:ascii="Arial" w:cs="Arial" w:eastAsia="Arial" w:hAnsi="Arial"/>
                  <w:sz w:val="18"/>
                  <w:szCs w:val="18"/>
                  <w:color w:val="0000FF"/>
                </w:rPr>
                <w:t>Contractors' Agreement, by and between the City of Long Beach, Humble Oil &amp; Refining Company, Shell Oil Company,</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44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8"/>
              </w:rPr>
            </w:pPr>
            <w:hyperlink r:id="rId209">
              <w:r>
                <w:rPr>
                  <w:rFonts w:ascii="Arial" w:cs="Arial" w:eastAsia="Arial" w:hAnsi="Arial"/>
                  <w:sz w:val="18"/>
                  <w:szCs w:val="18"/>
                  <w:color w:val="0000FF"/>
                  <w:w w:val="98"/>
                </w:rPr>
                <w:t>Socony Mobil Oil Company, Inc., Texaco, Inc., Union Oil Company of California, Pauley Petroleum, Inc., Allied Chemical</w:t>
              </w:r>
            </w:hyperlink>
          </w:p>
        </w:tc>
        <w:tc>
          <w:tcPr>
            <w:tcW w:w="80" w:type="dxa"/>
            <w:vAlign w:val="bottom"/>
            <w:tcBorders>
              <w:bottom w:val="single" w:sz="8" w:color="0000FF"/>
            </w:tcBorders>
            <w:gridSpan w:val="2"/>
          </w:tcPr>
          <w:p>
            <w:pPr>
              <w:spacing w:after="0"/>
              <w:rPr>
                <w:sz w:val="13"/>
                <w:szCs w:val="13"/>
                <w:color w:val="auto"/>
              </w:rPr>
            </w:pPr>
          </w:p>
        </w:tc>
        <w:tc>
          <w:tcPr>
            <w:tcW w:w="640" w:type="dxa"/>
            <w:vAlign w:val="bottom"/>
            <w:gridSpan w:val="22"/>
            <w:vMerge w:val="restart"/>
          </w:tcPr>
          <w:p>
            <w:pPr>
              <w:jc w:val="center"/>
              <w:ind w:right="180"/>
              <w:spacing w:after="0"/>
              <w:rPr>
                <w:rFonts w:ascii="Arial" w:cs="Arial" w:eastAsia="Arial" w:hAnsi="Arial"/>
                <w:sz w:val="18"/>
                <w:szCs w:val="18"/>
                <w:color w:val="0000FF"/>
                <w:w w:val="99"/>
              </w:rPr>
            </w:pPr>
            <w:hyperlink r:id="rId209">
              <w:r>
                <w:rPr>
                  <w:rFonts w:ascii="Arial" w:cs="Arial" w:eastAsia="Arial" w:hAnsi="Arial"/>
                  <w:sz w:val="18"/>
                  <w:szCs w:val="18"/>
                  <w:color w:val="0000FF"/>
                  <w:w w:val="99"/>
                </w:rPr>
                <w:t>2 to</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520" w:type="dxa"/>
            <w:vAlign w:val="bottom"/>
            <w:gridSpan w:val="17"/>
          </w:tcPr>
          <w:p>
            <w:pPr>
              <w:spacing w:after="0" w:line="169" w:lineRule="exact"/>
              <w:rPr>
                <w:rFonts w:ascii="Arial" w:cs="Arial" w:eastAsia="Arial" w:hAnsi="Arial"/>
                <w:sz w:val="18"/>
                <w:szCs w:val="18"/>
                <w:color w:val="0000FF"/>
                <w:w w:val="99"/>
              </w:rPr>
            </w:pPr>
            <w:hyperlink r:id="rId209">
              <w:r>
                <w:rPr>
                  <w:rFonts w:ascii="Arial" w:cs="Arial" w:eastAsia="Arial" w:hAnsi="Arial"/>
                  <w:sz w:val="18"/>
                  <w:szCs w:val="18"/>
                  <w:color w:val="0000FF"/>
                  <w:w w:val="99"/>
                </w:rPr>
                <w:t>Corporation, Richfield Oil Corporation and Standard Oil Company of California (filed as Exhibit 10.12 to Amendment No.</w:t>
              </w:r>
            </w:hyperlink>
          </w:p>
        </w:tc>
        <w:tc>
          <w:tcPr>
            <w:tcW w:w="64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0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209">
              <w:r>
                <w:rPr>
                  <w:rFonts w:ascii="Arial" w:cs="Arial" w:eastAsia="Arial" w:hAnsi="Arial"/>
                  <w:sz w:val="18"/>
                  <w:szCs w:val="18"/>
                  <w:color w:val="0000FF"/>
                  <w:w w:val="99"/>
                </w:rPr>
                <w:t>the Registrant's Registration Statement on Form 10 filed August 20, 2014, and incorporated herein by reference).</w:t>
              </w:r>
            </w:hyperlink>
          </w:p>
        </w:tc>
        <w:tc>
          <w:tcPr>
            <w:tcW w:w="92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10.2</w:t>
            </w:r>
          </w:p>
        </w:tc>
        <w:tc>
          <w:tcPr>
            <w:tcW w:w="10160" w:type="dxa"/>
            <w:vAlign w:val="bottom"/>
            <w:gridSpan w:val="39"/>
          </w:tcPr>
          <w:p>
            <w:pPr>
              <w:spacing w:after="0"/>
              <w:rPr>
                <w:rFonts w:ascii="Arial" w:cs="Arial" w:eastAsia="Arial" w:hAnsi="Arial"/>
                <w:sz w:val="18"/>
                <w:szCs w:val="18"/>
                <w:color w:val="0000FF"/>
              </w:rPr>
            </w:pPr>
            <w:hyperlink r:id="rId210">
              <w:r>
                <w:rPr>
                  <w:rFonts w:ascii="Arial" w:cs="Arial" w:eastAsia="Arial" w:hAnsi="Arial"/>
                  <w:sz w:val="18"/>
                  <w:szCs w:val="18"/>
                  <w:color w:val="0000FF"/>
                </w:rPr>
                <w:t>Agreement for Implementation of an Optimized Waterflood Program for the Long Beach Unit, dated November 5, 1991, by and</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3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9"/>
              </w:rPr>
            </w:pPr>
            <w:hyperlink r:id="rId210">
              <w:r>
                <w:rPr>
                  <w:rFonts w:ascii="Arial" w:cs="Arial" w:eastAsia="Arial" w:hAnsi="Arial"/>
                  <w:sz w:val="18"/>
                  <w:szCs w:val="18"/>
                  <w:color w:val="0000FF"/>
                  <w:w w:val="99"/>
                </w:rPr>
                <w:t>among the State of California, by and through the State Lands Commission, the City of Long Beach, Atlantic Richfield</w:t>
              </w:r>
            </w:hyperlink>
          </w:p>
        </w:tc>
        <w:tc>
          <w:tcPr>
            <w:tcW w:w="780" w:type="dxa"/>
            <w:vAlign w:val="bottom"/>
            <w:tcBorders>
              <w:top w:val="single" w:sz="8" w:color="0000FF"/>
            </w:tcBorders>
            <w:gridSpan w:val="2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160" w:type="dxa"/>
            <w:vAlign w:val="bottom"/>
            <w:gridSpan w:val="39"/>
          </w:tcPr>
          <w:p>
            <w:pPr>
              <w:spacing w:after="0" w:line="169" w:lineRule="exact"/>
              <w:rPr>
                <w:rFonts w:ascii="Arial" w:cs="Arial" w:eastAsia="Arial" w:hAnsi="Arial"/>
                <w:sz w:val="18"/>
                <w:szCs w:val="18"/>
                <w:color w:val="0000FF"/>
              </w:rPr>
            </w:pPr>
            <w:hyperlink r:id="rId210">
              <w:r>
                <w:rPr>
                  <w:rFonts w:ascii="Arial" w:cs="Arial" w:eastAsia="Arial" w:hAnsi="Arial"/>
                  <w:sz w:val="18"/>
                  <w:szCs w:val="18"/>
                  <w:color w:val="0000FF"/>
                </w:rPr>
                <w:t>Company and ARCO Long Beach, Inc. (filed as Exhibit 10.10 to Amendment No. 2 to the Registrant's Registration Statement</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57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210">
              <w:r>
                <w:rPr>
                  <w:rFonts w:ascii="Arial" w:cs="Arial" w:eastAsia="Arial" w:hAnsi="Arial"/>
                  <w:sz w:val="18"/>
                  <w:szCs w:val="18"/>
                  <w:color w:val="0000FF"/>
                  <w:w w:val="99"/>
                </w:rPr>
                <w:t>on Form 10 filed August 20, 2014 and incorporated herein by reference.</w:t>
              </w:r>
            </w:hyperlink>
          </w:p>
        </w:tc>
        <w:tc>
          <w:tcPr>
            <w:tcW w:w="4240" w:type="dxa"/>
            <w:vAlign w:val="bottom"/>
            <w:tcBorders>
              <w:top w:val="single" w:sz="8" w:color="0000FF"/>
            </w:tcBorders>
            <w:gridSpan w:val="23"/>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160" w:type="dxa"/>
            <w:vAlign w:val="bottom"/>
          </w:tcPr>
          <w:p>
            <w:pPr>
              <w:ind w:left="20"/>
              <w:spacing w:after="0"/>
              <w:rPr>
                <w:sz w:val="20"/>
                <w:szCs w:val="20"/>
                <w:color w:val="auto"/>
              </w:rPr>
            </w:pPr>
            <w:r>
              <w:rPr>
                <w:rFonts w:ascii="Arial" w:cs="Arial" w:eastAsia="Arial" w:hAnsi="Arial"/>
                <w:sz w:val="18"/>
                <w:szCs w:val="18"/>
                <w:color w:val="auto"/>
              </w:rPr>
              <w:t>10.3</w:t>
            </w:r>
          </w:p>
        </w:tc>
        <w:tc>
          <w:tcPr>
            <w:tcW w:w="10160" w:type="dxa"/>
            <w:vAlign w:val="bottom"/>
            <w:gridSpan w:val="39"/>
          </w:tcPr>
          <w:p>
            <w:pPr>
              <w:spacing w:after="0"/>
              <w:rPr>
                <w:rFonts w:ascii="Arial" w:cs="Arial" w:eastAsia="Arial" w:hAnsi="Arial"/>
                <w:sz w:val="18"/>
                <w:szCs w:val="18"/>
                <w:color w:val="0000FF"/>
              </w:rPr>
            </w:pPr>
            <w:hyperlink r:id="rId211">
              <w:r>
                <w:rPr>
                  <w:rFonts w:ascii="Arial" w:cs="Arial" w:eastAsia="Arial" w:hAnsi="Arial"/>
                  <w:sz w:val="18"/>
                  <w:szCs w:val="18"/>
                  <w:color w:val="0000FF"/>
                </w:rPr>
                <w:t>Amendment to the Agreement for Implementation of an Optimized Waterflood Program for the Long Beach Unit, dated</w:t>
              </w:r>
            </w:hyperlink>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9400" w:type="dxa"/>
            <w:vAlign w:val="bottom"/>
            <w:tcBorders>
              <w:top w:val="single" w:sz="8" w:color="0000FF"/>
            </w:tcBorders>
            <w:gridSpan w:val="14"/>
          </w:tcPr>
          <w:p>
            <w:pPr>
              <w:spacing w:after="0" w:line="162" w:lineRule="exact"/>
              <w:rPr>
                <w:rFonts w:ascii="Arial" w:cs="Arial" w:eastAsia="Arial" w:hAnsi="Arial"/>
                <w:sz w:val="18"/>
                <w:szCs w:val="18"/>
                <w:color w:val="0000FF"/>
                <w:w w:val="99"/>
              </w:rPr>
            </w:pPr>
            <w:hyperlink r:id="rId211">
              <w:r>
                <w:rPr>
                  <w:rFonts w:ascii="Arial" w:cs="Arial" w:eastAsia="Arial" w:hAnsi="Arial"/>
                  <w:sz w:val="18"/>
                  <w:szCs w:val="18"/>
                  <w:color w:val="0000FF"/>
                  <w:w w:val="99"/>
                </w:rPr>
                <w:t>January 16, 2009, by and among the State of California, by and through the State Lands Commission, the City of Long</w:t>
              </w:r>
            </w:hyperlink>
          </w:p>
        </w:tc>
        <w:tc>
          <w:tcPr>
            <w:tcW w:w="760" w:type="dxa"/>
            <w:vAlign w:val="bottom"/>
            <w:gridSpan w:val="25"/>
          </w:tcPr>
          <w:p>
            <w:pPr>
              <w:jc w:val="center"/>
              <w:ind w:right="40"/>
              <w:spacing w:after="0" w:line="162" w:lineRule="exact"/>
              <w:rPr>
                <w:rFonts w:ascii="Arial" w:cs="Arial" w:eastAsia="Arial" w:hAnsi="Arial"/>
                <w:sz w:val="18"/>
                <w:szCs w:val="18"/>
                <w:color w:val="0000FF"/>
                <w:w w:val="99"/>
              </w:rPr>
            </w:pPr>
            <w:hyperlink r:id="rId211">
              <w:r>
                <w:rPr>
                  <w:rFonts w:ascii="Arial" w:cs="Arial" w:eastAsia="Arial" w:hAnsi="Arial"/>
                  <w:sz w:val="18"/>
                  <w:szCs w:val="18"/>
                  <w:color w:val="0000FF"/>
                  <w:w w:val="99"/>
                </w:rPr>
                <w:t>Beach,</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100" w:type="dxa"/>
            <w:vAlign w:val="bottom"/>
            <w:tcBorders>
              <w:top w:val="single" w:sz="8" w:color="0000FF"/>
            </w:tcBorders>
            <w:gridSpan w:val="36"/>
          </w:tcPr>
          <w:p>
            <w:pPr>
              <w:spacing w:after="0" w:line="169" w:lineRule="exact"/>
              <w:rPr>
                <w:rFonts w:ascii="Arial" w:cs="Arial" w:eastAsia="Arial" w:hAnsi="Arial"/>
                <w:sz w:val="18"/>
                <w:szCs w:val="18"/>
                <w:color w:val="0000FF"/>
              </w:rPr>
            </w:pPr>
            <w:hyperlink r:id="rId211">
              <w:r>
                <w:rPr>
                  <w:rFonts w:ascii="Arial" w:cs="Arial" w:eastAsia="Arial" w:hAnsi="Arial"/>
                  <w:sz w:val="18"/>
                  <w:szCs w:val="18"/>
                  <w:color w:val="0000FF"/>
                </w:rPr>
                <w:t>and Oxy Long Beach, Inc. (filed as Exhibit 10.11 to Amendment No. 2 to the Registrant's Registration Statement on Form 10</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8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211">
              <w:r>
                <w:rPr>
                  <w:rFonts w:ascii="Arial" w:cs="Arial" w:eastAsia="Arial" w:hAnsi="Arial"/>
                  <w:sz w:val="18"/>
                  <w:szCs w:val="18"/>
                  <w:color w:val="0000FF"/>
                  <w:w w:val="99"/>
                </w:rPr>
                <w:t>filed August 20, 2014, and incorporated herein by reference).</w:t>
              </w:r>
            </w:hyperlink>
          </w:p>
        </w:tc>
        <w:tc>
          <w:tcPr>
            <w:tcW w:w="5040" w:type="dxa"/>
            <w:vAlign w:val="bottom"/>
            <w:tcBorders>
              <w:top w:val="single" w:sz="8" w:color="0000FF"/>
            </w:tcBorders>
            <w:gridSpan w:val="22"/>
          </w:tcPr>
          <w:p>
            <w:pPr>
              <w:spacing w:after="0"/>
              <w:rPr>
                <w:sz w:val="13"/>
                <w:szCs w:val="13"/>
                <w:color w:val="auto"/>
              </w:rPr>
            </w:pPr>
          </w:p>
        </w:tc>
        <w:tc>
          <w:tcPr>
            <w:tcW w:w="180" w:type="dxa"/>
            <w:vAlign w:val="bottom"/>
            <w:gridSpan w:val="9"/>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160" w:type="dxa"/>
            <w:vAlign w:val="bottom"/>
          </w:tcPr>
          <w:p>
            <w:pPr>
              <w:ind w:left="20"/>
              <w:spacing w:after="0"/>
              <w:rPr>
                <w:sz w:val="20"/>
                <w:szCs w:val="20"/>
                <w:color w:val="auto"/>
              </w:rPr>
            </w:pPr>
            <w:r>
              <w:rPr>
                <w:rFonts w:ascii="Arial" w:cs="Arial" w:eastAsia="Arial" w:hAnsi="Arial"/>
                <w:sz w:val="18"/>
                <w:szCs w:val="18"/>
                <w:color w:val="auto"/>
              </w:rPr>
              <w:t>10.4</w:t>
            </w:r>
          </w:p>
        </w:tc>
        <w:tc>
          <w:tcPr>
            <w:tcW w:w="10160" w:type="dxa"/>
            <w:vAlign w:val="bottom"/>
            <w:gridSpan w:val="39"/>
          </w:tcPr>
          <w:p>
            <w:pPr>
              <w:spacing w:after="0"/>
              <w:rPr>
                <w:rFonts w:ascii="Arial" w:cs="Arial" w:eastAsia="Arial" w:hAnsi="Arial"/>
                <w:sz w:val="18"/>
                <w:szCs w:val="18"/>
                <w:color w:val="0000FF"/>
              </w:rPr>
            </w:pPr>
            <w:hyperlink r:id="rId212">
              <w:r>
                <w:rPr>
                  <w:rFonts w:ascii="Arial" w:cs="Arial" w:eastAsia="Arial" w:hAnsi="Arial"/>
                  <w:sz w:val="18"/>
                  <w:szCs w:val="18"/>
                  <w:color w:val="0000FF"/>
                </w:rPr>
                <w:t>Intellectual Property License Agreement, dated November 25, 2014, between Occidental Petroleum Corporation and</w:t>
              </w:r>
            </w:hyperlink>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9260" w:type="dxa"/>
            <w:vAlign w:val="bottom"/>
            <w:tcBorders>
              <w:top w:val="single" w:sz="8" w:color="0000FF"/>
            </w:tcBorders>
            <w:gridSpan w:val="12"/>
          </w:tcPr>
          <w:p>
            <w:pPr>
              <w:spacing w:after="0" w:line="162" w:lineRule="exact"/>
              <w:rPr>
                <w:rFonts w:ascii="Arial" w:cs="Arial" w:eastAsia="Arial" w:hAnsi="Arial"/>
                <w:sz w:val="18"/>
                <w:szCs w:val="18"/>
                <w:color w:val="0000FF"/>
                <w:w w:val="98"/>
              </w:rPr>
            </w:pPr>
            <w:hyperlink r:id="rId212">
              <w:r>
                <w:rPr>
                  <w:rFonts w:ascii="Arial" w:cs="Arial" w:eastAsia="Arial" w:hAnsi="Arial"/>
                  <w:sz w:val="18"/>
                  <w:szCs w:val="18"/>
                  <w:color w:val="0000FF"/>
                  <w:w w:val="98"/>
                </w:rPr>
                <w:t>California Resources Corporation (filed as Exhibit 10.7 to the Registrant's Current Report on Form 8-K filed December</w:t>
              </w:r>
            </w:hyperlink>
          </w:p>
        </w:tc>
        <w:tc>
          <w:tcPr>
            <w:tcW w:w="900" w:type="dxa"/>
            <w:vAlign w:val="bottom"/>
            <w:gridSpan w:val="27"/>
          </w:tcPr>
          <w:p>
            <w:pPr>
              <w:jc w:val="right"/>
              <w:ind w:right="140"/>
              <w:spacing w:after="0" w:line="162" w:lineRule="exact"/>
              <w:rPr>
                <w:rFonts w:ascii="Arial" w:cs="Arial" w:eastAsia="Arial" w:hAnsi="Arial"/>
                <w:sz w:val="18"/>
                <w:szCs w:val="18"/>
                <w:color w:val="0000FF"/>
              </w:rPr>
            </w:pPr>
            <w:hyperlink r:id="rId212">
              <w:r>
                <w:rPr>
                  <w:rFonts w:ascii="Arial" w:cs="Arial" w:eastAsia="Arial" w:hAnsi="Arial"/>
                  <w:sz w:val="18"/>
                  <w:szCs w:val="18"/>
                  <w:color w:val="0000FF"/>
                </w:rPr>
                <w:t>1, 2014</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80" w:type="dxa"/>
            <w:vAlign w:val="bottom"/>
            <w:tcBorders>
              <w:top w:val="single" w:sz="8" w:color="0000FF"/>
            </w:tcBorders>
            <w:gridSpan w:val="35"/>
          </w:tcPr>
          <w:p>
            <w:pPr>
              <w:spacing w:after="0" w:line="169" w:lineRule="exact"/>
              <w:rPr>
                <w:rFonts w:ascii="Arial" w:cs="Arial" w:eastAsia="Arial" w:hAnsi="Arial"/>
                <w:sz w:val="18"/>
                <w:szCs w:val="18"/>
                <w:color w:val="0000FF"/>
              </w:rPr>
            </w:pPr>
            <w:hyperlink r:id="rId212">
              <w:r>
                <w:rPr>
                  <w:rFonts w:ascii="Arial" w:cs="Arial" w:eastAsia="Arial" w:hAnsi="Arial"/>
                  <w:sz w:val="18"/>
                  <w:szCs w:val="18"/>
                  <w:color w:val="0000FF"/>
                </w:rPr>
                <w:t>and incorporated herein by reference).</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7100" w:type="dxa"/>
            <w:vAlign w:val="bottom"/>
            <w:gridSpan w:val="3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10.5</w:t>
            </w:r>
          </w:p>
        </w:tc>
        <w:tc>
          <w:tcPr>
            <w:tcW w:w="10160" w:type="dxa"/>
            <w:vAlign w:val="bottom"/>
            <w:gridSpan w:val="39"/>
          </w:tcPr>
          <w:p>
            <w:pPr>
              <w:spacing w:after="0"/>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Area of Mutual Interest Agreement, dated November 25, 2014, between Occidental Petroleum Corporation and California</w:t>
              </w:r>
            </w:hyperlink>
          </w:p>
        </w:tc>
        <w:tc>
          <w:tcPr>
            <w:tcW w:w="0" w:type="dxa"/>
            <w:vAlign w:val="bottom"/>
          </w:tcPr>
          <w:p>
            <w:pPr>
              <w:spacing w:after="0"/>
              <w:rPr>
                <w:sz w:val="1"/>
                <w:szCs w:val="1"/>
                <w:color w:val="auto"/>
              </w:rPr>
            </w:pPr>
          </w:p>
        </w:tc>
      </w:tr>
    </w:tbl>
    <w:p>
      <w:pPr>
        <w:ind w:left="1160" w:right="520"/>
        <w:spacing w:after="0" w:line="237" w:lineRule="auto"/>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Resources Corporation (filed as Exhibit 10.5 to the Registrant's Current Report on Form 8-K filed December 1, 2014 and</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incorporated herein by reference).</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Arial" w:cs="Arial" w:eastAsia="Arial" w:hAnsi="Arial"/>
                <w:sz w:val="18"/>
                <w:szCs w:val="18"/>
                <w:color w:val="auto"/>
              </w:rPr>
              <w:t>Exhibit</w:t>
            </w:r>
          </w:p>
        </w:tc>
        <w:tc>
          <w:tcPr>
            <w:tcW w:w="10120" w:type="dxa"/>
            <w:vAlign w:val="bottom"/>
            <w:gridSpan w:val="34"/>
            <w:vMerge w:val="restart"/>
          </w:tcPr>
          <w:p>
            <w:pPr>
              <w:spacing w:after="0"/>
              <w:rPr>
                <w:sz w:val="20"/>
                <w:szCs w:val="20"/>
                <w:color w:val="auto"/>
              </w:rPr>
            </w:pPr>
            <w:r>
              <w:rPr>
                <w:rFonts w:ascii="Arial" w:cs="Arial" w:eastAsia="Arial" w:hAnsi="Arial"/>
                <w:sz w:val="18"/>
                <w:szCs w:val="18"/>
                <w:color w:val="auto"/>
              </w:rPr>
              <w:t>Exhibit Description</w:t>
            </w:r>
          </w:p>
        </w:tc>
        <w:tc>
          <w:tcPr>
            <w:tcW w:w="0" w:type="dxa"/>
            <w:vAlign w:val="bottom"/>
          </w:tcPr>
          <w:p>
            <w:pPr>
              <w:spacing w:after="0"/>
              <w:rPr>
                <w:sz w:val="1"/>
                <w:szCs w:val="1"/>
                <w:color w:val="auto"/>
              </w:rPr>
            </w:pPr>
          </w:p>
        </w:tc>
      </w:tr>
      <w:tr>
        <w:trPr>
          <w:trHeight w:val="243"/>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120" w:type="dxa"/>
            <w:vAlign w:val="bottom"/>
            <w:tcBorders>
              <w:bottom w:val="single" w:sz="8" w:color="auto"/>
            </w:tcBorders>
            <w:gridSpan w:val="3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10.6</w:t>
            </w:r>
          </w:p>
        </w:tc>
        <w:tc>
          <w:tcPr>
            <w:tcW w:w="968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215">
              <w:r>
                <w:rPr>
                  <w:rFonts w:ascii="Arial" w:cs="Arial" w:eastAsia="Arial" w:hAnsi="Arial"/>
                  <w:sz w:val="18"/>
                  <w:szCs w:val="18"/>
                  <w:color w:val="0000FF"/>
                  <w:w w:val="99"/>
                </w:rPr>
                <w:t>Confidentiality and Trade Secret Protection Agreement, dated November 25, 2014, by and between Occidental Petroleum</w:t>
              </w:r>
            </w:hyperlink>
          </w:p>
        </w:tc>
        <w:tc>
          <w:tcPr>
            <w:tcW w:w="44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120" w:type="dxa"/>
            <w:vAlign w:val="bottom"/>
            <w:gridSpan w:val="34"/>
          </w:tcPr>
          <w:p>
            <w:pPr>
              <w:spacing w:after="0" w:line="156" w:lineRule="exact"/>
              <w:rPr>
                <w:rFonts w:ascii="Arial" w:cs="Arial" w:eastAsia="Arial" w:hAnsi="Arial"/>
                <w:sz w:val="18"/>
                <w:szCs w:val="18"/>
                <w:color w:val="0000FF"/>
              </w:rPr>
            </w:pPr>
            <w:hyperlink r:id="rId215">
              <w:r>
                <w:rPr>
                  <w:rFonts w:ascii="Arial" w:cs="Arial" w:eastAsia="Arial" w:hAnsi="Arial"/>
                  <w:sz w:val="18"/>
                  <w:szCs w:val="18"/>
                  <w:color w:val="0000FF"/>
                </w:rPr>
                <w:t>Corporation and California Resources Corporation, dated November 24, 2014 (filed as Exhibit 10.6 to the Registrant's Current</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692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9"/>
              </w:rPr>
            </w:pPr>
            <w:hyperlink r:id="rId215">
              <w:r>
                <w:rPr>
                  <w:rFonts w:ascii="Arial" w:cs="Arial" w:eastAsia="Arial" w:hAnsi="Arial"/>
                  <w:sz w:val="18"/>
                  <w:szCs w:val="18"/>
                  <w:color w:val="0000FF"/>
                  <w:w w:val="99"/>
                </w:rPr>
                <w:t>Report on Form 8-K filed on December 1, 2014, and incorporated herein by reference).</w:t>
              </w:r>
            </w:hyperlink>
          </w:p>
        </w:tc>
        <w:tc>
          <w:tcPr>
            <w:tcW w:w="310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10.7***</w:t>
            </w:r>
          </w:p>
        </w:tc>
        <w:tc>
          <w:tcPr>
            <w:tcW w:w="9740" w:type="dxa"/>
            <w:vAlign w:val="bottom"/>
            <w:tcBorders>
              <w:bottom w:val="single" w:sz="8" w:color="0000FF"/>
            </w:tcBorders>
            <w:gridSpan w:val="15"/>
          </w:tcPr>
          <w:p>
            <w:pPr>
              <w:spacing w:after="0"/>
              <w:rPr>
                <w:rFonts w:ascii="Arial" w:cs="Arial" w:eastAsia="Arial" w:hAnsi="Arial"/>
                <w:sz w:val="18"/>
                <w:szCs w:val="18"/>
                <w:color w:val="0000FF"/>
                <w:w w:val="99"/>
              </w:rPr>
            </w:pPr>
            <w:hyperlink r:id="rId216">
              <w:r>
                <w:rPr>
                  <w:rFonts w:ascii="Arial" w:cs="Arial" w:eastAsia="Arial" w:hAnsi="Arial"/>
                  <w:sz w:val="18"/>
                  <w:szCs w:val="18"/>
                  <w:color w:val="0000FF"/>
                  <w:w w:val="99"/>
                </w:rPr>
                <w:t>Warrant Agreement, dated as of October 27, 2020, by and between California Resources Corporation and American Stock</w:t>
              </w:r>
            </w:hyperlink>
          </w:p>
        </w:tc>
        <w:tc>
          <w:tcPr>
            <w:tcW w:w="380" w:type="dxa"/>
            <w:vAlign w:val="bottom"/>
            <w:gridSpan w:val="19"/>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120" w:type="dxa"/>
            <w:vAlign w:val="bottom"/>
            <w:gridSpan w:val="34"/>
          </w:tcPr>
          <w:p>
            <w:pPr>
              <w:spacing w:after="0" w:line="156" w:lineRule="exact"/>
              <w:rPr>
                <w:rFonts w:ascii="Arial" w:cs="Arial" w:eastAsia="Arial" w:hAnsi="Arial"/>
                <w:sz w:val="18"/>
                <w:szCs w:val="18"/>
                <w:color w:val="0000FF"/>
              </w:rPr>
            </w:pPr>
            <w:hyperlink r:id="rId216">
              <w:r>
                <w:rPr>
                  <w:rFonts w:ascii="Arial" w:cs="Arial" w:eastAsia="Arial" w:hAnsi="Arial"/>
                  <w:sz w:val="18"/>
                  <w:szCs w:val="18"/>
                  <w:color w:val="0000FF"/>
                </w:rPr>
                <w:t>Transfer &amp; Trust Company, LLC, as Warrant Agent (filed as Exhibit 10.4 to the Registrant’s Current Report on Form 8-K filed</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60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9"/>
              </w:rPr>
            </w:pPr>
            <w:hyperlink r:id="rId216">
              <w:r>
                <w:rPr>
                  <w:rFonts w:ascii="Arial" w:cs="Arial" w:eastAsia="Arial" w:hAnsi="Arial"/>
                  <w:sz w:val="18"/>
                  <w:szCs w:val="18"/>
                  <w:color w:val="0000FF"/>
                  <w:w w:val="99"/>
                </w:rPr>
                <w:t>November 2, 2020 and incorporated herein by reference).</w:t>
              </w:r>
            </w:hyperlink>
          </w:p>
        </w:tc>
        <w:tc>
          <w:tcPr>
            <w:tcW w:w="526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10.8</w:t>
            </w:r>
          </w:p>
        </w:tc>
        <w:tc>
          <w:tcPr>
            <w:tcW w:w="10120" w:type="dxa"/>
            <w:vAlign w:val="bottom"/>
            <w:gridSpan w:val="34"/>
          </w:tcPr>
          <w:p>
            <w:pPr>
              <w:spacing w:after="0"/>
              <w:rPr>
                <w:rFonts w:ascii="Arial" w:cs="Arial" w:eastAsia="Arial" w:hAnsi="Arial"/>
                <w:sz w:val="18"/>
                <w:szCs w:val="18"/>
                <w:color w:val="0000FF"/>
              </w:rPr>
            </w:pPr>
            <w:hyperlink r:id="rId217">
              <w:r>
                <w:rPr>
                  <w:rFonts w:ascii="Arial" w:cs="Arial" w:eastAsia="Arial" w:hAnsi="Arial"/>
                  <w:sz w:val="18"/>
                  <w:szCs w:val="18"/>
                  <w:color w:val="0000FF"/>
                </w:rPr>
                <w:t>Registration Rights Agreement, dated as of July 1, 2024, by and among California Resources Corporation and the holders</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7"/>
              </w:rPr>
            </w:pPr>
            <w:hyperlink r:id="rId217">
              <w:r>
                <w:rPr>
                  <w:rFonts w:ascii="Arial" w:cs="Arial" w:eastAsia="Arial" w:hAnsi="Arial"/>
                  <w:sz w:val="18"/>
                  <w:szCs w:val="18"/>
                  <w:color w:val="0000FF"/>
                  <w:w w:val="97"/>
                </w:rPr>
                <w:t>party thereto (filed as Exhibit 10.1 to the Registrant's Registration Statement on Form 8-K filed July 1, 2024 and incorporated</w:t>
              </w:r>
            </w:hyperlink>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940" w:type="dxa"/>
            <w:vAlign w:val="bottom"/>
            <w:gridSpan w:val="24"/>
          </w:tcPr>
          <w:p>
            <w:pPr>
              <w:spacing w:after="0" w:line="169" w:lineRule="exact"/>
              <w:rPr>
                <w:rFonts w:ascii="Arial" w:cs="Arial" w:eastAsia="Arial" w:hAnsi="Arial"/>
                <w:sz w:val="18"/>
                <w:szCs w:val="18"/>
                <w:color w:val="0000FF"/>
              </w:rPr>
            </w:pPr>
            <w:hyperlink r:id="rId217">
              <w:r>
                <w:rPr>
                  <w:rFonts w:ascii="Arial" w:cs="Arial" w:eastAsia="Arial" w:hAnsi="Arial"/>
                  <w:sz w:val="18"/>
                  <w:szCs w:val="18"/>
                  <w:color w:val="0000FF"/>
                </w:rPr>
                <w:t>herein by reference).</w:t>
              </w:r>
            </w:hyperlink>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10.9</w:t>
            </w:r>
          </w:p>
        </w:tc>
        <w:tc>
          <w:tcPr>
            <w:tcW w:w="10120" w:type="dxa"/>
            <w:vAlign w:val="bottom"/>
            <w:gridSpan w:val="34"/>
          </w:tcPr>
          <w:p>
            <w:pPr>
              <w:spacing w:after="0"/>
              <w:rPr>
                <w:rFonts w:ascii="Arial" w:cs="Arial" w:eastAsia="Arial" w:hAnsi="Arial"/>
                <w:sz w:val="18"/>
                <w:szCs w:val="18"/>
                <w:color w:val="0000FF"/>
              </w:rPr>
            </w:pPr>
            <w:hyperlink r:id="rId218">
              <w:r>
                <w:rPr>
                  <w:rFonts w:ascii="Arial" w:cs="Arial" w:eastAsia="Arial" w:hAnsi="Arial"/>
                  <w:sz w:val="18"/>
                  <w:szCs w:val="18"/>
                  <w:color w:val="0000FF"/>
                </w:rPr>
                <w:t>Stockholder Agreement, dated as of July 1, 2024, by and among California Resources Corporation and the stockholders party</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218">
              <w:r>
                <w:rPr>
                  <w:rFonts w:ascii="Arial" w:cs="Arial" w:eastAsia="Arial" w:hAnsi="Arial"/>
                  <w:sz w:val="18"/>
                  <w:szCs w:val="18"/>
                  <w:color w:val="0000FF"/>
                </w:rPr>
                <w:t>thereto (filed as Exhibit 10.2 to the Registrant's Current Report on Form 8-K filed July 1, 2024 and incorporated herein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8"/>
              </w:rPr>
            </w:pPr>
            <w:hyperlink r:id="rId218">
              <w:r>
                <w:rPr>
                  <w:rFonts w:ascii="Arial" w:cs="Arial" w:eastAsia="Arial" w:hAnsi="Arial"/>
                  <w:sz w:val="18"/>
                  <w:szCs w:val="18"/>
                  <w:color w:val="0000FF"/>
                  <w:w w:val="98"/>
                </w:rPr>
                <w:t>reference).</w:t>
              </w:r>
            </w:hyperlink>
          </w:p>
        </w:tc>
        <w:tc>
          <w:tcPr>
            <w:tcW w:w="872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10.10</w:t>
            </w:r>
          </w:p>
        </w:tc>
        <w:tc>
          <w:tcPr>
            <w:tcW w:w="10120" w:type="dxa"/>
            <w:vAlign w:val="bottom"/>
            <w:gridSpan w:val="34"/>
          </w:tcPr>
          <w:p>
            <w:pPr>
              <w:spacing w:after="0"/>
              <w:rPr>
                <w:rFonts w:ascii="Arial" w:cs="Arial" w:eastAsia="Arial" w:hAnsi="Arial"/>
                <w:sz w:val="18"/>
                <w:szCs w:val="18"/>
                <w:color w:val="0000FF"/>
              </w:rPr>
            </w:pPr>
            <w:hyperlink r:id="rId219">
              <w:r>
                <w:rPr>
                  <w:rFonts w:ascii="Arial" w:cs="Arial" w:eastAsia="Arial" w:hAnsi="Arial"/>
                  <w:sz w:val="18"/>
                  <w:szCs w:val="18"/>
                  <w:color w:val="0000FF"/>
                </w:rPr>
                <w:t>Stockholder Agreement, dated as of July 1, 2024, by and among California Resources Corporation and the stockholders party</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219">
              <w:r>
                <w:rPr>
                  <w:rFonts w:ascii="Arial" w:cs="Arial" w:eastAsia="Arial" w:hAnsi="Arial"/>
                  <w:sz w:val="18"/>
                  <w:szCs w:val="18"/>
                  <w:color w:val="0000FF"/>
                </w:rPr>
                <w:t>thereto (filed as Exhibit 10.3 to the Registrant's Current Report on Form 8-K filed July 1, 2024 and incorporated herein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8"/>
              </w:rPr>
            </w:pPr>
            <w:hyperlink r:id="rId219">
              <w:r>
                <w:rPr>
                  <w:rFonts w:ascii="Arial" w:cs="Arial" w:eastAsia="Arial" w:hAnsi="Arial"/>
                  <w:sz w:val="18"/>
                  <w:szCs w:val="18"/>
                  <w:color w:val="0000FF"/>
                  <w:w w:val="98"/>
                </w:rPr>
                <w:t>reference).</w:t>
              </w:r>
            </w:hyperlink>
          </w:p>
        </w:tc>
        <w:tc>
          <w:tcPr>
            <w:tcW w:w="872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10.11</w:t>
            </w:r>
          </w:p>
        </w:tc>
        <w:tc>
          <w:tcPr>
            <w:tcW w:w="10120" w:type="dxa"/>
            <w:vAlign w:val="bottom"/>
            <w:gridSpan w:val="34"/>
          </w:tcPr>
          <w:p>
            <w:pPr>
              <w:spacing w:after="0"/>
              <w:rPr>
                <w:rFonts w:ascii="Arial" w:cs="Arial" w:eastAsia="Arial" w:hAnsi="Arial"/>
                <w:sz w:val="18"/>
                <w:szCs w:val="18"/>
                <w:color w:val="0000FF"/>
              </w:rPr>
            </w:pPr>
            <w:hyperlink r:id="rId220">
              <w:r>
                <w:rPr>
                  <w:rFonts w:ascii="Arial" w:cs="Arial" w:eastAsia="Arial" w:hAnsi="Arial"/>
                  <w:sz w:val="18"/>
                  <w:szCs w:val="18"/>
                  <w:color w:val="0000FF"/>
                </w:rPr>
                <w:t>Amended and Restated Credit Agreement, dated as of April 26, 2023, by and among California Resources Corporation, as the</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8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220">
              <w:r>
                <w:rPr>
                  <w:rFonts w:ascii="Arial" w:cs="Arial" w:eastAsia="Arial" w:hAnsi="Arial"/>
                  <w:sz w:val="18"/>
                  <w:szCs w:val="18"/>
                  <w:color w:val="0000FF"/>
                </w:rPr>
                <w:t>Borrower, the several lenders from time to time parties thereto and Citibank, N.A., as Administrative Agent, Collateral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82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220">
              <w:r>
                <w:rPr>
                  <w:rFonts w:ascii="Arial" w:cs="Arial" w:eastAsia="Arial" w:hAnsi="Arial"/>
                  <w:sz w:val="18"/>
                  <w:szCs w:val="18"/>
                  <w:color w:val="0000FF"/>
                </w:rPr>
                <w:t>and an Issuing Bank (filed as Exhibit 10.5 to the Registrant's Quarterly Report on Form 10-Q filed May 4, 2023 and</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220">
              <w:r>
                <w:rPr>
                  <w:rFonts w:ascii="Arial" w:cs="Arial" w:eastAsia="Arial" w:hAnsi="Arial"/>
                  <w:sz w:val="18"/>
                  <w:szCs w:val="18"/>
                  <w:color w:val="0000FF"/>
                  <w:w w:val="99"/>
                </w:rPr>
                <w:t>incorporated herein by reference).</w:t>
              </w:r>
            </w:hyperlink>
          </w:p>
        </w:tc>
        <w:tc>
          <w:tcPr>
            <w:tcW w:w="64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10.12**</w:t>
            </w:r>
          </w:p>
        </w:tc>
        <w:tc>
          <w:tcPr>
            <w:tcW w:w="10120" w:type="dxa"/>
            <w:vAlign w:val="bottom"/>
            <w:gridSpan w:val="34"/>
          </w:tcPr>
          <w:p>
            <w:pPr>
              <w:spacing w:after="0"/>
              <w:rPr>
                <w:rFonts w:ascii="Arial" w:cs="Arial" w:eastAsia="Arial" w:hAnsi="Arial"/>
                <w:sz w:val="18"/>
                <w:szCs w:val="18"/>
                <w:color w:val="0000FF"/>
              </w:rPr>
            </w:pPr>
            <w:hyperlink r:id="rId221">
              <w:r>
                <w:rPr>
                  <w:rFonts w:ascii="Arial" w:cs="Arial" w:eastAsia="Arial" w:hAnsi="Arial"/>
                  <w:sz w:val="18"/>
                  <w:szCs w:val="18"/>
                  <w:color w:val="0000FF"/>
                </w:rPr>
                <w:t>First Amendment to the Amended and Restated Credit Agreement, dated as of October 30, 2023, by and among California</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7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21">
              <w:r>
                <w:rPr>
                  <w:rFonts w:ascii="Arial" w:cs="Arial" w:eastAsia="Arial" w:hAnsi="Arial"/>
                  <w:sz w:val="18"/>
                  <w:szCs w:val="18"/>
                  <w:color w:val="0000FF"/>
                </w:rPr>
                <w:t>Resources Corporation, as the Borrower, the several lenders from time to time parties thereto and Citibank, N.A., as</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220" w:type="dxa"/>
            <w:vAlign w:val="bottom"/>
            <w:tcBorders>
              <w:top w:val="single" w:sz="8" w:color="0000FF"/>
            </w:tcBorders>
            <w:gridSpan w:val="10"/>
          </w:tcPr>
          <w:p>
            <w:pPr>
              <w:spacing w:after="0" w:line="169" w:lineRule="exact"/>
              <w:rPr>
                <w:rFonts w:ascii="Arial" w:cs="Arial" w:eastAsia="Arial" w:hAnsi="Arial"/>
                <w:sz w:val="18"/>
                <w:szCs w:val="18"/>
                <w:color w:val="0000FF"/>
                <w:w w:val="99"/>
              </w:rPr>
            </w:pPr>
            <w:hyperlink r:id="rId221">
              <w:r>
                <w:rPr>
                  <w:rFonts w:ascii="Arial" w:cs="Arial" w:eastAsia="Arial" w:hAnsi="Arial"/>
                  <w:sz w:val="18"/>
                  <w:szCs w:val="18"/>
                  <w:color w:val="0000FF"/>
                  <w:w w:val="99"/>
                </w:rPr>
                <w:t>Administrative Agent, Collateral Agent and an Issuing Bank (filed as Exhibit 10.1 to the Registrant’s Quarterly Report</w:t>
              </w:r>
            </w:hyperlink>
          </w:p>
        </w:tc>
        <w:tc>
          <w:tcPr>
            <w:tcW w:w="900" w:type="dxa"/>
            <w:vAlign w:val="bottom"/>
            <w:gridSpan w:val="24"/>
          </w:tcPr>
          <w:p>
            <w:pPr>
              <w:ind w:left="80"/>
              <w:spacing w:after="0" w:line="169" w:lineRule="exact"/>
              <w:rPr>
                <w:rFonts w:ascii="Arial" w:cs="Arial" w:eastAsia="Arial" w:hAnsi="Arial"/>
                <w:sz w:val="18"/>
                <w:szCs w:val="18"/>
                <w:color w:val="0000FF"/>
              </w:rPr>
            </w:pPr>
            <w:hyperlink r:id="rId221">
              <w:r>
                <w:rPr>
                  <w:rFonts w:ascii="Arial" w:cs="Arial" w:eastAsia="Arial" w:hAnsi="Arial"/>
                  <w:sz w:val="18"/>
                  <w:szCs w:val="18"/>
                  <w:color w:val="0000FF"/>
                </w:rPr>
                <w:t>on Form</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9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21">
              <w:r>
                <w:rPr>
                  <w:rFonts w:ascii="Arial" w:cs="Arial" w:eastAsia="Arial" w:hAnsi="Arial"/>
                  <w:sz w:val="18"/>
                  <w:szCs w:val="18"/>
                  <w:color w:val="0000FF"/>
                </w:rPr>
                <w:t>10-Q filed November 2, 2023 and incorporated herein by reference).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10.13</w:t>
            </w:r>
          </w:p>
        </w:tc>
        <w:tc>
          <w:tcPr>
            <w:tcW w:w="10120" w:type="dxa"/>
            <w:vAlign w:val="bottom"/>
            <w:gridSpan w:val="34"/>
          </w:tcPr>
          <w:p>
            <w:pPr>
              <w:spacing w:after="0"/>
              <w:rPr>
                <w:rFonts w:ascii="Arial" w:cs="Arial" w:eastAsia="Arial" w:hAnsi="Arial"/>
                <w:sz w:val="18"/>
                <w:szCs w:val="18"/>
                <w:color w:val="0000FF"/>
              </w:rPr>
            </w:pPr>
            <w:hyperlink r:id="rId222">
              <w:r>
                <w:rPr>
                  <w:rFonts w:ascii="Arial" w:cs="Arial" w:eastAsia="Arial" w:hAnsi="Arial"/>
                  <w:sz w:val="18"/>
                  <w:szCs w:val="18"/>
                  <w:color w:val="0000FF"/>
                </w:rPr>
                <w:t>Second Amendment to the Amended and Restated Credit Agreement, entered into effective as of February 2, 2024, by and</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8"/>
              </w:rPr>
            </w:pPr>
            <w:hyperlink r:id="rId222">
              <w:r>
                <w:rPr>
                  <w:rFonts w:ascii="Arial" w:cs="Arial" w:eastAsia="Arial" w:hAnsi="Arial"/>
                  <w:sz w:val="18"/>
                  <w:szCs w:val="18"/>
                  <w:color w:val="0000FF"/>
                  <w:w w:val="98"/>
                </w:rPr>
                <w:t>among California Resources Corporation, as the Borrower, the several lenders from time to time parties thereto and Citibank,</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120" w:type="dxa"/>
            <w:vAlign w:val="bottom"/>
            <w:gridSpan w:val="34"/>
          </w:tcPr>
          <w:p>
            <w:pPr>
              <w:spacing w:after="0" w:line="169" w:lineRule="exact"/>
              <w:rPr>
                <w:rFonts w:ascii="Arial" w:cs="Arial" w:eastAsia="Arial" w:hAnsi="Arial"/>
                <w:sz w:val="18"/>
                <w:szCs w:val="18"/>
                <w:color w:val="0000FF"/>
              </w:rPr>
            </w:pPr>
            <w:hyperlink r:id="rId222">
              <w:r>
                <w:rPr>
                  <w:rFonts w:ascii="Arial" w:cs="Arial" w:eastAsia="Arial" w:hAnsi="Arial"/>
                  <w:sz w:val="18"/>
                  <w:szCs w:val="18"/>
                  <w:color w:val="0000FF"/>
                </w:rPr>
                <w:t>N.A., as Administrative Agent (filed as Exhibit 10.1 to the Registrant's Current Report on Form 8-K filed February 14, 2024 and</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222">
              <w:r>
                <w:rPr>
                  <w:rFonts w:ascii="Arial" w:cs="Arial" w:eastAsia="Arial" w:hAnsi="Arial"/>
                  <w:sz w:val="18"/>
                  <w:szCs w:val="18"/>
                  <w:color w:val="0000FF"/>
                  <w:w w:val="99"/>
                </w:rPr>
                <w:t>incorporated herein by reference).</w:t>
              </w:r>
            </w:hyperlink>
          </w:p>
        </w:tc>
        <w:tc>
          <w:tcPr>
            <w:tcW w:w="738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10.14</w:t>
            </w:r>
          </w:p>
        </w:tc>
        <w:tc>
          <w:tcPr>
            <w:tcW w:w="10120" w:type="dxa"/>
            <w:vAlign w:val="bottom"/>
            <w:gridSpan w:val="34"/>
          </w:tcPr>
          <w:p>
            <w:pPr>
              <w:spacing w:after="0"/>
              <w:rPr>
                <w:rFonts w:ascii="Arial" w:cs="Arial" w:eastAsia="Arial" w:hAnsi="Arial"/>
                <w:sz w:val="18"/>
                <w:szCs w:val="18"/>
                <w:color w:val="0000FF"/>
              </w:rPr>
            </w:pPr>
            <w:hyperlink r:id="rId223">
              <w:r>
                <w:rPr>
                  <w:rFonts w:ascii="Arial" w:cs="Arial" w:eastAsia="Arial" w:hAnsi="Arial"/>
                  <w:sz w:val="18"/>
                  <w:szCs w:val="18"/>
                  <w:color w:val="0000FF"/>
                </w:rPr>
                <w:t>Third Amendment to the Amended and Restated Credit Agreement, entered into effective as of March 8, 2024, by and among</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9"/>
              </w:rPr>
            </w:pPr>
            <w:hyperlink r:id="rId223">
              <w:r>
                <w:rPr>
                  <w:rFonts w:ascii="Arial" w:cs="Arial" w:eastAsia="Arial" w:hAnsi="Arial"/>
                  <w:sz w:val="18"/>
                  <w:szCs w:val="18"/>
                  <w:color w:val="0000FF"/>
                  <w:w w:val="99"/>
                </w:rPr>
                <w:t>California Resources Corporation, as the Borrower, the several lenders from time to time parties thereto and Citibank, N.A., as</w:t>
              </w:r>
            </w:hyperlink>
          </w:p>
        </w:tc>
        <w:tc>
          <w:tcPr>
            <w:tcW w:w="60" w:type="dxa"/>
            <w:vAlign w:val="bottom"/>
            <w:tcBorders>
              <w:bottom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60" w:type="dxa"/>
            <w:vAlign w:val="bottom"/>
            <w:gridSpan w:val="31"/>
          </w:tcPr>
          <w:p>
            <w:pPr>
              <w:spacing w:after="0" w:line="169" w:lineRule="exact"/>
              <w:rPr>
                <w:rFonts w:ascii="Arial" w:cs="Arial" w:eastAsia="Arial" w:hAnsi="Arial"/>
                <w:sz w:val="18"/>
                <w:szCs w:val="18"/>
                <w:color w:val="0000FF"/>
              </w:rPr>
            </w:pPr>
            <w:hyperlink r:id="rId223">
              <w:r>
                <w:rPr>
                  <w:rFonts w:ascii="Arial" w:cs="Arial" w:eastAsia="Arial" w:hAnsi="Arial"/>
                  <w:sz w:val="18"/>
                  <w:szCs w:val="18"/>
                  <w:color w:val="0000FF"/>
                </w:rPr>
                <w:t>Administrative Agent (filed as Exhibit 10.1 to the Registrant's Current Report on Form 8-K filed March 11, 2024 and</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223">
              <w:r>
                <w:rPr>
                  <w:rFonts w:ascii="Arial" w:cs="Arial" w:eastAsia="Arial" w:hAnsi="Arial"/>
                  <w:sz w:val="18"/>
                  <w:szCs w:val="18"/>
                  <w:color w:val="0000FF"/>
                  <w:w w:val="99"/>
                </w:rPr>
                <w:t>incorporated herein by reference).</w:t>
              </w:r>
            </w:hyperlink>
          </w:p>
        </w:tc>
        <w:tc>
          <w:tcPr>
            <w:tcW w:w="6420" w:type="dxa"/>
            <w:vAlign w:val="bottom"/>
            <w:tcBorders>
              <w:top w:val="single" w:sz="8" w:color="0000FF"/>
            </w:tcBorders>
            <w:gridSpan w:val="6"/>
          </w:tcPr>
          <w:p>
            <w:pPr>
              <w:spacing w:after="0"/>
              <w:rPr>
                <w:sz w:val="13"/>
                <w:szCs w:val="13"/>
                <w:color w:val="auto"/>
              </w:rPr>
            </w:pPr>
          </w:p>
        </w:tc>
        <w:tc>
          <w:tcPr>
            <w:tcW w:w="480" w:type="dxa"/>
            <w:vAlign w:val="bottom"/>
            <w:gridSpan w:val="3"/>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gridSpan w:val="2"/>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10.15</w:t>
            </w:r>
          </w:p>
        </w:tc>
        <w:tc>
          <w:tcPr>
            <w:tcW w:w="9940" w:type="dxa"/>
            <w:vAlign w:val="bottom"/>
            <w:tcBorders>
              <w:bottom w:val="single" w:sz="8" w:color="0000FF"/>
            </w:tcBorders>
            <w:gridSpan w:val="25"/>
          </w:tcPr>
          <w:p>
            <w:pPr>
              <w:spacing w:after="0"/>
              <w:rPr>
                <w:rFonts w:ascii="Arial" w:cs="Arial" w:eastAsia="Arial" w:hAnsi="Arial"/>
                <w:sz w:val="18"/>
                <w:szCs w:val="18"/>
                <w:color w:val="0000FF"/>
              </w:rPr>
            </w:pPr>
            <w:hyperlink r:id="rId224">
              <w:r>
                <w:rPr>
                  <w:rFonts w:ascii="Arial" w:cs="Arial" w:eastAsia="Arial" w:hAnsi="Arial"/>
                  <w:sz w:val="18"/>
                  <w:szCs w:val="18"/>
                  <w:color w:val="0000FF"/>
                </w:rPr>
                <w:t>Fourth Amendment to the Amended and Restated Credit Agreement, entered into effective as of July 1, 2024, by and among</w:t>
              </w:r>
            </w:hyperlink>
          </w:p>
        </w:tc>
        <w:tc>
          <w:tcPr>
            <w:tcW w:w="18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120" w:type="dxa"/>
            <w:vAlign w:val="bottom"/>
            <w:gridSpan w:val="34"/>
          </w:tcPr>
          <w:p>
            <w:pPr>
              <w:spacing w:after="0" w:line="156" w:lineRule="exact"/>
              <w:rPr>
                <w:rFonts w:ascii="Arial" w:cs="Arial" w:eastAsia="Arial" w:hAnsi="Arial"/>
                <w:sz w:val="18"/>
                <w:szCs w:val="18"/>
                <w:color w:val="0000FF"/>
              </w:rPr>
            </w:pPr>
            <w:hyperlink r:id="rId224">
              <w:r>
                <w:rPr>
                  <w:rFonts w:ascii="Arial" w:cs="Arial" w:eastAsia="Arial" w:hAnsi="Arial"/>
                  <w:sz w:val="18"/>
                  <w:szCs w:val="18"/>
                  <w:color w:val="0000FF"/>
                </w:rPr>
                <w:t>California Resources Corporation, as the Borrower, the several lenders from time to time parties thereto and Citibank, N.A., as</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60" w:type="dxa"/>
            <w:vAlign w:val="bottom"/>
            <w:tcBorders>
              <w:top w:val="single" w:sz="8" w:color="0000FF"/>
            </w:tcBorders>
            <w:gridSpan w:val="31"/>
          </w:tcPr>
          <w:p>
            <w:pPr>
              <w:spacing w:after="0" w:line="169" w:lineRule="exact"/>
              <w:rPr>
                <w:rFonts w:ascii="Arial" w:cs="Arial" w:eastAsia="Arial" w:hAnsi="Arial"/>
                <w:sz w:val="18"/>
                <w:szCs w:val="18"/>
                <w:color w:val="0000FF"/>
              </w:rPr>
            </w:pPr>
            <w:hyperlink r:id="rId224">
              <w:r>
                <w:rPr>
                  <w:rFonts w:ascii="Arial" w:cs="Arial" w:eastAsia="Arial" w:hAnsi="Arial"/>
                  <w:sz w:val="18"/>
                  <w:szCs w:val="18"/>
                  <w:color w:val="0000FF"/>
                </w:rPr>
                <w:t>Administrative Agent (filed as Exhibit 10.5 to the Registrant's Current Report on Form 8-K filed July 1, 2024 and incorporated</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9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24">
              <w:r>
                <w:rPr>
                  <w:rFonts w:ascii="Arial" w:cs="Arial" w:eastAsia="Arial" w:hAnsi="Arial"/>
                  <w:sz w:val="18"/>
                  <w:szCs w:val="18"/>
                  <w:color w:val="0000FF"/>
                </w:rPr>
                <w:t>herein by reference).</w:t>
              </w:r>
            </w:hyperlink>
          </w:p>
        </w:tc>
        <w:tc>
          <w:tcPr>
            <w:tcW w:w="20" w:type="dxa"/>
            <w:vAlign w:val="bottom"/>
            <w:gridSpan w:val="2"/>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56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60" w:type="dxa"/>
            <w:vAlign w:val="bottom"/>
          </w:tcPr>
          <w:p>
            <w:pPr>
              <w:ind w:left="20"/>
              <w:spacing w:after="0"/>
              <w:rPr>
                <w:sz w:val="20"/>
                <w:szCs w:val="20"/>
                <w:color w:val="auto"/>
              </w:rPr>
            </w:pPr>
            <w:r>
              <w:rPr>
                <w:rFonts w:ascii="Arial" w:cs="Arial" w:eastAsia="Arial" w:hAnsi="Arial"/>
                <w:sz w:val="18"/>
                <w:szCs w:val="18"/>
                <w:color w:val="auto"/>
              </w:rPr>
              <w:t>10.16</w:t>
            </w:r>
          </w:p>
        </w:tc>
        <w:tc>
          <w:tcPr>
            <w:tcW w:w="10120" w:type="dxa"/>
            <w:vAlign w:val="bottom"/>
            <w:gridSpan w:val="34"/>
          </w:tcPr>
          <w:p>
            <w:pPr>
              <w:spacing w:after="0"/>
              <w:rPr>
                <w:rFonts w:ascii="Arial" w:cs="Arial" w:eastAsia="Arial" w:hAnsi="Arial"/>
                <w:sz w:val="18"/>
                <w:szCs w:val="18"/>
                <w:color w:val="0000FF"/>
              </w:rPr>
            </w:pPr>
            <w:hyperlink r:id="rId225">
              <w:r>
                <w:rPr>
                  <w:rFonts w:ascii="Arial" w:cs="Arial" w:eastAsia="Arial" w:hAnsi="Arial"/>
                  <w:sz w:val="18"/>
                  <w:szCs w:val="18"/>
                  <w:color w:val="0000FF"/>
                </w:rPr>
                <w:t>Fifth Amendment to the Amended and Restated Credit Agreement, entered into effective as of July 1, 2024, by and among</w:t>
              </w:r>
            </w:hyperlink>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9740" w:type="dxa"/>
            <w:vAlign w:val="bottom"/>
            <w:tcBorders>
              <w:top w:val="single" w:sz="8" w:color="0000FF"/>
            </w:tcBorders>
            <w:gridSpan w:val="15"/>
          </w:tcPr>
          <w:p>
            <w:pPr>
              <w:spacing w:after="0" w:line="162" w:lineRule="exact"/>
              <w:rPr>
                <w:rFonts w:ascii="Arial" w:cs="Arial" w:eastAsia="Arial" w:hAnsi="Arial"/>
                <w:sz w:val="18"/>
                <w:szCs w:val="18"/>
                <w:color w:val="0000FF"/>
                <w:w w:val="99"/>
              </w:rPr>
            </w:pPr>
            <w:hyperlink r:id="rId225">
              <w:r>
                <w:rPr>
                  <w:rFonts w:ascii="Arial" w:cs="Arial" w:eastAsia="Arial" w:hAnsi="Arial"/>
                  <w:sz w:val="18"/>
                  <w:szCs w:val="18"/>
                  <w:color w:val="0000FF"/>
                  <w:w w:val="99"/>
                </w:rPr>
                <w:t>California Resources Corporation, as the Borrower, the several lenders from time to time parties thereto and Citibank, N.A.,</w:t>
              </w:r>
            </w:hyperlink>
          </w:p>
        </w:tc>
        <w:tc>
          <w:tcPr>
            <w:tcW w:w="380" w:type="dxa"/>
            <w:vAlign w:val="bottom"/>
            <w:gridSpan w:val="19"/>
          </w:tcPr>
          <w:p>
            <w:pPr>
              <w:ind w:left="100"/>
              <w:spacing w:after="0" w:line="162" w:lineRule="exact"/>
              <w:rPr>
                <w:rFonts w:ascii="Arial" w:cs="Arial" w:eastAsia="Arial" w:hAnsi="Arial"/>
                <w:sz w:val="18"/>
                <w:szCs w:val="18"/>
                <w:color w:val="0000FF"/>
              </w:rPr>
            </w:pPr>
            <w:hyperlink r:id="rId225">
              <w:r>
                <w:rPr>
                  <w:rFonts w:ascii="Arial" w:cs="Arial" w:eastAsia="Arial" w:hAnsi="Arial"/>
                  <w:sz w:val="18"/>
                  <w:szCs w:val="18"/>
                  <w:color w:val="0000FF"/>
                </w:rPr>
                <w:t>as</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60" w:type="dxa"/>
            <w:vAlign w:val="bottom"/>
            <w:tcBorders>
              <w:top w:val="single" w:sz="8" w:color="0000FF"/>
            </w:tcBorders>
            <w:gridSpan w:val="31"/>
          </w:tcPr>
          <w:p>
            <w:pPr>
              <w:spacing w:after="0" w:line="169" w:lineRule="exact"/>
              <w:rPr>
                <w:rFonts w:ascii="Arial" w:cs="Arial" w:eastAsia="Arial" w:hAnsi="Arial"/>
                <w:sz w:val="18"/>
                <w:szCs w:val="18"/>
                <w:color w:val="0000FF"/>
              </w:rPr>
            </w:pPr>
            <w:hyperlink r:id="rId225">
              <w:r>
                <w:rPr>
                  <w:rFonts w:ascii="Arial" w:cs="Arial" w:eastAsia="Arial" w:hAnsi="Arial"/>
                  <w:sz w:val="18"/>
                  <w:szCs w:val="18"/>
                  <w:color w:val="0000FF"/>
                </w:rPr>
                <w:t>Administrative Agent (filed as Exhibit 10.3 to the Registrant's Quarterly Report on Form 10-Q filed November 6, 2024 and</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225">
              <w:r>
                <w:rPr>
                  <w:rFonts w:ascii="Arial" w:cs="Arial" w:eastAsia="Arial" w:hAnsi="Arial"/>
                  <w:sz w:val="18"/>
                  <w:szCs w:val="18"/>
                  <w:color w:val="0000FF"/>
                  <w:w w:val="99"/>
                </w:rPr>
                <w:t>incorporated herein by reference).</w:t>
              </w:r>
            </w:hyperlink>
          </w:p>
        </w:tc>
        <w:tc>
          <w:tcPr>
            <w:tcW w:w="6900" w:type="dxa"/>
            <w:vAlign w:val="bottom"/>
            <w:tcBorders>
              <w:top w:val="single" w:sz="8" w:color="0000FF"/>
            </w:tcBorders>
            <w:gridSpan w:val="9"/>
          </w:tcPr>
          <w:p>
            <w:pPr>
              <w:spacing w:after="0"/>
              <w:rPr>
                <w:sz w:val="13"/>
                <w:szCs w:val="13"/>
                <w:color w:val="auto"/>
              </w:rPr>
            </w:pPr>
          </w:p>
        </w:tc>
        <w:tc>
          <w:tcPr>
            <w:tcW w:w="22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3"/>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10.17</w:t>
            </w:r>
          </w:p>
        </w:tc>
        <w:tc>
          <w:tcPr>
            <w:tcW w:w="10120" w:type="dxa"/>
            <w:vAlign w:val="bottom"/>
            <w:gridSpan w:val="34"/>
          </w:tcPr>
          <w:p>
            <w:pPr>
              <w:spacing w:after="0"/>
              <w:rPr>
                <w:rFonts w:ascii="Arial" w:cs="Arial" w:eastAsia="Arial" w:hAnsi="Arial"/>
                <w:sz w:val="18"/>
                <w:szCs w:val="18"/>
                <w:color w:val="0000FF"/>
              </w:rPr>
            </w:pPr>
            <w:hyperlink r:id="rId226">
              <w:r>
                <w:rPr>
                  <w:rFonts w:ascii="Arial" w:cs="Arial" w:eastAsia="Arial" w:hAnsi="Arial"/>
                  <w:sz w:val="18"/>
                  <w:szCs w:val="18"/>
                  <w:color w:val="0000FF"/>
                </w:rPr>
                <w:t>Sixth Amendment to the Amended and Restated Credit Agreement, entered into effective as of September 22, 2025, by and</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8"/>
              </w:rPr>
            </w:pPr>
            <w:hyperlink r:id="rId226">
              <w:r>
                <w:rPr>
                  <w:rFonts w:ascii="Arial" w:cs="Arial" w:eastAsia="Arial" w:hAnsi="Arial"/>
                  <w:sz w:val="18"/>
                  <w:szCs w:val="18"/>
                  <w:color w:val="0000FF"/>
                  <w:w w:val="98"/>
                </w:rPr>
                <w:t>among California Resources Corporation, as the Borrower, the several lenders from time to time parties thereto and Citibank,</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3"/>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940" w:type="dxa"/>
            <w:vAlign w:val="bottom"/>
            <w:gridSpan w:val="25"/>
          </w:tcPr>
          <w:p>
            <w:pPr>
              <w:spacing w:after="0" w:line="169" w:lineRule="exact"/>
              <w:rPr>
                <w:rFonts w:ascii="Arial" w:cs="Arial" w:eastAsia="Arial" w:hAnsi="Arial"/>
                <w:sz w:val="18"/>
                <w:szCs w:val="18"/>
                <w:color w:val="0000FF"/>
              </w:rPr>
            </w:pPr>
            <w:hyperlink r:id="rId226">
              <w:r>
                <w:rPr>
                  <w:rFonts w:ascii="Arial" w:cs="Arial" w:eastAsia="Arial" w:hAnsi="Arial"/>
                  <w:sz w:val="18"/>
                  <w:szCs w:val="18"/>
                  <w:color w:val="0000FF"/>
                </w:rPr>
                <w:t>N.A., as Administrative Agent (filed as Exhibit 10.1 to the Registrant's Current Report on Form 8-K filed September 24, 2025</w:t>
              </w:r>
            </w:hyperlink>
          </w:p>
        </w:tc>
        <w:tc>
          <w:tcPr>
            <w:tcW w:w="18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8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26">
              <w:r>
                <w:rPr>
                  <w:rFonts w:ascii="Arial" w:cs="Arial" w:eastAsia="Arial" w:hAnsi="Arial"/>
                  <w:sz w:val="18"/>
                  <w:szCs w:val="18"/>
                  <w:color w:val="0000FF"/>
                </w:rPr>
                <w:t>and incorporated herein by reference).</w:t>
              </w:r>
            </w:hyperlink>
          </w:p>
        </w:tc>
        <w:tc>
          <w:tcPr>
            <w:tcW w:w="20" w:type="dxa"/>
            <w:vAlign w:val="bottom"/>
          </w:tcPr>
          <w:p>
            <w:pPr>
              <w:spacing w:after="0"/>
              <w:rPr>
                <w:sz w:val="13"/>
                <w:szCs w:val="13"/>
                <w:color w:val="auto"/>
              </w:rPr>
            </w:pPr>
          </w:p>
        </w:tc>
        <w:tc>
          <w:tcPr>
            <w:tcW w:w="22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60" w:type="dxa"/>
            <w:vAlign w:val="bottom"/>
            <w:gridSpan w:val="4"/>
            <w:shd w:val="clear" w:color="auto" w:fill="0000FF"/>
          </w:tcPr>
          <w:p>
            <w:pPr>
              <w:spacing w:after="0" w:line="20" w:lineRule="exact"/>
              <w:rPr>
                <w:sz w:val="1"/>
                <w:szCs w:val="1"/>
                <w:color w:val="auto"/>
              </w:rPr>
            </w:pPr>
          </w:p>
        </w:tc>
        <w:tc>
          <w:tcPr>
            <w:tcW w:w="6840" w:type="dxa"/>
            <w:vAlign w:val="bottom"/>
            <w:gridSpan w:val="18"/>
          </w:tcPr>
          <w:p>
            <w:pPr>
              <w:spacing w:after="0" w:line="20" w:lineRule="exact"/>
              <w:rPr>
                <w:sz w:val="1"/>
                <w:szCs w:val="1"/>
                <w:color w:val="auto"/>
              </w:rPr>
            </w:pPr>
          </w:p>
        </w:tc>
        <w:tc>
          <w:tcPr>
            <w:tcW w:w="2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10.18**</w:t>
            </w:r>
          </w:p>
        </w:tc>
        <w:tc>
          <w:tcPr>
            <w:tcW w:w="10120" w:type="dxa"/>
            <w:vAlign w:val="bottom"/>
            <w:gridSpan w:val="34"/>
          </w:tcPr>
          <w:p>
            <w:pPr>
              <w:spacing w:after="0"/>
              <w:rPr>
                <w:rFonts w:ascii="Arial" w:cs="Arial" w:eastAsia="Arial" w:hAnsi="Arial"/>
                <w:sz w:val="18"/>
                <w:szCs w:val="18"/>
                <w:color w:val="0000FF"/>
              </w:rPr>
            </w:pPr>
            <w:hyperlink r:id="rId227">
              <w:r>
                <w:rPr>
                  <w:rFonts w:ascii="Arial" w:cs="Arial" w:eastAsia="Arial" w:hAnsi="Arial"/>
                  <w:sz w:val="18"/>
                  <w:szCs w:val="18"/>
                  <w:color w:val="0000FF"/>
                </w:rPr>
                <w:t>Seventh Amendment to the Amended and Restated Credit Agreement, entered into effective as of October 29, 2025, by and</w:t>
              </w:r>
            </w:hyperlink>
          </w:p>
        </w:tc>
        <w:tc>
          <w:tcPr>
            <w:tcW w:w="0" w:type="dxa"/>
            <w:vAlign w:val="bottom"/>
          </w:tcPr>
          <w:p>
            <w:pPr>
              <w:spacing w:after="0"/>
              <w:rPr>
                <w:sz w:val="1"/>
                <w:szCs w:val="1"/>
                <w:color w:val="auto"/>
              </w:rPr>
            </w:pPr>
          </w:p>
        </w:tc>
      </w:tr>
      <w:tr>
        <w:trPr>
          <w:trHeight w:val="168"/>
        </w:trPr>
        <w:tc>
          <w:tcPr>
            <w:tcW w:w="1160" w:type="dxa"/>
            <w:vAlign w:val="bottom"/>
          </w:tcPr>
          <w:p>
            <w:pPr>
              <w:spacing w:after="0"/>
              <w:rPr>
                <w:sz w:val="14"/>
                <w:szCs w:val="14"/>
                <w:color w:val="auto"/>
              </w:rPr>
            </w:pPr>
          </w:p>
        </w:tc>
        <w:tc>
          <w:tcPr>
            <w:tcW w:w="9900" w:type="dxa"/>
            <w:vAlign w:val="bottom"/>
            <w:tcBorders>
              <w:top w:val="single" w:sz="8" w:color="0000FF"/>
            </w:tcBorders>
            <w:gridSpan w:val="22"/>
          </w:tcPr>
          <w:p>
            <w:pPr>
              <w:spacing w:after="0" w:line="168" w:lineRule="exact"/>
              <w:rPr>
                <w:rFonts w:ascii="Arial" w:cs="Arial" w:eastAsia="Arial" w:hAnsi="Arial"/>
                <w:sz w:val="18"/>
                <w:szCs w:val="18"/>
                <w:u w:val="single" w:color="auto"/>
                <w:color w:val="0000FF"/>
                <w:w w:val="99"/>
              </w:rPr>
            </w:pPr>
            <w:hyperlink r:id="rId227">
              <w:r>
                <w:rPr>
                  <w:rFonts w:ascii="Arial" w:cs="Arial" w:eastAsia="Arial" w:hAnsi="Arial"/>
                  <w:sz w:val="18"/>
                  <w:szCs w:val="18"/>
                  <w:u w:val="single" w:color="auto"/>
                  <w:color w:val="0000FF"/>
                  <w:w w:val="99"/>
                </w:rPr>
                <w:t>among California Resources Corporation, as the Borrower, the several lenders from time to time parties thereto and Citibank,</w:t>
              </w:r>
            </w:hyperlink>
          </w:p>
        </w:tc>
        <w:tc>
          <w:tcPr>
            <w:tcW w:w="22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bl>
    <w:p>
      <w:pPr>
        <w:ind w:left="1160" w:right="120"/>
        <w:spacing w:after="0" w:line="229" w:lineRule="auto"/>
        <w:rPr>
          <w:rFonts w:ascii="Arial" w:cs="Arial" w:eastAsia="Arial" w:hAnsi="Arial"/>
          <w:sz w:val="18"/>
          <w:szCs w:val="18"/>
          <w:u w:val="single" w:color="auto"/>
          <w:color w:val="0000FF"/>
        </w:rPr>
      </w:pPr>
      <w:hyperlink r:id="rId227">
        <w:r>
          <w:rPr>
            <w:rFonts w:ascii="Arial" w:cs="Arial" w:eastAsia="Arial" w:hAnsi="Arial"/>
            <w:sz w:val="18"/>
            <w:szCs w:val="18"/>
            <w:u w:val="single" w:color="auto"/>
            <w:color w:val="0000FF"/>
          </w:rPr>
          <w:t>N.A., as Administrative Agent (filed as Exhibit 10.1 to the Registrant's Current Report on Form 8-K filed October 31, 2025 and</w:t>
        </w:r>
      </w:hyperlink>
      <w:r>
        <w:rPr>
          <w:rFonts w:ascii="Arial" w:cs="Arial" w:eastAsia="Arial" w:hAnsi="Arial"/>
          <w:sz w:val="18"/>
          <w:szCs w:val="18"/>
          <w:u w:val="single" w:color="auto"/>
          <w:color w:val="0000FF"/>
        </w:rPr>
        <w:t xml:space="preserve"> </w:t>
      </w:r>
      <w:hyperlink r:id="rId227">
        <w:r>
          <w:rPr>
            <w:rFonts w:ascii="Arial" w:cs="Arial" w:eastAsia="Arial" w:hAnsi="Arial"/>
            <w:sz w:val="18"/>
            <w:szCs w:val="18"/>
            <w:u w:val="single" w:color="auto"/>
            <w:color w:val="0000FF"/>
          </w:rPr>
          <w:t>incorporated herein by reference).</w:t>
        </w:r>
      </w:hyperlink>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Arial" w:cs="Arial" w:eastAsia="Arial" w:hAnsi="Arial"/>
                <w:sz w:val="18"/>
                <w:szCs w:val="18"/>
                <w:color w:val="auto"/>
              </w:rPr>
              <w:t>Exhibit</w:t>
            </w:r>
          </w:p>
        </w:tc>
        <w:tc>
          <w:tcPr>
            <w:tcW w:w="10080" w:type="dxa"/>
            <w:vAlign w:val="bottom"/>
            <w:gridSpan w:val="36"/>
            <w:vMerge w:val="restart"/>
          </w:tcPr>
          <w:p>
            <w:pPr>
              <w:spacing w:after="0"/>
              <w:rPr>
                <w:sz w:val="20"/>
                <w:szCs w:val="20"/>
                <w:color w:val="auto"/>
              </w:rPr>
            </w:pPr>
            <w:r>
              <w:rPr>
                <w:rFonts w:ascii="Arial" w:cs="Arial" w:eastAsia="Arial" w:hAnsi="Arial"/>
                <w:sz w:val="18"/>
                <w:szCs w:val="18"/>
                <w:color w:val="auto"/>
              </w:rPr>
              <w:t>Exhibit Description</w:t>
            </w:r>
          </w:p>
        </w:tc>
        <w:tc>
          <w:tcPr>
            <w:tcW w:w="0" w:type="dxa"/>
            <w:vAlign w:val="bottom"/>
          </w:tcPr>
          <w:p>
            <w:pPr>
              <w:spacing w:after="0"/>
              <w:rPr>
                <w:sz w:val="1"/>
                <w:szCs w:val="1"/>
                <w:color w:val="auto"/>
              </w:rPr>
            </w:pPr>
          </w:p>
        </w:tc>
      </w:tr>
      <w:tr>
        <w:trPr>
          <w:trHeight w:val="243"/>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080" w:type="dxa"/>
            <w:vAlign w:val="bottom"/>
            <w:tcBorders>
              <w:bottom w:val="single" w:sz="8" w:color="auto"/>
            </w:tcBorders>
            <w:gridSpan w:val="36"/>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10.19**</w:t>
            </w:r>
          </w:p>
        </w:tc>
        <w:tc>
          <w:tcPr>
            <w:tcW w:w="10080" w:type="dxa"/>
            <w:vAlign w:val="bottom"/>
            <w:gridSpan w:val="36"/>
          </w:tcPr>
          <w:p>
            <w:pPr>
              <w:spacing w:after="0" w:line="182" w:lineRule="exact"/>
              <w:rPr>
                <w:rFonts w:ascii="Arial" w:cs="Arial" w:eastAsia="Arial" w:hAnsi="Arial"/>
                <w:sz w:val="18"/>
                <w:szCs w:val="18"/>
                <w:color w:val="0000FF"/>
              </w:rPr>
            </w:pPr>
            <w:hyperlink r:id="rId229">
              <w:r>
                <w:rPr>
                  <w:rFonts w:ascii="Arial" w:cs="Arial" w:eastAsia="Arial" w:hAnsi="Arial"/>
                  <w:sz w:val="18"/>
                  <w:szCs w:val="18"/>
                  <w:color w:val="0000FF"/>
                </w:rPr>
                <w:t>Eighth Amendment to the Amended and Restated Credit Agreement, entered into effective as of December 15, 2025, by and</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99"/>
              </w:rPr>
            </w:pPr>
            <w:hyperlink r:id="rId229">
              <w:r>
                <w:rPr>
                  <w:rFonts w:ascii="Arial" w:cs="Arial" w:eastAsia="Arial" w:hAnsi="Arial"/>
                  <w:sz w:val="18"/>
                  <w:szCs w:val="18"/>
                  <w:color w:val="0000FF"/>
                  <w:w w:val="99"/>
                </w:rPr>
                <w:t>among California Resources Corporation, as the Borrower, the several lenders from time to time parties thereto and Citibank,</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960" w:type="dxa"/>
            <w:vAlign w:val="bottom"/>
            <w:gridSpan w:val="30"/>
          </w:tcPr>
          <w:p>
            <w:pPr>
              <w:spacing w:after="0" w:line="169" w:lineRule="exact"/>
              <w:rPr>
                <w:rFonts w:ascii="Arial" w:cs="Arial" w:eastAsia="Arial" w:hAnsi="Arial"/>
                <w:sz w:val="18"/>
                <w:szCs w:val="18"/>
                <w:color w:val="0000FF"/>
              </w:rPr>
            </w:pPr>
            <w:hyperlink r:id="rId229">
              <w:r>
                <w:rPr>
                  <w:rFonts w:ascii="Arial" w:cs="Arial" w:eastAsia="Arial" w:hAnsi="Arial"/>
                  <w:sz w:val="18"/>
                  <w:szCs w:val="18"/>
                  <w:color w:val="0000FF"/>
                </w:rPr>
                <w:t>N.A., as Administrative Agent (filed as Exhibit 10.1 to the Registrant's Current Report on Form 8-K filed December 18, 2025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8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29">
              <w:r>
                <w:rPr>
                  <w:rFonts w:ascii="Arial" w:cs="Arial" w:eastAsia="Arial" w:hAnsi="Arial"/>
                  <w:sz w:val="18"/>
                  <w:szCs w:val="18"/>
                  <w:color w:val="0000FF"/>
                </w:rPr>
                <w:t>and incorporated herein by reference).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10080" w:type="dxa"/>
            <w:vAlign w:val="bottom"/>
            <w:gridSpan w:val="36"/>
          </w:tcPr>
          <w:p>
            <w:pPr>
              <w:spacing w:after="0"/>
              <w:rPr>
                <w:sz w:val="20"/>
                <w:szCs w:val="20"/>
                <w:color w:val="auto"/>
              </w:rPr>
            </w:pPr>
            <w:r>
              <w:rPr>
                <w:rFonts w:ascii="Arial" w:cs="Arial" w:eastAsia="Arial" w:hAnsi="Arial"/>
                <w:sz w:val="18"/>
                <w:szCs w:val="18"/>
                <w:color w:val="auto"/>
              </w:rPr>
              <w:t>The following are management contracts and compensatory plans required to be identified specifically as responsive to Item</w:t>
            </w:r>
          </w:p>
        </w:tc>
        <w:tc>
          <w:tcPr>
            <w:tcW w:w="0" w:type="dxa"/>
            <w:vAlign w:val="bottom"/>
          </w:tcPr>
          <w:p>
            <w:pPr>
              <w:spacing w:after="0"/>
              <w:rPr>
                <w:sz w:val="1"/>
                <w:szCs w:val="1"/>
                <w:color w:val="auto"/>
              </w:rPr>
            </w:pPr>
          </w:p>
        </w:tc>
      </w:tr>
      <w:tr>
        <w:trPr>
          <w:trHeight w:val="239"/>
        </w:trPr>
        <w:tc>
          <w:tcPr>
            <w:tcW w:w="1160" w:type="dxa"/>
            <w:vAlign w:val="bottom"/>
          </w:tcPr>
          <w:p>
            <w:pPr>
              <w:spacing w:after="0"/>
              <w:rPr>
                <w:sz w:val="20"/>
                <w:szCs w:val="20"/>
                <w:color w:val="auto"/>
              </w:rPr>
            </w:pPr>
          </w:p>
        </w:tc>
        <w:tc>
          <w:tcPr>
            <w:tcW w:w="10080" w:type="dxa"/>
            <w:vAlign w:val="bottom"/>
            <w:gridSpan w:val="36"/>
          </w:tcPr>
          <w:p>
            <w:pPr>
              <w:spacing w:after="0"/>
              <w:rPr>
                <w:sz w:val="20"/>
                <w:szCs w:val="20"/>
                <w:color w:val="auto"/>
              </w:rPr>
            </w:pPr>
            <w:r>
              <w:rPr>
                <w:rFonts w:ascii="Arial" w:cs="Arial" w:eastAsia="Arial" w:hAnsi="Arial"/>
                <w:sz w:val="18"/>
                <w:szCs w:val="18"/>
                <w:color w:val="auto"/>
              </w:rPr>
              <w:t>601(b)(10)(iii)(A) of Regulation S-K pursuant to Item 15(b) of Form 10-K.</w:t>
            </w:r>
          </w:p>
        </w:tc>
        <w:tc>
          <w:tcPr>
            <w:tcW w:w="0" w:type="dxa"/>
            <w:vAlign w:val="bottom"/>
          </w:tcPr>
          <w:p>
            <w:pPr>
              <w:spacing w:after="0"/>
              <w:rPr>
                <w:sz w:val="1"/>
                <w:szCs w:val="1"/>
                <w:color w:val="auto"/>
              </w:rPr>
            </w:pPr>
          </w:p>
        </w:tc>
      </w:tr>
      <w:tr>
        <w:trPr>
          <w:trHeight w:val="247"/>
        </w:trPr>
        <w:tc>
          <w:tcPr>
            <w:tcW w:w="1160" w:type="dxa"/>
            <w:vAlign w:val="bottom"/>
          </w:tcPr>
          <w:p>
            <w:pPr>
              <w:ind w:left="20"/>
              <w:spacing w:after="0"/>
              <w:rPr>
                <w:sz w:val="20"/>
                <w:szCs w:val="20"/>
                <w:color w:val="auto"/>
              </w:rPr>
            </w:pPr>
            <w:r>
              <w:rPr>
                <w:rFonts w:ascii="Arial" w:cs="Arial" w:eastAsia="Arial" w:hAnsi="Arial"/>
                <w:sz w:val="18"/>
                <w:szCs w:val="18"/>
                <w:color w:val="auto"/>
              </w:rPr>
              <w:t>10.20</w:t>
            </w:r>
          </w:p>
        </w:tc>
        <w:tc>
          <w:tcPr>
            <w:tcW w:w="10080" w:type="dxa"/>
            <w:vAlign w:val="bottom"/>
            <w:gridSpan w:val="36"/>
          </w:tcPr>
          <w:p>
            <w:pPr>
              <w:spacing w:after="0"/>
              <w:rPr>
                <w:rFonts w:ascii="Arial" w:cs="Arial" w:eastAsia="Arial" w:hAnsi="Arial"/>
                <w:sz w:val="18"/>
                <w:szCs w:val="18"/>
                <w:color w:val="0000FF"/>
              </w:rPr>
            </w:pPr>
            <w:hyperlink r:id="rId230">
              <w:r>
                <w:rPr>
                  <w:rFonts w:ascii="Arial" w:cs="Arial" w:eastAsia="Arial" w:hAnsi="Arial"/>
                  <w:sz w:val="18"/>
                  <w:szCs w:val="18"/>
                  <w:color w:val="0000FF"/>
                </w:rPr>
                <w:t>Form of Indemnification Agreement by and between California Resources Corporation and its directors and executive officers</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0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230">
              <w:r>
                <w:rPr>
                  <w:rFonts w:ascii="Arial" w:cs="Arial" w:eastAsia="Arial" w:hAnsi="Arial"/>
                  <w:sz w:val="18"/>
                  <w:szCs w:val="18"/>
                  <w:color w:val="0000FF"/>
                </w:rPr>
                <w:t>(filed as Exhibit 10.1 to the Registrant’s Current Report on Form 8-K filed October 27, 2020 and incorporated herein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8"/>
              </w:rPr>
            </w:pPr>
            <w:hyperlink r:id="rId230">
              <w:r>
                <w:rPr>
                  <w:rFonts w:ascii="Arial" w:cs="Arial" w:eastAsia="Arial" w:hAnsi="Arial"/>
                  <w:sz w:val="18"/>
                  <w:szCs w:val="18"/>
                  <w:color w:val="0000FF"/>
                  <w:w w:val="98"/>
                </w:rPr>
                <w:t>reference).</w:t>
              </w:r>
            </w:hyperlink>
          </w:p>
        </w:tc>
        <w:tc>
          <w:tcPr>
            <w:tcW w:w="8540" w:type="dxa"/>
            <w:vAlign w:val="bottom"/>
            <w:tcBorders>
              <w:top w:val="single" w:sz="8" w:color="0000FF"/>
            </w:tcBorders>
            <w:gridSpan w:val="9"/>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10.21</w:t>
            </w:r>
          </w:p>
        </w:tc>
        <w:tc>
          <w:tcPr>
            <w:tcW w:w="10080" w:type="dxa"/>
            <w:vAlign w:val="bottom"/>
            <w:gridSpan w:val="36"/>
          </w:tcPr>
          <w:p>
            <w:pPr>
              <w:spacing w:after="0"/>
              <w:rPr>
                <w:rFonts w:ascii="Arial" w:cs="Arial" w:eastAsia="Arial" w:hAnsi="Arial"/>
                <w:sz w:val="18"/>
                <w:szCs w:val="18"/>
                <w:color w:val="0000FF"/>
              </w:rPr>
            </w:pPr>
            <w:hyperlink r:id="rId231">
              <w:r>
                <w:rPr>
                  <w:rFonts w:ascii="Arial" w:cs="Arial" w:eastAsia="Arial" w:hAnsi="Arial"/>
                  <w:sz w:val="18"/>
                  <w:szCs w:val="18"/>
                  <w:color w:val="0000FF"/>
                </w:rPr>
                <w:t>California Resources Corporation 2021 Long Term Incentive Plan (filed as Exhibit 10.1 to the Registrant's Current Report on</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8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231">
              <w:r>
                <w:rPr>
                  <w:rFonts w:ascii="Arial" w:cs="Arial" w:eastAsia="Arial" w:hAnsi="Arial"/>
                  <w:sz w:val="18"/>
                  <w:szCs w:val="18"/>
                  <w:color w:val="0000FF"/>
                </w:rPr>
                <w:t>Form 8-K filed January 22, 2021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10.22</w:t>
            </w:r>
          </w:p>
        </w:tc>
        <w:tc>
          <w:tcPr>
            <w:tcW w:w="10080" w:type="dxa"/>
            <w:vAlign w:val="bottom"/>
            <w:gridSpan w:val="36"/>
          </w:tcPr>
          <w:p>
            <w:pPr>
              <w:spacing w:after="0"/>
              <w:rPr>
                <w:rFonts w:ascii="Arial" w:cs="Arial" w:eastAsia="Arial" w:hAnsi="Arial"/>
                <w:sz w:val="18"/>
                <w:szCs w:val="18"/>
                <w:color w:val="0000FF"/>
              </w:rPr>
            </w:pPr>
            <w:hyperlink r:id="rId232">
              <w:r>
                <w:rPr>
                  <w:rFonts w:ascii="Arial" w:cs="Arial" w:eastAsia="Arial" w:hAnsi="Arial"/>
                  <w:sz w:val="18"/>
                  <w:szCs w:val="18"/>
                  <w:color w:val="0000FF"/>
                </w:rPr>
                <w:t>Form of California Resources Corporation 2021 Long Term Incentive Plan Restricted Stock Unit Award for Non-Employee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10080" w:type="dxa"/>
            <w:vAlign w:val="bottom"/>
            <w:gridSpan w:val="36"/>
          </w:tcPr>
          <w:p>
            <w:pPr>
              <w:spacing w:after="0" w:line="156" w:lineRule="exact"/>
              <w:rPr>
                <w:rFonts w:ascii="Arial" w:cs="Arial" w:eastAsia="Arial" w:hAnsi="Arial"/>
                <w:sz w:val="18"/>
                <w:szCs w:val="18"/>
                <w:color w:val="0000FF"/>
              </w:rPr>
            </w:pPr>
            <w:hyperlink r:id="rId232">
              <w:r>
                <w:rPr>
                  <w:rFonts w:ascii="Arial" w:cs="Arial" w:eastAsia="Arial" w:hAnsi="Arial"/>
                  <w:sz w:val="18"/>
                  <w:szCs w:val="18"/>
                  <w:color w:val="0000FF"/>
                </w:rPr>
                <w:t>Directors Grant Agreement (filed as Exhibit 10.45 to the Registrant’s Annual Report on Form 10-K filed March 11, 2021 and</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9"/>
              </w:rPr>
            </w:pPr>
            <w:hyperlink r:id="rId232">
              <w:r>
                <w:rPr>
                  <w:rFonts w:ascii="Arial" w:cs="Arial" w:eastAsia="Arial" w:hAnsi="Arial"/>
                  <w:sz w:val="18"/>
                  <w:szCs w:val="18"/>
                  <w:color w:val="0000FF"/>
                  <w:w w:val="99"/>
                </w:rPr>
                <w:t>incorporated herein by reference).</w:t>
              </w:r>
            </w:hyperlink>
          </w:p>
        </w:tc>
        <w:tc>
          <w:tcPr>
            <w:tcW w:w="7060" w:type="dxa"/>
            <w:vAlign w:val="bottom"/>
            <w:tcBorders>
              <w:top w:val="single" w:sz="8" w:color="0000FF"/>
            </w:tcBorders>
            <w:gridSpan w:val="19"/>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160" w:type="dxa"/>
            <w:vAlign w:val="bottom"/>
          </w:tcPr>
          <w:p>
            <w:pPr>
              <w:ind w:left="20"/>
              <w:spacing w:after="0"/>
              <w:rPr>
                <w:sz w:val="20"/>
                <w:szCs w:val="20"/>
                <w:color w:val="auto"/>
              </w:rPr>
            </w:pPr>
            <w:r>
              <w:rPr>
                <w:rFonts w:ascii="Arial" w:cs="Arial" w:eastAsia="Arial" w:hAnsi="Arial"/>
                <w:sz w:val="18"/>
                <w:szCs w:val="18"/>
                <w:color w:val="auto"/>
              </w:rPr>
              <w:t>10.27**</w:t>
            </w:r>
          </w:p>
        </w:tc>
        <w:tc>
          <w:tcPr>
            <w:tcW w:w="10080" w:type="dxa"/>
            <w:vAlign w:val="bottom"/>
            <w:gridSpan w:val="36"/>
          </w:tcPr>
          <w:p>
            <w:pPr>
              <w:spacing w:after="0"/>
              <w:rPr>
                <w:rFonts w:ascii="Arial" w:cs="Arial" w:eastAsia="Arial" w:hAnsi="Arial"/>
                <w:sz w:val="18"/>
                <w:szCs w:val="18"/>
                <w:color w:val="0000FF"/>
              </w:rPr>
            </w:pPr>
            <w:hyperlink r:id="rId233">
              <w:r>
                <w:rPr>
                  <w:rFonts w:ascii="Arial" w:cs="Arial" w:eastAsia="Arial" w:hAnsi="Arial"/>
                  <w:sz w:val="18"/>
                  <w:szCs w:val="18"/>
                  <w:color w:val="0000FF"/>
                </w:rPr>
                <w:t>Employment Agreement by and between Michael L. Preston and California Resources Corporation, dated June 8, 2021 (filed</w:t>
              </w:r>
            </w:hyperlink>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9980" w:type="dxa"/>
            <w:vAlign w:val="bottom"/>
            <w:tcBorders>
              <w:top w:val="single" w:sz="8" w:color="0000FF"/>
              <w:bottom w:val="single" w:sz="8" w:color="0000FF"/>
            </w:tcBorders>
            <w:gridSpan w:val="31"/>
          </w:tcPr>
          <w:p>
            <w:pPr>
              <w:spacing w:after="0" w:line="162" w:lineRule="exact"/>
              <w:rPr>
                <w:rFonts w:ascii="Arial" w:cs="Arial" w:eastAsia="Arial" w:hAnsi="Arial"/>
                <w:sz w:val="18"/>
                <w:szCs w:val="18"/>
                <w:color w:val="0000FF"/>
              </w:rPr>
            </w:pPr>
            <w:hyperlink r:id="rId233">
              <w:r>
                <w:rPr>
                  <w:rFonts w:ascii="Arial" w:cs="Arial" w:eastAsia="Arial" w:hAnsi="Arial"/>
                  <w:sz w:val="18"/>
                  <w:szCs w:val="18"/>
                  <w:color w:val="0000FF"/>
                </w:rPr>
                <w:t>as Exhibit 10.4 to the Registrant's Quarterly Report on Form 10-Q filed August 6, 2021 and incorporated herein by reference)</w:t>
              </w:r>
            </w:hyperlink>
          </w:p>
        </w:tc>
        <w:tc>
          <w:tcPr>
            <w:tcW w:w="40" w:type="dxa"/>
            <w:vAlign w:val="bottom"/>
            <w:tcBorders>
              <w:bottom w:val="single" w:sz="8" w:color="0000FF"/>
            </w:tcBorders>
            <w:gridSpan w:val="2"/>
          </w:tcPr>
          <w:p>
            <w:pPr>
              <w:jc w:val="right"/>
              <w:ind w:right="40"/>
              <w:spacing w:after="0"/>
              <w:rPr>
                <w:rFonts w:ascii="Arial" w:cs="Arial" w:eastAsia="Arial" w:hAnsi="Arial"/>
                <w:sz w:val="10"/>
                <w:szCs w:val="10"/>
                <w:color w:val="0000FF"/>
                <w:w w:val="70"/>
              </w:rPr>
            </w:pPr>
            <w:hyperlink r:id="rId233">
              <w:r>
                <w:rPr>
                  <w:rFonts w:ascii="Arial" w:cs="Arial" w:eastAsia="Arial" w:hAnsi="Arial"/>
                  <w:sz w:val="10"/>
                  <w:szCs w:val="10"/>
                  <w:color w:val="0000FF"/>
                  <w:w w:val="70"/>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10.28**</w:t>
            </w:r>
          </w:p>
        </w:tc>
        <w:tc>
          <w:tcPr>
            <w:tcW w:w="10080" w:type="dxa"/>
            <w:vAlign w:val="bottom"/>
            <w:gridSpan w:val="36"/>
          </w:tcPr>
          <w:p>
            <w:pPr>
              <w:spacing w:after="0"/>
              <w:rPr>
                <w:rFonts w:ascii="Arial" w:cs="Arial" w:eastAsia="Arial" w:hAnsi="Arial"/>
                <w:sz w:val="18"/>
                <w:szCs w:val="18"/>
                <w:color w:val="0000FF"/>
              </w:rPr>
            </w:pPr>
            <w:hyperlink r:id="rId234">
              <w:r>
                <w:rPr>
                  <w:rFonts w:ascii="Arial" w:cs="Arial" w:eastAsia="Arial" w:hAnsi="Arial"/>
                  <w:sz w:val="18"/>
                  <w:szCs w:val="18"/>
                  <w:color w:val="0000FF"/>
                </w:rPr>
                <w:t>Amended and Restated Employment Agreement by and between Michael L. Preston and California Resources Corporation,</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8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34">
              <w:r>
                <w:rPr>
                  <w:rFonts w:ascii="Arial" w:cs="Arial" w:eastAsia="Arial" w:hAnsi="Arial"/>
                  <w:sz w:val="18"/>
                  <w:szCs w:val="18"/>
                  <w:color w:val="0000FF"/>
                </w:rPr>
                <w:t>dated August 4, 2025 (filed as Exhibit 10.2 to Registrant's Quarterly Report on Form 10-Q filed August 6, 2025 and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9"/>
              </w:rPr>
            </w:pPr>
            <w:hyperlink r:id="rId234">
              <w:r>
                <w:rPr>
                  <w:rFonts w:ascii="Arial" w:cs="Arial" w:eastAsia="Arial" w:hAnsi="Arial"/>
                  <w:sz w:val="18"/>
                  <w:szCs w:val="18"/>
                  <w:color w:val="0000FF"/>
                  <w:w w:val="99"/>
                </w:rPr>
                <w:t>incorporated herein by reference).</w:t>
              </w:r>
            </w:hyperlink>
          </w:p>
        </w:tc>
        <w:tc>
          <w:tcPr>
            <w:tcW w:w="6400" w:type="dxa"/>
            <w:vAlign w:val="bottom"/>
            <w:tcBorders>
              <w:top w:val="single" w:sz="8" w:color="0000FF"/>
            </w:tcBorders>
            <w:gridSpan w:val="5"/>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160" w:type="dxa"/>
            <w:vAlign w:val="bottom"/>
          </w:tcPr>
          <w:p>
            <w:pPr>
              <w:ind w:left="20"/>
              <w:spacing w:after="0"/>
              <w:rPr>
                <w:sz w:val="20"/>
                <w:szCs w:val="20"/>
                <w:color w:val="auto"/>
              </w:rPr>
            </w:pPr>
            <w:r>
              <w:rPr>
                <w:rFonts w:ascii="Arial" w:cs="Arial" w:eastAsia="Arial" w:hAnsi="Arial"/>
                <w:sz w:val="18"/>
                <w:szCs w:val="18"/>
                <w:color w:val="auto"/>
              </w:rPr>
              <w:t>10.29**</w:t>
            </w:r>
          </w:p>
        </w:tc>
        <w:tc>
          <w:tcPr>
            <w:tcW w:w="10080" w:type="dxa"/>
            <w:vAlign w:val="bottom"/>
            <w:gridSpan w:val="36"/>
          </w:tcPr>
          <w:p>
            <w:pPr>
              <w:spacing w:after="0"/>
              <w:rPr>
                <w:rFonts w:ascii="Arial" w:cs="Arial" w:eastAsia="Arial" w:hAnsi="Arial"/>
                <w:sz w:val="18"/>
                <w:szCs w:val="18"/>
                <w:color w:val="0000FF"/>
              </w:rPr>
            </w:pPr>
            <w:hyperlink r:id="rId235">
              <w:r>
                <w:rPr>
                  <w:rFonts w:ascii="Arial" w:cs="Arial" w:eastAsia="Arial" w:hAnsi="Arial"/>
                  <w:sz w:val="18"/>
                  <w:szCs w:val="18"/>
                  <w:color w:val="0000FF"/>
                </w:rPr>
                <w:t>Employment Agreement by and between Jay A. Bys and California Resources Corporation, dated June 8, 2021 (filed as</w:t>
              </w:r>
            </w:hyperlink>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9540" w:type="dxa"/>
            <w:vAlign w:val="bottom"/>
            <w:tcBorders>
              <w:top w:val="single" w:sz="8" w:color="0000FF"/>
              <w:bottom w:val="single" w:sz="8" w:color="0000FF"/>
            </w:tcBorders>
            <w:gridSpan w:val="13"/>
          </w:tcPr>
          <w:p>
            <w:pPr>
              <w:spacing w:after="0" w:line="162" w:lineRule="exact"/>
              <w:rPr>
                <w:rFonts w:ascii="Arial" w:cs="Arial" w:eastAsia="Arial" w:hAnsi="Arial"/>
                <w:sz w:val="18"/>
                <w:szCs w:val="18"/>
                <w:color w:val="0000FF"/>
                <w:w w:val="98"/>
              </w:rPr>
            </w:pPr>
            <w:hyperlink r:id="rId235">
              <w:r>
                <w:rPr>
                  <w:rFonts w:ascii="Arial" w:cs="Arial" w:eastAsia="Arial" w:hAnsi="Arial"/>
                  <w:sz w:val="18"/>
                  <w:szCs w:val="18"/>
                  <w:color w:val="0000FF"/>
                  <w:w w:val="98"/>
                </w:rPr>
                <w:t>Exhibit 10.5 to the Registrant's Quarterly Report on Form 10-Q filed August 5, 2021 and incorporated herein by reference)</w:t>
              </w:r>
            </w:hyperlink>
          </w:p>
        </w:tc>
        <w:tc>
          <w:tcPr>
            <w:tcW w:w="220" w:type="dxa"/>
            <w:vAlign w:val="bottom"/>
            <w:tcBorders>
              <w:bottom w:val="single" w:sz="8" w:color="0000FF"/>
            </w:tcBorders>
            <w:gridSpan w:val="8"/>
          </w:tcPr>
          <w:p>
            <w:pPr>
              <w:jc w:val="right"/>
              <w:ind w:right="20"/>
              <w:spacing w:after="0" w:line="162" w:lineRule="exact"/>
              <w:rPr>
                <w:rFonts w:ascii="Arial" w:cs="Arial" w:eastAsia="Arial" w:hAnsi="Arial"/>
                <w:sz w:val="18"/>
                <w:szCs w:val="18"/>
                <w:color w:val="0000FF"/>
              </w:rPr>
            </w:pPr>
            <w:hyperlink r:id="rId235">
              <w:r>
                <w:rPr>
                  <w:rFonts w:ascii="Arial" w:cs="Arial" w:eastAsia="Arial" w:hAnsi="Arial"/>
                  <w:sz w:val="18"/>
                  <w:szCs w:val="18"/>
                  <w:color w:val="0000FF"/>
                </w:rPr>
                <w:t>.</w:t>
              </w:r>
            </w:hyperlink>
          </w:p>
        </w:tc>
        <w:tc>
          <w:tcPr>
            <w:tcW w:w="1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10.30**</w:t>
            </w:r>
          </w:p>
        </w:tc>
        <w:tc>
          <w:tcPr>
            <w:tcW w:w="10080" w:type="dxa"/>
            <w:vAlign w:val="bottom"/>
            <w:gridSpan w:val="36"/>
          </w:tcPr>
          <w:p>
            <w:pPr>
              <w:spacing w:after="0"/>
              <w:rPr>
                <w:rFonts w:ascii="Arial" w:cs="Arial" w:eastAsia="Arial" w:hAnsi="Arial"/>
                <w:sz w:val="18"/>
                <w:szCs w:val="18"/>
                <w:color w:val="0000FF"/>
              </w:rPr>
            </w:pPr>
            <w:hyperlink r:id="rId236">
              <w:r>
                <w:rPr>
                  <w:rFonts w:ascii="Arial" w:cs="Arial" w:eastAsia="Arial" w:hAnsi="Arial"/>
                  <w:sz w:val="18"/>
                  <w:szCs w:val="18"/>
                  <w:color w:val="0000FF"/>
                </w:rPr>
                <w:t>Amended and Restated Employment Agreement by and between Jay A. Bys and California Resources Corporation, dated</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7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36">
              <w:r>
                <w:rPr>
                  <w:rFonts w:ascii="Arial" w:cs="Arial" w:eastAsia="Arial" w:hAnsi="Arial"/>
                  <w:sz w:val="18"/>
                  <w:szCs w:val="18"/>
                  <w:color w:val="0000FF"/>
                </w:rPr>
                <w:t>August 4, 2025 (filed as Exhibit 10.1 to Registrant's Quarterly Report on Form 10-Q filed August 6, 2025 and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6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8"/>
              </w:rPr>
            </w:pPr>
            <w:hyperlink r:id="rId236">
              <w:r>
                <w:rPr>
                  <w:rFonts w:ascii="Arial" w:cs="Arial" w:eastAsia="Arial" w:hAnsi="Arial"/>
                  <w:sz w:val="18"/>
                  <w:szCs w:val="18"/>
                  <w:color w:val="0000FF"/>
                  <w:w w:val="98"/>
                </w:rPr>
                <w:t>herein by reference).</w:t>
              </w:r>
            </w:hyperlink>
          </w:p>
        </w:tc>
        <w:tc>
          <w:tcPr>
            <w:tcW w:w="800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10.31**</w:t>
            </w:r>
          </w:p>
        </w:tc>
        <w:tc>
          <w:tcPr>
            <w:tcW w:w="10080" w:type="dxa"/>
            <w:vAlign w:val="bottom"/>
            <w:gridSpan w:val="36"/>
          </w:tcPr>
          <w:p>
            <w:pPr>
              <w:spacing w:after="0"/>
              <w:rPr>
                <w:rFonts w:ascii="Arial" w:cs="Arial" w:eastAsia="Arial" w:hAnsi="Arial"/>
                <w:sz w:val="18"/>
                <w:szCs w:val="18"/>
                <w:color w:val="0000FF"/>
              </w:rPr>
            </w:pPr>
            <w:hyperlink r:id="rId237">
              <w:r>
                <w:rPr>
                  <w:rFonts w:ascii="Arial" w:cs="Arial" w:eastAsia="Arial" w:hAnsi="Arial"/>
                  <w:sz w:val="18"/>
                  <w:szCs w:val="18"/>
                  <w:color w:val="0000FF"/>
                </w:rPr>
                <w:t>Employment Agreement by and between Francisco J. Leon and California Resources Corporation, dated February 23, 2023</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8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237">
              <w:r>
                <w:rPr>
                  <w:rFonts w:ascii="Arial" w:cs="Arial" w:eastAsia="Arial" w:hAnsi="Arial"/>
                  <w:sz w:val="18"/>
                  <w:szCs w:val="18"/>
                  <w:color w:val="0000FF"/>
                </w:rPr>
                <w:t>(filed as Exhibit 10.25 to Registrant's Annual Report on Form 10-K filed on February 24, 2023 and incorporated herein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8"/>
              </w:rPr>
            </w:pPr>
            <w:hyperlink r:id="rId237">
              <w:r>
                <w:rPr>
                  <w:rFonts w:ascii="Arial" w:cs="Arial" w:eastAsia="Arial" w:hAnsi="Arial"/>
                  <w:sz w:val="18"/>
                  <w:szCs w:val="18"/>
                  <w:color w:val="0000FF"/>
                  <w:w w:val="98"/>
                </w:rPr>
                <w:t>reference).</w:t>
              </w:r>
            </w:hyperlink>
          </w:p>
        </w:tc>
        <w:tc>
          <w:tcPr>
            <w:tcW w:w="8760" w:type="dxa"/>
            <w:vAlign w:val="bottom"/>
            <w:tcBorders>
              <w:top w:val="single" w:sz="8" w:color="0000FF"/>
            </w:tcBorders>
            <w:gridSpan w:val="1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10.32**</w:t>
            </w:r>
          </w:p>
        </w:tc>
        <w:tc>
          <w:tcPr>
            <w:tcW w:w="10080" w:type="dxa"/>
            <w:vAlign w:val="bottom"/>
            <w:gridSpan w:val="36"/>
          </w:tcPr>
          <w:p>
            <w:pPr>
              <w:spacing w:after="0"/>
              <w:rPr>
                <w:rFonts w:ascii="Arial" w:cs="Arial" w:eastAsia="Arial" w:hAnsi="Arial"/>
                <w:sz w:val="18"/>
                <w:szCs w:val="18"/>
                <w:color w:val="0000FF"/>
              </w:rPr>
            </w:pPr>
            <w:hyperlink r:id="rId238">
              <w:r>
                <w:rPr>
                  <w:rFonts w:ascii="Arial" w:cs="Arial" w:eastAsia="Arial" w:hAnsi="Arial"/>
                  <w:sz w:val="18"/>
                  <w:szCs w:val="18"/>
                  <w:color w:val="0000FF"/>
                </w:rPr>
                <w:t>Employment Agreement by and between Omar Hayat and California Resources Corporation, dated July 27, 2023 (filed as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10020" w:type="dxa"/>
            <w:vAlign w:val="bottom"/>
            <w:tcBorders>
              <w:bottom w:val="single" w:sz="8" w:color="0000FF"/>
            </w:tcBorders>
            <w:gridSpan w:val="33"/>
          </w:tcPr>
          <w:p>
            <w:pPr>
              <w:spacing w:after="0" w:line="156" w:lineRule="exact"/>
              <w:rPr>
                <w:rFonts w:ascii="Arial" w:cs="Arial" w:eastAsia="Arial" w:hAnsi="Arial"/>
                <w:sz w:val="18"/>
                <w:szCs w:val="18"/>
                <w:color w:val="0000FF"/>
              </w:rPr>
            </w:pPr>
            <w:hyperlink r:id="rId238">
              <w:r>
                <w:rPr>
                  <w:rFonts w:ascii="Arial" w:cs="Arial" w:eastAsia="Arial" w:hAnsi="Arial"/>
                  <w:sz w:val="18"/>
                  <w:szCs w:val="18"/>
                  <w:color w:val="0000FF"/>
                </w:rPr>
                <w:t>Exhibit 10.3 to the Registrant's Quarterly Report on Form 10-Q filed on August 1, 2023 and incorporated herein by reference).</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10.33**</w:t>
            </w:r>
          </w:p>
        </w:tc>
        <w:tc>
          <w:tcPr>
            <w:tcW w:w="10080" w:type="dxa"/>
            <w:vAlign w:val="bottom"/>
            <w:gridSpan w:val="36"/>
          </w:tcPr>
          <w:p>
            <w:pPr>
              <w:spacing w:after="0"/>
              <w:rPr>
                <w:rFonts w:ascii="Arial" w:cs="Arial" w:eastAsia="Arial" w:hAnsi="Arial"/>
                <w:sz w:val="18"/>
                <w:szCs w:val="18"/>
                <w:color w:val="0000FF"/>
              </w:rPr>
            </w:pPr>
            <w:hyperlink r:id="rId239">
              <w:r>
                <w:rPr>
                  <w:rFonts w:ascii="Arial" w:cs="Arial" w:eastAsia="Arial" w:hAnsi="Arial"/>
                  <w:sz w:val="18"/>
                  <w:szCs w:val="18"/>
                  <w:color w:val="0000FF"/>
                </w:rPr>
                <w:t>Amended and Restated Employment Agreement by and between Christopher D. Gould and California Resources Corporation,</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6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239">
              <w:r>
                <w:rPr>
                  <w:rFonts w:ascii="Arial" w:cs="Arial" w:eastAsia="Arial" w:hAnsi="Arial"/>
                  <w:sz w:val="18"/>
                  <w:szCs w:val="18"/>
                  <w:color w:val="0000FF"/>
                </w:rPr>
                <w:t>dated July 27, 2023 (filed as Exhibit 10.4 to the Registrant's Quarterly Report on Form 10-Q filed on August 1, 2023 and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9"/>
              </w:rPr>
            </w:pPr>
            <w:hyperlink r:id="rId239">
              <w:r>
                <w:rPr>
                  <w:rFonts w:ascii="Arial" w:cs="Arial" w:eastAsia="Arial" w:hAnsi="Arial"/>
                  <w:sz w:val="18"/>
                  <w:szCs w:val="18"/>
                  <w:color w:val="0000FF"/>
                  <w:w w:val="99"/>
                </w:rPr>
                <w:t>incorporated herein by reference).</w:t>
              </w:r>
            </w:hyperlink>
          </w:p>
        </w:tc>
        <w:tc>
          <w:tcPr>
            <w:tcW w:w="6800" w:type="dxa"/>
            <w:vAlign w:val="bottom"/>
            <w:tcBorders>
              <w:top w:val="single" w:sz="8" w:color="0000FF"/>
            </w:tcBorders>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10.34**</w:t>
            </w:r>
          </w:p>
        </w:tc>
        <w:tc>
          <w:tcPr>
            <w:tcW w:w="10080" w:type="dxa"/>
            <w:vAlign w:val="bottom"/>
            <w:gridSpan w:val="36"/>
          </w:tcPr>
          <w:p>
            <w:pPr>
              <w:spacing w:after="0"/>
              <w:rPr>
                <w:rFonts w:ascii="Arial" w:cs="Arial" w:eastAsia="Arial" w:hAnsi="Arial"/>
                <w:sz w:val="18"/>
                <w:szCs w:val="18"/>
                <w:color w:val="0000FF"/>
              </w:rPr>
            </w:pPr>
            <w:hyperlink r:id="rId240">
              <w:r>
                <w:rPr>
                  <w:rFonts w:ascii="Arial" w:cs="Arial" w:eastAsia="Arial" w:hAnsi="Arial"/>
                  <w:sz w:val="18"/>
                  <w:szCs w:val="18"/>
                  <w:color w:val="0000FF"/>
                </w:rPr>
                <w:t>Employment Agreement by and between Clio Catherine Crespy and California Resources Corporation, dated January 1, 2025</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2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240">
              <w:r>
                <w:rPr>
                  <w:rFonts w:ascii="Arial" w:cs="Arial" w:eastAsia="Arial" w:hAnsi="Arial"/>
                  <w:sz w:val="18"/>
                  <w:szCs w:val="18"/>
                  <w:color w:val="0000FF"/>
                </w:rPr>
                <w:t>(filed as Exhibit 10.1 to the Registrant's Current Report on Form 8-K filed on November 25, 2024 and incorporated herein by</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8"/>
              </w:rPr>
            </w:pPr>
            <w:hyperlink r:id="rId240">
              <w:r>
                <w:rPr>
                  <w:rFonts w:ascii="Arial" w:cs="Arial" w:eastAsia="Arial" w:hAnsi="Arial"/>
                  <w:sz w:val="18"/>
                  <w:szCs w:val="18"/>
                  <w:color w:val="0000FF"/>
                  <w:w w:val="98"/>
                </w:rPr>
                <w:t>reference).</w:t>
              </w:r>
            </w:hyperlink>
          </w:p>
        </w:tc>
        <w:tc>
          <w:tcPr>
            <w:tcW w:w="9020" w:type="dxa"/>
            <w:vAlign w:val="bottom"/>
            <w:tcBorders>
              <w:top w:val="single" w:sz="8" w:color="0000FF"/>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10.35</w:t>
            </w:r>
          </w:p>
        </w:tc>
        <w:tc>
          <w:tcPr>
            <w:tcW w:w="10080" w:type="dxa"/>
            <w:vAlign w:val="bottom"/>
            <w:gridSpan w:val="36"/>
          </w:tcPr>
          <w:p>
            <w:pPr>
              <w:spacing w:after="0"/>
              <w:rPr>
                <w:rFonts w:ascii="Arial" w:cs="Arial" w:eastAsia="Arial" w:hAnsi="Arial"/>
                <w:sz w:val="18"/>
                <w:szCs w:val="18"/>
                <w:color w:val="0000FF"/>
              </w:rPr>
            </w:pPr>
            <w:hyperlink r:id="rId241">
              <w:r>
                <w:rPr>
                  <w:rFonts w:ascii="Arial" w:cs="Arial" w:eastAsia="Arial" w:hAnsi="Arial"/>
                  <w:sz w:val="18"/>
                  <w:szCs w:val="18"/>
                  <w:color w:val="0000FF"/>
                </w:rPr>
                <w:t>2023 Form of California Resources Corporation 2021 Long Term Incentive Plan Restricted Stock Unit Award Terms and</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7"/>
              </w:rPr>
            </w:pPr>
            <w:hyperlink r:id="rId241">
              <w:r>
                <w:rPr>
                  <w:rFonts w:ascii="Arial" w:cs="Arial" w:eastAsia="Arial" w:hAnsi="Arial"/>
                  <w:sz w:val="18"/>
                  <w:szCs w:val="18"/>
                  <w:color w:val="0000FF"/>
                  <w:w w:val="97"/>
                </w:rPr>
                <w:t>Conditions (filed as Exhibit 10.26 to Registrant's Annual Report on Form 10-K filed on February 24, 2023 and incorporated</w:t>
              </w:r>
            </w:hyperlink>
          </w:p>
        </w:tc>
        <w:tc>
          <w:tcPr>
            <w:tcW w:w="80" w:type="dxa"/>
            <w:vAlign w:val="bottom"/>
            <w:tcBorders>
              <w:bottom w:val="single" w:sz="8" w:color="0000FF"/>
            </w:tcBorders>
            <w:gridSpan w:val="3"/>
          </w:tcPr>
          <w:p>
            <w:pPr>
              <w:spacing w:after="0"/>
              <w:rPr>
                <w:sz w:val="13"/>
                <w:szCs w:val="13"/>
                <w:color w:val="auto"/>
              </w:rPr>
            </w:pPr>
          </w:p>
        </w:tc>
        <w:tc>
          <w:tcPr>
            <w:tcW w:w="16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80" w:type="dxa"/>
            <w:vAlign w:val="bottom"/>
            <w:gridSpan w:val="8"/>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740" w:type="dxa"/>
            <w:vAlign w:val="bottom"/>
            <w:gridSpan w:val="20"/>
          </w:tcPr>
          <w:p>
            <w:pPr>
              <w:spacing w:after="0" w:line="169" w:lineRule="exact"/>
              <w:rPr>
                <w:rFonts w:ascii="Arial" w:cs="Arial" w:eastAsia="Arial" w:hAnsi="Arial"/>
                <w:sz w:val="18"/>
                <w:szCs w:val="18"/>
                <w:color w:val="0000FF"/>
              </w:rPr>
            </w:pPr>
            <w:hyperlink r:id="rId241">
              <w:r>
                <w:rPr>
                  <w:rFonts w:ascii="Arial" w:cs="Arial" w:eastAsia="Arial" w:hAnsi="Arial"/>
                  <w:sz w:val="18"/>
                  <w:szCs w:val="18"/>
                  <w:color w:val="0000FF"/>
                </w:rPr>
                <w:t>herein by reference).</w:t>
              </w:r>
            </w:hyperlink>
          </w:p>
        </w:tc>
        <w:tc>
          <w:tcPr>
            <w:tcW w:w="180" w:type="dxa"/>
            <w:vAlign w:val="bottom"/>
            <w:gridSpan w:val="8"/>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10.36</w:t>
            </w:r>
          </w:p>
        </w:tc>
        <w:tc>
          <w:tcPr>
            <w:tcW w:w="10080" w:type="dxa"/>
            <w:vAlign w:val="bottom"/>
            <w:gridSpan w:val="36"/>
          </w:tcPr>
          <w:p>
            <w:pPr>
              <w:spacing w:after="0"/>
              <w:rPr>
                <w:rFonts w:ascii="Arial" w:cs="Arial" w:eastAsia="Arial" w:hAnsi="Arial"/>
                <w:sz w:val="18"/>
                <w:szCs w:val="18"/>
                <w:color w:val="0000FF"/>
              </w:rPr>
            </w:pPr>
            <w:hyperlink r:id="rId242">
              <w:r>
                <w:rPr>
                  <w:rFonts w:ascii="Arial" w:cs="Arial" w:eastAsia="Arial" w:hAnsi="Arial"/>
                  <w:sz w:val="18"/>
                  <w:szCs w:val="18"/>
                  <w:color w:val="0000FF"/>
                </w:rPr>
                <w:t>2023 Form of California Resources Corporation 2021 Long Term Incentive Plan Performance Stock Unit Award Terms and</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720" w:type="dxa"/>
            <w:vAlign w:val="bottom"/>
            <w:tcBorders>
              <w:top w:val="single" w:sz="8" w:color="0000FF"/>
            </w:tcBorders>
            <w:gridSpan w:val="19"/>
          </w:tcPr>
          <w:p>
            <w:pPr>
              <w:spacing w:after="0" w:line="156" w:lineRule="exact"/>
              <w:rPr>
                <w:rFonts w:ascii="Arial" w:cs="Arial" w:eastAsia="Arial" w:hAnsi="Arial"/>
                <w:sz w:val="18"/>
                <w:szCs w:val="18"/>
                <w:color w:val="0000FF"/>
                <w:w w:val="99"/>
              </w:rPr>
            </w:pPr>
            <w:hyperlink r:id="rId242">
              <w:r>
                <w:rPr>
                  <w:rFonts w:ascii="Arial" w:cs="Arial" w:eastAsia="Arial" w:hAnsi="Arial"/>
                  <w:sz w:val="18"/>
                  <w:szCs w:val="18"/>
                  <w:color w:val="0000FF"/>
                  <w:w w:val="99"/>
                </w:rPr>
                <w:t>Conditions (filed as Exhibit 10.27 to Registrant's Annual Report on Form 10-K filed on February 24, 2023 and incorporated</w:t>
              </w:r>
            </w:hyperlink>
          </w:p>
        </w:tc>
        <w:tc>
          <w:tcPr>
            <w:tcW w:w="200" w:type="dxa"/>
            <w:vAlign w:val="bottom"/>
            <w:gridSpan w:val="9"/>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74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242">
              <w:r>
                <w:rPr>
                  <w:rFonts w:ascii="Arial" w:cs="Arial" w:eastAsia="Arial" w:hAnsi="Arial"/>
                  <w:sz w:val="18"/>
                  <w:szCs w:val="18"/>
                  <w:color w:val="0000FF"/>
                </w:rPr>
                <w:t>herein by reference).</w:t>
              </w:r>
            </w:hyperlink>
          </w:p>
        </w:tc>
        <w:tc>
          <w:tcPr>
            <w:tcW w:w="180" w:type="dxa"/>
            <w:vAlign w:val="bottom"/>
            <w:gridSpan w:val="8"/>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60" w:type="dxa"/>
            <w:vAlign w:val="bottom"/>
            <w:gridSpan w:val="1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10.37</w:t>
            </w:r>
          </w:p>
        </w:tc>
        <w:tc>
          <w:tcPr>
            <w:tcW w:w="10080" w:type="dxa"/>
            <w:vAlign w:val="bottom"/>
            <w:gridSpan w:val="36"/>
          </w:tcPr>
          <w:p>
            <w:pPr>
              <w:spacing w:after="0"/>
              <w:rPr>
                <w:rFonts w:ascii="Arial" w:cs="Arial" w:eastAsia="Arial" w:hAnsi="Arial"/>
                <w:sz w:val="18"/>
                <w:szCs w:val="18"/>
                <w:color w:val="0000FF"/>
              </w:rPr>
            </w:pPr>
            <w:hyperlink r:id="rId243">
              <w:r>
                <w:rPr>
                  <w:rFonts w:ascii="Arial" w:cs="Arial" w:eastAsia="Arial" w:hAnsi="Arial"/>
                  <w:sz w:val="18"/>
                  <w:szCs w:val="18"/>
                  <w:color w:val="0000FF"/>
                </w:rPr>
                <w:t>Form of Cash Retention Bonus Agreement (filed as Exhibit 10.28 to Registrant's Annual Report on Form 10-K filed on</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34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243">
              <w:r>
                <w:rPr>
                  <w:rFonts w:ascii="Arial" w:cs="Arial" w:eastAsia="Arial" w:hAnsi="Arial"/>
                  <w:sz w:val="18"/>
                  <w:szCs w:val="18"/>
                  <w:color w:val="0000FF"/>
                </w:rPr>
                <w:t>February 24, 2023 and incorporated herein by reference).</w:t>
              </w:r>
            </w:hyperlink>
          </w:p>
        </w:tc>
        <w:tc>
          <w:tcPr>
            <w:tcW w:w="220" w:type="dxa"/>
            <w:vAlign w:val="bottom"/>
            <w:gridSpan w:val="5"/>
          </w:tcPr>
          <w:p>
            <w:pPr>
              <w:spacing w:after="0"/>
              <w:rPr>
                <w:sz w:val="13"/>
                <w:szCs w:val="13"/>
                <w:color w:val="auto"/>
              </w:rPr>
            </w:pPr>
          </w:p>
        </w:tc>
        <w:tc>
          <w:tcPr>
            <w:tcW w:w="360" w:type="dxa"/>
            <w:vAlign w:val="bottom"/>
            <w:gridSpan w:val="14"/>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80" w:type="dxa"/>
            <w:vAlign w:val="bottom"/>
            <w:gridSpan w:val="5"/>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20" w:type="dxa"/>
            <w:vAlign w:val="bottom"/>
            <w:gridSpan w:val="8"/>
          </w:tcPr>
          <w:p>
            <w:pPr>
              <w:spacing w:after="0" w:line="20" w:lineRule="exact"/>
              <w:rPr>
                <w:sz w:val="1"/>
                <w:szCs w:val="1"/>
                <w:color w:val="auto"/>
              </w:rPr>
            </w:pPr>
          </w:p>
        </w:tc>
        <w:tc>
          <w:tcPr>
            <w:tcW w:w="360" w:type="dxa"/>
            <w:vAlign w:val="bottom"/>
            <w:gridSpan w:val="1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10.38</w:t>
            </w:r>
          </w:p>
        </w:tc>
        <w:tc>
          <w:tcPr>
            <w:tcW w:w="10080" w:type="dxa"/>
            <w:vAlign w:val="bottom"/>
            <w:gridSpan w:val="36"/>
          </w:tcPr>
          <w:p>
            <w:pPr>
              <w:spacing w:after="0"/>
              <w:rPr>
                <w:rFonts w:ascii="Arial" w:cs="Arial" w:eastAsia="Arial" w:hAnsi="Arial"/>
                <w:sz w:val="18"/>
                <w:szCs w:val="18"/>
                <w:color w:val="0000FF"/>
              </w:rPr>
            </w:pPr>
            <w:hyperlink r:id="rId244">
              <w:r>
                <w:rPr>
                  <w:rFonts w:ascii="Arial" w:cs="Arial" w:eastAsia="Arial" w:hAnsi="Arial"/>
                  <w:sz w:val="18"/>
                  <w:szCs w:val="18"/>
                  <w:color w:val="0000FF"/>
                </w:rPr>
                <w:t>California Resources Corporation Employee Stock Purchase Plan (filed as Exhibit 10.1 to the Registrant's Current Report on</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554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244">
              <w:r>
                <w:rPr>
                  <w:rFonts w:ascii="Arial" w:cs="Arial" w:eastAsia="Arial" w:hAnsi="Arial"/>
                  <w:sz w:val="18"/>
                  <w:szCs w:val="18"/>
                  <w:color w:val="0000FF"/>
                  <w:w w:val="99"/>
                </w:rPr>
                <w:t>Form 8-K filed on May 6, 2022 and incorporated herein by reference).</w:t>
              </w:r>
            </w:hyperlink>
          </w:p>
        </w:tc>
        <w:tc>
          <w:tcPr>
            <w:tcW w:w="4380" w:type="dxa"/>
            <w:vAlign w:val="bottom"/>
            <w:tcBorders>
              <w:top w:val="single" w:sz="8" w:color="0000FF"/>
            </w:tcBorders>
            <w:gridSpan w:val="22"/>
          </w:tcPr>
          <w:p>
            <w:pPr>
              <w:spacing w:after="0"/>
              <w:rPr>
                <w:sz w:val="15"/>
                <w:szCs w:val="15"/>
                <w:color w:val="auto"/>
              </w:rPr>
            </w:pPr>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160" w:type="dxa"/>
            <w:vAlign w:val="bottom"/>
          </w:tcPr>
          <w:p>
            <w:pPr>
              <w:ind w:left="20"/>
              <w:spacing w:after="0"/>
              <w:rPr>
                <w:sz w:val="20"/>
                <w:szCs w:val="20"/>
                <w:color w:val="auto"/>
              </w:rPr>
            </w:pPr>
            <w:r>
              <w:rPr>
                <w:rFonts w:ascii="Arial" w:cs="Arial" w:eastAsia="Arial" w:hAnsi="Arial"/>
                <w:sz w:val="18"/>
                <w:szCs w:val="18"/>
                <w:color w:val="auto"/>
              </w:rPr>
              <w:t>10.39</w:t>
            </w:r>
          </w:p>
        </w:tc>
        <w:tc>
          <w:tcPr>
            <w:tcW w:w="9560" w:type="dxa"/>
            <w:vAlign w:val="bottom"/>
            <w:tcBorders>
              <w:bottom w:val="single" w:sz="8" w:color="0000FF"/>
            </w:tcBorders>
            <w:gridSpan w:val="14"/>
          </w:tcPr>
          <w:p>
            <w:pPr>
              <w:spacing w:after="0"/>
              <w:rPr>
                <w:rFonts w:ascii="Arial" w:cs="Arial" w:eastAsia="Arial" w:hAnsi="Arial"/>
                <w:sz w:val="18"/>
                <w:szCs w:val="18"/>
                <w:color w:val="0000FF"/>
                <w:w w:val="99"/>
              </w:rPr>
            </w:pPr>
            <w:hyperlink r:id="rId245">
              <w:r>
                <w:rPr>
                  <w:rFonts w:ascii="Arial" w:cs="Arial" w:eastAsia="Arial" w:hAnsi="Arial"/>
                  <w:sz w:val="18"/>
                  <w:szCs w:val="18"/>
                  <w:color w:val="0000FF"/>
                  <w:w w:val="99"/>
                </w:rPr>
                <w:t>2024 Form of California Resources Corporation 2021 Long-Term Incentive Plan Restricted Stock Unit for Non-Employee</w:t>
              </w:r>
            </w:hyperlink>
          </w:p>
        </w:tc>
        <w:tc>
          <w:tcPr>
            <w:tcW w:w="52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80" w:type="dxa"/>
            <w:vAlign w:val="bottom"/>
            <w:gridSpan w:val="36"/>
          </w:tcPr>
          <w:p>
            <w:pPr>
              <w:spacing w:after="0" w:line="156" w:lineRule="exact"/>
              <w:rPr>
                <w:rFonts w:ascii="Arial" w:cs="Arial" w:eastAsia="Arial" w:hAnsi="Arial"/>
                <w:sz w:val="18"/>
                <w:szCs w:val="18"/>
                <w:color w:val="0000FF"/>
              </w:rPr>
            </w:pPr>
            <w:hyperlink r:id="rId245">
              <w:r>
                <w:rPr>
                  <w:rFonts w:ascii="Arial" w:cs="Arial" w:eastAsia="Arial" w:hAnsi="Arial"/>
                  <w:sz w:val="18"/>
                  <w:szCs w:val="18"/>
                  <w:color w:val="0000FF"/>
                </w:rPr>
                <w:t>Directors Grant Agreement (filed as Exhibit 10.6 to Registrant's Form 10-Q filed on August 7, 2024 and incorporated herein by</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8"/>
              </w:rPr>
            </w:pPr>
            <w:hyperlink r:id="rId245">
              <w:r>
                <w:rPr>
                  <w:rFonts w:ascii="Arial" w:cs="Arial" w:eastAsia="Arial" w:hAnsi="Arial"/>
                  <w:sz w:val="18"/>
                  <w:szCs w:val="18"/>
                  <w:color w:val="0000FF"/>
                  <w:w w:val="98"/>
                </w:rPr>
                <w:t>reference).</w:t>
              </w:r>
            </w:hyperlink>
          </w:p>
        </w:tc>
        <w:tc>
          <w:tcPr>
            <w:tcW w:w="9160" w:type="dxa"/>
            <w:vAlign w:val="bottom"/>
            <w:tcBorders>
              <w:top w:val="single" w:sz="8" w:color="0000FF"/>
            </w:tcBorders>
            <w:gridSpan w:val="3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10.40</w:t>
            </w:r>
          </w:p>
        </w:tc>
        <w:tc>
          <w:tcPr>
            <w:tcW w:w="10080" w:type="dxa"/>
            <w:vAlign w:val="bottom"/>
            <w:gridSpan w:val="36"/>
          </w:tcPr>
          <w:p>
            <w:pPr>
              <w:spacing w:after="0"/>
              <w:rPr>
                <w:rFonts w:ascii="Arial" w:cs="Arial" w:eastAsia="Arial" w:hAnsi="Arial"/>
                <w:sz w:val="18"/>
                <w:szCs w:val="18"/>
                <w:u w:val="single" w:color="auto"/>
                <w:color w:val="0000FF"/>
              </w:rPr>
            </w:pPr>
            <w:hyperlink r:id="rId246">
              <w:r>
                <w:rPr>
                  <w:rFonts w:ascii="Arial" w:cs="Arial" w:eastAsia="Arial" w:hAnsi="Arial"/>
                  <w:sz w:val="18"/>
                  <w:szCs w:val="18"/>
                  <w:u w:val="single" w:color="auto"/>
                  <w:color w:val="0000FF"/>
                </w:rPr>
                <w:t>2024 Form of California Resources Corporation 2021 Long Term Incentive Plan Restricted Stock Unit Award Terms and</w:t>
              </w:r>
            </w:hyperlink>
          </w:p>
        </w:tc>
        <w:tc>
          <w:tcPr>
            <w:tcW w:w="0" w:type="dxa"/>
            <w:vAlign w:val="bottom"/>
          </w:tcPr>
          <w:p>
            <w:pPr>
              <w:spacing w:after="0"/>
              <w:rPr>
                <w:sz w:val="1"/>
                <w:szCs w:val="1"/>
                <w:color w:val="auto"/>
              </w:rPr>
            </w:pPr>
          </w:p>
        </w:tc>
      </w:tr>
    </w:tbl>
    <w:p>
      <w:pPr>
        <w:ind w:left="1160" w:right="360"/>
        <w:spacing w:after="0" w:line="237" w:lineRule="auto"/>
        <w:rPr>
          <w:rFonts w:ascii="Arial" w:cs="Arial" w:eastAsia="Arial" w:hAnsi="Arial"/>
          <w:sz w:val="18"/>
          <w:szCs w:val="18"/>
          <w:u w:val="single" w:color="auto"/>
          <w:color w:val="0000FF"/>
        </w:rPr>
      </w:pPr>
      <w:hyperlink r:id="rId246">
        <w:r>
          <w:rPr>
            <w:rFonts w:ascii="Arial" w:cs="Arial" w:eastAsia="Arial" w:hAnsi="Arial"/>
            <w:sz w:val="18"/>
            <w:szCs w:val="18"/>
            <w:u w:val="single" w:color="auto"/>
            <w:color w:val="0000FF"/>
          </w:rPr>
          <w:t>Conditions (filed as Exhibit 10.29 to Registrant's Annual Report on Form 10-K filed on February 28, 2024 and incorporated</w:t>
        </w:r>
      </w:hyperlink>
      <w:r>
        <w:rPr>
          <w:rFonts w:ascii="Arial" w:cs="Arial" w:eastAsia="Arial" w:hAnsi="Arial"/>
          <w:sz w:val="18"/>
          <w:szCs w:val="18"/>
          <w:u w:val="single" w:color="auto"/>
          <w:color w:val="0000FF"/>
        </w:rPr>
        <w:t xml:space="preserve"> </w:t>
      </w:r>
      <w:hyperlink r:id="rId246">
        <w:r>
          <w:rPr>
            <w:rFonts w:ascii="Arial" w:cs="Arial" w:eastAsia="Arial" w:hAnsi="Arial"/>
            <w:sz w:val="18"/>
            <w:szCs w:val="18"/>
            <w:u w:val="single" w:color="auto"/>
            <w:color w:val="0000FF"/>
          </w:rPr>
          <w:t>herein by reference).</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Arial" w:cs="Arial" w:eastAsia="Arial" w:hAnsi="Arial"/>
                <w:sz w:val="18"/>
                <w:szCs w:val="18"/>
                <w:color w:val="auto"/>
              </w:rPr>
              <w:t>Exhibit</w:t>
            </w:r>
          </w:p>
        </w:tc>
        <w:tc>
          <w:tcPr>
            <w:tcW w:w="10080" w:type="dxa"/>
            <w:vAlign w:val="bottom"/>
            <w:gridSpan w:val="30"/>
            <w:vMerge w:val="restart"/>
          </w:tcPr>
          <w:p>
            <w:pPr>
              <w:spacing w:after="0"/>
              <w:rPr>
                <w:sz w:val="20"/>
                <w:szCs w:val="20"/>
                <w:color w:val="auto"/>
              </w:rPr>
            </w:pPr>
            <w:r>
              <w:rPr>
                <w:rFonts w:ascii="Arial" w:cs="Arial" w:eastAsia="Arial" w:hAnsi="Arial"/>
                <w:sz w:val="18"/>
                <w:szCs w:val="18"/>
                <w:color w:val="auto"/>
              </w:rPr>
              <w:t>Exhibit Description</w:t>
            </w:r>
          </w:p>
        </w:tc>
        <w:tc>
          <w:tcPr>
            <w:tcW w:w="0" w:type="dxa"/>
            <w:vAlign w:val="bottom"/>
          </w:tcPr>
          <w:p>
            <w:pPr>
              <w:spacing w:after="0"/>
              <w:rPr>
                <w:sz w:val="1"/>
                <w:szCs w:val="1"/>
                <w:color w:val="auto"/>
              </w:rPr>
            </w:pPr>
          </w:p>
        </w:tc>
      </w:tr>
      <w:tr>
        <w:trPr>
          <w:trHeight w:val="243"/>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080" w:type="dxa"/>
            <w:vAlign w:val="bottom"/>
            <w:tcBorders>
              <w:bottom w:val="single" w:sz="8" w:color="auto"/>
            </w:tcBorders>
            <w:gridSpan w:val="30"/>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10.41</w:t>
            </w:r>
          </w:p>
        </w:tc>
        <w:tc>
          <w:tcPr>
            <w:tcW w:w="10080" w:type="dxa"/>
            <w:vAlign w:val="bottom"/>
            <w:gridSpan w:val="30"/>
          </w:tcPr>
          <w:p>
            <w:pPr>
              <w:spacing w:after="0" w:line="182" w:lineRule="exact"/>
              <w:rPr>
                <w:rFonts w:ascii="Arial" w:cs="Arial" w:eastAsia="Arial" w:hAnsi="Arial"/>
                <w:sz w:val="18"/>
                <w:szCs w:val="18"/>
                <w:color w:val="0000FF"/>
              </w:rPr>
            </w:pPr>
            <w:hyperlink r:id="rId248">
              <w:r>
                <w:rPr>
                  <w:rFonts w:ascii="Arial" w:cs="Arial" w:eastAsia="Arial" w:hAnsi="Arial"/>
                  <w:sz w:val="18"/>
                  <w:szCs w:val="18"/>
                  <w:color w:val="0000FF"/>
                </w:rPr>
                <w:t>2024 Form of California Resources Corporation 2021 Long Term Incentive Plan Performance Stock Unit Award Terms and</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9"/>
              </w:rPr>
            </w:pPr>
            <w:hyperlink r:id="rId248">
              <w:r>
                <w:rPr>
                  <w:rFonts w:ascii="Arial" w:cs="Arial" w:eastAsia="Arial" w:hAnsi="Arial"/>
                  <w:sz w:val="18"/>
                  <w:szCs w:val="18"/>
                  <w:color w:val="0000FF"/>
                  <w:w w:val="99"/>
                </w:rPr>
                <w:t>Conditions (filed as Exhibit 10.30 to Registrant's Annual Report on Form 10-K filed on February 28, 2024 and incorporated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740" w:type="dxa"/>
            <w:vAlign w:val="bottom"/>
            <w:gridSpan w:val="25"/>
          </w:tcPr>
          <w:p>
            <w:pPr>
              <w:spacing w:after="0" w:line="169" w:lineRule="exact"/>
              <w:rPr>
                <w:rFonts w:ascii="Arial" w:cs="Arial" w:eastAsia="Arial" w:hAnsi="Arial"/>
                <w:sz w:val="18"/>
                <w:szCs w:val="18"/>
                <w:color w:val="0000FF"/>
              </w:rPr>
            </w:pPr>
            <w:hyperlink r:id="rId248">
              <w:r>
                <w:rPr>
                  <w:rFonts w:ascii="Arial" w:cs="Arial" w:eastAsia="Arial" w:hAnsi="Arial"/>
                  <w:sz w:val="18"/>
                  <w:szCs w:val="18"/>
                  <w:color w:val="0000FF"/>
                </w:rPr>
                <w:t>herein by reference)</w:t>
              </w:r>
              <w:r>
                <w:rPr>
                  <w:rFonts w:ascii="Arial" w:cs="Arial" w:eastAsia="Arial" w:hAnsi="Arial"/>
                  <w:sz w:val="18"/>
                  <w:szCs w:val="18"/>
                  <w:color w:val="000000"/>
                </w:rPr>
                <w:t>.</w:t>
              </w:r>
            </w:hyperlink>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60" w:type="dxa"/>
            <w:vAlign w:val="bottom"/>
          </w:tcPr>
          <w:p>
            <w:pPr>
              <w:ind w:left="20"/>
              <w:spacing w:after="0"/>
              <w:rPr>
                <w:sz w:val="20"/>
                <w:szCs w:val="20"/>
                <w:color w:val="auto"/>
              </w:rPr>
            </w:pPr>
            <w:r>
              <w:rPr>
                <w:rFonts w:ascii="Arial" w:cs="Arial" w:eastAsia="Arial" w:hAnsi="Arial"/>
                <w:sz w:val="18"/>
                <w:szCs w:val="18"/>
                <w:color w:val="auto"/>
              </w:rPr>
              <w:t>10.42</w:t>
            </w:r>
          </w:p>
        </w:tc>
        <w:tc>
          <w:tcPr>
            <w:tcW w:w="10080" w:type="dxa"/>
            <w:vAlign w:val="bottom"/>
            <w:gridSpan w:val="30"/>
          </w:tcPr>
          <w:p>
            <w:pPr>
              <w:spacing w:after="0"/>
              <w:rPr>
                <w:rFonts w:ascii="Arial" w:cs="Arial" w:eastAsia="Arial" w:hAnsi="Arial"/>
                <w:sz w:val="18"/>
                <w:szCs w:val="18"/>
                <w:color w:val="0000FF"/>
              </w:rPr>
            </w:pPr>
            <w:hyperlink r:id="rId249">
              <w:r>
                <w:rPr>
                  <w:rFonts w:ascii="Arial" w:cs="Arial" w:eastAsia="Arial" w:hAnsi="Arial"/>
                  <w:sz w:val="18"/>
                  <w:szCs w:val="18"/>
                  <w:color w:val="0000FF"/>
                </w:rPr>
                <w:t>2025 Form of California Resources Corporation 2021 Long Term Incentive Plan Restricted Stock Unit Award Terms and</w:t>
              </w:r>
            </w:hyperlink>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9480" w:type="dxa"/>
            <w:vAlign w:val="bottom"/>
            <w:tcBorders>
              <w:top w:val="single" w:sz="8" w:color="0000FF"/>
            </w:tcBorders>
            <w:gridSpan w:val="21"/>
          </w:tcPr>
          <w:p>
            <w:pPr>
              <w:spacing w:after="0" w:line="162" w:lineRule="exact"/>
              <w:rPr>
                <w:rFonts w:ascii="Arial" w:cs="Arial" w:eastAsia="Arial" w:hAnsi="Arial"/>
                <w:sz w:val="18"/>
                <w:szCs w:val="18"/>
                <w:color w:val="0000FF"/>
              </w:rPr>
            </w:pPr>
            <w:hyperlink r:id="rId249">
              <w:r>
                <w:rPr>
                  <w:rFonts w:ascii="Arial" w:cs="Arial" w:eastAsia="Arial" w:hAnsi="Arial"/>
                  <w:sz w:val="18"/>
                  <w:szCs w:val="18"/>
                  <w:color w:val="0000FF"/>
                </w:rPr>
                <w:t>Conditions (filed as Exhibit 10.36 to Registrant's Annual Report on Form 10-K filed on March 3, 2025 and incorporated</w:t>
              </w:r>
            </w:hyperlink>
          </w:p>
        </w:tc>
        <w:tc>
          <w:tcPr>
            <w:tcW w:w="600" w:type="dxa"/>
            <w:vAlign w:val="bottom"/>
            <w:gridSpan w:val="9"/>
          </w:tcPr>
          <w:p>
            <w:pPr>
              <w:spacing w:after="0" w:line="162" w:lineRule="exact"/>
              <w:rPr>
                <w:rFonts w:ascii="Arial" w:cs="Arial" w:eastAsia="Arial" w:hAnsi="Arial"/>
                <w:sz w:val="18"/>
                <w:szCs w:val="18"/>
                <w:color w:val="0000FF"/>
              </w:rPr>
            </w:pPr>
            <w:hyperlink r:id="rId249">
              <w:r>
                <w:rPr>
                  <w:rFonts w:ascii="Arial" w:cs="Arial" w:eastAsia="Arial" w:hAnsi="Arial"/>
                  <w:sz w:val="18"/>
                  <w:szCs w:val="18"/>
                  <w:color w:val="0000FF"/>
                </w:rPr>
                <w:t>herein</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960" w:type="dxa"/>
            <w:vAlign w:val="bottom"/>
            <w:tcBorders>
              <w:top w:val="single" w:sz="8" w:color="0000FF"/>
            </w:tcBorders>
            <w:gridSpan w:val="28"/>
          </w:tcPr>
          <w:p>
            <w:pPr>
              <w:spacing w:after="0" w:line="169" w:lineRule="exact"/>
              <w:rPr>
                <w:rFonts w:ascii="Arial" w:cs="Arial" w:eastAsia="Arial" w:hAnsi="Arial"/>
                <w:sz w:val="18"/>
                <w:szCs w:val="18"/>
                <w:color w:val="0000FF"/>
              </w:rPr>
            </w:pPr>
            <w:hyperlink r:id="rId249">
              <w:r>
                <w:rPr>
                  <w:rFonts w:ascii="Arial" w:cs="Arial" w:eastAsia="Arial" w:hAnsi="Arial"/>
                  <w:sz w:val="18"/>
                  <w:szCs w:val="18"/>
                  <w:color w:val="0000FF"/>
                </w:rPr>
                <w:t>by reference).</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10.43</w:t>
            </w:r>
          </w:p>
        </w:tc>
        <w:tc>
          <w:tcPr>
            <w:tcW w:w="10080" w:type="dxa"/>
            <w:vAlign w:val="bottom"/>
            <w:gridSpan w:val="30"/>
          </w:tcPr>
          <w:p>
            <w:pPr>
              <w:spacing w:after="0"/>
              <w:rPr>
                <w:rFonts w:ascii="Arial" w:cs="Arial" w:eastAsia="Arial" w:hAnsi="Arial"/>
                <w:sz w:val="18"/>
                <w:szCs w:val="18"/>
                <w:color w:val="0000FF"/>
              </w:rPr>
            </w:pPr>
            <w:hyperlink r:id="rId250">
              <w:r>
                <w:rPr>
                  <w:rFonts w:ascii="Arial" w:cs="Arial" w:eastAsia="Arial" w:hAnsi="Arial"/>
                  <w:sz w:val="18"/>
                  <w:szCs w:val="18"/>
                  <w:color w:val="0000FF"/>
                </w:rPr>
                <w:t>2025 Form of California Resources Corporation 2021 Long Term Incentive Plan Performance Stock Unit Award Terms and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10080" w:type="dxa"/>
            <w:vAlign w:val="bottom"/>
            <w:gridSpan w:val="30"/>
          </w:tcPr>
          <w:p>
            <w:pPr>
              <w:spacing w:after="0" w:line="156" w:lineRule="exact"/>
              <w:rPr>
                <w:rFonts w:ascii="Arial" w:cs="Arial" w:eastAsia="Arial" w:hAnsi="Arial"/>
                <w:sz w:val="18"/>
                <w:szCs w:val="18"/>
                <w:color w:val="0000FF"/>
              </w:rPr>
            </w:pPr>
            <w:hyperlink r:id="rId250">
              <w:r>
                <w:rPr>
                  <w:rFonts w:ascii="Arial" w:cs="Arial" w:eastAsia="Arial" w:hAnsi="Arial"/>
                  <w:sz w:val="18"/>
                  <w:szCs w:val="18"/>
                  <w:color w:val="0000FF"/>
                </w:rPr>
                <w:t>Conditions (filed as Exhibit 10.37 to Registrant's Annual Report on Form 10-K filed on March 3, 2025 and incorporated herein</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12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9"/>
              </w:rPr>
            </w:pPr>
            <w:hyperlink r:id="rId250">
              <w:r>
                <w:rPr>
                  <w:rFonts w:ascii="Arial" w:cs="Arial" w:eastAsia="Arial" w:hAnsi="Arial"/>
                  <w:sz w:val="18"/>
                  <w:szCs w:val="18"/>
                  <w:color w:val="0000FF"/>
                  <w:w w:val="99"/>
                </w:rPr>
                <w:t>by reference).</w:t>
              </w:r>
            </w:hyperlink>
          </w:p>
        </w:tc>
        <w:tc>
          <w:tcPr>
            <w:tcW w:w="8840" w:type="dxa"/>
            <w:vAlign w:val="bottom"/>
            <w:tcBorders>
              <w:top w:val="single" w:sz="8" w:color="0000FF"/>
            </w:tcBorders>
            <w:gridSpan w:val="25"/>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10.44</w:t>
            </w:r>
          </w:p>
        </w:tc>
        <w:tc>
          <w:tcPr>
            <w:tcW w:w="10080" w:type="dxa"/>
            <w:vAlign w:val="bottom"/>
            <w:gridSpan w:val="30"/>
          </w:tcPr>
          <w:p>
            <w:pPr>
              <w:spacing w:after="0"/>
              <w:rPr>
                <w:rFonts w:ascii="Arial" w:cs="Arial" w:eastAsia="Arial" w:hAnsi="Arial"/>
                <w:sz w:val="18"/>
                <w:szCs w:val="18"/>
                <w:color w:val="0000FF"/>
              </w:rPr>
            </w:pPr>
            <w:hyperlink r:id="rId251">
              <w:r>
                <w:rPr>
                  <w:rFonts w:ascii="Arial" w:cs="Arial" w:eastAsia="Arial" w:hAnsi="Arial"/>
                  <w:sz w:val="18"/>
                  <w:szCs w:val="18"/>
                  <w:color w:val="0000FF"/>
                </w:rPr>
                <w:t>Form of California Resources Corporation 2021 Long Term Incentive Plan Restricted Stock Unit Award Terms and Conditions</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9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51">
              <w:r>
                <w:rPr>
                  <w:rFonts w:ascii="Arial" w:cs="Arial" w:eastAsia="Arial" w:hAnsi="Arial"/>
                  <w:sz w:val="18"/>
                  <w:szCs w:val="18"/>
                  <w:color w:val="0000FF"/>
                </w:rPr>
                <w:t>(Retention Award) (filed as Exhibit 10.5 to Registrant’s Quarterly Report on Form 10-Q filed on November 5, 2025 and</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9"/>
              </w:rPr>
            </w:pPr>
            <w:hyperlink r:id="rId251">
              <w:r>
                <w:rPr>
                  <w:rFonts w:ascii="Arial" w:cs="Arial" w:eastAsia="Arial" w:hAnsi="Arial"/>
                  <w:sz w:val="18"/>
                  <w:szCs w:val="18"/>
                  <w:color w:val="0000FF"/>
                  <w:w w:val="99"/>
                </w:rPr>
                <w:t>incorporated herein by reference).</w:t>
              </w:r>
            </w:hyperlink>
          </w:p>
        </w:tc>
        <w:tc>
          <w:tcPr>
            <w:tcW w:w="6660" w:type="dxa"/>
            <w:vAlign w:val="bottom"/>
            <w:tcBorders>
              <w:top w:val="single" w:sz="8" w:color="0000FF"/>
            </w:tcBorders>
            <w:gridSpan w:val="12"/>
          </w:tcPr>
          <w:p>
            <w:pPr>
              <w:spacing w:after="0"/>
              <w:rPr>
                <w:sz w:val="14"/>
                <w:szCs w:val="14"/>
                <w:color w:val="auto"/>
              </w:rPr>
            </w:pPr>
          </w:p>
        </w:tc>
        <w:tc>
          <w:tcPr>
            <w:tcW w:w="20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1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19.1</w:t>
            </w:r>
          </w:p>
        </w:tc>
        <w:tc>
          <w:tcPr>
            <w:tcW w:w="10080" w:type="dxa"/>
            <w:vAlign w:val="bottom"/>
            <w:gridSpan w:val="30"/>
          </w:tcPr>
          <w:p>
            <w:pPr>
              <w:spacing w:after="0"/>
              <w:rPr>
                <w:rFonts w:ascii="Arial" w:cs="Arial" w:eastAsia="Arial" w:hAnsi="Arial"/>
                <w:sz w:val="18"/>
                <w:szCs w:val="18"/>
                <w:color w:val="0000FF"/>
              </w:rPr>
            </w:pPr>
            <w:hyperlink r:id="rId252">
              <w:r>
                <w:rPr>
                  <w:rFonts w:ascii="Arial" w:cs="Arial" w:eastAsia="Arial" w:hAnsi="Arial"/>
                  <w:sz w:val="18"/>
                  <w:szCs w:val="18"/>
                  <w:color w:val="0000FF"/>
                </w:rPr>
                <w:t>Insider Trading Policy (filed as Exhibit 99.2 to Registrant’s Annual Report on Form 10-K filed on March 3, 2025 and</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252">
              <w:r>
                <w:rPr>
                  <w:rFonts w:ascii="Arial" w:cs="Arial" w:eastAsia="Arial" w:hAnsi="Arial"/>
                  <w:sz w:val="18"/>
                  <w:szCs w:val="18"/>
                  <w:color w:val="0000FF"/>
                  <w:w w:val="99"/>
                </w:rPr>
                <w:t>incorporated herein by reference.</w:t>
              </w:r>
            </w:hyperlink>
          </w:p>
        </w:tc>
        <w:tc>
          <w:tcPr>
            <w:tcW w:w="6460" w:type="dxa"/>
            <w:vAlign w:val="bottom"/>
            <w:tcBorders>
              <w:top w:val="single" w:sz="8" w:color="0000FF"/>
            </w:tcBorders>
            <w:gridSpan w:val="11"/>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19.2</w:t>
            </w:r>
          </w:p>
        </w:tc>
        <w:tc>
          <w:tcPr>
            <w:tcW w:w="10080" w:type="dxa"/>
            <w:vAlign w:val="bottom"/>
            <w:gridSpan w:val="30"/>
          </w:tcPr>
          <w:p>
            <w:pPr>
              <w:spacing w:after="0"/>
              <w:rPr>
                <w:rFonts w:ascii="Arial" w:cs="Arial" w:eastAsia="Arial" w:hAnsi="Arial"/>
                <w:sz w:val="18"/>
                <w:szCs w:val="18"/>
                <w:color w:val="0000FF"/>
                <w:w w:val="99"/>
              </w:rPr>
            </w:pPr>
            <w:hyperlink r:id="rId253">
              <w:r>
                <w:rPr>
                  <w:rFonts w:ascii="Arial" w:cs="Arial" w:eastAsia="Arial" w:hAnsi="Arial"/>
                  <w:sz w:val="18"/>
                  <w:szCs w:val="18"/>
                  <w:color w:val="0000FF"/>
                  <w:w w:val="99"/>
                </w:rPr>
                <w:t>Business Ethics and Conduct Policies (filed as Exhibit 99.3 to Registrant’s Annual Report on Form 10-K filed on March 3, 2025</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6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253">
              <w:r>
                <w:rPr>
                  <w:rFonts w:ascii="Arial" w:cs="Arial" w:eastAsia="Arial" w:hAnsi="Arial"/>
                  <w:sz w:val="18"/>
                  <w:szCs w:val="18"/>
                  <w:color w:val="0000FF"/>
                </w:rPr>
                <w:t>and incorporated herein by reference).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21*</w:t>
            </w:r>
          </w:p>
        </w:tc>
        <w:tc>
          <w:tcPr>
            <w:tcW w:w="44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List of Subsidiaries of California Resources Corporation.</w:t>
            </w:r>
          </w:p>
        </w:tc>
        <w:tc>
          <w:tcPr>
            <w:tcW w:w="560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23.1*</w:t>
            </w:r>
          </w:p>
        </w:tc>
        <w:tc>
          <w:tcPr>
            <w:tcW w:w="10080" w:type="dxa"/>
            <w:vAlign w:val="bottom"/>
            <w:gridSpan w:val="30"/>
          </w:tcPr>
          <w:p>
            <w:pPr>
              <w:spacing w:after="0"/>
              <w:rPr>
                <w:sz w:val="20"/>
                <w:szCs w:val="20"/>
                <w:color w:val="auto"/>
              </w:rPr>
            </w:pPr>
            <w:r>
              <w:rPr>
                <w:rFonts w:ascii="Arial" w:cs="Arial" w:eastAsia="Arial" w:hAnsi="Arial"/>
                <w:sz w:val="18"/>
                <w:szCs w:val="18"/>
                <w:color w:val="0000FF"/>
              </w:rPr>
              <w:t>Consent of Independent Registered Public Accounting Firm.</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40" w:type="dxa"/>
            <w:vAlign w:val="bottom"/>
            <w:gridSpan w:val="5"/>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23.2*</w:t>
            </w:r>
          </w:p>
        </w:tc>
        <w:tc>
          <w:tcPr>
            <w:tcW w:w="10080" w:type="dxa"/>
            <w:vAlign w:val="bottom"/>
            <w:gridSpan w:val="30"/>
          </w:tcPr>
          <w:p>
            <w:pPr>
              <w:spacing w:after="0"/>
              <w:rPr>
                <w:sz w:val="20"/>
                <w:szCs w:val="20"/>
                <w:color w:val="auto"/>
              </w:rPr>
            </w:pPr>
            <w:r>
              <w:rPr>
                <w:rFonts w:ascii="Arial" w:cs="Arial" w:eastAsia="Arial" w:hAnsi="Arial"/>
                <w:sz w:val="18"/>
                <w:szCs w:val="18"/>
                <w:color w:val="0000FF"/>
              </w:rPr>
              <w:t>Consent of Independent Petroleum Engineers, Netherland, Sewell &amp; Associates, Inc.</w:t>
            </w: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23.3*</w:t>
            </w:r>
          </w:p>
        </w:tc>
        <w:tc>
          <w:tcPr>
            <w:tcW w:w="67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Consent of Independent Petroleum Engineers, DeGolyer and MacNaughton.</w:t>
            </w:r>
          </w:p>
        </w:tc>
        <w:tc>
          <w:tcPr>
            <w:tcW w:w="3340" w:type="dxa"/>
            <w:vAlign w:val="bottom"/>
            <w:gridSpan w:val="1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40" w:type="dxa"/>
            <w:vAlign w:val="bottom"/>
            <w:gridSpan w:val="6"/>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31.1*</w:t>
            </w:r>
          </w:p>
        </w:tc>
        <w:tc>
          <w:tcPr>
            <w:tcW w:w="10080" w:type="dxa"/>
            <w:vAlign w:val="bottom"/>
            <w:gridSpan w:val="30"/>
          </w:tcPr>
          <w:p>
            <w:pPr>
              <w:spacing w:after="0"/>
              <w:rPr>
                <w:sz w:val="20"/>
                <w:szCs w:val="20"/>
                <w:color w:val="auto"/>
              </w:rPr>
            </w:pPr>
            <w:r>
              <w:rPr>
                <w:rFonts w:ascii="Arial" w:cs="Arial" w:eastAsia="Arial" w:hAnsi="Arial"/>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31.2*</w:t>
            </w:r>
          </w:p>
        </w:tc>
        <w:tc>
          <w:tcPr>
            <w:tcW w:w="782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Certification of Chief Financial Officer pursuant to Section 302 of the Sarbanes-Oxley Act of 2002.</w:t>
            </w:r>
          </w:p>
        </w:tc>
        <w:tc>
          <w:tcPr>
            <w:tcW w:w="226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720" w:type="dxa"/>
            <w:vAlign w:val="bottom"/>
            <w:gridSpan w:val="8"/>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32.1*</w:t>
            </w:r>
          </w:p>
        </w:tc>
        <w:tc>
          <w:tcPr>
            <w:tcW w:w="10080" w:type="dxa"/>
            <w:vAlign w:val="bottom"/>
            <w:gridSpan w:val="30"/>
          </w:tcPr>
          <w:p>
            <w:pPr>
              <w:spacing w:after="0"/>
              <w:rPr>
                <w:sz w:val="20"/>
                <w:szCs w:val="20"/>
                <w:color w:val="auto"/>
              </w:rPr>
            </w:pPr>
            <w:r>
              <w:rPr>
                <w:rFonts w:ascii="Arial" w:cs="Arial" w:eastAsia="Arial" w:hAnsi="Arial"/>
                <w:sz w:val="18"/>
                <w:szCs w:val="18"/>
                <w:color w:val="0000FF"/>
              </w:rPr>
              <w:t>Certifications of Chief Executive Officer and Chief Financial Officer pursuant to Section 906 of the Sarbanes-Oxley Act of</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2002.</w:t>
            </w:r>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97.1</w:t>
            </w:r>
          </w:p>
        </w:tc>
        <w:tc>
          <w:tcPr>
            <w:tcW w:w="10080" w:type="dxa"/>
            <w:vAlign w:val="bottom"/>
            <w:gridSpan w:val="30"/>
          </w:tcPr>
          <w:p>
            <w:pPr>
              <w:spacing w:after="0"/>
              <w:rPr>
                <w:rFonts w:ascii="Arial" w:cs="Arial" w:eastAsia="Arial" w:hAnsi="Arial"/>
                <w:sz w:val="18"/>
                <w:szCs w:val="18"/>
                <w:color w:val="0000FF"/>
              </w:rPr>
            </w:pPr>
            <w:hyperlink r:id="rId248">
              <w:r>
                <w:rPr>
                  <w:rFonts w:ascii="Arial" w:cs="Arial" w:eastAsia="Arial" w:hAnsi="Arial"/>
                  <w:sz w:val="18"/>
                  <w:szCs w:val="18"/>
                  <w:color w:val="0000FF"/>
                </w:rPr>
                <w:t>California Resources Corporation Incentive-Based Compensation Recoupment Policy. (filed as Exhibit 97.1 to Registrant's</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7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48">
              <w:r>
                <w:rPr>
                  <w:rFonts w:ascii="Arial" w:cs="Arial" w:eastAsia="Arial" w:hAnsi="Arial"/>
                  <w:sz w:val="18"/>
                  <w:szCs w:val="18"/>
                  <w:color w:val="0000FF"/>
                </w:rPr>
                <w:t>Annual Report on Form 10-K filed on February 28, 2024 and incorporated herein by reference).</w:t>
              </w:r>
            </w:hyperlink>
          </w:p>
        </w:tc>
        <w:tc>
          <w:tcPr>
            <w:tcW w:w="16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720" w:type="dxa"/>
            <w:vAlign w:val="bottom"/>
            <w:gridSpan w:val="8"/>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99.1*</w:t>
            </w:r>
          </w:p>
        </w:tc>
        <w:tc>
          <w:tcPr>
            <w:tcW w:w="10080" w:type="dxa"/>
            <w:vAlign w:val="bottom"/>
            <w:gridSpan w:val="30"/>
          </w:tcPr>
          <w:p>
            <w:pPr>
              <w:spacing w:after="0"/>
              <w:rPr>
                <w:sz w:val="20"/>
                <w:szCs w:val="20"/>
                <w:color w:val="auto"/>
              </w:rPr>
            </w:pPr>
            <w:r>
              <w:rPr>
                <w:rFonts w:ascii="Arial" w:cs="Arial" w:eastAsia="Arial" w:hAnsi="Arial"/>
                <w:sz w:val="18"/>
                <w:szCs w:val="18"/>
                <w:color w:val="0000FF"/>
              </w:rPr>
              <w:t>Netherland, Sewell &amp; Associates, Inc. Estimated Future Reserves Attributable to Certain Leasehold and Royalty Interests as</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6"/>
          </w:tcPr>
          <w:p>
            <w:pPr>
              <w:spacing w:after="0" w:line="156" w:lineRule="exact"/>
              <w:rPr>
                <w:sz w:val="20"/>
                <w:szCs w:val="20"/>
                <w:color w:val="auto"/>
              </w:rPr>
            </w:pPr>
            <w:r>
              <w:rPr>
                <w:rFonts w:ascii="Arial" w:cs="Arial" w:eastAsia="Arial" w:hAnsi="Arial"/>
                <w:sz w:val="18"/>
                <w:szCs w:val="18"/>
                <w:color w:val="0000FF"/>
                <w:w w:val="99"/>
              </w:rPr>
              <w:t>of December 31, 2025.</w:t>
            </w:r>
          </w:p>
        </w:tc>
        <w:tc>
          <w:tcPr>
            <w:tcW w:w="8040" w:type="dxa"/>
            <w:vAlign w:val="bottom"/>
            <w:tcBorders>
              <w:top w:val="single" w:sz="8" w:color="0000FF"/>
            </w:tcBorders>
            <w:gridSpan w:val="20"/>
          </w:tcPr>
          <w:p>
            <w:pPr>
              <w:spacing w:after="0"/>
              <w:rPr>
                <w:sz w:val="13"/>
                <w:szCs w:val="13"/>
                <w:color w:val="auto"/>
              </w:rPr>
            </w:pPr>
          </w:p>
        </w:tc>
        <w:tc>
          <w:tcPr>
            <w:tcW w:w="2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99.2*</w:t>
            </w:r>
          </w:p>
        </w:tc>
        <w:tc>
          <w:tcPr>
            <w:tcW w:w="10080" w:type="dxa"/>
            <w:vAlign w:val="bottom"/>
            <w:gridSpan w:val="30"/>
          </w:tcPr>
          <w:p>
            <w:pPr>
              <w:spacing w:after="0"/>
              <w:rPr>
                <w:sz w:val="20"/>
                <w:szCs w:val="20"/>
                <w:color w:val="auto"/>
              </w:rPr>
            </w:pPr>
            <w:r>
              <w:rPr>
                <w:rFonts w:ascii="Arial" w:cs="Arial" w:eastAsia="Arial" w:hAnsi="Arial"/>
                <w:sz w:val="18"/>
                <w:szCs w:val="18"/>
                <w:color w:val="0000FF"/>
              </w:rPr>
              <w:t>DeGolyer and MacNaughton Estimated Future Reserves Attributable to Certain Leasehold and Royalty Interests as of</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9"/>
              </w:rPr>
              <w:t>December 31, 2025.</w:t>
            </w:r>
          </w:p>
        </w:tc>
        <w:tc>
          <w:tcPr>
            <w:tcW w:w="7720" w:type="dxa"/>
            <w:vAlign w:val="bottom"/>
            <w:tcBorders>
              <w:top w:val="single" w:sz="8" w:color="0000FF"/>
            </w:tcBorders>
            <w:gridSpan w:val="14"/>
          </w:tcPr>
          <w:p>
            <w:pPr>
              <w:spacing w:after="0"/>
              <w:rPr>
                <w:sz w:val="13"/>
                <w:szCs w:val="13"/>
                <w:color w:val="auto"/>
              </w:rPr>
            </w:pPr>
          </w:p>
        </w:tc>
        <w:tc>
          <w:tcPr>
            <w:tcW w:w="7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99.3*</w:t>
            </w:r>
          </w:p>
        </w:tc>
        <w:tc>
          <w:tcPr>
            <w:tcW w:w="10080" w:type="dxa"/>
            <w:vAlign w:val="bottom"/>
            <w:gridSpan w:val="30"/>
          </w:tcPr>
          <w:p>
            <w:pPr>
              <w:spacing w:after="0"/>
              <w:rPr>
                <w:sz w:val="20"/>
                <w:szCs w:val="20"/>
                <w:color w:val="auto"/>
              </w:rPr>
            </w:pPr>
            <w:r>
              <w:rPr>
                <w:rFonts w:ascii="Arial" w:cs="Arial" w:eastAsia="Arial" w:hAnsi="Arial"/>
                <w:sz w:val="18"/>
                <w:szCs w:val="18"/>
                <w:color w:val="0000FF"/>
              </w:rPr>
              <w:t>Unaudited pro forma condensed combined financial statements of California Resources Corporation.</w:t>
            </w:r>
          </w:p>
        </w:tc>
        <w:tc>
          <w:tcPr>
            <w:tcW w:w="0" w:type="dxa"/>
            <w:vAlign w:val="bottom"/>
          </w:tcPr>
          <w:p>
            <w:pPr>
              <w:spacing w:after="0"/>
              <w:rPr>
                <w:sz w:val="1"/>
                <w:szCs w:val="1"/>
                <w:color w:val="auto"/>
              </w:rPr>
            </w:pPr>
          </w:p>
        </w:tc>
      </w:tr>
      <w:tr>
        <w:trPr>
          <w:trHeight w:val="308"/>
        </w:trPr>
        <w:tc>
          <w:tcPr>
            <w:tcW w:w="1160" w:type="dxa"/>
            <w:vAlign w:val="bottom"/>
          </w:tcPr>
          <w:p>
            <w:pPr>
              <w:ind w:left="20"/>
              <w:spacing w:after="0"/>
              <w:rPr>
                <w:sz w:val="20"/>
                <w:szCs w:val="20"/>
                <w:color w:val="auto"/>
              </w:rPr>
            </w:pPr>
            <w:r>
              <w:rPr>
                <w:rFonts w:ascii="Arial" w:cs="Arial" w:eastAsia="Arial" w:hAnsi="Arial"/>
                <w:sz w:val="18"/>
                <w:szCs w:val="18"/>
                <w:color w:val="auto"/>
              </w:rPr>
              <w:t>101.INS*</w:t>
            </w:r>
          </w:p>
        </w:tc>
        <w:tc>
          <w:tcPr>
            <w:tcW w:w="800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auto"/>
              </w:rPr>
              <w:t>Inline XBRL Instance Document.</w:t>
            </w:r>
          </w:p>
        </w:tc>
        <w:tc>
          <w:tcPr>
            <w:tcW w:w="20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60" w:type="dxa"/>
            <w:vAlign w:val="bottom"/>
          </w:tcPr>
          <w:p>
            <w:pPr>
              <w:ind w:left="20"/>
              <w:spacing w:after="0"/>
              <w:rPr>
                <w:sz w:val="20"/>
                <w:szCs w:val="20"/>
                <w:color w:val="auto"/>
              </w:rPr>
            </w:pPr>
            <w:r>
              <w:rPr>
                <w:rFonts w:ascii="Arial" w:cs="Arial" w:eastAsia="Arial" w:hAnsi="Arial"/>
                <w:sz w:val="18"/>
                <w:szCs w:val="18"/>
                <w:color w:val="auto"/>
              </w:rPr>
              <w:t>101.SCH*</w:t>
            </w:r>
          </w:p>
        </w:tc>
        <w:tc>
          <w:tcPr>
            <w:tcW w:w="10080" w:type="dxa"/>
            <w:vAlign w:val="bottom"/>
            <w:gridSpan w:val="3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160" w:type="dxa"/>
            <w:vAlign w:val="bottom"/>
          </w:tcPr>
          <w:p>
            <w:pPr>
              <w:ind w:left="20"/>
              <w:spacing w:after="0"/>
              <w:rPr>
                <w:sz w:val="20"/>
                <w:szCs w:val="20"/>
                <w:color w:val="auto"/>
              </w:rPr>
            </w:pPr>
            <w:r>
              <w:rPr>
                <w:rFonts w:ascii="Arial" w:cs="Arial" w:eastAsia="Arial" w:hAnsi="Arial"/>
                <w:sz w:val="18"/>
                <w:szCs w:val="18"/>
                <w:color w:val="auto"/>
              </w:rPr>
              <w:t>101.CAL*</w:t>
            </w:r>
          </w:p>
        </w:tc>
        <w:tc>
          <w:tcPr>
            <w:tcW w:w="10080" w:type="dxa"/>
            <w:vAlign w:val="bottom"/>
            <w:gridSpan w:val="3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1160" w:type="dxa"/>
            <w:vAlign w:val="bottom"/>
          </w:tcPr>
          <w:p>
            <w:pPr>
              <w:ind w:left="20"/>
              <w:spacing w:after="0"/>
              <w:rPr>
                <w:sz w:val="20"/>
                <w:szCs w:val="20"/>
                <w:color w:val="auto"/>
              </w:rPr>
            </w:pPr>
            <w:r>
              <w:rPr>
                <w:rFonts w:ascii="Arial" w:cs="Arial" w:eastAsia="Arial" w:hAnsi="Arial"/>
                <w:sz w:val="18"/>
                <w:szCs w:val="18"/>
                <w:color w:val="auto"/>
              </w:rPr>
              <w:t>101.LAB*</w:t>
            </w:r>
          </w:p>
        </w:tc>
        <w:tc>
          <w:tcPr>
            <w:tcW w:w="10080" w:type="dxa"/>
            <w:vAlign w:val="bottom"/>
            <w:gridSpan w:val="3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1160" w:type="dxa"/>
            <w:vAlign w:val="bottom"/>
          </w:tcPr>
          <w:p>
            <w:pPr>
              <w:ind w:left="20"/>
              <w:spacing w:after="0"/>
              <w:rPr>
                <w:sz w:val="20"/>
                <w:szCs w:val="20"/>
                <w:color w:val="auto"/>
              </w:rPr>
            </w:pPr>
            <w:r>
              <w:rPr>
                <w:rFonts w:ascii="Arial" w:cs="Arial" w:eastAsia="Arial" w:hAnsi="Arial"/>
                <w:sz w:val="18"/>
                <w:szCs w:val="18"/>
                <w:color w:val="auto"/>
              </w:rPr>
              <w:t>101.PRE*</w:t>
            </w:r>
          </w:p>
        </w:tc>
        <w:tc>
          <w:tcPr>
            <w:tcW w:w="10080" w:type="dxa"/>
            <w:vAlign w:val="bottom"/>
            <w:gridSpan w:val="3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4"/>
        </w:trPr>
        <w:tc>
          <w:tcPr>
            <w:tcW w:w="1160" w:type="dxa"/>
            <w:vAlign w:val="bottom"/>
          </w:tcPr>
          <w:p>
            <w:pPr>
              <w:ind w:left="20"/>
              <w:spacing w:after="0"/>
              <w:rPr>
                <w:sz w:val="20"/>
                <w:szCs w:val="20"/>
                <w:color w:val="auto"/>
              </w:rPr>
            </w:pPr>
            <w:r>
              <w:rPr>
                <w:rFonts w:ascii="Arial" w:cs="Arial" w:eastAsia="Arial" w:hAnsi="Arial"/>
                <w:sz w:val="18"/>
                <w:szCs w:val="18"/>
                <w:color w:val="auto"/>
              </w:rPr>
              <w:t>101.DEF*</w:t>
            </w:r>
          </w:p>
        </w:tc>
        <w:tc>
          <w:tcPr>
            <w:tcW w:w="10080" w:type="dxa"/>
            <w:vAlign w:val="bottom"/>
            <w:gridSpan w:val="3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right="2920" w:firstLine="26"/>
        <w:spacing w:after="0" w:line="456" w:lineRule="auto"/>
        <w:tabs>
          <w:tab w:leader="none" w:pos="1152" w:val="left"/>
        </w:tabs>
        <w:numPr>
          <w:ilvl w:val="1"/>
          <w:numId w:val="72"/>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Exhibits 101). * Filed herewith.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**Certain portions of this exhibit (indicated by "[*****]") have been omitted pursuant to Item 601(b)(10) of Regulation S-K</w:t>
      </w:r>
    </w:p>
    <w:p>
      <w:pPr>
        <w:spacing w:after="0" w:line="9"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***This filing excludes certain schedules and exhibits pursuant to Item 601(a)(5) of Regulation S-K, which the registrant agrees to furnish supplementally to the SEC upon request by the SEC; provided, however, that the registrant may request confidential treatment pursuant to Rule 24b-2 of the Securities Exchange Act of 1934, as amended, for any schedules or exhibits so furnished</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CALIFORNIA RESOURCES CORPORATION</w:t>
      </w:r>
    </w:p>
    <w:p>
      <w:pPr>
        <w:sectPr>
          <w:pgSz w:w="11900" w:h="16838" w:orient="portrait"/>
          <w:cols w:equalWidth="0" w:num="1">
            <w:col w:w="11220"/>
          </w:cols>
          <w:pgMar w:left="320" w:top="890" w:right="359" w:bottom="1440" w:gutter="0" w:footer="0" w:header="0"/>
        </w:sect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 2026</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1760"/>
        <w:spacing w:after="0"/>
        <w:rPr>
          <w:sz w:val="20"/>
          <w:szCs w:val="20"/>
          <w:color w:val="auto"/>
        </w:rPr>
      </w:pPr>
      <w:r>
        <w:rPr>
          <w:rFonts w:ascii="Arial" w:cs="Arial" w:eastAsia="Arial" w:hAnsi="Arial"/>
          <w:sz w:val="17"/>
          <w:szCs w:val="17"/>
          <w:color w:val="auto"/>
        </w:rPr>
        <w:t>/s/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24765</wp:posOffset>
            </wp:positionV>
            <wp:extent cx="32918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3">
            <w:col w:w="4860" w:space="720"/>
            <w:col w:w="1500" w:space="720"/>
            <w:col w:w="3420"/>
          </w:cols>
          <w:pgMar w:left="320" w:top="890" w:right="359" w:bottom="1440" w:gutter="0" w:footer="0" w:header="0"/>
          <w:type w:val="continuous"/>
        </w:sectPr>
      </w:pPr>
    </w:p>
    <w:p>
      <w:pPr>
        <w:jc w:val="center"/>
        <w:ind w:left="5980"/>
        <w:spacing w:after="0"/>
        <w:rPr>
          <w:sz w:val="20"/>
          <w:szCs w:val="20"/>
          <w:color w:val="auto"/>
        </w:rPr>
      </w:pPr>
      <w:r>
        <w:rPr>
          <w:rFonts w:ascii="Arial" w:cs="Arial" w:eastAsia="Arial" w:hAnsi="Arial"/>
          <w:sz w:val="18"/>
          <w:szCs w:val="18"/>
          <w:color w:val="auto"/>
        </w:rPr>
        <w:t>Francisco J. Leon</w:t>
      </w:r>
    </w:p>
    <w:p>
      <w:pPr>
        <w:spacing w:after="0" w:line="36"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President,</w:t>
      </w:r>
    </w:p>
    <w:p>
      <w:pPr>
        <w:spacing w:after="0" w:line="36"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Chief Executive Officer and Director</w:t>
      </w:r>
    </w:p>
    <w:p>
      <w:pPr>
        <w:spacing w:after="0" w:line="333"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60" w:type="dxa"/>
            <w:vAlign w:val="bottom"/>
            <w:gridSpan w:val="2"/>
          </w:tcPr>
          <w:p>
            <w:pPr>
              <w:jc w:val="center"/>
              <w:ind w:right="1960"/>
              <w:spacing w:after="0"/>
              <w:rPr>
                <w:sz w:val="20"/>
                <w:szCs w:val="20"/>
                <w:color w:val="auto"/>
              </w:rPr>
            </w:pPr>
            <w:r>
              <w:rPr>
                <w:rFonts w:ascii="Arial" w:cs="Arial" w:eastAsia="Arial" w:hAnsi="Arial"/>
                <w:sz w:val="14"/>
                <w:szCs w:val="14"/>
                <w:b w:val="1"/>
                <w:bCs w:val="1"/>
                <w:color w:val="auto"/>
              </w:rPr>
              <w:t>Title</w:t>
            </w:r>
          </w:p>
        </w:tc>
        <w:tc>
          <w:tcPr>
            <w:tcW w:w="162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4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98"/>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Francisco J. Leon</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8"/>
              </w:rPr>
              <w:t>President,</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4"/>
        </w:trPr>
        <w:tc>
          <w:tcPr>
            <w:tcW w:w="4900" w:type="dxa"/>
            <w:vAlign w:val="bottom"/>
          </w:tcPr>
          <w:p>
            <w:pPr>
              <w:jc w:val="center"/>
              <w:spacing w:after="0"/>
              <w:rPr>
                <w:sz w:val="20"/>
                <w:szCs w:val="20"/>
                <w:color w:val="auto"/>
              </w:rPr>
            </w:pPr>
            <w:r>
              <w:rPr>
                <w:rFonts w:ascii="Arial" w:cs="Arial" w:eastAsia="Arial" w:hAnsi="Arial"/>
                <w:sz w:val="18"/>
                <w:szCs w:val="18"/>
                <w:color w:val="auto"/>
                <w:w w:val="99"/>
              </w:rPr>
              <w:t>Francisco J. Leon</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9"/>
              </w:rPr>
              <w:t>Chief Executive Officer and Director</w:t>
            </w:r>
          </w:p>
        </w:tc>
        <w:tc>
          <w:tcPr>
            <w:tcW w:w="1620" w:type="dxa"/>
            <w:vAlign w:val="bottom"/>
            <w:gridSpan w:val="3"/>
          </w:tcPr>
          <w:p>
            <w:pPr>
              <w:jc w:val="center"/>
              <w:ind w:left="392"/>
              <w:spacing w:after="0"/>
              <w:rPr>
                <w:sz w:val="20"/>
                <w:szCs w:val="20"/>
                <w:color w:val="auto"/>
              </w:rPr>
            </w:pPr>
            <w:r>
              <w:rPr>
                <w:rFonts w:ascii="Arial" w:cs="Arial" w:eastAsia="Arial" w:hAnsi="Arial"/>
                <w:sz w:val="18"/>
                <w:szCs w:val="18"/>
                <w:color w:val="auto"/>
                <w:w w:val="99"/>
              </w:rPr>
              <w:t>March 2, 2026</w:t>
            </w:r>
          </w:p>
        </w:tc>
      </w:tr>
      <w:tr>
        <w:trPr>
          <w:trHeight w:val="374"/>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Clio Crespy</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9"/>
              </w:rPr>
              <w:t>Executive Vice President and</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4"/>
        </w:trPr>
        <w:tc>
          <w:tcPr>
            <w:tcW w:w="4900" w:type="dxa"/>
            <w:vAlign w:val="bottom"/>
          </w:tcPr>
          <w:p>
            <w:pPr>
              <w:jc w:val="center"/>
              <w:spacing w:after="0"/>
              <w:rPr>
                <w:sz w:val="20"/>
                <w:szCs w:val="20"/>
                <w:color w:val="auto"/>
              </w:rPr>
            </w:pPr>
            <w:r>
              <w:rPr>
                <w:rFonts w:ascii="Arial" w:cs="Arial" w:eastAsia="Arial" w:hAnsi="Arial"/>
                <w:sz w:val="18"/>
                <w:szCs w:val="18"/>
                <w:color w:val="auto"/>
                <w:w w:val="98"/>
              </w:rPr>
              <w:t>Clio Crespy</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9"/>
              </w:rPr>
              <w:t>Chief Financial Officer</w:t>
            </w:r>
          </w:p>
        </w:tc>
        <w:tc>
          <w:tcPr>
            <w:tcW w:w="1620" w:type="dxa"/>
            <w:vAlign w:val="bottom"/>
            <w:gridSpan w:val="3"/>
          </w:tcPr>
          <w:p>
            <w:pPr>
              <w:jc w:val="center"/>
              <w:ind w:left="392"/>
              <w:spacing w:after="0"/>
              <w:rPr>
                <w:sz w:val="20"/>
                <w:szCs w:val="20"/>
                <w:color w:val="auto"/>
              </w:rPr>
            </w:pPr>
            <w:r>
              <w:rPr>
                <w:rFonts w:ascii="Arial" w:cs="Arial" w:eastAsia="Arial" w:hAnsi="Arial"/>
                <w:sz w:val="18"/>
                <w:szCs w:val="18"/>
                <w:color w:val="auto"/>
                <w:w w:val="99"/>
              </w:rPr>
              <w:t>March 2, 2026</w:t>
            </w:r>
          </w:p>
        </w:tc>
      </w:tr>
      <w:tr>
        <w:trPr>
          <w:trHeight w:val="374"/>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Noelle M. Repetti</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9"/>
              </w:rPr>
              <w:t>Senior Vice President and Controller and</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4"/>
        </w:trPr>
        <w:tc>
          <w:tcPr>
            <w:tcW w:w="4900" w:type="dxa"/>
            <w:vAlign w:val="bottom"/>
          </w:tcPr>
          <w:p>
            <w:pPr>
              <w:jc w:val="center"/>
              <w:spacing w:after="0"/>
              <w:rPr>
                <w:sz w:val="20"/>
                <w:szCs w:val="20"/>
                <w:color w:val="auto"/>
              </w:rPr>
            </w:pPr>
            <w:r>
              <w:rPr>
                <w:rFonts w:ascii="Arial" w:cs="Arial" w:eastAsia="Arial" w:hAnsi="Arial"/>
                <w:sz w:val="18"/>
                <w:szCs w:val="18"/>
                <w:color w:val="auto"/>
                <w:w w:val="99"/>
              </w:rPr>
              <w:t>Noelle M. Repetti</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9"/>
              </w:rPr>
              <w:t>Principal Accounting Officer</w:t>
            </w:r>
          </w:p>
        </w:tc>
        <w:tc>
          <w:tcPr>
            <w:tcW w:w="1620" w:type="dxa"/>
            <w:vAlign w:val="bottom"/>
            <w:gridSpan w:val="3"/>
          </w:tcPr>
          <w:p>
            <w:pPr>
              <w:jc w:val="center"/>
              <w:ind w:left="392"/>
              <w:spacing w:after="0"/>
              <w:rPr>
                <w:sz w:val="20"/>
                <w:szCs w:val="20"/>
                <w:color w:val="auto"/>
              </w:rPr>
            </w:pPr>
            <w:r>
              <w:rPr>
                <w:rFonts w:ascii="Arial" w:cs="Arial" w:eastAsia="Arial" w:hAnsi="Arial"/>
                <w:sz w:val="18"/>
                <w:szCs w:val="18"/>
                <w:color w:val="auto"/>
                <w:w w:val="99"/>
              </w:rPr>
              <w:t>March 2, 2026</w:t>
            </w:r>
          </w:p>
        </w:tc>
      </w:tr>
      <w:tr>
        <w:trPr>
          <w:trHeight w:val="374"/>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Tiffany (TJ) Thom Cepak</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4"/>
        </w:trPr>
        <w:tc>
          <w:tcPr>
            <w:tcW w:w="4900" w:type="dxa"/>
            <w:vAlign w:val="bottom"/>
          </w:tcPr>
          <w:p>
            <w:pPr>
              <w:jc w:val="center"/>
              <w:spacing w:after="0"/>
              <w:rPr>
                <w:sz w:val="20"/>
                <w:szCs w:val="20"/>
                <w:color w:val="auto"/>
              </w:rPr>
            </w:pPr>
            <w:r>
              <w:rPr>
                <w:rFonts w:ascii="Arial" w:cs="Arial" w:eastAsia="Arial" w:hAnsi="Arial"/>
                <w:sz w:val="18"/>
                <w:szCs w:val="18"/>
                <w:color w:val="auto"/>
                <w:w w:val="99"/>
              </w:rPr>
              <w:t>Tiffany (TJ) Thom Cepak</w:t>
            </w:r>
          </w:p>
        </w:tc>
        <w:tc>
          <w:tcPr>
            <w:tcW w:w="428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Chair of the Board</w:t>
            </w:r>
          </w:p>
        </w:tc>
        <w:tc>
          <w:tcPr>
            <w:tcW w:w="1620" w:type="dxa"/>
            <w:vAlign w:val="bottom"/>
            <w:gridSpan w:val="3"/>
          </w:tcPr>
          <w:p>
            <w:pPr>
              <w:jc w:val="center"/>
              <w:ind w:left="392"/>
              <w:spacing w:after="0"/>
              <w:rPr>
                <w:sz w:val="20"/>
                <w:szCs w:val="20"/>
                <w:color w:val="auto"/>
              </w:rPr>
            </w:pPr>
            <w:r>
              <w:rPr>
                <w:rFonts w:ascii="Arial" w:cs="Arial" w:eastAsia="Arial" w:hAnsi="Arial"/>
                <w:sz w:val="18"/>
                <w:szCs w:val="18"/>
                <w:color w:val="auto"/>
                <w:w w:val="99"/>
              </w:rPr>
              <w:t>March 2, 2026</w:t>
            </w:r>
          </w:p>
        </w:tc>
      </w:tr>
      <w:tr>
        <w:trPr>
          <w:trHeight w:val="374"/>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Andrew B. Bremner</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4"/>
        </w:trPr>
        <w:tc>
          <w:tcPr>
            <w:tcW w:w="4900" w:type="dxa"/>
            <w:vAlign w:val="bottom"/>
          </w:tcPr>
          <w:p>
            <w:pPr>
              <w:jc w:val="center"/>
              <w:spacing w:after="0"/>
              <w:rPr>
                <w:sz w:val="20"/>
                <w:szCs w:val="20"/>
                <w:color w:val="auto"/>
              </w:rPr>
            </w:pPr>
            <w:r>
              <w:rPr>
                <w:rFonts w:ascii="Arial" w:cs="Arial" w:eastAsia="Arial" w:hAnsi="Arial"/>
                <w:sz w:val="18"/>
                <w:szCs w:val="18"/>
                <w:color w:val="auto"/>
                <w:w w:val="99"/>
              </w:rPr>
              <w:t>Andrew B. Bremner</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392"/>
              <w:spacing w:after="0"/>
              <w:rPr>
                <w:sz w:val="20"/>
                <w:szCs w:val="20"/>
                <w:color w:val="auto"/>
              </w:rPr>
            </w:pPr>
            <w:r>
              <w:rPr>
                <w:rFonts w:ascii="Arial" w:cs="Arial" w:eastAsia="Arial" w:hAnsi="Arial"/>
                <w:sz w:val="18"/>
                <w:szCs w:val="18"/>
                <w:color w:val="auto"/>
                <w:w w:val="99"/>
              </w:rPr>
              <w:t>March 2, 2026</w:t>
            </w:r>
          </w:p>
        </w:tc>
      </w:tr>
      <w:tr>
        <w:trPr>
          <w:trHeight w:val="374"/>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James N. Chapman</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4"/>
        </w:trPr>
        <w:tc>
          <w:tcPr>
            <w:tcW w:w="4900" w:type="dxa"/>
            <w:vAlign w:val="bottom"/>
          </w:tcPr>
          <w:p>
            <w:pPr>
              <w:jc w:val="center"/>
              <w:spacing w:after="0"/>
              <w:rPr>
                <w:sz w:val="20"/>
                <w:szCs w:val="20"/>
                <w:color w:val="auto"/>
              </w:rPr>
            </w:pPr>
            <w:r>
              <w:rPr>
                <w:rFonts w:ascii="Arial" w:cs="Arial" w:eastAsia="Arial" w:hAnsi="Arial"/>
                <w:sz w:val="18"/>
                <w:szCs w:val="18"/>
                <w:color w:val="auto"/>
              </w:rPr>
              <w:t>James N. Chapman</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392"/>
              <w:spacing w:after="0"/>
              <w:rPr>
                <w:sz w:val="20"/>
                <w:szCs w:val="20"/>
                <w:color w:val="auto"/>
              </w:rPr>
            </w:pPr>
            <w:r>
              <w:rPr>
                <w:rFonts w:ascii="Arial" w:cs="Arial" w:eastAsia="Arial" w:hAnsi="Arial"/>
                <w:sz w:val="18"/>
                <w:szCs w:val="18"/>
                <w:color w:val="auto"/>
                <w:w w:val="99"/>
              </w:rPr>
              <w:t>March 2, 2026</w:t>
            </w:r>
          </w:p>
        </w:tc>
      </w:tr>
      <w:tr>
        <w:trPr>
          <w:trHeight w:val="374"/>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James R. Jackson</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4"/>
        </w:trPr>
        <w:tc>
          <w:tcPr>
            <w:tcW w:w="4900" w:type="dxa"/>
            <w:vAlign w:val="bottom"/>
          </w:tcPr>
          <w:p>
            <w:pPr>
              <w:jc w:val="center"/>
              <w:spacing w:after="0"/>
              <w:rPr>
                <w:sz w:val="20"/>
                <w:szCs w:val="20"/>
                <w:color w:val="auto"/>
              </w:rPr>
            </w:pPr>
            <w:r>
              <w:rPr>
                <w:rFonts w:ascii="Arial" w:cs="Arial" w:eastAsia="Arial" w:hAnsi="Arial"/>
                <w:sz w:val="18"/>
                <w:szCs w:val="18"/>
                <w:color w:val="auto"/>
              </w:rPr>
              <w:t>James R. Jackson</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392"/>
              <w:spacing w:after="0"/>
              <w:rPr>
                <w:sz w:val="20"/>
                <w:szCs w:val="20"/>
                <w:color w:val="auto"/>
              </w:rPr>
            </w:pPr>
            <w:r>
              <w:rPr>
                <w:rFonts w:ascii="Arial" w:cs="Arial" w:eastAsia="Arial" w:hAnsi="Arial"/>
                <w:sz w:val="18"/>
                <w:szCs w:val="18"/>
                <w:color w:val="auto"/>
                <w:w w:val="99"/>
              </w:rPr>
              <w:t>March 2, 2026</w:t>
            </w:r>
          </w:p>
        </w:tc>
      </w:tr>
      <w:tr>
        <w:trPr>
          <w:trHeight w:val="361"/>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Christian S. Kendall</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4"/>
        </w:trPr>
        <w:tc>
          <w:tcPr>
            <w:tcW w:w="4900" w:type="dxa"/>
            <w:vAlign w:val="bottom"/>
          </w:tcPr>
          <w:p>
            <w:pPr>
              <w:jc w:val="center"/>
              <w:spacing w:after="0"/>
              <w:rPr>
                <w:sz w:val="20"/>
                <w:szCs w:val="20"/>
                <w:color w:val="auto"/>
              </w:rPr>
            </w:pPr>
            <w:r>
              <w:rPr>
                <w:rFonts w:ascii="Arial" w:cs="Arial" w:eastAsia="Arial" w:hAnsi="Arial"/>
                <w:sz w:val="18"/>
                <w:szCs w:val="18"/>
                <w:color w:val="auto"/>
                <w:w w:val="99"/>
              </w:rPr>
              <w:t>Christian S. Kendall</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392"/>
              <w:spacing w:after="0"/>
              <w:rPr>
                <w:sz w:val="20"/>
                <w:szCs w:val="20"/>
                <w:color w:val="auto"/>
              </w:rPr>
            </w:pPr>
            <w:r>
              <w:rPr>
                <w:rFonts w:ascii="Arial" w:cs="Arial" w:eastAsia="Arial" w:hAnsi="Arial"/>
                <w:sz w:val="18"/>
                <w:szCs w:val="18"/>
                <w:color w:val="auto"/>
                <w:w w:val="99"/>
              </w:rPr>
              <w:t>March 2, 2026</w:t>
            </w:r>
          </w:p>
        </w:tc>
      </w:tr>
      <w:tr>
        <w:trPr>
          <w:trHeight w:val="374"/>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Mark A. (Mac) McFarland</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4"/>
        </w:trPr>
        <w:tc>
          <w:tcPr>
            <w:tcW w:w="4900" w:type="dxa"/>
            <w:vAlign w:val="bottom"/>
          </w:tcPr>
          <w:p>
            <w:pPr>
              <w:jc w:val="center"/>
              <w:spacing w:after="0"/>
              <w:rPr>
                <w:sz w:val="20"/>
                <w:szCs w:val="20"/>
                <w:color w:val="auto"/>
              </w:rPr>
            </w:pPr>
            <w:r>
              <w:rPr>
                <w:rFonts w:ascii="Arial" w:cs="Arial" w:eastAsia="Arial" w:hAnsi="Arial"/>
                <w:sz w:val="18"/>
                <w:szCs w:val="18"/>
                <w:color w:val="auto"/>
                <w:w w:val="99"/>
              </w:rPr>
              <w:t>Mark A. (Mac) McFarland</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392"/>
              <w:spacing w:after="0"/>
              <w:rPr>
                <w:sz w:val="20"/>
                <w:szCs w:val="20"/>
                <w:color w:val="auto"/>
              </w:rPr>
            </w:pPr>
            <w:r>
              <w:rPr>
                <w:rFonts w:ascii="Arial" w:cs="Arial" w:eastAsia="Arial" w:hAnsi="Arial"/>
                <w:sz w:val="18"/>
                <w:szCs w:val="18"/>
                <w:color w:val="auto"/>
                <w:w w:val="99"/>
              </w:rPr>
              <w:t>March 2, 2026</w:t>
            </w:r>
          </w:p>
        </w:tc>
      </w:tr>
      <w:tr>
        <w:trPr>
          <w:trHeight w:val="374"/>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William B. Roby</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4"/>
        </w:trPr>
        <w:tc>
          <w:tcPr>
            <w:tcW w:w="4900" w:type="dxa"/>
            <w:vAlign w:val="bottom"/>
          </w:tcPr>
          <w:p>
            <w:pPr>
              <w:jc w:val="center"/>
              <w:spacing w:after="0"/>
              <w:rPr>
                <w:sz w:val="20"/>
                <w:szCs w:val="20"/>
                <w:color w:val="auto"/>
              </w:rPr>
            </w:pPr>
            <w:r>
              <w:rPr>
                <w:rFonts w:ascii="Arial" w:cs="Arial" w:eastAsia="Arial" w:hAnsi="Arial"/>
                <w:sz w:val="18"/>
                <w:szCs w:val="18"/>
                <w:color w:val="auto"/>
              </w:rPr>
              <w:t>William B. Roby</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392"/>
              <w:spacing w:after="0"/>
              <w:rPr>
                <w:sz w:val="20"/>
                <w:szCs w:val="20"/>
                <w:color w:val="auto"/>
              </w:rPr>
            </w:pPr>
            <w:r>
              <w:rPr>
                <w:rFonts w:ascii="Arial" w:cs="Arial" w:eastAsia="Arial" w:hAnsi="Arial"/>
                <w:sz w:val="18"/>
                <w:szCs w:val="18"/>
                <w:color w:val="auto"/>
                <w:w w:val="99"/>
              </w:rPr>
              <w:t>March 2, 2026</w:t>
            </w:r>
          </w:p>
        </w:tc>
      </w:tr>
      <w:tr>
        <w:trPr>
          <w:trHeight w:val="374"/>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 Alejandra Veltmann</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4"/>
        </w:trPr>
        <w:tc>
          <w:tcPr>
            <w:tcW w:w="4900" w:type="dxa"/>
            <w:vAlign w:val="bottom"/>
          </w:tcPr>
          <w:p>
            <w:pPr>
              <w:jc w:val="center"/>
              <w:spacing w:after="0"/>
              <w:rPr>
                <w:sz w:val="20"/>
                <w:szCs w:val="20"/>
                <w:color w:val="auto"/>
              </w:rPr>
            </w:pPr>
            <w:r>
              <w:rPr>
                <w:rFonts w:ascii="Arial" w:cs="Arial" w:eastAsia="Arial" w:hAnsi="Arial"/>
                <w:sz w:val="18"/>
                <w:szCs w:val="18"/>
                <w:color w:val="auto"/>
                <w:w w:val="99"/>
              </w:rPr>
              <w:t>A. Alejandra Veltmann</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392"/>
              <w:spacing w:after="0"/>
              <w:rPr>
                <w:sz w:val="20"/>
                <w:szCs w:val="20"/>
                <w:color w:val="auto"/>
              </w:rPr>
            </w:pPr>
            <w:r>
              <w:rPr>
                <w:rFonts w:ascii="Arial" w:cs="Arial" w:eastAsia="Arial" w:hAnsi="Arial"/>
                <w:sz w:val="18"/>
                <w:szCs w:val="18"/>
                <w:color w:val="auto"/>
                <w:w w:val="99"/>
              </w:rPr>
              <w:t>March 2, 2026</w:t>
            </w:r>
          </w:p>
        </w:tc>
      </w:tr>
      <w:tr>
        <w:trPr>
          <w:trHeight w:val="729"/>
        </w:trPr>
        <w:tc>
          <w:tcPr>
            <w:tcW w:w="4900" w:type="dxa"/>
            <w:vAlign w:val="bottom"/>
          </w:tcPr>
          <w:p>
            <w:pPr>
              <w:spacing w:after="0"/>
              <w:rPr>
                <w:sz w:val="24"/>
                <w:szCs w:val="24"/>
                <w:color w:val="auto"/>
              </w:rPr>
            </w:pPr>
          </w:p>
        </w:tc>
        <w:tc>
          <w:tcPr>
            <w:tcW w:w="2020" w:type="dxa"/>
            <w:vAlign w:val="bottom"/>
          </w:tcPr>
          <w:p>
            <w:pPr>
              <w:jc w:val="right"/>
              <w:ind w:right="1050"/>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220"/>
          </w:cols>
          <w:pgMar w:left="320" w:top="890" w:right="359" w:bottom="1440" w:gutter="0" w:footer="0" w:header="0"/>
          <w:type w:val="continuous"/>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OPERATING SUBSIDIARIES</w:t>
      </w:r>
    </w:p>
    <w:p>
      <w:pPr>
        <w:spacing w:after="0" w:line="266" w:lineRule="exact"/>
        <w:rPr>
          <w:sz w:val="20"/>
          <w:szCs w:val="20"/>
          <w:color w:val="auto"/>
        </w:rPr>
      </w:pPr>
    </w:p>
    <w:p>
      <w:pPr>
        <w:ind w:right="200" w:firstLine="324"/>
        <w:spacing w:after="0" w:line="318" w:lineRule="auto"/>
        <w:rPr>
          <w:sz w:val="20"/>
          <w:szCs w:val="20"/>
          <w:color w:val="auto"/>
        </w:rPr>
      </w:pPr>
      <w:r>
        <w:rPr>
          <w:rFonts w:ascii="Arial" w:cs="Arial" w:eastAsia="Arial" w:hAnsi="Arial"/>
          <w:sz w:val="18"/>
          <w:szCs w:val="18"/>
          <w:color w:val="auto"/>
        </w:rPr>
        <w:t>The following is a list of our subsidiaries at December 31, 2025 other than certain subsidiaries that did not in the aggregate constitute a significant subsidiary.</w:t>
      </w:r>
    </w:p>
    <w:p>
      <w:pPr>
        <w:spacing w:after="0" w:line="153" w:lineRule="exact"/>
        <w:rPr>
          <w:sz w:val="20"/>
          <w:szCs w:val="20"/>
          <w:color w:val="auto"/>
        </w:rPr>
      </w:pPr>
    </w:p>
    <w:tbl>
      <w:tblPr>
        <w:tblLayout w:type="fixed"/>
        <w:tblInd w:w="120" w:type="dxa"/>
        <w:tblCellMar>
          <w:top w:w="0" w:type="dxa"/>
          <w:left w:w="0" w:type="dxa"/>
          <w:bottom w:w="0" w:type="dxa"/>
          <w:right w:w="0" w:type="dxa"/>
        </w:tblCellMar>
      </w:tblPr>
      <w:tr>
        <w:trPr>
          <w:trHeight w:val="235"/>
        </w:trPr>
        <w:tc>
          <w:tcPr>
            <w:tcW w:w="7280" w:type="dxa"/>
            <w:vAlign w:val="bottom"/>
            <w:gridSpan w:val="2"/>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Jurisdiction of Formation</w:t>
            </w:r>
          </w:p>
        </w:tc>
      </w:tr>
      <w:tr>
        <w:trPr>
          <w:trHeight w:val="218"/>
        </w:trPr>
        <w:tc>
          <w:tcPr>
            <w:tcW w:w="5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Aera Energy LLC</w:t>
            </w:r>
          </w:p>
        </w:tc>
        <w:tc>
          <w:tcPr>
            <w:tcW w:w="2180" w:type="dxa"/>
            <w:vAlign w:val="bottom"/>
          </w:tcPr>
          <w:p>
            <w:pPr>
              <w:spacing w:after="0"/>
              <w:rPr>
                <w:sz w:val="18"/>
                <w:szCs w:val="18"/>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Berry Corporation (bry)</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Berry Petroleum Company,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Elk Hills,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CRC Marketing, Inc.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Green Gate Intermediate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Green Gate Resources E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Green Gate Resources Holdings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Green Gate Resources Parent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Green Gate Resources S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9"/>
        </w:trPr>
        <w:tc>
          <w:tcPr>
            <w:tcW w:w="7280" w:type="dxa"/>
            <w:vAlign w:val="bottom"/>
            <w:gridSpan w:val="2"/>
          </w:tcPr>
          <w:p>
            <w:pPr>
              <w:spacing w:after="0"/>
              <w:rPr>
                <w:sz w:val="20"/>
                <w:szCs w:val="20"/>
                <w:color w:val="auto"/>
              </w:rPr>
            </w:pPr>
            <w:r>
              <w:rPr>
                <w:rFonts w:ascii="Arial" w:cs="Arial" w:eastAsia="Arial" w:hAnsi="Arial"/>
                <w:sz w:val="18"/>
                <w:szCs w:val="18"/>
                <w:color w:val="auto"/>
              </w:rPr>
              <w:t>Petra Merger Sub S,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bl>
    <w:p>
      <w:pPr>
        <w:sectPr>
          <w:pgSz w:w="11900" w:h="16838" w:orient="portrait"/>
          <w:cols w:equalWidth="0" w:num="1">
            <w:col w:w="11240"/>
          </w:cols>
          <w:pgMar w:left="320" w:top="122"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6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(Nos. 333-252736 and 333-264766) on Form S-8 and the registration statement (No. 333-281267) on Form S-3 of our report dated March 2, 2026, with respect to the consolidated financial statements of California Resources Corporation and the effectiveness of internal control over financial reporting.</w:t>
      </w:r>
    </w:p>
    <w:p>
      <w:pPr>
        <w:spacing w:after="0" w:line="19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2, 2026</w:t>
      </w:r>
    </w:p>
    <w:p>
      <w:pPr>
        <w:sectPr>
          <w:pgSz w:w="11900" w:h="16838" w:orient="portrait"/>
          <w:cols w:equalWidth="0" w:num="1">
            <w:col w:w="11240"/>
          </w:cols>
          <w:pgMar w:left="320" w:top="122" w:right="339" w:bottom="1440" w:gutter="0" w:footer="0" w:header="0"/>
        </w:sectPr>
      </w:pPr>
    </w:p>
    <w:bookmarkStart w:id="161" w:name="page162"/>
    <w:bookmarkEnd w:id="1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029450" cy="814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7029450" cy="8147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CONSENT OF INDEPENDENT PETROLEUM ENGINEERS AND GEOLOGISTS</w:t>
      </w:r>
    </w:p>
    <w:p>
      <w:pPr>
        <w:spacing w:after="0" w:line="25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consent to the incorporation by reference in the registration statements on Form S-3 (No. 333-281267) and Form S-8 (No. 333-252736 and No. 333-264766) of California Resources Corporation (the "Company") of the reference to Netherland, Sewell &amp; Associates, Inc. and the inclusion of our report dated February 16, 2026, in the Company's Annual Report on Form 10-K for the year ended December 31, 2025, filed with the Securities and Exchange Commission.</w:t>
      </w:r>
    </w:p>
    <w:p>
      <w:pPr>
        <w:spacing w:after="0" w:line="200" w:lineRule="exact"/>
        <w:rPr>
          <w:sz w:val="20"/>
          <w:szCs w:val="20"/>
          <w:color w:val="auto"/>
        </w:rPr>
      </w:pPr>
    </w:p>
    <w:p>
      <w:pPr>
        <w:spacing w:after="0" w:line="30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33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Richard B. Talley,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34925</wp:posOffset>
            </wp:positionV>
            <wp:extent cx="392620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7">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6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Richard B. Talley, Jr., P.E.</w:t>
      </w:r>
    </w:p>
    <w:p>
      <w:pPr>
        <w:spacing w:after="0" w:line="6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Chairman and Chief Executive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2, 2026</w:t>
      </w:r>
    </w:p>
    <w:p>
      <w:pPr>
        <w:sectPr>
          <w:pgSz w:w="11900" w:h="16838" w:orient="portrait"/>
          <w:cols w:equalWidth="0" w:num="1">
            <w:col w:w="11240"/>
          </w:cols>
          <w:pgMar w:left="320" w:top="1440" w:right="339" w:bottom="1440" w:gutter="0" w:footer="0" w:header="0"/>
        </w:sectPr>
      </w:pPr>
    </w:p>
    <w:bookmarkStart w:id="162" w:name="page163"/>
    <w:bookmarkEnd w:id="162"/>
    <w:p>
      <w:pPr>
        <w:ind w:left="10120"/>
        <w:spacing w:after="0"/>
        <w:rPr>
          <w:sz w:val="20"/>
          <w:szCs w:val="20"/>
          <w:color w:val="auto"/>
        </w:rPr>
      </w:pPr>
      <w:r>
        <w:rPr>
          <w:rFonts w:ascii="Times New Roman" w:cs="Times New Roman" w:eastAsia="Times New Roman" w:hAnsi="Times New Roman"/>
          <w:sz w:val="17"/>
          <w:szCs w:val="17"/>
          <w:b w:val="1"/>
          <w:bCs w:val="1"/>
          <w:color w:val="auto"/>
        </w:rPr>
        <w:t>EXHIBIT 23.3</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DEGOLYER AND MACNAUGHTON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5001 SPRING VALLEY ROAD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SUITE 800 EAST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TEXAS 75244</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2,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World Trade Center, Suite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 Beach, CA 90831</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(No. 333-281267) and Form S-8 (No. 333-252736 and No. 333-264766) of California Resources Corporation (the “Company”) of the reference to DeGolyer and MacNaughton and the inclusion of our report dated February 20, 2026 in the Company’s Annual Report on Form 10-K for the year ended December 31, 2025, filed with the Securities and Exchange Commission.</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33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DeGolyer and MacNaughton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128905</wp:posOffset>
            </wp:positionV>
            <wp:extent cx="408051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8">
                      <a:extLst>
                        <a:ext uri="{28A0092B-C50C-407E-A947-70E740481C1C}"/>
                      </a:extLst>
                    </a:blip>
                    <a:srcRect/>
                    <a:stretch>
                      <a:fillRect/>
                    </a:stretch>
                  </pic:blipFill>
                  <pic:spPr bwMode="auto">
                    <a:xfrm>
                      <a:off x="0" y="0"/>
                      <a:ext cx="4080510" cy="8890"/>
                    </a:xfrm>
                    <a:prstGeom prst="rect">
                      <a:avLst/>
                    </a:prstGeom>
                    <a:noFill/>
                  </pic:spPr>
                </pic:pic>
              </a:graphicData>
            </a:graphic>
          </wp:anchor>
        </w:drawing>
      </w:r>
    </w:p>
    <w:p>
      <w:pPr>
        <w:spacing w:after="0" w:line="20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DeGOLYER and MacNAUGHTON</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Texas Registered Engineering Firm F-716</w:t>
      </w:r>
    </w:p>
    <w:p>
      <w:pPr>
        <w:sectPr>
          <w:pgSz w:w="11900" w:h="16838" w:orient="portrait"/>
          <w:cols w:equalWidth="0" w:num="1">
            <w:col w:w="11240"/>
          </w:cols>
          <w:pgMar w:left="320" w:top="1413"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 – 14(a) / 15d – 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§302 OF THE SARBANES-OXLEY ACT OF 2002</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I, Francisco J. Leon, certify that:</w:t>
      </w:r>
    </w:p>
    <w:p>
      <w:pPr>
        <w:spacing w:after="0" w:line="355" w:lineRule="exact"/>
        <w:rPr>
          <w:sz w:val="20"/>
          <w:szCs w:val="20"/>
          <w:color w:val="auto"/>
        </w:rPr>
      </w:pPr>
    </w:p>
    <w:p>
      <w:pPr>
        <w:ind w:left="640" w:hanging="632"/>
        <w:spacing w:after="0"/>
        <w:tabs>
          <w:tab w:leader="none" w:pos="6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California Resources Corporation;</w:t>
      </w:r>
    </w:p>
    <w:p>
      <w:pPr>
        <w:spacing w:after="0" w:line="250" w:lineRule="exact"/>
        <w:rPr>
          <w:rFonts w:ascii="Arial" w:cs="Arial" w:eastAsia="Arial" w:hAnsi="Arial"/>
          <w:sz w:val="17"/>
          <w:szCs w:val="17"/>
          <w:color w:val="auto"/>
        </w:rPr>
      </w:pPr>
    </w:p>
    <w:p>
      <w:pPr>
        <w:ind w:left="660" w:right="20" w:hanging="652"/>
        <w:spacing w:after="0" w:line="274" w:lineRule="auto"/>
        <w:tabs>
          <w:tab w:leader="none" w:pos="654"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7"/>
          <w:szCs w:val="17"/>
          <w:color w:val="auto"/>
        </w:rPr>
      </w:pPr>
    </w:p>
    <w:p>
      <w:pPr>
        <w:ind w:left="660" w:right="380" w:hanging="652"/>
        <w:spacing w:after="0" w:line="284" w:lineRule="auto"/>
        <w:tabs>
          <w:tab w:leader="none" w:pos="654"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7"/>
          <w:szCs w:val="17"/>
          <w:color w:val="auto"/>
        </w:rPr>
      </w:pPr>
    </w:p>
    <w:p>
      <w:pPr>
        <w:ind w:left="660" w:right="360" w:hanging="652"/>
        <w:spacing w:after="0" w:line="262" w:lineRule="auto"/>
        <w:tabs>
          <w:tab w:leader="none" w:pos="654"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41" w:lineRule="exact"/>
        <w:rPr>
          <w:rFonts w:ascii="Arial" w:cs="Arial" w:eastAsia="Arial" w:hAnsi="Arial"/>
          <w:sz w:val="17"/>
          <w:szCs w:val="17"/>
          <w:color w:val="auto"/>
        </w:rPr>
      </w:pPr>
    </w:p>
    <w:p>
      <w:pPr>
        <w:jc w:val="both"/>
        <w:ind w:left="1300" w:right="180" w:hanging="644"/>
        <w:spacing w:after="0" w:line="266" w:lineRule="auto"/>
        <w:tabs>
          <w:tab w:leader="none" w:pos="1294"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300" w:right="20" w:hanging="644"/>
        <w:spacing w:after="0" w:line="274" w:lineRule="auto"/>
        <w:tabs>
          <w:tab w:leader="none" w:pos="1294"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7"/>
          <w:szCs w:val="17"/>
          <w:color w:val="auto"/>
        </w:rPr>
      </w:pPr>
    </w:p>
    <w:p>
      <w:pPr>
        <w:ind w:left="1300" w:right="80" w:hanging="644"/>
        <w:spacing w:after="0" w:line="266" w:lineRule="auto"/>
        <w:tabs>
          <w:tab w:leader="none" w:pos="1298" w:val="left"/>
        </w:tabs>
        <w:numPr>
          <w:ilvl w:val="1"/>
          <w:numId w:val="7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1300" w:right="260" w:hanging="644"/>
        <w:spacing w:after="0" w:line="274" w:lineRule="auto"/>
        <w:tabs>
          <w:tab w:leader="none" w:pos="1294" w:val="left"/>
        </w:tabs>
        <w:numPr>
          <w:ilvl w:val="1"/>
          <w:numId w:val="7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7"/>
          <w:szCs w:val="17"/>
          <w:color w:val="auto"/>
        </w:rPr>
      </w:pPr>
    </w:p>
    <w:p>
      <w:pPr>
        <w:ind w:left="660" w:right="360" w:hanging="652"/>
        <w:spacing w:after="0" w:line="266" w:lineRule="auto"/>
        <w:tabs>
          <w:tab w:leader="none" w:pos="654"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4" w:lineRule="exact"/>
        <w:rPr>
          <w:rFonts w:ascii="Arial" w:cs="Arial" w:eastAsia="Arial" w:hAnsi="Arial"/>
          <w:sz w:val="17"/>
          <w:szCs w:val="17"/>
          <w:color w:val="auto"/>
        </w:rPr>
      </w:pPr>
    </w:p>
    <w:p>
      <w:pPr>
        <w:ind w:left="1300" w:right="140" w:hanging="644"/>
        <w:spacing w:after="0" w:line="284" w:lineRule="auto"/>
        <w:tabs>
          <w:tab w:leader="none" w:pos="1294" w:val="left"/>
        </w:tabs>
        <w:numPr>
          <w:ilvl w:val="1"/>
          <w:numId w:val="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300" w:right="360" w:hanging="644"/>
        <w:spacing w:after="0" w:line="284" w:lineRule="auto"/>
        <w:tabs>
          <w:tab w:leader="none" w:pos="1294" w:val="left"/>
        </w:tabs>
        <w:numPr>
          <w:ilvl w:val="1"/>
          <w:numId w:val="7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Date: March 2, 2026</w:t>
      </w:r>
    </w:p>
    <w:p>
      <w:pPr>
        <w:spacing w:after="0" w:line="14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27305</wp:posOffset>
            </wp:positionV>
            <wp:extent cx="28803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9">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12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Francisco J. Leon</w:t>
      </w:r>
    </w:p>
    <w:p>
      <w:pPr>
        <w:spacing w:after="0" w:line="29"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President and Chief Executive Officer</w:t>
      </w:r>
    </w:p>
    <w:p>
      <w:pPr>
        <w:spacing w:after="0" w:line="25"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22"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I, Clio Crespy, certify that:</w:t>
      </w:r>
    </w:p>
    <w:p>
      <w:pPr>
        <w:spacing w:after="0" w:line="355" w:lineRule="exact"/>
        <w:rPr>
          <w:sz w:val="20"/>
          <w:szCs w:val="20"/>
          <w:color w:val="auto"/>
        </w:rPr>
      </w:pPr>
    </w:p>
    <w:p>
      <w:pPr>
        <w:ind w:left="640" w:hanging="632"/>
        <w:spacing w:after="0"/>
        <w:tabs>
          <w:tab w:leader="none" w:pos="6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California Resources Corporation;</w:t>
      </w:r>
    </w:p>
    <w:p>
      <w:pPr>
        <w:spacing w:after="0" w:line="250" w:lineRule="exact"/>
        <w:rPr>
          <w:rFonts w:ascii="Arial" w:cs="Arial" w:eastAsia="Arial" w:hAnsi="Arial"/>
          <w:sz w:val="17"/>
          <w:szCs w:val="17"/>
          <w:color w:val="auto"/>
        </w:rPr>
      </w:pPr>
    </w:p>
    <w:p>
      <w:pPr>
        <w:ind w:left="660" w:right="20" w:hanging="652"/>
        <w:spacing w:after="0" w:line="266" w:lineRule="auto"/>
        <w:tabs>
          <w:tab w:leader="none" w:pos="654"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7"/>
          <w:szCs w:val="17"/>
          <w:color w:val="auto"/>
        </w:rPr>
      </w:pPr>
    </w:p>
    <w:p>
      <w:pPr>
        <w:ind w:left="660" w:right="380" w:hanging="652"/>
        <w:spacing w:after="0" w:line="284" w:lineRule="auto"/>
        <w:tabs>
          <w:tab w:leader="none" w:pos="654"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Arial" w:cs="Arial" w:eastAsia="Arial" w:hAnsi="Arial"/>
          <w:sz w:val="17"/>
          <w:szCs w:val="17"/>
          <w:color w:val="auto"/>
        </w:rPr>
      </w:pPr>
    </w:p>
    <w:p>
      <w:pPr>
        <w:ind w:left="660" w:right="360" w:hanging="652"/>
        <w:spacing w:after="0" w:line="258" w:lineRule="auto"/>
        <w:tabs>
          <w:tab w:leader="none" w:pos="654"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34" w:lineRule="exact"/>
        <w:rPr>
          <w:rFonts w:ascii="Arial" w:cs="Arial" w:eastAsia="Arial" w:hAnsi="Arial"/>
          <w:sz w:val="17"/>
          <w:szCs w:val="17"/>
          <w:color w:val="auto"/>
        </w:rPr>
      </w:pPr>
    </w:p>
    <w:p>
      <w:pPr>
        <w:jc w:val="both"/>
        <w:ind w:left="1300" w:right="180" w:hanging="644"/>
        <w:spacing w:after="0" w:line="274" w:lineRule="auto"/>
        <w:tabs>
          <w:tab w:leader="none" w:pos="1294" w:val="left"/>
        </w:tabs>
        <w:numPr>
          <w:ilvl w:val="1"/>
          <w:numId w:val="7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7"/>
          <w:szCs w:val="17"/>
          <w:color w:val="auto"/>
        </w:rPr>
      </w:pPr>
    </w:p>
    <w:p>
      <w:pPr>
        <w:ind w:left="1300" w:right="20" w:hanging="644"/>
        <w:spacing w:after="0" w:line="266" w:lineRule="auto"/>
        <w:tabs>
          <w:tab w:leader="none" w:pos="1294" w:val="left"/>
        </w:tabs>
        <w:numPr>
          <w:ilvl w:val="1"/>
          <w:numId w:val="7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1300" w:right="80" w:hanging="644"/>
        <w:spacing w:after="0" w:line="274" w:lineRule="auto"/>
        <w:tabs>
          <w:tab w:leader="none" w:pos="1298" w:val="left"/>
        </w:tabs>
        <w:numPr>
          <w:ilvl w:val="1"/>
          <w:numId w:val="7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7"/>
          <w:szCs w:val="17"/>
          <w:color w:val="auto"/>
        </w:rPr>
      </w:pPr>
    </w:p>
    <w:p>
      <w:pPr>
        <w:ind w:left="1300" w:right="260" w:hanging="644"/>
        <w:spacing w:after="0" w:line="266" w:lineRule="auto"/>
        <w:tabs>
          <w:tab w:leader="none" w:pos="1294" w:val="left"/>
        </w:tabs>
        <w:numPr>
          <w:ilvl w:val="1"/>
          <w:numId w:val="7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60" w:right="360" w:hanging="652"/>
        <w:spacing w:after="0" w:line="274" w:lineRule="auto"/>
        <w:tabs>
          <w:tab w:leader="none" w:pos="654"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7"/>
          <w:szCs w:val="17"/>
          <w:color w:val="auto"/>
        </w:rPr>
      </w:pPr>
    </w:p>
    <w:p>
      <w:pPr>
        <w:ind w:left="1300" w:right="140" w:hanging="644"/>
        <w:spacing w:after="0" w:line="284" w:lineRule="auto"/>
        <w:tabs>
          <w:tab w:leader="none" w:pos="1294" w:val="left"/>
        </w:tabs>
        <w:numPr>
          <w:ilvl w:val="1"/>
          <w:numId w:val="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300" w:right="360" w:hanging="644"/>
        <w:spacing w:after="0" w:line="301" w:lineRule="auto"/>
        <w:tabs>
          <w:tab w:leader="none" w:pos="1294" w:val="left"/>
        </w:tabs>
        <w:numPr>
          <w:ilvl w:val="1"/>
          <w:numId w:val="7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Date: March 2, 2026</w:t>
      </w:r>
    </w:p>
    <w:p>
      <w:pPr>
        <w:spacing w:after="0" w:line="14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Clio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27305</wp:posOffset>
            </wp:positionV>
            <wp:extent cx="28803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0">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28"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Clio Crespy</w:t>
      </w:r>
    </w:p>
    <w:p>
      <w:pPr>
        <w:spacing w:after="0" w:line="3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Executive Vice President and</w:t>
      </w:r>
    </w:p>
    <w:p>
      <w:pPr>
        <w:spacing w:after="0" w:line="3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Chief Financial Officer</w:t>
      </w:r>
    </w:p>
    <w:p>
      <w:pPr>
        <w:spacing w:after="0" w:line="3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22"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10"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In connection with the Annual Report on Form 10-K of California Resources Corporation (the “Company”) for the fiscal period ended December 31, 2025, as filed with the Securities and Exchange Commission on March 2, 2026 (the “Report”), Francisco J. Leon, as Chief Executive Officer of the Company, and Clio Crespy, as Chief Financial Officer of the Company, each hereby certifies, pursuant to 18 U.S.C. § 1350, as adopted pursuant to § 906 of the Sarbanes-Oxley Act of 2002, that, to the best of his or her knowledge, respectively:</w:t>
      </w:r>
    </w:p>
    <w:p>
      <w:pPr>
        <w:spacing w:after="0" w:line="392" w:lineRule="exact"/>
        <w:rPr>
          <w:sz w:val="20"/>
          <w:szCs w:val="20"/>
          <w:color w:val="auto"/>
        </w:rPr>
      </w:pPr>
    </w:p>
    <w:p>
      <w:pPr>
        <w:ind w:left="640" w:hanging="308"/>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20" w:hanging="328"/>
        <w:spacing w:after="0" w:line="287" w:lineRule="auto"/>
        <w:tabs>
          <w:tab w:leader="none" w:pos="6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Francisco J. Leon</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61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Francisco J. Leon</w:t>
            </w:r>
          </w:p>
        </w:tc>
      </w:tr>
      <w:tr>
        <w:trPr>
          <w:trHeight w:val="229"/>
        </w:trPr>
        <w:tc>
          <w:tcPr>
            <w:tcW w:w="760" w:type="dxa"/>
            <w:vAlign w:val="bottom"/>
          </w:tcPr>
          <w:p>
            <w:pPr>
              <w:ind w:left="20"/>
              <w:spacing w:after="0"/>
              <w:rPr>
                <w:sz w:val="20"/>
                <w:szCs w:val="20"/>
                <w:color w:val="auto"/>
              </w:rPr>
            </w:pPr>
            <w:r>
              <w:rPr>
                <w:rFonts w:ascii="Arial" w:cs="Arial" w:eastAsia="Arial" w:hAnsi="Arial"/>
                <w:sz w:val="18"/>
                <w:szCs w:val="18"/>
                <w:color w:val="auto"/>
              </w:rPr>
              <w:t>Title:</w:t>
            </w:r>
          </w:p>
        </w:tc>
        <w:tc>
          <w:tcPr>
            <w:tcW w:w="610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760" w:type="dxa"/>
            <w:vAlign w:val="bottom"/>
          </w:tcPr>
          <w:p>
            <w:pPr>
              <w:ind w:left="20"/>
              <w:spacing w:after="0"/>
              <w:rPr>
                <w:sz w:val="20"/>
                <w:szCs w:val="20"/>
                <w:color w:val="auto"/>
              </w:rPr>
            </w:pPr>
            <w:r>
              <w:rPr>
                <w:rFonts w:ascii="Arial" w:cs="Arial" w:eastAsia="Arial" w:hAnsi="Arial"/>
                <w:sz w:val="18"/>
                <w:szCs w:val="18"/>
                <w:color w:val="auto"/>
              </w:rPr>
              <w:t>Date:</w:t>
            </w:r>
          </w:p>
        </w:tc>
        <w:tc>
          <w:tcPr>
            <w:tcW w:w="6100" w:type="dxa"/>
            <w:vAlign w:val="bottom"/>
          </w:tcPr>
          <w:p>
            <w:pPr>
              <w:ind w:left="220"/>
              <w:spacing w:after="0"/>
              <w:rPr>
                <w:sz w:val="20"/>
                <w:szCs w:val="20"/>
                <w:color w:val="auto"/>
              </w:rPr>
            </w:pPr>
            <w:r>
              <w:rPr>
                <w:rFonts w:ascii="Arial" w:cs="Arial" w:eastAsia="Arial" w:hAnsi="Arial"/>
                <w:sz w:val="18"/>
                <w:szCs w:val="18"/>
                <w:color w:val="auto"/>
              </w:rPr>
              <w:t>March 2, 2026</w:t>
            </w:r>
          </w:p>
        </w:tc>
      </w:tr>
      <w:tr>
        <w:trPr>
          <w:trHeight w:val="347"/>
        </w:trPr>
        <w:tc>
          <w:tcPr>
            <w:tcW w:w="68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Clio Crespy</w:t>
            </w:r>
          </w:p>
        </w:tc>
      </w:tr>
      <w:tr>
        <w:trPr>
          <w:trHeight w:val="218"/>
        </w:trPr>
        <w:tc>
          <w:tcPr>
            <w:tcW w:w="760" w:type="dxa"/>
            <w:vAlign w:val="bottom"/>
          </w:tcPr>
          <w:p>
            <w:pPr>
              <w:ind w:left="20"/>
              <w:spacing w:after="0"/>
              <w:rPr>
                <w:sz w:val="20"/>
                <w:szCs w:val="20"/>
                <w:color w:val="auto"/>
              </w:rPr>
            </w:pPr>
            <w:r>
              <w:rPr>
                <w:rFonts w:ascii="Arial" w:cs="Arial" w:eastAsia="Arial" w:hAnsi="Arial"/>
                <w:sz w:val="18"/>
                <w:szCs w:val="18"/>
                <w:color w:val="auto"/>
              </w:rPr>
              <w:t>Name:</w:t>
            </w:r>
          </w:p>
        </w:tc>
        <w:tc>
          <w:tcPr>
            <w:tcW w:w="6100" w:type="dxa"/>
            <w:vAlign w:val="bottom"/>
          </w:tcPr>
          <w:p>
            <w:pPr>
              <w:ind w:left="220"/>
              <w:spacing w:after="0"/>
              <w:rPr>
                <w:sz w:val="20"/>
                <w:szCs w:val="20"/>
                <w:color w:val="auto"/>
              </w:rPr>
            </w:pPr>
            <w:r>
              <w:rPr>
                <w:rFonts w:ascii="Arial" w:cs="Arial" w:eastAsia="Arial" w:hAnsi="Arial"/>
                <w:sz w:val="18"/>
                <w:szCs w:val="18"/>
                <w:color w:val="auto"/>
              </w:rPr>
              <w:t>Clio Crespy</w:t>
            </w:r>
          </w:p>
        </w:tc>
      </w:tr>
      <w:tr>
        <w:trPr>
          <w:trHeight w:val="229"/>
        </w:trPr>
        <w:tc>
          <w:tcPr>
            <w:tcW w:w="760" w:type="dxa"/>
            <w:vAlign w:val="bottom"/>
          </w:tcPr>
          <w:p>
            <w:pPr>
              <w:ind w:left="20"/>
              <w:spacing w:after="0"/>
              <w:rPr>
                <w:sz w:val="20"/>
                <w:szCs w:val="20"/>
                <w:color w:val="auto"/>
              </w:rPr>
            </w:pPr>
            <w:r>
              <w:rPr>
                <w:rFonts w:ascii="Arial" w:cs="Arial" w:eastAsia="Arial" w:hAnsi="Arial"/>
                <w:sz w:val="18"/>
                <w:szCs w:val="18"/>
                <w:color w:val="auto"/>
              </w:rPr>
              <w:t>Title:</w:t>
            </w:r>
          </w:p>
        </w:tc>
        <w:tc>
          <w:tcPr>
            <w:tcW w:w="6100" w:type="dxa"/>
            <w:vAlign w:val="bottom"/>
          </w:tcPr>
          <w:p>
            <w:pPr>
              <w:ind w:left="2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9"/>
        </w:trPr>
        <w:tc>
          <w:tcPr>
            <w:tcW w:w="760" w:type="dxa"/>
            <w:vAlign w:val="bottom"/>
          </w:tcPr>
          <w:p>
            <w:pPr>
              <w:ind w:left="20"/>
              <w:spacing w:after="0"/>
              <w:rPr>
                <w:sz w:val="20"/>
                <w:szCs w:val="20"/>
                <w:color w:val="auto"/>
              </w:rPr>
            </w:pPr>
            <w:r>
              <w:rPr>
                <w:rFonts w:ascii="Arial" w:cs="Arial" w:eastAsia="Arial" w:hAnsi="Arial"/>
                <w:sz w:val="18"/>
                <w:szCs w:val="18"/>
                <w:color w:val="auto"/>
              </w:rPr>
              <w:t>Date:</w:t>
            </w:r>
          </w:p>
        </w:tc>
        <w:tc>
          <w:tcPr>
            <w:tcW w:w="6100" w:type="dxa"/>
            <w:vAlign w:val="bottom"/>
          </w:tcPr>
          <w:p>
            <w:pPr>
              <w:ind w:left="220"/>
              <w:spacing w:after="0"/>
              <w:rPr>
                <w:sz w:val="20"/>
                <w:szCs w:val="20"/>
                <w:color w:val="auto"/>
              </w:rPr>
            </w:pPr>
            <w:r>
              <w:rPr>
                <w:rFonts w:ascii="Arial" w:cs="Arial" w:eastAsia="Arial" w:hAnsi="Arial"/>
                <w:sz w:val="18"/>
                <w:szCs w:val="18"/>
                <w:color w:val="auto"/>
              </w:rPr>
              <w:t>March 2, 2026</w:t>
            </w:r>
          </w:p>
        </w:tc>
      </w:tr>
    </w:tbl>
    <w:p>
      <w:pPr>
        <w:spacing w:after="0" w:line="396"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31"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ectPr>
          <w:pgSz w:w="11900" w:h="16838" w:orient="portrait"/>
          <w:cols w:equalWidth="0" w:num="1">
            <w:col w:w="11240"/>
          </w:cols>
          <w:pgMar w:left="320" w:top="122" w:right="339" w:bottom="1440" w:gutter="0" w:footer="0" w:header="0"/>
        </w:sectPr>
      </w:pPr>
    </w:p>
    <w:bookmarkStart w:id="166" w:name="page167"/>
    <w:bookmarkEnd w:id="166"/>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BYLAWS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CALIFORNIA RESOURCES CORPORATION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Incorporated under the Laws of the State of Delaware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Adoption: February 24, 2026</w:t>
      </w:r>
    </w:p>
    <w:p>
      <w:pPr>
        <w:spacing w:after="0" w:line="22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Article I</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OFFICES AND RECORDS</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Registered Office</w:t>
      </w:r>
      <w:r>
        <w:rPr>
          <w:rFonts w:ascii="Times New Roman" w:cs="Times New Roman" w:eastAsia="Times New Roman" w:hAnsi="Times New Roman"/>
          <w:sz w:val="22"/>
          <w:szCs w:val="22"/>
          <w:color w:val="auto"/>
        </w:rPr>
        <w:t>. The registered office of California Resources Corporation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in the State of Delaware shall be located at 251 Little Falls Drive, City of Wilmington, County of New Castle, and the name of the Corporation’s registered agent at such address is Corporation Service Company. The registered office and registered agent of the Corporation may be changed from time to time by the board of directors of the Corporation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in the manner provided by law.</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Other Offices</w:t>
      </w:r>
      <w:r>
        <w:rPr>
          <w:rFonts w:ascii="Times New Roman" w:cs="Times New Roman" w:eastAsia="Times New Roman" w:hAnsi="Times New Roman"/>
          <w:sz w:val="22"/>
          <w:szCs w:val="22"/>
          <w:color w:val="auto"/>
        </w:rPr>
        <w:t>. The Corporation may have such other offices, either within or without the State of Delaware, as the Board may designate or as the business of the Corporation may from time to time require.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The books and records of the Corporation may be kept outside the State of Delaware at such place or places as may from time to time be designated by the Board.</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Article II</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STOCKHOLDERS</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 An annual meeting of the stockholders of the Corporation for the election of directors shall be held at such date, time and place, if any, either within or without the State of Delaware, as may be fixed by resolution of the Board. Any other proper business may be transacted at the annual meeting. The Board may postpone, reschedule or cancel any previously scheduled annual meeting of stockholders.</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Special Meeting</w:t>
      </w:r>
      <w:r>
        <w:rPr>
          <w:rFonts w:ascii="Times New Roman" w:cs="Times New Roman" w:eastAsia="Times New Roman" w:hAnsi="Times New Roman"/>
          <w:sz w:val="22"/>
          <w:szCs w:val="22"/>
          <w:color w:val="auto"/>
        </w:rPr>
        <w:t>. Special meetings of stockholders of the Corporation may be called only by the Chairman of the Board or the Board pursuant to a resolution adopted by a majority of the directors then in office. Subject to the rights of holders of any series of preferred stock of the Corporation (“</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the stockholders of the Corporation do not have the power to call a special meeting of stockholders of the Corporation. Business transacted at any special meeting of stockholders shall be limited to matters relating to the purpose or purposes</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stated in the notice of the meeting. The Board may postpone, reschedule or cancel any previously scheduled special meeting of the stockholders.</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2.3</w:t>
      </w:r>
      <w:r>
        <w:rPr>
          <w:sz w:val="20"/>
          <w:szCs w:val="20"/>
          <w:color w:val="auto"/>
        </w:rPr>
        <w:tab/>
      </w:r>
      <w:r>
        <w:rPr>
          <w:rFonts w:ascii="Times New Roman" w:cs="Times New Roman" w:eastAsia="Times New Roman" w:hAnsi="Times New Roman"/>
          <w:sz w:val="21"/>
          <w:szCs w:val="21"/>
          <w:u w:val="single" w:color="auto"/>
          <w:color w:val="auto"/>
        </w:rPr>
        <w:t>Record Date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48" w:lineRule="auto"/>
        <w:tabs>
          <w:tab w:leader="none" w:pos="193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to notice of the adjourned meeting as set forth in </w:t>
      </w:r>
      <w:r>
        <w:rPr>
          <w:rFonts w:ascii="Times New Roman" w:cs="Times New Roman" w:eastAsia="Times New Roman" w:hAnsi="Times New Roman"/>
          <w:sz w:val="22"/>
          <w:szCs w:val="22"/>
          <w:u w:val="single" w:color="auto"/>
          <w:color w:val="auto"/>
        </w:rPr>
        <w:t>Section 2.7(B)</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adopts the resolution relating thereto.</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Stockholder List</w:t>
      </w:r>
      <w:r>
        <w:rPr>
          <w:rFonts w:ascii="Times New Roman" w:cs="Times New Roman" w:eastAsia="Times New Roman" w:hAnsi="Times New Roman"/>
          <w:sz w:val="22"/>
          <w:szCs w:val="22"/>
          <w:color w:val="auto"/>
        </w:rPr>
        <w:t>. The officer who has charge of the stock ledger shall prepare and make available, at least ten (10) days before every meeting of stockholders, a complete list of stockholders entitled to vote at any meeting of stockholders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such stockholder and the number of shares registered in the name of such stockholder. Such list shall be open to the examination of any stockholder, for any purpose germane to the meeting, for a period of at least ten (10) days prior to the meeting, either on a reasonably accessible electronic network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information required to gain access to the list is provided with the notice of the meeting) or during ordinary business hours at the principal place of business of the Corporation. In the event the Corporation determines to make the list available on an electronic network, the Corporation may take reasonable steps to ensure that such information is available only to stockholders of the Corporation. Except as otherwise provided by law,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stock ledger of the Corporation shall be the only evidence as to who are the stockholders entitled by this section to examine the list required by this section or to vote in person or by proxy at any meeting of the stockholders.</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u w:val="single" w:color="auto"/>
          <w:color w:val="auto"/>
        </w:rPr>
        <w:t>Place of Meeting</w:t>
      </w:r>
      <w:r>
        <w:rPr>
          <w:rFonts w:ascii="Times New Roman" w:cs="Times New Roman" w:eastAsia="Times New Roman" w:hAnsi="Times New Roman"/>
          <w:sz w:val="22"/>
          <w:szCs w:val="22"/>
          <w:color w:val="auto"/>
        </w:rPr>
        <w:t>. The Board or the Chairman of the Board, as the case may be, may designate the place of meeting for any annual meeting or for any special meeting of the stockholders called by the Board or the Chairman of the Board. If no designation is so made and the meeting is not designated to be held by means of remote communication, the place of meeting shall be the principal executive offices of the Corporation. The Board, acting in its sole discretion, may establish guidelines and procedures in accordance with applicable provisions of the General Corporation Law of the State of Delaware (the “</w:t>
      </w:r>
      <w:r>
        <w:rPr>
          <w:rFonts w:ascii="Times New Roman" w:cs="Times New Roman" w:eastAsia="Times New Roman" w:hAnsi="Times New Roman"/>
          <w:sz w:val="22"/>
          <w:szCs w:val="22"/>
          <w:u w:val="single" w:color="auto"/>
          <w:color w:val="auto"/>
        </w:rPr>
        <w:t>Delaware General Corporation Law</w:t>
      </w:r>
      <w:r>
        <w:rPr>
          <w:rFonts w:ascii="Times New Roman" w:cs="Times New Roman" w:eastAsia="Times New Roman" w:hAnsi="Times New Roman"/>
          <w:sz w:val="22"/>
          <w:szCs w:val="22"/>
          <w:color w:val="auto"/>
        </w:rPr>
        <w:t>”) and any other applicable law for the participation by stockholders and proxyholders in a meeting of stockholders held at a place or by means of remote communications, and, notwithstanding the foregoing, may determine that any meeting of stockholders will not be held at any place but will be held solely by means of remote communication. Stockholders and proxyholders complying with such procedures and guidelines and otherwise entitled to vote at a meeting of stockholders shall be deemed present in person and entitled to vote at a meeting of stockholders, whether such meeting is to be held at a designated place or solely by means of remote communication.</w:t>
      </w:r>
    </w:p>
    <w:p>
      <w:pPr>
        <w:spacing w:after="0" w:line="18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Section 2.6 </w:t>
      </w:r>
      <w:r>
        <w:rPr>
          <w:rFonts w:ascii="Times New Roman" w:cs="Times New Roman" w:eastAsia="Times New Roman" w:hAnsi="Times New Roman"/>
          <w:sz w:val="21"/>
          <w:szCs w:val="21"/>
          <w:u w:val="single" w:color="auto"/>
          <w:color w:val="auto"/>
        </w:rPr>
        <w:t>Notice of Meeting</w:t>
      </w:r>
      <w:r>
        <w:rPr>
          <w:rFonts w:ascii="Times New Roman" w:cs="Times New Roman" w:eastAsia="Times New Roman" w:hAnsi="Times New Roman"/>
          <w:sz w:val="21"/>
          <w:szCs w:val="21"/>
          <w:color w:val="auto"/>
        </w:rPr>
        <w:t xml:space="preserve">. Except as otherwise provided by law, notice, stating the place, if any, day and hour of the meeting, shall be given not less than ten (10) days nor more than sixty (60) days before the date of the meeting, in a manner pursuant to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21"/>
          <w:szCs w:val="21"/>
          <w:color w:val="auto"/>
        </w:rPr>
        <w:t xml:space="preserve"> hereof, to each stockholder of record entitled to vote at such meeting as of the record date for determining the stockholders entitled to notice of the meeting. The notice shall specify (A) the record date for determining the stockholders entitled to vote at the meeting (if such date is different from the record date for stockholders entitled to notice of the meeting),</w:t>
      </w:r>
    </w:p>
    <w:p>
      <w:pPr>
        <w:spacing w:after="0" w:line="2" w:lineRule="exact"/>
        <w:rPr>
          <w:sz w:val="20"/>
          <w:szCs w:val="20"/>
          <w:color w:val="auto"/>
        </w:rPr>
      </w:pPr>
    </w:p>
    <w:p>
      <w:pPr>
        <w:jc w:val="both"/>
        <w:ind w:firstLine="8"/>
        <w:spacing w:after="0" w:line="246" w:lineRule="auto"/>
        <w:tabs>
          <w:tab w:leader="none" w:pos="34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place, if any, date and time of such meeting, (C) the means of remote communications, if any, by which stockholders and proxyholders may be deemed to be present in person and vote at such meeting, (D) in the case of a special meeting, the purpose or purposes for which such meeting is called and (E) such other information as may be required by law or as may be deemed appropriate by the Board, the Chairman of the Board, the Chief Executive Officer or the Secretary of the Corporation. If the stockholder list referred to in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of these Bylaws is made accessible on an electronic network, the notice of meeting must indicate how the stockholder list can be accessed. If the meeting of stockholders is to be held solely by means of electronic communications, the notice of meeting must provide the information required to access such stockholder list during the meeting. If mailed, such notice shall be deemed to be delivered when deposited in the United States mail with postage thereon prepaid, addressed to the stockholder at his or her address as it appears on the stock transfer books of the Corporation. The Corporation may provide stockholders with notice of a meeting by electronic transmission provided such stockholders have consented to receiving electronic notice in accordance with the Delaware General Corporation Law. Such notice by electronic transmission shall be deemed given at such time as provided by applicable law. Only such business shall be conducted at a special meeting of stockholders as shall have been stated in the notice of meeting. Meetings may be held without notice if notice is waived in accordance with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of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9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2.7</w:t>
      </w:r>
      <w:r>
        <w:rPr>
          <w:sz w:val="20"/>
          <w:szCs w:val="20"/>
          <w:color w:val="auto"/>
        </w:rPr>
        <w:tab/>
      </w:r>
      <w:r>
        <w:rPr>
          <w:rFonts w:ascii="Times New Roman" w:cs="Times New Roman" w:eastAsia="Times New Roman" w:hAnsi="Times New Roman"/>
          <w:sz w:val="21"/>
          <w:szCs w:val="21"/>
          <w:u w:val="single" w:color="auto"/>
          <w:color w:val="auto"/>
        </w:rPr>
        <w:t>Quorum and Adjournment of Meetings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93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by law or by the Amended and Restated Certificate of Incorporation (as the same may be amended and/or restated from time to time, the “</w:t>
      </w:r>
      <w:r>
        <w:rPr>
          <w:rFonts w:ascii="Times New Roman" w:cs="Times New Roman" w:eastAsia="Times New Roman" w:hAnsi="Times New Roman"/>
          <w:sz w:val="22"/>
          <w:szCs w:val="22"/>
          <w:u w:val="single" w:color="auto"/>
          <w:color w:val="auto"/>
        </w:rPr>
        <w:t>Certificate of Incorporation</w:t>
      </w:r>
      <w:r>
        <w:rPr>
          <w:rFonts w:ascii="Times New Roman" w:cs="Times New Roman" w:eastAsia="Times New Roman" w:hAnsi="Times New Roman"/>
          <w:sz w:val="22"/>
          <w:szCs w:val="22"/>
          <w:color w:val="auto"/>
        </w:rPr>
        <w:t>”), the holders of a majority of the voting power of the outstanding shares of stock of the Corporation entitled to vote at the meeting (the “</w:t>
      </w:r>
      <w:r>
        <w:rPr>
          <w:rFonts w:ascii="Times New Roman" w:cs="Times New Roman" w:eastAsia="Times New Roman" w:hAnsi="Times New Roman"/>
          <w:sz w:val="22"/>
          <w:szCs w:val="22"/>
          <w:u w:val="single" w:color="auto"/>
          <w:color w:val="auto"/>
        </w:rPr>
        <w:t>Voting Stock</w:t>
      </w:r>
      <w:r>
        <w:rPr>
          <w:rFonts w:ascii="Times New Roman" w:cs="Times New Roman" w:eastAsia="Times New Roman" w:hAnsi="Times New Roman"/>
          <w:sz w:val="22"/>
          <w:szCs w:val="22"/>
          <w:color w:val="auto"/>
        </w:rPr>
        <w:t>”), present in person or represented by proxy, shall constitute a quorum at a meeting of stockholders, except that when specified business is to be voted on by a class or series of stock voting as a class or series, the holders of a majority of the voting power of the shares of such class or series shall constitute a quorum of such class or series for the transaction of such business. If there is no quorum, the chairperson of the meeting or a majority of the shares so represented may adjourn the meeting, without notice other than announcement at the meeting, until a quorum shall be present or represented. Abstentions and broker non-votes shall be treated as present for purposes of determining the presence or absence of a quorum. The stockholders present at a duly called meeting at which a quorum is present may continue to transact business until adjournment, notwithstanding the withdrawal of enough stockholders to leave less than a quorum.</w:t>
      </w:r>
    </w:p>
    <w:p>
      <w:pPr>
        <w:spacing w:after="0" w:line="188"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35"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or the chairman of the meeting may adjourn any meeting of stockholders, annual or special, from time to time (whether or not a quorum is present) to reconvene at the same or some other place or by remote communication, and notice need not be given of any such adjourned meeting if the time and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When a meeting is adjourned to another time or place (including an adjournment taken to address a technical failure to convene or continue a meeting using remote communication), notice need not be given of the adjourned meeting if the place, if any, date and time thereof, and the means of remote communications, if any, by which stockholders of record entitled to vote at such adjourned meeting are: (i) announced at the meeting at which the adjournment is taken; (ii) displayed, during the time scheduled for the meeting, on the same electronic network used to enable stockholders to participate in the meeting by means of remote communication; or (iii) set forth in the notice of meeting given in accordance with the Delaware General Corporation Law. However, if the adjournment is for more than thirty (30) days, a notice of the adjourned meeting shall be given to each stockholder of record entitled to vote at the meeting. If after the adjournment a new record date for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2.8 </w:t>
      </w:r>
      <w:r>
        <w:rPr>
          <w:rFonts w:ascii="Times New Roman" w:cs="Times New Roman" w:eastAsia="Times New Roman" w:hAnsi="Times New Roman"/>
          <w:sz w:val="22"/>
          <w:szCs w:val="22"/>
          <w:u w:val="single" w:color="auto"/>
          <w:color w:val="auto"/>
        </w:rPr>
        <w:t>Proxies</w:t>
      </w:r>
      <w:r>
        <w:rPr>
          <w:rFonts w:ascii="Times New Roman" w:cs="Times New Roman" w:eastAsia="Times New Roman" w:hAnsi="Times New Roman"/>
          <w:sz w:val="22"/>
          <w:szCs w:val="22"/>
          <w:color w:val="auto"/>
        </w:rPr>
        <w:t>. At all meetings of stockholders, a stockholder or such stockholder’s duly authorized attorney-in-fact may authorize another person or persons to vote for such stockholder by a proxy executed in writing and delivered to the secretary of the meeting (or in such other manner prescribed by the Delaware General Corporation Law). Any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facsimile transmission or other reliable reproduction of the writing or transmission created to authorize such other person or persons to vote by proxy may be substituted or used in lieu of the original writing or transmission for any and all purposes for which the original writing or transmission could be used,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copy, facsimile transmission or other reproduction shall be a complete reproduction of the entire original writing or transmission. No proxy may be voted or acted upon after the expiration of three (3) years from the date of such proxy, unless such proxy provides for a longer period. Every proxy is revocable at the pleasure of the stockholder executing it unless the proxy states that it is irrevocable and such proxy actually is irrevocable under applicable law. A stockholder may revoke any proxy that is not irrevocable by attending the meeting and voting in person or by filing an instrument in writing revoking the proxy or by filing another duly executed proxy bearing a later date with the Secretary of the Corporation. Should a proxy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or she is of the proxies representing such shares.</w:t>
      </w:r>
    </w:p>
    <w:p>
      <w:pPr>
        <w:spacing w:after="0" w:line="20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2.9</w:t>
      </w:r>
      <w:r>
        <w:rPr>
          <w:sz w:val="20"/>
          <w:szCs w:val="20"/>
          <w:color w:val="auto"/>
        </w:rPr>
        <w:tab/>
      </w:r>
      <w:r>
        <w:rPr>
          <w:rFonts w:ascii="Times New Roman" w:cs="Times New Roman" w:eastAsia="Times New Roman" w:hAnsi="Times New Roman"/>
          <w:sz w:val="21"/>
          <w:szCs w:val="21"/>
          <w:u w:val="single" w:color="auto"/>
          <w:color w:val="auto"/>
        </w:rPr>
        <w:t>Notice of Stockholder Business and Nominations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Meetings of Stockholders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580" w:firstLine="643"/>
        <w:spacing w:after="0" w:line="260" w:lineRule="auto"/>
        <w:tabs>
          <w:tab w:leader="none" w:pos="1952"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Nominations of persons for election to the Board and the proposal of other business to be considered by the stockholders at an annual meeting of stockholders may be made only (a) pursuant to the Corporation’s notice of meeting (or any supplement thereto), (b) by or at the direction of the Board or any duly authorized committee thereof, (c) as may be provided in the certificate of designation for any series of Preferred Stock or (d) by any stockholder of the Corporation who (i) was a stockholder of record at the time of giving of notice provided for in these Bylaws and at the time of the annual meeting, (ii) is entitled to vote at the meeting and (iii) complies with the notice procedures set forth in these Bylaws as to such business or nomination; </w:t>
      </w:r>
      <w:r>
        <w:rPr>
          <w:rFonts w:ascii="Times New Roman" w:cs="Times New Roman" w:eastAsia="Times New Roman" w:hAnsi="Times New Roman"/>
          <w:sz w:val="21"/>
          <w:szCs w:val="21"/>
          <w:u w:val="single" w:color="auto"/>
          <w:color w:val="auto"/>
        </w:rPr>
        <w:t>clause (1)(d)</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2.9(A)</w:t>
      </w:r>
      <w:r>
        <w:rPr>
          <w:rFonts w:ascii="Times New Roman" w:cs="Times New Roman" w:eastAsia="Times New Roman" w:hAnsi="Times New Roman"/>
          <w:sz w:val="21"/>
          <w:szCs w:val="21"/>
          <w:color w:val="auto"/>
        </w:rPr>
        <w:t xml:space="preserve"> shall be the exclusive means for a stockholder to make nominations or submit other business before an annual meeting of the stockholders (other than matters properly brought under Rule 14a-8 under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xml:space="preserve">”)). In addition, if the proposal is made on behalf of a beneficial owner other than the stockholder of record, such beneficial owner must be the beneficial owner of stock of the Corporation both at the time of giving of notice provided for in this </w:t>
      </w:r>
      <w:r>
        <w:rPr>
          <w:rFonts w:ascii="Times New Roman" w:cs="Times New Roman" w:eastAsia="Times New Roman" w:hAnsi="Times New Roman"/>
          <w:sz w:val="21"/>
          <w:szCs w:val="21"/>
          <w:u w:val="single" w:color="auto"/>
          <w:color w:val="auto"/>
        </w:rPr>
        <w:t>Section 2.9</w:t>
      </w:r>
      <w:r>
        <w:rPr>
          <w:rFonts w:ascii="Times New Roman" w:cs="Times New Roman" w:eastAsia="Times New Roman" w:hAnsi="Times New Roman"/>
          <w:sz w:val="21"/>
          <w:szCs w:val="21"/>
          <w:color w:val="auto"/>
        </w:rPr>
        <w:t xml:space="preserve"> and at the time of the annual meeting. For purposes of these Bylaws, beneficial ownership of shares shall be determined in accordance with Rule 13d-3 promulgated under the Exchange Act and the rules and regulations thereunder.</w:t>
      </w:r>
    </w:p>
    <w:p>
      <w:pPr>
        <w:spacing w:after="0" w:line="176" w:lineRule="exact"/>
        <w:rPr>
          <w:rFonts w:ascii="Times New Roman" w:cs="Times New Roman" w:eastAsia="Times New Roman" w:hAnsi="Times New Roman"/>
          <w:sz w:val="21"/>
          <w:szCs w:val="21"/>
          <w:color w:val="auto"/>
        </w:rPr>
      </w:pPr>
    </w:p>
    <w:p>
      <w:pPr>
        <w:jc w:val="both"/>
        <w:ind w:left="660" w:firstLine="1292"/>
        <w:spacing w:after="0" w:line="263" w:lineRule="auto"/>
        <w:tabs>
          <w:tab w:leader="none" w:pos="2599"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nominations or any other business to be properly brought before an annual meeting by a stockholder pursuant to </w:t>
      </w:r>
      <w:r>
        <w:rPr>
          <w:rFonts w:ascii="Times New Roman" w:cs="Times New Roman" w:eastAsia="Times New Roman" w:hAnsi="Times New Roman"/>
          <w:sz w:val="22"/>
          <w:szCs w:val="22"/>
          <w:u w:val="single" w:color="auto"/>
          <w:color w:val="auto"/>
        </w:rPr>
        <w:t>Section 2.9(A)(1)(d)</w:t>
      </w:r>
      <w:r>
        <w:rPr>
          <w:rFonts w:ascii="Times New Roman" w:cs="Times New Roman" w:eastAsia="Times New Roman" w:hAnsi="Times New Roman"/>
          <w:sz w:val="22"/>
          <w:szCs w:val="22"/>
          <w:color w:val="auto"/>
        </w:rPr>
        <w:t xml:space="preserve"> of these Bylaws, (x) the stockholder must have given timely notice thereof in writing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98" w:lineRule="exact"/>
        <w:rPr>
          <w:sz w:val="20"/>
          <w:szCs w:val="20"/>
          <w:color w:val="auto"/>
        </w:rPr>
      </w:pPr>
    </w:p>
    <w:p>
      <w:pPr>
        <w:jc w:val="both"/>
        <w:ind w:left="440"/>
        <w:spacing w:after="0" w:line="247" w:lineRule="auto"/>
        <w:rPr>
          <w:sz w:val="20"/>
          <w:szCs w:val="20"/>
          <w:color w:val="auto"/>
        </w:rPr>
      </w:pPr>
      <w:r>
        <w:rPr>
          <w:rFonts w:ascii="Times New Roman" w:cs="Times New Roman" w:eastAsia="Times New Roman" w:hAnsi="Times New Roman"/>
          <w:sz w:val="22"/>
          <w:szCs w:val="22"/>
          <w:color w:val="auto"/>
        </w:rPr>
        <w:t xml:space="preserve">Secretary (y) such other business must otherwise be a proper matter for stockholder action under the Delaware General Corporation Law and (z) the record stockholder and the beneficial owner, if any, on whose behalf any such proposal or nomination is made, must have acted in accordance with the representations set forth in the Solicitation Statement (as defined below) required by these Bylaws. To be timely, a stockholder’s notice shall be delivered to the Secretary at the principal executive offices of the Corporation not earlier than the close of business on the one hundred twentieth (120th) day and not later than the close of business on the ninetieth (90th) day prior to the first anniversary of the preceding year’s annual meeting;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in the event that the date of the annual meeting is more than thirty (30) days before or more than sixty (60) days after such anniversary date, notice by the stockholder to be timely must be so delivered not earlier than the close of business on the one hundred twentieth (120th) day prior to the date of such annual meeting and not later than the close of business on the later of the ninetieth (90th) day prior to such annual meeting or, if the first public announcement of the date of such annual meeting is less than one hundred (100) days prior to the date of such annual meeting, the tenth (10th) day following the day on which public announcement of the date of such meeting is first made by the Corporation. In no event shall any adjournment or postponement of an annual meeting or the announcement thereof commence a new time period (or extend any time period) for the giving of a stockholder’s notice as described above. To be in proper form, a stockholder’s notice (whether given pursuant to this </w:t>
      </w:r>
      <w:r>
        <w:rPr>
          <w:rFonts w:ascii="Times New Roman" w:cs="Times New Roman" w:eastAsia="Times New Roman" w:hAnsi="Times New Roman"/>
          <w:sz w:val="22"/>
          <w:szCs w:val="22"/>
          <w:u w:val="single" w:color="auto"/>
          <w:color w:val="auto"/>
        </w:rPr>
        <w:t>Section 2.9(A)(2)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2.9(B)</w:t>
      </w:r>
      <w:r>
        <w:rPr>
          <w:rFonts w:ascii="Times New Roman" w:cs="Times New Roman" w:eastAsia="Times New Roman" w:hAnsi="Times New Roman"/>
          <w:sz w:val="22"/>
          <w:szCs w:val="22"/>
          <w:color w:val="auto"/>
        </w:rPr>
        <w:t>) to the Secretary must:</w:t>
      </w:r>
    </w:p>
    <w:p>
      <w:pPr>
        <w:spacing w:after="0" w:line="195" w:lineRule="exact"/>
        <w:rPr>
          <w:sz w:val="20"/>
          <w:szCs w:val="20"/>
          <w:color w:val="auto"/>
        </w:rPr>
      </w:pPr>
    </w:p>
    <w:p>
      <w:pPr>
        <w:jc w:val="both"/>
        <w:ind w:left="440" w:firstLine="1940"/>
        <w:spacing w:after="0" w:line="263" w:lineRule="auto"/>
        <w:tabs>
          <w:tab w:leader="none" w:pos="3029"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set forth, as to the stockholder giving the notice and the Stockholder Associated Person (as defined in </w:t>
      </w:r>
      <w:r>
        <w:rPr>
          <w:rFonts w:ascii="Times New Roman" w:cs="Times New Roman" w:eastAsia="Times New Roman" w:hAnsi="Times New Roman"/>
          <w:sz w:val="21"/>
          <w:szCs w:val="21"/>
          <w:u w:val="single" w:color="auto"/>
          <w:color w:val="auto"/>
        </w:rPr>
        <w:t>Section 2.9(C)(2)</w:t>
      </w:r>
      <w:r>
        <w:rPr>
          <w:rFonts w:ascii="Times New Roman" w:cs="Times New Roman" w:eastAsia="Times New Roman" w:hAnsi="Times New Roman"/>
          <w:sz w:val="21"/>
          <w:szCs w:val="21"/>
          <w:color w:val="auto"/>
        </w:rPr>
        <w:t>, if any, on whose behalf the nomination or proposal is made (i) the name and address of such stockholder, as they appear on the Corporation’s books, and of such stockholder’s Stockholder Associated Person), if any,</w:t>
      </w:r>
    </w:p>
    <w:p>
      <w:pPr>
        <w:spacing w:after="0" w:line="1" w:lineRule="exact"/>
        <w:rPr>
          <w:rFonts w:ascii="Times New Roman" w:cs="Times New Roman" w:eastAsia="Times New Roman" w:hAnsi="Times New Roman"/>
          <w:sz w:val="21"/>
          <w:szCs w:val="21"/>
          <w:color w:val="auto"/>
        </w:rPr>
      </w:pPr>
    </w:p>
    <w:p>
      <w:pPr>
        <w:jc w:val="both"/>
        <w:ind w:left="440" w:hanging="4"/>
        <w:spacing w:after="0" w:line="246" w:lineRule="auto"/>
        <w:tabs>
          <w:tab w:leader="none" w:pos="77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class or series and number of shares of the Corporation which are, directly or indirectly, owned beneficially and of record by such stockholder and such Stockholder Associated Person, the dates on which any shares or other securities of the Corporation were acquired, the investment intent of each acquisition and evidence of such beneficial or record ownership;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stock of the Corporation or otherwise (a “</w:t>
      </w:r>
      <w:r>
        <w:rPr>
          <w:rFonts w:ascii="Times New Roman" w:cs="Times New Roman" w:eastAsia="Times New Roman" w:hAnsi="Times New Roman"/>
          <w:sz w:val="22"/>
          <w:szCs w:val="22"/>
          <w:u w:val="single" w:color="auto"/>
          <w:color w:val="auto"/>
        </w:rPr>
        <w:t>Derivative Instrument</w:t>
      </w:r>
      <w:r>
        <w:rPr>
          <w:rFonts w:ascii="Times New Roman" w:cs="Times New Roman" w:eastAsia="Times New Roman" w:hAnsi="Times New Roman"/>
          <w:sz w:val="22"/>
          <w:szCs w:val="22"/>
          <w:color w:val="auto"/>
        </w:rPr>
        <w:t>”), directly or indirectly owned beneficially by such stockholder or by any Stockholder Associated Person and any other direct or indirect opportunity to profit or share in any profit derived from any increase or decrease in the value of shares of the Corporation held by such stockholder or by any Stockholder Associated Person, (C) a complete and accurate description of any agreement, arrangement or understanding between or among such stockholder and such stockholder’s Stockholder Associated Person and any other person or persons in connection with such stockholder’s director nomination and the name and address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20"/>
          </w:cols>
          <w:pgMar w:left="540" w:top="1440" w:right="339" w:bottom="1440" w:gutter="0" w:footer="0" w:header="0"/>
        </w:sectPr>
      </w:pPr>
    </w:p>
    <w:bookmarkStart w:id="172" w:name="page173"/>
    <w:bookmarkEnd w:id="172"/>
    <w:p>
      <w:pPr>
        <w:spacing w:after="0" w:line="198"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21"/>
          <w:szCs w:val="21"/>
          <w:color w:val="auto"/>
        </w:rPr>
        <w:t>other person(s) or entity or entities known to the stockholder to support such nomination, (D) any agreement, arrangement or understanding pursuant to which such stockholder or any of the stockholder’s Stockholder Associated Persons has received any financial assistance, funding or other consideration from any other person with respect to the investment by such person in the Corporation, (E) any substantial interest, direct or indirect (including, without limitation, any existing or prospective commercial, business or contractual relationship with the Corporation), by security holdings or otherwise, of such stockholder or any of such stockholder’s Stockholder Associated Persons in the Corporation, other than an interest arising from the ownership of securities of the Corporation where such person receives no extra or special benefit not shared on a pro rata basis by all other holders of the same class or series, (F) a description of any proxy, contract, arrangement, understanding or relationship pursuant to which such stockholder or any Stockholder Associated Person has a right to vote, directly or indirectly, any shares of any security of the Corporation, (G) any other agreements that would be required to be disclosed by such stockholder or any other person pursuant to Item 5 or Item 6 of a Schedule 13D that would be filed pursuant to the Exchange Act (regardless of whether the requirement to file a Schedule 13D is applicable to the stockholder providing the notice, any Stockholder Associated Person of such stockholder or other person), (H) any short interest in any security of the Corporation held by such stockholder or any Stockholder Associated Person (for purposes of these Bylaws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(I) any rights to dividends on the shares of the Corporation owned beneficially by such stockholder or by any Stockholder Associated Person that are separated or separable from the underlying shares of the Corporation, (J) any proportionate interest in shares of the Corporation or Derivative Instruments held, directly or indirectly, by a general or limited partnership in which such stockholder or any Stockholder Associated Person is a general partner or, directly or indirectly, beneficially owns an interest in a general partner, (K) any performance-related fees (other than an asset-based fee) to which such stockholder or any Stockholder Associated Person is entitled based on any increase or decrease in the value of shares of the Corporation or Derivative Instruments, if any, as of the date of such notice, including without limitation any such interests held by members of such stockholder’s or any Stockholder Associated Person’s immediate family sharing the same household, and (iii) any other information relating to such stockholder and any Stockholder Associated Person, if any, that would be required to be disclosed in a proxy statement or other filings required to be made in connection with solicitations of proxies for, as applicable, the proposal or for the election of directors in a contested election pursuant to Section 14 of the Exchange Act and the rules and regulations promulgated thereunder, (iv) a representation that the stockholder is a holder of record of stock of the Corporation entitled to vote at such meeting and intends to appear in person or by proxy at the meeting to bring such nomination or other business before the meeting, and (v) a representation as to whether such stockholder or any Stockholder Associated Person will deliver a proxy statement or form of proxy to holders of at least the percentage of the voting power of the Corporation’s outstanding stock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20"/>
          </w:cols>
          <w:pgMar w:left="540" w:top="1440" w:right="339" w:bottom="1440" w:gutter="0" w:footer="0" w:header="0"/>
        </w:sectPr>
      </w:pPr>
    </w:p>
    <w:bookmarkStart w:id="173" w:name="page174"/>
    <w:bookmarkEnd w:id="173"/>
    <w:p>
      <w:pPr>
        <w:spacing w:after="0" w:line="198" w:lineRule="exact"/>
        <w:rPr>
          <w:sz w:val="20"/>
          <w:szCs w:val="20"/>
          <w:color w:val="auto"/>
        </w:rPr>
      </w:pPr>
    </w:p>
    <w:p>
      <w:pPr>
        <w:jc w:val="both"/>
        <w:ind w:left="440"/>
        <w:spacing w:after="0" w:line="248" w:lineRule="auto"/>
        <w:rPr>
          <w:sz w:val="20"/>
          <w:szCs w:val="20"/>
          <w:color w:val="auto"/>
        </w:rPr>
      </w:pPr>
      <w:r>
        <w:rPr>
          <w:rFonts w:ascii="Times New Roman" w:cs="Times New Roman" w:eastAsia="Times New Roman" w:hAnsi="Times New Roman"/>
          <w:sz w:val="22"/>
          <w:szCs w:val="22"/>
          <w:color w:val="auto"/>
        </w:rPr>
        <w:t>approve or adopt the proposal or, in the case of a nomination or nominations, at least the percentage of the voting power of the Corporation’s outstanding stock reasonably believed by the stockholder or Stockholder Associated Person, as the case may be, to be sufficient to elect such nominee or nominees (such representation, a “</w:t>
      </w:r>
      <w:r>
        <w:rPr>
          <w:rFonts w:ascii="Times New Roman" w:cs="Times New Roman" w:eastAsia="Times New Roman" w:hAnsi="Times New Roman"/>
          <w:sz w:val="22"/>
          <w:szCs w:val="22"/>
          <w:u w:val="single" w:color="auto"/>
          <w:color w:val="auto"/>
        </w:rPr>
        <w:t>Solicitation Statement</w:t>
      </w:r>
      <w:r>
        <w:rPr>
          <w:rFonts w:ascii="Times New Roman" w:cs="Times New Roman" w:eastAsia="Times New Roman" w:hAnsi="Times New Roman"/>
          <w:sz w:val="22"/>
          <w:szCs w:val="22"/>
          <w:color w:val="auto"/>
        </w:rPr>
        <w:t xml:space="preserve">”). The information required under </w:t>
      </w:r>
      <w:r>
        <w:rPr>
          <w:rFonts w:ascii="Times New Roman" w:cs="Times New Roman" w:eastAsia="Times New Roman" w:hAnsi="Times New Roman"/>
          <w:sz w:val="22"/>
          <w:szCs w:val="22"/>
          <w:u w:val="single" w:color="auto"/>
          <w:color w:val="auto"/>
        </w:rPr>
        <w:t>clauses (a)(i)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of the preceding sentence of this </w:t>
      </w:r>
      <w:r>
        <w:rPr>
          <w:rFonts w:ascii="Times New Roman" w:cs="Times New Roman" w:eastAsia="Times New Roman" w:hAnsi="Times New Roman"/>
          <w:sz w:val="22"/>
          <w:szCs w:val="22"/>
          <w:u w:val="single" w:color="auto"/>
          <w:color w:val="auto"/>
        </w:rPr>
        <w:t>Section 2.9(A)(2)</w:t>
      </w:r>
      <w:r>
        <w:rPr>
          <w:rFonts w:ascii="Times New Roman" w:cs="Times New Roman" w:eastAsia="Times New Roman" w:hAnsi="Times New Roman"/>
          <w:sz w:val="22"/>
          <w:szCs w:val="22"/>
          <w:color w:val="auto"/>
        </w:rPr>
        <w:t xml:space="preserve"> shall be supplemented by such stockholder and any such Stockholder Associated Person (a) not later than the later of (x) ten (10) days after the record date for notice of the meeting or (y) ten (10) days after the public announcement of the record date for notice of the meeting to disclose such information as of such record date and (b) not later than seven (7) business days before the date scheduled for convening any postponed meeting or reconvening any adjourned meeting (or, if not practicable, on the first practicable date) to disclose such information as of ten (10) business days before the date scheduled for such convening or reconvening. The stockholder and any such Stockholder Associated Person shall promptly notify the Corporation of any inaccuracy or material change in any information previously provided to the Corporation (and in any event within 48 hours of becoming aware of such inaccuracy or change). No supplement or update made pursuant to </w:t>
      </w:r>
      <w:r>
        <w:rPr>
          <w:rFonts w:ascii="Times New Roman" w:cs="Times New Roman" w:eastAsia="Times New Roman" w:hAnsi="Times New Roman"/>
          <w:sz w:val="22"/>
          <w:szCs w:val="22"/>
          <w:u w:val="single" w:color="auto"/>
          <w:color w:val="auto"/>
        </w:rPr>
        <w:t>Section 2.9(A)(2)(a)</w:t>
      </w:r>
      <w:r>
        <w:rPr>
          <w:rFonts w:ascii="Times New Roman" w:cs="Times New Roman" w:eastAsia="Times New Roman" w:hAnsi="Times New Roman"/>
          <w:sz w:val="22"/>
          <w:szCs w:val="22"/>
          <w:color w:val="auto"/>
        </w:rPr>
        <w:t xml:space="preserve"> may include any new nominees or other items of business not set forth in the original stockholder notice after the notice deadlines have expired or be deemed to cure any defects or limit the remedies available to the Corporation relating to any defect;</w:t>
      </w:r>
    </w:p>
    <w:p>
      <w:pPr>
        <w:spacing w:after="0" w:line="183" w:lineRule="exact"/>
        <w:rPr>
          <w:sz w:val="20"/>
          <w:szCs w:val="20"/>
          <w:color w:val="auto"/>
        </w:rPr>
      </w:pPr>
    </w:p>
    <w:p>
      <w:pPr>
        <w:jc w:val="both"/>
        <w:ind w:left="440" w:firstLine="1940"/>
        <w:spacing w:after="0" w:line="248" w:lineRule="auto"/>
        <w:tabs>
          <w:tab w:leader="none" w:pos="302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notice relates to any business other than a nomination of a director or directors that the stockholder proposes to bring before the meeting, set forth (i) a brief description of the business desired to be brought before the meeting, the reasons for conducting such business at the meeting and any material interest of such stockholder and Stockholder Associated Person, if any, in such business, (ii) the text of the proposal or business (including the text of any resolutions proposed for consideration, which is not to exceed 500 words, and in the event that such business includes a proposal to amend the Bylaws of the Corporation, the language of the proposed amendment) and (iii) a complete and accurate description of all agreements, arrangements and understandings between such stockholder and such stockholder’s Stockholder Associated Person, if any, and the name and address of any other person(s) or entity or entities in connection with the proposal of such business by such stockholder;</w:t>
      </w:r>
    </w:p>
    <w:p>
      <w:pPr>
        <w:spacing w:after="0" w:line="198" w:lineRule="exact"/>
        <w:rPr>
          <w:rFonts w:ascii="Times New Roman" w:cs="Times New Roman" w:eastAsia="Times New Roman" w:hAnsi="Times New Roman"/>
          <w:sz w:val="22"/>
          <w:szCs w:val="22"/>
          <w:color w:val="auto"/>
        </w:rPr>
      </w:pPr>
    </w:p>
    <w:p>
      <w:pPr>
        <w:jc w:val="both"/>
        <w:ind w:left="440" w:firstLine="1940"/>
        <w:spacing w:after="0" w:line="262" w:lineRule="auto"/>
        <w:tabs>
          <w:tab w:leader="none" w:pos="3029"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set forth, as to each person, if any, whom the stockholder proposes to nominate for election or reelection to the Board (i) all information relating to such person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person’s written consent to being named in the proxy statement as a nominee and to serving as a director if elected) ; (ii) the class or series and number of shares of the Corporation which are, directly or indirectly, owned beneficially and of record by the proposed nominee, the dates such shares were acquired, the investment intent of each acquisition and evidence of such beneficial or record ownership; (iii) any Derivative Instruments or short interests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20"/>
          </w:cols>
          <w:pgMar w:left="540" w:top="1440" w:right="339" w:bottom="1440" w:gutter="0" w:footer="0" w:header="0"/>
        </w:sectPr>
      </w:pPr>
    </w:p>
    <w:bookmarkStart w:id="174" w:name="page175"/>
    <w:bookmarkEnd w:id="174"/>
    <w:p>
      <w:pPr>
        <w:spacing w:after="0" w:line="198" w:lineRule="exact"/>
        <w:rPr>
          <w:sz w:val="20"/>
          <w:szCs w:val="20"/>
          <w:color w:val="auto"/>
        </w:rPr>
      </w:pPr>
    </w:p>
    <w:p>
      <w:pPr>
        <w:jc w:val="both"/>
        <w:ind w:left="440"/>
        <w:spacing w:after="0" w:line="247" w:lineRule="auto"/>
        <w:rPr>
          <w:sz w:val="20"/>
          <w:szCs w:val="20"/>
          <w:color w:val="auto"/>
        </w:rPr>
      </w:pPr>
      <w:r>
        <w:rPr>
          <w:rFonts w:ascii="Times New Roman" w:cs="Times New Roman" w:eastAsia="Times New Roman" w:hAnsi="Times New Roman"/>
          <w:sz w:val="22"/>
          <w:szCs w:val="22"/>
          <w:color w:val="auto"/>
        </w:rPr>
        <w:t>or indirectly owned or held by the proposed nominee; (iv) a description of any positions of the proposed nominee as an officer or director of any competitor of the Corporation (that is, any entity that produces products, provides services or engages in business activities that compete with or are alternatives to the products produced, services provided or business activities engaged in by the Corporation or its affiliates (a “Competitor”)) within the three (3) years preceding the submission of the stockholder’s notice; (v) the class and number of shares of common stock and any other securities of a Competitor owned beneficially or of record by the proposed nominee; (vi) a description of all direct and indirect compensation and other material monetary agreements, arrangements and understandings during the past three (3) years, and any other material relationships, between or among such stockholder and Stockholder Associated Person, if any,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(vii) a description of any relationship between the proposed nominee and any other person that would require disclosure on Schedule 13D as if the proposed nominee was required to file a Schedule 13D with respect to the Corporation; (viii) any other information as the Corporation may in its reasonable judgement require to determine the character, fitness and eligibility of the proposed nominee to serve as an independent director of the Corporation and to otherwise comply with these Bylaws and applicable laws, rules and regulations relating to director qualifications, conflicts of interest, and/or the disclosure thereof; and (ix) a representation that such person accepts the nomination of the stockholder and intends to serve a full term, if elected as director; and</w:t>
      </w:r>
    </w:p>
    <w:p>
      <w:pPr>
        <w:spacing w:after="0" w:line="189" w:lineRule="exact"/>
        <w:rPr>
          <w:sz w:val="20"/>
          <w:szCs w:val="20"/>
          <w:color w:val="auto"/>
        </w:rPr>
      </w:pPr>
    </w:p>
    <w:p>
      <w:pPr>
        <w:jc w:val="both"/>
        <w:ind w:left="440" w:firstLine="1940"/>
        <w:spacing w:after="0" w:line="263" w:lineRule="auto"/>
        <w:tabs>
          <w:tab w:leader="none" w:pos="3027"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each nominee for election or reelection to the Board, include a completed and signed questionnaire, representation and agreement required by </w:t>
      </w:r>
      <w:r>
        <w:rPr>
          <w:rFonts w:ascii="Times New Roman" w:cs="Times New Roman" w:eastAsia="Times New Roman" w:hAnsi="Times New Roman"/>
          <w:sz w:val="21"/>
          <w:szCs w:val="21"/>
          <w:u w:val="single" w:color="auto"/>
          <w:color w:val="auto"/>
        </w:rPr>
        <w:t>Section 2.9(A)(4)</w:t>
      </w:r>
      <w:r>
        <w:rPr>
          <w:rFonts w:ascii="Times New Roman" w:cs="Times New Roman" w:eastAsia="Times New Roman" w:hAnsi="Times New Roman"/>
          <w:sz w:val="21"/>
          <w:szCs w:val="21"/>
          <w:color w:val="auto"/>
        </w:rPr>
        <w:t xml:space="preserve"> of these Bylaws. The Corporation may require any proposed nominee to furnish such other information as may reasonably be required by the Corporation to determine the eligibility of such proposed nominee to serve as a director of the Corporation or as an independent director or qualifies as an “audit committee financial expert” under applicable law, securities exchange rule or regulation or any other publicly disclosed corporate governance guideline or committee charter of the Corporation or that could be material to a reasonable stockholder’s understanding of the independence, or lack thereof, of such nominee.</w:t>
      </w:r>
    </w:p>
    <w:p>
      <w:pPr>
        <w:spacing w:after="0" w:line="172" w:lineRule="exact"/>
        <w:rPr>
          <w:rFonts w:ascii="Times New Roman" w:cs="Times New Roman" w:eastAsia="Times New Roman" w:hAnsi="Times New Roman"/>
          <w:sz w:val="21"/>
          <w:szCs w:val="21"/>
          <w:color w:val="auto"/>
        </w:rPr>
      </w:pPr>
    </w:p>
    <w:p>
      <w:pPr>
        <w:jc w:val="both"/>
        <w:ind w:left="440" w:firstLine="1292"/>
        <w:spacing w:after="0" w:line="256" w:lineRule="auto"/>
        <w:tabs>
          <w:tab w:leader="none" w:pos="237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foregoing notice requirements of this </w:t>
      </w:r>
      <w:r>
        <w:rPr>
          <w:rFonts w:ascii="Times New Roman" w:cs="Times New Roman" w:eastAsia="Times New Roman" w:hAnsi="Times New Roman"/>
          <w:sz w:val="22"/>
          <w:szCs w:val="22"/>
          <w:u w:val="single" w:color="auto"/>
          <w:color w:val="auto"/>
        </w:rPr>
        <w:t>Section 2.9(A)</w:t>
      </w:r>
      <w:r>
        <w:rPr>
          <w:rFonts w:ascii="Times New Roman" w:cs="Times New Roman" w:eastAsia="Times New Roman" w:hAnsi="Times New Roman"/>
          <w:sz w:val="22"/>
          <w:szCs w:val="22"/>
          <w:color w:val="auto"/>
        </w:rPr>
        <w:t xml:space="preserve"> shall be deemed satisfied by a stockholder with respect to business other than a nomination if such stockholder has notified the Corporation of his or her intention to present a proposal at an annual meeting in compliance with the applicable rules and regulations promulgated under the Exchange Act and such stockholder’s proposal has been included in a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20"/>
          </w:cols>
          <w:pgMar w:left="540" w:top="1440" w:right="339" w:bottom="1440" w:gutter="0" w:footer="0" w:header="0"/>
        </w:sectPr>
      </w:pPr>
    </w:p>
    <w:bookmarkStart w:id="175" w:name="page176"/>
    <w:bookmarkEnd w:id="175"/>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statement that has been prepared by the Corporation to solicit proxies for such annual meeting.</w:t>
      </w:r>
    </w:p>
    <w:p>
      <w:pPr>
        <w:spacing w:after="0" w:line="220" w:lineRule="exact"/>
        <w:rPr>
          <w:sz w:val="20"/>
          <w:szCs w:val="20"/>
          <w:color w:val="auto"/>
        </w:rPr>
      </w:pPr>
    </w:p>
    <w:p>
      <w:pPr>
        <w:jc w:val="both"/>
        <w:ind w:left="440" w:firstLine="1292"/>
        <w:spacing w:after="0" w:line="246" w:lineRule="auto"/>
        <w:tabs>
          <w:tab w:leader="none" w:pos="237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be eligible to be a nominee for election or reelection as a director of the Corporation, a proposed nominee must deliver (in accordance with the time periods prescribed for delivery of notice under </w:t>
      </w:r>
      <w:r>
        <w:rPr>
          <w:rFonts w:ascii="Times New Roman" w:cs="Times New Roman" w:eastAsia="Times New Roman" w:hAnsi="Times New Roman"/>
          <w:sz w:val="22"/>
          <w:szCs w:val="22"/>
          <w:u w:val="single" w:color="auto"/>
          <w:color w:val="auto"/>
        </w:rPr>
        <w:t>Section 2.9(A)(2)</w:t>
      </w:r>
      <w:r>
        <w:rPr>
          <w:rFonts w:ascii="Times New Roman" w:cs="Times New Roman" w:eastAsia="Times New Roman" w:hAnsi="Times New Roman"/>
          <w:sz w:val="22"/>
          <w:szCs w:val="22"/>
          <w:color w:val="auto"/>
        </w:rPr>
        <w:t xml:space="preserve"> of these Bylaws) to the Secretary at the principal executive offices of the Corporation a written questionnaire with respect to the background and qualification of such person and the background of any other person or entity on whose behalf the nomination is being made (which questionnaire shall be requested only by a stockholder of record and provided by the Secretary within 10 business days upon receiving such request) and a written representation and agreement (in the form provided by the Secretary upon written request) that such person (A) is not and will not become a party to (1) any agreement, arrangement or understanding with, and has not given any commitment or assurance to, any person or entity as to how such person, if elected as a director of the Corporation, will act or vote on any issue or question (a “</w:t>
      </w: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that has not been disclosed to the Corporation or (2) any Voting Commitment that could limit or interfere with such person’s ability to comply, if elected as a director of the Corporation, with such person’s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therein; (C) in such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ownership and trading policies and guidelines of the Corporation, (D) will comply with the Corporation’s processes for evaluating any person being considered for nomination to the Board, including, at the reasonable request of the Nominating &amp; Governance Committee of the Board (the “</w:t>
      </w:r>
      <w:r>
        <w:rPr>
          <w:rFonts w:ascii="Times New Roman" w:cs="Times New Roman" w:eastAsia="Times New Roman" w:hAnsi="Times New Roman"/>
          <w:sz w:val="22"/>
          <w:szCs w:val="22"/>
          <w:u w:val="single" w:color="auto"/>
          <w:color w:val="auto"/>
        </w:rPr>
        <w:t>Nominating &amp; Governance Committee</w:t>
      </w:r>
      <w:r>
        <w:rPr>
          <w:rFonts w:ascii="Times New Roman" w:cs="Times New Roman" w:eastAsia="Times New Roman" w:hAnsi="Times New Roman"/>
          <w:sz w:val="22"/>
          <w:szCs w:val="22"/>
          <w:color w:val="auto"/>
        </w:rPr>
        <w:t>”), meet with the Nominating &amp; Governance Committee to discuss matters relating to the nomination and potential service of the proposed nominee to the Board and such other matters related to the proposed nominee’s independence, character, fitness and eligibility to serve, including the information provided by such proposed nominee to the Corporation in connection with his or her nomination; (E) consents to the running of a background check in accordance with the Corporation’s policy for prospective directors and will provide any information requested by the Corporation that is necessary to run such background check; and (F) will provide facts, statements, and other information in all communications with the Corporation and its stockholders that are or will be true and correct in all material respects and that do not and will not omit to state a material fact, statement, or other information necessary in order to make such communications, in light of the circumstances under which they were made, not misleading. At the request of the Board, any proposed nominee shall furnish to the Secretary at the principal executive offices of the Corporation the information that is required to be set forth in a stockholder’s notice of nomination that pertains to the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020"/>
          </w:cols>
          <w:pgMar w:left="540" w:top="1440" w:right="339" w:bottom="1440" w:gutter="0" w:footer="0" w:header="0"/>
        </w:sectPr>
      </w:pPr>
    </w:p>
    <w:bookmarkStart w:id="176" w:name="page177"/>
    <w:bookmarkEnd w:id="176"/>
    <w:p>
      <w:pPr>
        <w:spacing w:after="0" w:line="198" w:lineRule="exact"/>
        <w:rPr>
          <w:sz w:val="20"/>
          <w:szCs w:val="20"/>
          <w:color w:val="auto"/>
        </w:rPr>
      </w:pPr>
    </w:p>
    <w:p>
      <w:pPr>
        <w:jc w:val="both"/>
        <w:ind w:left="660" w:firstLine="1292"/>
        <w:spacing w:after="0" w:line="247" w:lineRule="auto"/>
        <w:tabs>
          <w:tab w:leader="none" w:pos="2599"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stockholder providing notice of any nomination proposed to be made at a meeting shall further update and supplement such notice, if necessary, so that the information provided or required to be provided in such notice pursuant to </w:t>
      </w:r>
      <w:r>
        <w:rPr>
          <w:rFonts w:ascii="Times New Roman" w:cs="Times New Roman" w:eastAsia="Times New Roman" w:hAnsi="Times New Roman"/>
          <w:sz w:val="22"/>
          <w:szCs w:val="22"/>
          <w:u w:val="single" w:color="auto"/>
          <w:color w:val="auto"/>
        </w:rPr>
        <w:t>Section 2.9(A)(2)</w:t>
      </w:r>
      <w:r>
        <w:rPr>
          <w:rFonts w:ascii="Times New Roman" w:cs="Times New Roman" w:eastAsia="Times New Roman" w:hAnsi="Times New Roman"/>
          <w:sz w:val="22"/>
          <w:szCs w:val="22"/>
          <w:color w:val="auto"/>
        </w:rPr>
        <w:t xml:space="preserve"> shall be true and correct as of the record date for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the meeting (in the case of the update and supplement required to be made as of the record date), and not later than seven (7) business days prior to the date for the meeting, if practicable (or, if not practicable, on the first practicable date) any adjournment or postponement thereof (in the case of the update and supplement required to be made as of ten (10) business days prior to the meeting or any adjournment or postponement thereof), and promptly notify the Corporation of any inaccuracy or material change in any information previously provided to the Corporation (and in any event within 48 hours of becoming aware of such inaccuracy or change). No supplement or update made pursuant to this </w:t>
      </w:r>
      <w:r>
        <w:rPr>
          <w:rFonts w:ascii="Times New Roman" w:cs="Times New Roman" w:eastAsia="Times New Roman" w:hAnsi="Times New Roman"/>
          <w:sz w:val="22"/>
          <w:szCs w:val="22"/>
          <w:u w:val="single" w:color="auto"/>
          <w:color w:val="auto"/>
        </w:rPr>
        <w:t>Section 2.9(A)(5)</w:t>
      </w:r>
      <w:r>
        <w:rPr>
          <w:rFonts w:ascii="Times New Roman" w:cs="Times New Roman" w:eastAsia="Times New Roman" w:hAnsi="Times New Roman"/>
          <w:sz w:val="22"/>
          <w:szCs w:val="22"/>
          <w:color w:val="auto"/>
        </w:rPr>
        <w:t xml:space="preserve"> may include any new nominees or other items of business not set forth in the original stockholder notice after the notice deadlines have expired or be deemed to cure any defects or limit the remedies available to the Corporation relating to any defect.</w:t>
      </w:r>
    </w:p>
    <w:p>
      <w:pPr>
        <w:spacing w:after="0" w:line="20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Meetings of Stockholders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a notice of meeting (1) by or at the direction of the Board or any duly authorized committee thereof or (2) provided that the Board has determined that directors shall be elected at such meeting, by any stockholder of the Corporation who (a) is a stockholder of record at the time of giving of notice provided for in these Bylaws and at the time of the special meeting, (b) is entitled to vote at the meeting, and (c) complies with the notice procedures set forth in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of these Bylaws. In the event a special meeting of stockholders is called for the purpose of electing one or more directors to the Board, any such stockholder may nominate a person or persons (as the case may be), for election to such position(s) as specified in the Corporation’s notice of meeting, if the stockholder’s notice required by </w:t>
      </w:r>
      <w:r>
        <w:rPr>
          <w:rFonts w:ascii="Times New Roman" w:cs="Times New Roman" w:eastAsia="Times New Roman" w:hAnsi="Times New Roman"/>
          <w:sz w:val="22"/>
          <w:szCs w:val="22"/>
          <w:u w:val="single" w:color="auto"/>
          <w:color w:val="auto"/>
        </w:rPr>
        <w:t>Section 2.9(A)(2)</w:t>
      </w:r>
      <w:r>
        <w:rPr>
          <w:rFonts w:ascii="Times New Roman" w:cs="Times New Roman" w:eastAsia="Times New Roman" w:hAnsi="Times New Roman"/>
          <w:sz w:val="22"/>
          <w:szCs w:val="22"/>
          <w:color w:val="auto"/>
        </w:rPr>
        <w:t xml:space="preserve"> of these Bylaws with respect to any nomination (including the completed and signed questionnaire, representation and agreement required by </w:t>
      </w:r>
      <w:r>
        <w:rPr>
          <w:rFonts w:ascii="Times New Roman" w:cs="Times New Roman" w:eastAsia="Times New Roman" w:hAnsi="Times New Roman"/>
          <w:sz w:val="22"/>
          <w:szCs w:val="22"/>
          <w:u w:val="single" w:color="auto"/>
          <w:color w:val="auto"/>
        </w:rPr>
        <w:t>Section 2.9(A)(4)</w:t>
      </w:r>
      <w:r>
        <w:rPr>
          <w:rFonts w:ascii="Times New Roman" w:cs="Times New Roman" w:eastAsia="Times New Roman" w:hAnsi="Times New Roman"/>
          <w:sz w:val="22"/>
          <w:szCs w:val="22"/>
          <w:color w:val="auto"/>
        </w:rPr>
        <w:t xml:space="preserve"> of these Bylaws) shall be delivered to the Secretary at the principal executive offices of the Corporation not earlier than the close of business on the one hundred twentieth (120th) day prior to such special meeting and not later than the close of business on the later of the ninetieth (90th) day prior to such special meeting or, if the first public announcement of the date of such special meeting is less than one hundred (100) days prior to the date of such special meeting, the tenth (10th) day following the day on which public announcement is first made of the date of the special meeting and of the nominees proposed by the Board to be elected at such meeting. In no event shall the public announcement of an adjournment or postponement of a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commence a new time period (or extend any time period) for the giving of a stockholder’s notice as described above.</w:t>
      </w:r>
    </w:p>
    <w:p>
      <w:pPr>
        <w:spacing w:after="0" w:line="220" w:lineRule="exact"/>
        <w:rPr>
          <w:sz w:val="20"/>
          <w:szCs w:val="20"/>
          <w:color w:val="auto"/>
        </w:rPr>
      </w:pPr>
    </w:p>
    <w:p>
      <w:pPr>
        <w:ind w:left="1940" w:hanging="636"/>
        <w:spacing w:after="0"/>
        <w:tabs>
          <w:tab w:leader="none" w:pos="19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599"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such persons who are nominated in accordance with the procedures set forth in these Bylaws shall be eligible to serve as directors, and only such business shall be conducted at a meeting of stockholders as shall have been brought before the meeting in accordance with the procedures set forth in these Bylaws. Except as otherwise provided by law, the Certificate of Incorporation or these Bylaws, the chairperson of the meeting shall have the power and duty to determine whether a nomination or any business proposed to be brought before the meeting was made or proposed, as the case may be, in accordance with applicable law and the procedures set forth in these Bylaws and, if any proposed nomination or business is not in compliance with applicable law or these Bylaws, to declare that such defective proposal or nomination shall be disregarded.</w:t>
      </w:r>
    </w:p>
    <w:p>
      <w:pPr>
        <w:spacing w:after="0" w:line="186" w:lineRule="exact"/>
        <w:rPr>
          <w:rFonts w:ascii="Times New Roman" w:cs="Times New Roman" w:eastAsia="Times New Roman" w:hAnsi="Times New Roman"/>
          <w:sz w:val="22"/>
          <w:szCs w:val="22"/>
          <w:color w:val="auto"/>
        </w:rPr>
      </w:pPr>
    </w:p>
    <w:p>
      <w:pPr>
        <w:jc w:val="both"/>
        <w:ind w:left="660" w:firstLine="1292"/>
        <w:spacing w:after="0" w:line="249" w:lineRule="auto"/>
        <w:tabs>
          <w:tab w:leader="none" w:pos="2599"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these Bylaws, “public announcement” shall mean disclosure in a press release reported by Dow Jones News Service, the Associated Press, or any other national news service or in a document publicly filed by the Corporation with the Securities and Exchange Commission pursuant to Section 13, 14 or 15(d) of the Exchange Act and the rules and regulations promulgated thereunder, and “Stockholder Associated Person” shall mean, for any stockholder, (a) any person or entity controlling, directly or indirectly, or acting in concert with, such stockholder, (b) any beneficial owner of shares of stock of the Corporation owned of record or beneficially by such stockholder or (c) any person or entity controlling, controlled by or under common control with any person or entity referred to in the preceding clauses (a) or (b).</w:t>
      </w:r>
    </w:p>
    <w:p>
      <w:pPr>
        <w:spacing w:after="0" w:line="181"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599"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stockholder or beneficial owner, if any, or any of their respective affiliates, associates, or others acting in concert therewith, directly or indirectly soliciting proxies for the election of directors must use a proxy card color other than white, which shall be reserved for exclusive use by the Corporation.</w:t>
      </w:r>
    </w:p>
    <w:p>
      <w:pPr>
        <w:spacing w:after="0" w:line="167"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599"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stockholder or beneficial owner, if any, or any of their respective affiliates, associates, or others acting in concert therewith intend to solicit proxies in support of any director nominee other than the Corporation’s nominees, such person shall, in addition to the requirements in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of these Bylaws:</w:t>
      </w:r>
    </w:p>
    <w:p>
      <w:pPr>
        <w:spacing w:after="0" w:line="186" w:lineRule="exact"/>
        <w:rPr>
          <w:rFonts w:ascii="Times New Roman" w:cs="Times New Roman" w:eastAsia="Times New Roman" w:hAnsi="Times New Roman"/>
          <w:sz w:val="22"/>
          <w:szCs w:val="22"/>
          <w:color w:val="auto"/>
        </w:rPr>
      </w:pPr>
    </w:p>
    <w:p>
      <w:pPr>
        <w:jc w:val="both"/>
        <w:ind w:left="660" w:firstLine="1940"/>
        <w:spacing w:after="0" w:line="257" w:lineRule="auto"/>
        <w:tabs>
          <w:tab w:leader="none" w:pos="3249" w:val="left"/>
        </w:tabs>
        <w:numPr>
          <w:ilvl w:val="2"/>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deliver to the Corporation, no later than the earlier of the time provided in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of these Bylaws or the time provided in Rule 14a-19 of the Exchange Act, the notice and other information required in Rule 14a-19 of the Exchange Act; and</w:t>
      </w:r>
    </w:p>
    <w:p>
      <w:pPr>
        <w:spacing w:after="0" w:line="172" w:lineRule="exact"/>
        <w:rPr>
          <w:rFonts w:ascii="Times New Roman" w:cs="Times New Roman" w:eastAsia="Times New Roman" w:hAnsi="Times New Roman"/>
          <w:sz w:val="22"/>
          <w:szCs w:val="22"/>
          <w:color w:val="auto"/>
        </w:rPr>
      </w:pPr>
    </w:p>
    <w:p>
      <w:pPr>
        <w:ind w:left="660" w:firstLine="1940"/>
        <w:spacing w:after="0" w:line="271" w:lineRule="auto"/>
        <w:tabs>
          <w:tab w:leader="none" w:pos="3247" w:val="left"/>
        </w:tabs>
        <w:numPr>
          <w:ilvl w:val="2"/>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to the Corporation, no later than five (5) business days prior to the applicable meeting of stockholders, reasonable evidence that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98" w:lineRule="exact"/>
        <w:rPr>
          <w:sz w:val="20"/>
          <w:szCs w:val="20"/>
          <w:color w:val="auto"/>
        </w:rPr>
      </w:pPr>
    </w:p>
    <w:p>
      <w:pPr>
        <w:ind w:left="440"/>
        <w:spacing w:after="0" w:line="271" w:lineRule="auto"/>
        <w:rPr>
          <w:sz w:val="20"/>
          <w:szCs w:val="20"/>
          <w:color w:val="auto"/>
        </w:rPr>
      </w:pPr>
      <w:r>
        <w:rPr>
          <w:rFonts w:ascii="Times New Roman" w:cs="Times New Roman" w:eastAsia="Times New Roman" w:hAnsi="Times New Roman"/>
          <w:sz w:val="22"/>
          <w:szCs w:val="22"/>
          <w:color w:val="auto"/>
        </w:rPr>
        <w:t>(including any others acting in concert with it) has met the requirements of Rule 14a-19 of the Exchange Act with respect to such nominees.</w:t>
      </w:r>
    </w:p>
    <w:p>
      <w:pPr>
        <w:spacing w:after="0" w:line="158" w:lineRule="exact"/>
        <w:rPr>
          <w:sz w:val="20"/>
          <w:szCs w:val="20"/>
          <w:color w:val="auto"/>
        </w:rPr>
      </w:pPr>
    </w:p>
    <w:p>
      <w:pPr>
        <w:jc w:val="both"/>
        <w:ind w:left="440" w:hanging="4"/>
        <w:spacing w:after="0" w:line="272" w:lineRule="auto"/>
        <w:tabs>
          <w:tab w:leader="none" w:pos="1085"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required by law, if any stockholder (1) provides notice pursuant to Rule 14a-19(b) of the Exchange Act and (2) subsequently fails to comply with any requirement of Rule 14a-19 of the Exchange Act or any other rules or regulations thereunder or fails timely to provide the evidence described in the preceding clause (b), then the Corporation shall disregard any proxies or votes solicited for such nominees, and such nominations shall be disregarded.</w:t>
      </w:r>
    </w:p>
    <w:p>
      <w:pPr>
        <w:spacing w:after="0" w:line="160" w:lineRule="exact"/>
        <w:rPr>
          <w:rFonts w:ascii="Times New Roman" w:cs="Times New Roman" w:eastAsia="Times New Roman" w:hAnsi="Times New Roman"/>
          <w:sz w:val="21"/>
          <w:szCs w:val="21"/>
          <w:color w:val="auto"/>
        </w:rPr>
      </w:pPr>
    </w:p>
    <w:p>
      <w:pPr>
        <w:jc w:val="both"/>
        <w:ind w:left="440" w:firstLine="1292"/>
        <w:spacing w:after="0" w:line="259" w:lineRule="auto"/>
        <w:tabs>
          <w:tab w:leader="none" w:pos="2379"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provisions of these Bylaws, a stockholder shall also comply with all applicable requirements of the Exchange Act and the rules and regulations thereunder with respect to the matters set forth in these Bylaws; provided, however, that any references in these Bylaws to the Exchange Act or the rules promulgated thereunder are not intended to and shall not limit the requirements applicable to nominations or proposals as to any other business to be considered pursuant to </w:t>
      </w:r>
      <w:r>
        <w:rPr>
          <w:rFonts w:ascii="Times New Roman" w:cs="Times New Roman" w:eastAsia="Times New Roman" w:hAnsi="Times New Roman"/>
          <w:sz w:val="21"/>
          <w:szCs w:val="21"/>
          <w:u w:val="single" w:color="auto"/>
          <w:color w:val="auto"/>
        </w:rPr>
        <w:t>Section 2.9(A)(1)(d)</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2.9(B)</w:t>
      </w:r>
      <w:r>
        <w:rPr>
          <w:rFonts w:ascii="Times New Roman" w:cs="Times New Roman" w:eastAsia="Times New Roman" w:hAnsi="Times New Roman"/>
          <w:sz w:val="21"/>
          <w:szCs w:val="21"/>
          <w:color w:val="auto"/>
        </w:rPr>
        <w:t xml:space="preserve"> of these Bylaws. Nothing in these Bylaws shall be deemed to affect any rights (a) of stockholders to request inclusion of nominations or proposals in the Corporation’s proxy statement pursuant to the mandatory provisions under the Exchange Act and the rules and regulations thereunder, subject, in each case, to compliance with those provisions of these Bylaws that are permitted under such mandatory provisions or</w:t>
      </w:r>
    </w:p>
    <w:p>
      <w:pPr>
        <w:spacing w:after="0" w:line="6" w:lineRule="exact"/>
        <w:rPr>
          <w:rFonts w:ascii="Times New Roman" w:cs="Times New Roman" w:eastAsia="Times New Roman" w:hAnsi="Times New Roman"/>
          <w:sz w:val="21"/>
          <w:szCs w:val="21"/>
          <w:color w:val="auto"/>
        </w:rPr>
      </w:pPr>
    </w:p>
    <w:p>
      <w:pPr>
        <w:ind w:left="440" w:hanging="4"/>
        <w:spacing w:after="0" w:line="259" w:lineRule="auto"/>
        <w:tabs>
          <w:tab w:leader="none" w:pos="7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holders of any series of Preferred Stock to elect directors if and to the extent provided for under law, the Certificate of Incorporation or these Bylaws.</w:t>
      </w:r>
    </w:p>
    <w:p>
      <w:pPr>
        <w:spacing w:after="0" w:line="170" w:lineRule="exact"/>
        <w:rPr>
          <w:rFonts w:ascii="Times New Roman" w:cs="Times New Roman" w:eastAsia="Times New Roman" w:hAnsi="Times New Roman"/>
          <w:sz w:val="22"/>
          <w:szCs w:val="22"/>
          <w:color w:val="auto"/>
        </w:rPr>
      </w:pPr>
    </w:p>
    <w:p>
      <w:pPr>
        <w:jc w:val="both"/>
        <w:ind w:left="440" w:firstLine="1292"/>
        <w:spacing w:after="0" w:line="249" w:lineRule="auto"/>
        <w:tabs>
          <w:tab w:leader="none" w:pos="2379"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provisions of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unless otherwise required by law,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and counted for purposes of determining a quorum. For purposes of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83" w:lineRule="exact"/>
        <w:rPr>
          <w:rFonts w:ascii="Times New Roman" w:cs="Times New Roman" w:eastAsia="Times New Roman" w:hAnsi="Times New Roman"/>
          <w:sz w:val="22"/>
          <w:szCs w:val="22"/>
          <w:color w:val="auto"/>
        </w:rPr>
      </w:pPr>
    </w:p>
    <w:p>
      <w:pPr>
        <w:jc w:val="both"/>
        <w:ind w:left="440" w:firstLine="1292"/>
        <w:spacing w:after="0" w:line="253" w:lineRule="auto"/>
        <w:tabs>
          <w:tab w:leader="none" w:pos="2379"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Board determines that any requirement in these Bylaws or any other applicable legal requirement has not been satisfied as to any director nomination or other item of business proposed to be brought before any stockholder meeting, then the proposed nominee or business shall not be transacted at the meeting and that, as part of the determination of the Board (and prior to the end of any applicable period during which the stockholders may submit notice of nominations 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020"/>
          </w:cols>
          <w:pgMar w:left="540" w:top="1440" w:right="339" w:bottom="1440" w:gutter="0" w:footer="0" w:header="0"/>
        </w:sectPr>
      </w:pPr>
    </w:p>
    <w:bookmarkStart w:id="179" w:name="page180"/>
    <w:bookmarkEnd w:id="179"/>
    <w:p>
      <w:pPr>
        <w:spacing w:after="0" w:line="198"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proposals), the Board, in its sole discretion, may elect to provide stockholders proposing such nomination or business proposals an opportunity to cure any deficiencies in connection with their respective notice.</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2.10</w:t>
      </w:r>
      <w:r>
        <w:rPr>
          <w:sz w:val="20"/>
          <w:szCs w:val="20"/>
          <w:color w:val="auto"/>
        </w:rPr>
        <w:tab/>
      </w:r>
      <w:r>
        <w:rPr>
          <w:rFonts w:ascii="Times New Roman" w:cs="Times New Roman" w:eastAsia="Times New Roman" w:hAnsi="Times New Roman"/>
          <w:sz w:val="21"/>
          <w:szCs w:val="21"/>
          <w:u w:val="single" w:color="auto"/>
          <w:color w:val="auto"/>
        </w:rPr>
        <w:t>Conduct of Business; Opening and Closing of the Polls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52" w:lineRule="auto"/>
        <w:tabs>
          <w:tab w:leader="none" w:pos="193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Meetings of stockholders shall be presided over by the Chairman of the Board, if any, or in the Chairman’s absence, by a chairperson designated by the Board or, in the absence of such chairperson, by the Chief Executive Officer. The Secretary shall act as secretary of the meeting, but in the Secretary’s absence the chairperson of the meeting may appoint any person to act as secretary of the meeting.</w:t>
      </w:r>
    </w:p>
    <w:p>
      <w:pPr>
        <w:spacing w:after="0" w:line="179"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35"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date and time of the opening and the closing of the polls for each matter upon which the stockholders will vote at a meeting shall be announced at the meeting by the chairperson of the meeting. The Board may adopt by resolution such rules and regulations for the conduct of the meeting of stockholders as it shall deem appropriate. Except to the extent inconsistent with such rules and regulations as adopted by the Board, the chairperson of the meeting shall have the right and authority to convene and (for any or no reason) recess and/or adjourn the meeting, and prescribe such rules, regulations and procedures and to do all such acts as, in the judgment of such chairperson, are appropriate for the proper conduct of the meeting. Such rules, regulations or procedures, whether adopted by the Board or prescribed by the chairperson of the meeting, may include, without limitation, the following: (1) the establishment of an agenda or order of business for the meeting; (2) rules and procedures for maintaining order at the meeting and the safety of those present; (3) limitations on attendance at or participation in the meeting to stockholders entitled to vote at the meeting, their duly authorized and constituted proxies or such other persons as the chairperson of the meeting shall determine; (4) restrictions on entry to the meeting after the time fixed for the commencement thereof; and (5) limitations on the time allotted to questions or comments by participants. The chairperson of the meeting, in addition to making any other determinations that may be appropriate to the conduct of the meeting, shall, if the facts warrant, and regardless of whether the Board has made a determination pursuant to </w:t>
      </w:r>
      <w:r>
        <w:rPr>
          <w:rFonts w:ascii="Times New Roman" w:cs="Times New Roman" w:eastAsia="Times New Roman" w:hAnsi="Times New Roman"/>
          <w:sz w:val="21"/>
          <w:szCs w:val="21"/>
          <w:u w:val="single" w:color="auto"/>
          <w:color w:val="auto"/>
        </w:rPr>
        <w:t>Section 2.9(C)(7)</w:t>
      </w:r>
      <w:r>
        <w:rPr>
          <w:rFonts w:ascii="Times New Roman" w:cs="Times New Roman" w:eastAsia="Times New Roman" w:hAnsi="Times New Roman"/>
          <w:sz w:val="21"/>
          <w:szCs w:val="21"/>
          <w:color w:val="auto"/>
        </w:rPr>
        <w:t>, determine and declare to the meeting that a matter or business was not properly brought before the meeting and if such chairperson should so determine, such chairperson shall so declare to the meeting and any such matter or business not properly brought before the meeting shall not be transacted or considered. Unless and to the extent determined by the Board or the chairperson of the meeting, meetings of stockholders shall not be required to be held in accordance with the rules of parliamentary procedure.</w:t>
      </w:r>
    </w:p>
    <w:p>
      <w:pPr>
        <w:spacing w:after="0" w:line="200" w:lineRule="exact"/>
        <w:rPr>
          <w:sz w:val="20"/>
          <w:szCs w:val="20"/>
          <w:color w:val="auto"/>
        </w:rPr>
      </w:pPr>
    </w:p>
    <w:p>
      <w:pPr>
        <w:spacing w:after="0" w:line="24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auto"/>
        </w:rPr>
        <w:t>Section 2.11</w:t>
      </w:r>
      <w:r>
        <w:rPr>
          <w:sz w:val="20"/>
          <w:szCs w:val="20"/>
          <w:color w:val="auto"/>
        </w:rPr>
        <w:tab/>
      </w:r>
      <w:r>
        <w:rPr>
          <w:rFonts w:ascii="Times New Roman" w:cs="Times New Roman" w:eastAsia="Times New Roman" w:hAnsi="Times New Roman"/>
          <w:sz w:val="21"/>
          <w:szCs w:val="21"/>
          <w:u w:val="single" w:color="auto"/>
          <w:color w:val="auto"/>
        </w:rPr>
        <w:t>Procedure for Election of Directors; Required Vote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A nominee for director shall be elected to the Board by a plurality of the validly cast votes represented in person or by proxy with respect to their election. Votes are valid only if the voting stockholder is entitled to vote the voted shares at the meeting on such election of directors and a quorum is present. Stockholders shall not be permitted to vote “against” a nominee. The rights of stockholders to elect directors in this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are subject to the rights of holders of any series of Preferred Stock under circumstances specified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98"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Unless otherwise provided by law, the Certificate of Incorporation or in the certificate of designation for any series of Preferred Stock, each stockholder shall be entitled to one vote for each outstanding share of capital stock of the Corporation held by such stockholder. Except as otherwise provided by law, the rules and regulations of any stock exchange applicable to the Corporation, the Certificate of Incorporation, or these Bylaws, in all matters other than the election of directors and certain non-binding advisory votes described below, the affirmative vote of a majority in voting power of the shares present in person or represented by proxy at the meeting and entitled to vote on the matter shall be the act of the stockholders. In non-binding advisory matters with more than two possible vote choices, the affirmative vote of a plurality of the shares present in person or represented by proxy at the meeting and entitled to vote on the matter shall be the recommendation of the stockholders.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Unless otherwise provided in the Certificate of Incorporation, cumulative voting for the election of directors shall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 prohibited.</w:t>
      </w:r>
    </w:p>
    <w:p>
      <w:pPr>
        <w:spacing w:after="0" w:line="19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Section 2.12 </w:t>
      </w:r>
      <w:r>
        <w:rPr>
          <w:rFonts w:ascii="Times New Roman" w:cs="Times New Roman" w:eastAsia="Times New Roman" w:hAnsi="Times New Roman"/>
          <w:sz w:val="21"/>
          <w:szCs w:val="21"/>
          <w:u w:val="single" w:color="auto"/>
          <w:color w:val="auto"/>
        </w:rPr>
        <w:t>Treasury Stock</w:t>
      </w:r>
      <w:r>
        <w:rPr>
          <w:rFonts w:ascii="Times New Roman" w:cs="Times New Roman" w:eastAsia="Times New Roman" w:hAnsi="Times New Roman"/>
          <w:sz w:val="21"/>
          <w:szCs w:val="21"/>
          <w:color w:val="auto"/>
        </w:rPr>
        <w:t>. The Corporation shall not vote, directly or indirectly, shares of its own stock owned by it or any other corporation, if a majority of shares entitled to vote in the election of directors of such corporation is held, directly or indirectly by the Corporation, and such shares will not be counted for quorum purposes; provided, however, that the foregoing shall not limit the right of the Corporation or such other corporation, to vote stock of the Corporation held in a fiduciary capacity.</w:t>
      </w:r>
    </w:p>
    <w:p>
      <w:pPr>
        <w:spacing w:after="0" w:line="17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2.13 </w:t>
      </w:r>
      <w:r>
        <w:rPr>
          <w:rFonts w:ascii="Times New Roman" w:cs="Times New Roman" w:eastAsia="Times New Roman" w:hAnsi="Times New Roman"/>
          <w:sz w:val="21"/>
          <w:szCs w:val="21"/>
          <w:u w:val="single" w:color="auto"/>
          <w:color w:val="auto"/>
        </w:rPr>
        <w:t>Inspectors of Elections</w:t>
      </w:r>
      <w:r>
        <w:rPr>
          <w:rFonts w:ascii="Times New Roman" w:cs="Times New Roman" w:eastAsia="Times New Roman" w:hAnsi="Times New Roman"/>
          <w:sz w:val="21"/>
          <w:szCs w:val="21"/>
          <w:color w:val="auto"/>
        </w:rPr>
        <w:t>. At any meeting at which a vote is taken by ballots, the Board by resolution may, and when required by law, shall, appoint one or more inspectors, which inspector or inspectors may include individuals who serve the Corporation in other capacities, including, without limitation, as officers, employees, agents or representatives, to act at the meetings of stockholders and make a written report thereof; provided that no candidate for the office of director shall be appointed as an inspector. One or more persons may be designated as alternate inspectors to replace any inspector who fails to act. If no inspector or alternate has been appointed to act or is able to act at a meeting of stockholders and the appointment of an inspector is required by law, the chairperson of the meeting shall appoint one or more inspectors to act at the meeting. Each inspector, before discharging his or her duties, shall take and sign an oath to faithfully execute the duties of inspector with strict impartiality and according to the best of his or her ability. The inspectors shall have the duties prescribed by law. Such inspectors shall ascertain the number of shares of capital stock of the Corporation outstanding and the voting power of each such share, determine the shares of capital stock of the Corporation represented at the meeting and the validity of proxies and ballots, count all votes and ballots, determine and retain for a reasonable period a record of the disposition of any challenges made to any determination by the inspectors, and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2.14 </w:t>
      </w:r>
      <w:r>
        <w:rPr>
          <w:rFonts w:ascii="Times New Roman" w:cs="Times New Roman" w:eastAsia="Times New Roman" w:hAnsi="Times New Roman"/>
          <w:sz w:val="22"/>
          <w:szCs w:val="22"/>
          <w:u w:val="single" w:color="auto"/>
          <w:color w:val="auto"/>
        </w:rPr>
        <w:t>No Stockholder Action by Written Consent</w:t>
      </w:r>
      <w:r>
        <w:rPr>
          <w:rFonts w:ascii="Times New Roman" w:cs="Times New Roman" w:eastAsia="Times New Roman" w:hAnsi="Times New Roman"/>
          <w:sz w:val="22"/>
          <w:szCs w:val="22"/>
          <w:color w:val="auto"/>
        </w:rPr>
        <w:t>. Subject to the rights of holders of any series of Preferred Stock with respect to such series of Preferred Stock, any action required or permitted to be taken by the stockholders of the Corporation must be taken at a duly held annual or special meeting of stockholders and may not be taken by any consent in writing of such stockholders.</w:t>
      </w:r>
    </w:p>
    <w:p>
      <w:pPr>
        <w:spacing w:after="0" w:line="17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Article III</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BOARD OF DIRECTORS</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General Powers</w:t>
      </w:r>
      <w:r>
        <w:rPr>
          <w:rFonts w:ascii="Times New Roman" w:cs="Times New Roman" w:eastAsia="Times New Roman" w:hAnsi="Times New Roman"/>
          <w:sz w:val="22"/>
          <w:szCs w:val="22"/>
          <w:color w:val="auto"/>
        </w:rPr>
        <w:t>. Except as otherwise provided in the Delaware General Corporation Law, the business and affairs of the Corporation shall be managed by or under the direction of the Board. The directors shall act only as a Board, and the individual directors shall have no power as such.</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Number, Tenure and Qualifications</w:t>
      </w:r>
      <w:r>
        <w:rPr>
          <w:rFonts w:ascii="Times New Roman" w:cs="Times New Roman" w:eastAsia="Times New Roman" w:hAnsi="Times New Roman"/>
          <w:sz w:val="22"/>
          <w:szCs w:val="22"/>
          <w:color w:val="auto"/>
        </w:rPr>
        <w:t>. Subject to the rights of the holders of any series of Preferred Stock to elect directors under specified circumstances, the number of directors shall initially be nine and shall be fixed from time to time exclusively pursuant to a resolution adopted by the Board. The term of office of directors shall be until the next annual meeting of stockholders, with each director to hold office until his or her successor shall have been duly elected and qualified or until his or her earlier death, retirement, resignation, disqualification or removal. Directors need not be stockholders.</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u w:val="single" w:color="auto"/>
          <w:color w:val="auto"/>
        </w:rPr>
        <w:t>Regular Meetings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regular meetings of the Board shall be held on such dates, and at such times and places, if any, or by remote communication, as are determined from time to time by resolution of the Board.</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3.4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Board shall be called at the request of the Chairman of the Board, the Chief Executive Officer, or a majority of the Board then in office. The person or persons authorized to call special meetings of the Board may fix the place, if any, and time of the meetings. Any business may be conducted at a special meeting of the Board.</w:t>
      </w:r>
    </w:p>
    <w:p>
      <w:pPr>
        <w:spacing w:after="0" w:line="1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Notice of any meeting of directors shall be given to each director at his or her business or residence in writing by hand delivery, first-class or overnight mail or courier service, or facsimile transmission, electronic transmission or orally by telephone. If mailed by first-class mail, such notice shall be deemed adequately delivered when deposited in the United States mails so addressed, with postage thereon prepaid, at least five (5) days before such meeting. If by overnight mail or courier service, such notice shall be deemed adequately delivered when the notice is delivered to the overnight mail or courier service company at least twenty-four (24) hours before such meeting. If by facsimile or electronic transmission, such notice shall be deemed adequately delivered when the notice is transmitted at least twenty-four (24) hours before such meeting. If by telephone or by hand delivery, the notice shall be given at least twenty-four (24) hours prior to the time set for the meeting and shall be confirmed by facsimile or electronic transmission that is sent promptly thereafter. Neither the business to be transacted at, nor the purpose of, any regular or special meeting of the Board need be specified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the notice of such meeting, except for amendments to these Bylaws, as provided under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A meeting may be held at any time without notice if notice is waived in accordance with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of these Bylaws.</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3.6 </w:t>
      </w:r>
      <w:r>
        <w:rPr>
          <w:rFonts w:ascii="Times New Roman" w:cs="Times New Roman" w:eastAsia="Times New Roman" w:hAnsi="Times New Roman"/>
          <w:sz w:val="22"/>
          <w:szCs w:val="22"/>
          <w:u w:val="single" w:color="auto"/>
          <w:color w:val="auto"/>
        </w:rPr>
        <w:t>Action by Unanimous Written Consent of Board</w:t>
      </w:r>
      <w:r>
        <w:rPr>
          <w:rFonts w:ascii="Times New Roman" w:cs="Times New Roman" w:eastAsia="Times New Roman" w:hAnsi="Times New Roman"/>
          <w:sz w:val="22"/>
          <w:szCs w:val="22"/>
          <w:color w:val="auto"/>
        </w:rPr>
        <w:t>.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consent shall have the same force and effect as a unanimous vote at a meeting, and may be stated as such in any document or instrument filed with the Secretary of State of Delaware.</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3.7 </w:t>
      </w:r>
      <w:r>
        <w:rPr>
          <w:rFonts w:ascii="Times New Roman" w:cs="Times New Roman" w:eastAsia="Times New Roman" w:hAnsi="Times New Roman"/>
          <w:sz w:val="22"/>
          <w:szCs w:val="22"/>
          <w:u w:val="single" w:color="auto"/>
          <w:color w:val="auto"/>
        </w:rPr>
        <w:t>Meetings by Remote Communication</w:t>
      </w:r>
      <w:r>
        <w:rPr>
          <w:rFonts w:ascii="Times New Roman" w:cs="Times New Roman" w:eastAsia="Times New Roman" w:hAnsi="Times New Roman"/>
          <w:sz w:val="22"/>
          <w:szCs w:val="22"/>
          <w:color w:val="auto"/>
        </w:rPr>
        <w:t>. Members of the Board, or any committee thereof, may participate in a meeting of the Board or such committee by means of conference telephone, videoconference or other communications equipment by means of which all persons participating in the meeting can hear each other, and such participation in a meeting shall constitute presence in person at such meeting.</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3.8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xml:space="preserve">, a number of directors equal to at least a majority of the Board shall constitute a quorum for the transaction of business, but if at any meeting of the Board there shall be less than a quorum present, a majority of the directors present may adjourn the meeting from time to time without further notice; provided, that (A) if the date, time and place, if any, of the adjourned meeting are not announced at the time of adjournment, then notice conforming to the requirements of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of these Bylaws shall be given to each director, and (B) if the meeting is adjourned for more than twenty-four (24) hours, then the notice referred to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shall be given to those directors not present at the announcement of the date, time and place of the adjourned meeting. The act of the majority of the directors present at a meeting at which a quorum is present shall be the act of the Board.</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3.9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Subject to the rights of holders of any series of Preferred Stock, any newly created directorship that results from an increase in the number of directors or any vacancy on the Board that results from the death, retirement, resignation, disqualification or removal of any director or from any other cause may only be filled by the affirmative vote of a majority of the total number of directors then in office, even if less than a quorum, or by a sole remaining director and shall not be filled by the stockholders. Any director elected to fill a vacancy not resulting from an increase in the number of directors shall hold office until the next annual meeting of stockholders. If there are no directors in office, then an election of directors may be held in accordance with the Delaware General Corporation Law. No decrease in the number of authorized directors constituting the Board shall shorten the term of any incumbent director.</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3.10</w:t>
      </w:r>
      <w:r>
        <w:rPr>
          <w:sz w:val="20"/>
          <w:szCs w:val="20"/>
          <w:color w:val="auto"/>
        </w:rPr>
        <w:tab/>
      </w:r>
      <w:r>
        <w:rPr>
          <w:rFonts w:ascii="Times New Roman" w:cs="Times New Roman" w:eastAsia="Times New Roman" w:hAnsi="Times New Roman"/>
          <w:sz w:val="21"/>
          <w:szCs w:val="21"/>
          <w:u w:val="single" w:color="auto"/>
          <w:color w:val="auto"/>
        </w:rPr>
        <w:t>Removal</w:t>
      </w:r>
      <w:r>
        <w:rPr>
          <w:rFonts w:ascii="Times New Roman" w:cs="Times New Roman" w:eastAsia="Times New Roman" w:hAnsi="Times New Roman"/>
          <w:sz w:val="21"/>
          <w:szCs w:val="21"/>
          <w:color w:val="auto"/>
        </w:rPr>
        <w:t>. The removal of directors shall be as set forth in the Certificate of Incorporation.</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The Board shall cause to be kept a record containing the minutes of the proceedings of the meetings of the Board and of the stockholders, appropriate stock books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9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and registers and such books of records and accounts as may be necessary for the proper conduct of the business of the Corporation.</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Unless otherwise restricted by the Certificate of Incorporation or these Bylaws, the Board shall have authority to fix the compensation of directors, including fees and reimbursement of expenses. The Corporation will cause each non-employee director serving on the Board to be reimbursed for all reasonable out-of-pocket costs and expenses incurred by him or her in connection with such service.</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3.13 </w:t>
      </w:r>
      <w:r>
        <w:rPr>
          <w:rFonts w:ascii="Times New Roman" w:cs="Times New Roman" w:eastAsia="Times New Roman" w:hAnsi="Times New Roman"/>
          <w:sz w:val="22"/>
          <w:szCs w:val="22"/>
          <w:u w:val="single" w:color="auto"/>
          <w:color w:val="auto"/>
        </w:rPr>
        <w:t>Regulations</w:t>
      </w:r>
      <w:r>
        <w:rPr>
          <w:rFonts w:ascii="Times New Roman" w:cs="Times New Roman" w:eastAsia="Times New Roman" w:hAnsi="Times New Roman"/>
          <w:sz w:val="22"/>
          <w:szCs w:val="22"/>
          <w:color w:val="auto"/>
        </w:rPr>
        <w:t>. To the extent consistent with applicable law, the Certificate of Incorporation and these Bylaws, the Board may adopt such rules and regulations for the conduct of meetings of the Board and for the management of the affairs and business of the Corporation as the Board may deem appropriate.</w:t>
      </w:r>
    </w:p>
    <w:p>
      <w:pPr>
        <w:spacing w:after="0" w:line="1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Section 3.14 </w:t>
      </w:r>
      <w:r>
        <w:rPr>
          <w:rFonts w:ascii="Times New Roman" w:cs="Times New Roman" w:eastAsia="Times New Roman" w:hAnsi="Times New Roman"/>
          <w:sz w:val="21"/>
          <w:szCs w:val="21"/>
          <w:u w:val="single" w:color="auto"/>
          <w:color w:val="auto"/>
        </w:rPr>
        <w:t>Chairman of the Board</w:t>
      </w:r>
      <w:r>
        <w:rPr>
          <w:rFonts w:ascii="Times New Roman" w:cs="Times New Roman" w:eastAsia="Times New Roman" w:hAnsi="Times New Roman"/>
          <w:sz w:val="21"/>
          <w:szCs w:val="21"/>
          <w:color w:val="auto"/>
        </w:rPr>
        <w:t>. The Board may, if it so determines, choose a Chairman of the Board from among its members; provided, that the initial Chairman is not an officer of the Corporation. In addition, the Board may, if it so determines, choose a Vice Chairman of the Board from among its members, who shall undertake duties as the Board may assign; provided, that the initial Vice Chairman is not an officer of the Corporation. Among other duties, the Chairman of the Board will assist with, manage or delegate to the Vice Chairman of the Board, as appropriate, the following tasks: (i) acting as the principal liaison between the Corporation’s independent directors and the Chief Executive Officer; (ii) overseeing and providing guidance with regard to agendas for meetings of the Board; (iii) leading meetings of the Board, including executive sessions, but excluding any sessions with only independent directors, which shall be led by the Lead Director for any period in which the Chairman of the Board is not independent; and (iv) addressing any other responsibilities as the Board may designate, from time to time.</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3.15 </w:t>
      </w:r>
      <w:r>
        <w:rPr>
          <w:rFonts w:ascii="Times New Roman" w:cs="Times New Roman" w:eastAsia="Times New Roman" w:hAnsi="Times New Roman"/>
          <w:sz w:val="22"/>
          <w:szCs w:val="22"/>
          <w:u w:val="single" w:color="auto"/>
          <w:color w:val="auto"/>
        </w:rPr>
        <w:t>Preferred Stock Directors</w:t>
      </w:r>
      <w:r>
        <w:rPr>
          <w:rFonts w:ascii="Times New Roman" w:cs="Times New Roman" w:eastAsia="Times New Roman" w:hAnsi="Times New Roman"/>
          <w:sz w:val="22"/>
          <w:szCs w:val="22"/>
          <w:color w:val="auto"/>
        </w:rPr>
        <w:t xml:space="preserve">. Notwithstanding anything else contained herein, whenever the holders of one or more classes or series of Preferred Stock shall have the right, voting separately as a class or series, to elect directors, the election, term of office, filling of vacancies, removal and other features of such directorships shall be governed by the terms of the resolutions applicable thereto adopted by the Board pursuant to the Certificate of Incorporation, and such directors so elected shall not be subject to the provisions of </w:t>
      </w:r>
      <w:r>
        <w:rPr>
          <w:rFonts w:ascii="Times New Roman" w:cs="Times New Roman" w:eastAsia="Times New Roman" w:hAnsi="Times New Roman"/>
          <w:sz w:val="22"/>
          <w:szCs w:val="22"/>
          <w:u w:val="single" w:color="auto"/>
          <w:color w:val="auto"/>
        </w:rPr>
        <w:t>Sections 3.2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3.10</w:t>
      </w:r>
      <w:r>
        <w:rPr>
          <w:rFonts w:ascii="Times New Roman" w:cs="Times New Roman" w:eastAsia="Times New Roman" w:hAnsi="Times New Roman"/>
          <w:sz w:val="22"/>
          <w:szCs w:val="22"/>
          <w:color w:val="auto"/>
        </w:rPr>
        <w:t xml:space="preserve"> of this Article III unless otherwise provided therein.</w:t>
      </w:r>
    </w:p>
    <w:p>
      <w:pPr>
        <w:spacing w:after="0" w:line="17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Article IV</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COMMITTEES</w:t>
      </w:r>
    </w:p>
    <w:p>
      <w:pPr>
        <w:spacing w:after="0" w:line="22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Section 4.1 </w:t>
      </w:r>
      <w:r>
        <w:rPr>
          <w:rFonts w:ascii="Times New Roman" w:cs="Times New Roman" w:eastAsia="Times New Roman" w:hAnsi="Times New Roman"/>
          <w:sz w:val="21"/>
          <w:szCs w:val="21"/>
          <w:u w:val="single" w:color="auto"/>
          <w:color w:val="auto"/>
        </w:rPr>
        <w:t>Designation; Powers</w:t>
      </w:r>
      <w:r>
        <w:rPr>
          <w:rFonts w:ascii="Times New Roman" w:cs="Times New Roman" w:eastAsia="Times New Roman" w:hAnsi="Times New Roman"/>
          <w:sz w:val="21"/>
          <w:szCs w:val="21"/>
          <w:color w:val="auto"/>
        </w:rPr>
        <w:t>. The Board may designate one or more committees, each committee to consist of one or more of the directors of the Corporation. Any such committee, to the extent permitted by law and to the extent provided in the resolution of the Board, shall have and may exercise all the powers and authority of the Board in the management of the business and affairs of the Corporation, and may authorize the seal of the Corporation to be affixed to all papers which may require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9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4.2 </w:t>
      </w:r>
      <w:r>
        <w:rPr>
          <w:rFonts w:ascii="Times New Roman" w:cs="Times New Roman" w:eastAsia="Times New Roman" w:hAnsi="Times New Roman"/>
          <w:sz w:val="21"/>
          <w:szCs w:val="21"/>
          <w:u w:val="single" w:color="auto"/>
          <w:color w:val="auto"/>
        </w:rPr>
        <w:t>Procedure; Meetings; Quorum</w:t>
      </w:r>
      <w:r>
        <w:rPr>
          <w:rFonts w:ascii="Times New Roman" w:cs="Times New Roman" w:eastAsia="Times New Roman" w:hAnsi="Times New Roman"/>
          <w:sz w:val="21"/>
          <w:szCs w:val="21"/>
          <w:color w:val="auto"/>
        </w:rPr>
        <w:t xml:space="preserve">. Any committee designated pursuant to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xml:space="preserve"> shall choose its own chairperson by a majority vote of the members then in attendance in the event that the chairperson has not been selected by the Board, shall keep regular minutes of its proceedings and report the same to the Board when requested, and shall meet at such times and at such place or places as may be provided by the charter of such committee or by resolution of such committee or resolution of the Board. At every meeting of any such committee, the presence of a majority of all the members thereof shall constitute a quorum and the affirmative vote of a majority of the members present shall be necessary for the adoption by it of any resolution. The Board shall adopt a charter for each committee for which a charter is required by applicable laws, regulations or stock exchange rules, may adopt a charter for any other committee, and may adopt other rules and regulations for the governance of any committee not inconsistent with the provisions of these Bylaws or any such charter, and each committee may adopt its own rules and regulations of governance, to the extent not inconsistent with these Bylaws or any charter or other rules and regulations adopted by the Board. No committee shall have the power or authority in reference to the following matters:</w:t>
      </w:r>
    </w:p>
    <w:p>
      <w:pPr>
        <w:spacing w:after="0" w:line="6" w:lineRule="exact"/>
        <w:rPr>
          <w:sz w:val="20"/>
          <w:szCs w:val="20"/>
          <w:color w:val="auto"/>
        </w:rPr>
      </w:pPr>
    </w:p>
    <w:p>
      <w:pPr>
        <w:jc w:val="both"/>
        <w:ind w:firstLine="8"/>
        <w:spacing w:after="0" w:line="249" w:lineRule="auto"/>
        <w:tabs>
          <w:tab w:leader="none" w:pos="29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approving or adopting, or recommending to the stockholders, any action or matter expressly required by the Delaware General Corporation Law to be submitted to the stockholders for approval or (b) adopting, amending or repealing any Bylaw of the Corporation; provided, that a committee may have the power or authority to make recommendations to the full Board in reference to such matters.</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Substitution of Members</w:t>
      </w:r>
      <w:r>
        <w:rPr>
          <w:rFonts w:ascii="Times New Roman" w:cs="Times New Roman" w:eastAsia="Times New Roman" w:hAnsi="Times New Roman"/>
          <w:sz w:val="22"/>
          <w:szCs w:val="22"/>
          <w:color w:val="auto"/>
        </w:rPr>
        <w:t>. The Board may designate one or more directors as alternate members of any committee, who may replace any absent or disqualified member at any meeting of such committee. In the absence or disqualification of a member of a committee, the member or members present at any meeting and not disqualified from voting, whether or not constituting a quorum, may unanimously appoint another member of the Board to act at the meeting in the place of the absent or disqualified member.</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Audit Committee</w:t>
      </w:r>
      <w:r>
        <w:rPr>
          <w:rFonts w:ascii="Times New Roman" w:cs="Times New Roman" w:eastAsia="Times New Roman" w:hAnsi="Times New Roman"/>
          <w:sz w:val="22"/>
          <w:szCs w:val="22"/>
          <w:color w:val="auto"/>
        </w:rPr>
        <w:t>. So long as the Board is required by applicable law to designate an Audit Committee, such Audit Committee shall (i) adopt the Corporation’s policies and procedures with respect to related party transactions involving the Corporation and (ii) review and approve all related party transactions involving the Corporation pursuant to such policy.</w:t>
      </w:r>
    </w:p>
    <w:p>
      <w:pPr>
        <w:spacing w:after="0" w:line="19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color w:val="auto"/>
        </w:rPr>
        <w:t>Article V</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OFFICERS</w:t>
      </w:r>
    </w:p>
    <w:p>
      <w:pPr>
        <w:spacing w:after="0" w:line="22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Officers</w:t>
      </w:r>
      <w:r>
        <w:rPr>
          <w:rFonts w:ascii="Times New Roman" w:cs="Times New Roman" w:eastAsia="Times New Roman" w:hAnsi="Times New Roman"/>
          <w:sz w:val="22"/>
          <w:szCs w:val="22"/>
          <w:color w:val="auto"/>
        </w:rPr>
        <w:t>. The officers of the Corporation shall be a Chief Executive Officer, a Secretary, a Treasurer and such other officers as the Board from time to time may deem proper. All officers elected by the Board shall each have such powers and duties as generally pertain to their respective offices, subject to the specific provisions of this Article V. Such officers shall also have such powers and duties as from time to time may be conferred by the Board or by any committee thereof. In accordance with Article V of these Bylaws, the Board or any committee thereof may from time to time elect or appoint or, if duly authorized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Board, the Chief Executive Officer may appoint, such other officers (including one or more Vice Presidents, Assistant Secretaries and Assistant Treasurers) and such agents, as may be necessary or desirable for the conduct of the business of the Corporation. Such other officers and agents shall have such duties and shall hold their offices for such terms as shall be provided in these Bylaws or as may be prescribed by the Board or such committee thereof or, subject to due authorization by the Board, by the Chief Executive Officer. The Chief Executive Officer shall be a director of the Corporation for so long as that person is serving as Chief Executive Officer.</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Election and Term of Office</w:t>
      </w:r>
      <w:r>
        <w:rPr>
          <w:rFonts w:ascii="Times New Roman" w:cs="Times New Roman" w:eastAsia="Times New Roman" w:hAnsi="Times New Roman"/>
          <w:sz w:val="22"/>
          <w:szCs w:val="22"/>
          <w:color w:val="auto"/>
        </w:rPr>
        <w:t>. The officers of the Corporation shall be elected or appointed from time to time by the Board. The Board from time to time may also delegate to any principal officer the power to appoint subordinate officers or agents and to prescribe their respective rights, terms of office, authorities and duties. Any action by an appointing officer may be superseded by action by the Board. Each officer shall hold office until his or her successor shall have been duly elected or appointed and shall have qualified or until his or her death or until he or she shall resign, but any officer may be removed from office at any time by the affirmative vote of a majority of the Board or, except in the case of an officer or agent elected or appointed by the Board, by the Chief Executive Officer. Such removal shall be without prejudice to the contractual rights, if any, of the person so removed. No elected officer shall have any contractual rights against the Corporation for compensation by virtue of such election beyond the date of the election of his or her successor, his or her death, his or her resignation or his or her removal, whichever event shall first occur, except as otherwise provided in an employment contract or under an employee deferred compensation plan.</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5.3</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Chief Executive Officer</w:t>
      </w:r>
      <w:r>
        <w:rPr>
          <w:rFonts w:ascii="Times New Roman" w:cs="Times New Roman" w:eastAsia="Times New Roman" w:hAnsi="Times New Roman"/>
          <w:sz w:val="22"/>
          <w:szCs w:val="22"/>
          <w:color w:val="auto"/>
        </w:rPr>
        <w:t>. The Chief Executive Officer shall be the principal executive officer of the Corporation. Subject to the control of the Board, the Chief Executive Officer shall have general supervision over the business of the Corporation and shall have such other powers and duties as chief executive officers of corporations usually have or as the Board may assign.</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President</w:t>
      </w:r>
      <w:r>
        <w:rPr>
          <w:rFonts w:ascii="Times New Roman" w:cs="Times New Roman" w:eastAsia="Times New Roman" w:hAnsi="Times New Roman"/>
          <w:sz w:val="22"/>
          <w:szCs w:val="22"/>
          <w:color w:val="auto"/>
        </w:rPr>
        <w:t>. The President, if any, shall have such powers and shall perform such duties as shall be assigned to him or her by the Board or, if duly authorized by the Board, the Chief Executive Officer.</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Senior Executive Vice Presidents, Executive Vice Presidents, Senior Vice Presidents and Vice Presidents</w:t>
      </w:r>
      <w:r>
        <w:rPr>
          <w:rFonts w:ascii="Times New Roman" w:cs="Times New Roman" w:eastAsia="Times New Roman" w:hAnsi="Times New Roman"/>
          <w:sz w:val="22"/>
          <w:szCs w:val="22"/>
          <w:color w:val="auto"/>
        </w:rPr>
        <w:t>. Each Senior Executive Vice President, Executive Vice President, Senior Vice President and Vice President, if any, shall have such powers and shall perform such duties as shall be assigned to him or her from time to time by the Board or, if duly authorized by the Board, the Chief Executive Officer.</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Treasurer</w:t>
      </w:r>
      <w:r>
        <w:rPr>
          <w:rFonts w:ascii="Times New Roman" w:cs="Times New Roman" w:eastAsia="Times New Roman" w:hAnsi="Times New Roman"/>
          <w:sz w:val="22"/>
          <w:szCs w:val="22"/>
          <w:color w:val="auto"/>
        </w:rPr>
        <w:t>. The Treasurer shall exercise general supervision over the receipt, custody and disbursement of corporate funds. The Treasurer shall cause the funds of the Corporation to be deposited in such banks as may be authorized by the Board, or in such banks as may be designated as depositaries in the manner provided by resolution of the Board. He or she shall have such further powers and duties and shall be subject to such directions as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granted or imposed upon him or her from time to time by the Board or, if duly authorized by the Board, the Chief Executive Officer.</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u w:val="single" w:color="auto"/>
          <w:color w:val="auto"/>
        </w:rPr>
        <w:t>Secretary</w:t>
      </w:r>
      <w:r>
        <w:rPr>
          <w:rFonts w:ascii="Times New Roman" w:cs="Times New Roman" w:eastAsia="Times New Roman" w:hAnsi="Times New Roman"/>
          <w:sz w:val="22"/>
          <w:szCs w:val="22"/>
          <w:color w:val="auto"/>
        </w:rPr>
        <w:t>. The Secretary shall keep or cause to be kept in one or more books provided for that purpose, the minutes of all meetings of the Board, the committees of the Board and the stockholders; he or she shall see that all notices are duly given in accordance with the provisions of these Bylaws and as required by law; he or she shall be custodian of the records and the seal of the Corporation and affix and attest the seal to all stock certificates of the Corporation (unless the seal of the Corporation on such certificates shall be a facsimile, as hereinafter provided) and affix and attest the seal to all other documents to be executed on behalf of the Corporation under its seal; and he or she shall see that the books, reports, statements, certificates and other documents and records required by law to be kept and filed are properly kept and filed; and in general, he or she shall perform all the duties incident to the office of Secretary and such other duties as from time to time may be assigned to him or her by the Board or, if duly authorized by the Board, the Chief Executive Officer.</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5.9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A newly created elected office and a vacancy in any elected office because of death, resignation, or removal may be filled by the Board for the unexpired portion of the term at any meeting of the Board. Any vacancy in an office appointed by the Chief Executive Officer because of death, resignation or removal may be filled by the Chief Executive Officer, if duly authorized by the Board.</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5.10</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Delegation</w:t>
      </w:r>
      <w:r>
        <w:rPr>
          <w:rFonts w:ascii="Times New Roman" w:cs="Times New Roman" w:eastAsia="Times New Roman" w:hAnsi="Times New Roman"/>
          <w:sz w:val="22"/>
          <w:szCs w:val="22"/>
          <w:color w:val="auto"/>
        </w:rPr>
        <w:t>. The Board may from time to time delegate the powers or duties of any officer to any other officer or agent, notwithstanding any provision hereof.</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Article VI</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CERTIFICATES AND TRANSFERS</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u w:val="single" w:color="auto"/>
          <w:color w:val="auto"/>
        </w:rPr>
        <w:t>Stock Certificates and Transfers</w:t>
      </w:r>
      <w:r>
        <w:rPr>
          <w:rFonts w:ascii="Times New Roman" w:cs="Times New Roman" w:eastAsia="Times New Roman" w:hAnsi="Times New Roman"/>
          <w:sz w:val="22"/>
          <w:szCs w:val="22"/>
          <w:color w:val="auto"/>
        </w:rPr>
        <w:t>. The shares of the Corporation shall not be represented by certificates, provided that the Board may provide by resolution or resolutions that some or all of any or all classes or series of its stock may be certificated shares. Any such resolution that shares of a class or series will only be uncertificated shall not apply to shares represented by a certificate until such certificate is surrendered to the Corporation. Except as otherwise required by law, the rights and obligations of the holders of uncertificated shares and the rights and obligations of the holders of shares represented by certificates of the same class and series shall be identical. The issuance and transfer of shares of the stock of the Corporation shall be entered in and recorded on the books of the Corporation at the time of such issuance or transfer, as the case may be. In connection therewith, the date of any such issuance or transfer, the holder’s name, the number of shares, the certificate(s), if any, representing such shares and in the case of cancellation of any such certificate, the date of cancellation, shall be entered in and recorded on the books of the Corporation. Shares of stock of the Corporation shall be transferable in the manner prescribed by law, the Certificate of Incorporation and these Bylaws. Subject to applicable law and the provisions of the Certificate of Incorporation, the shares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stock of the Corporation shall be transferred on the books of the Corporation, which may be maintained by a third-party registrar or transfer agent, by the holder thereof in person or by his or her duly authorized attorney, (i) upon receipt of proper transfer instructions from the registered holder of uncertificated shares and upon compliance with appropriate procedures for transferring shares in uncertificated form or (ii) upon surrender for cancellation of any certificates for at least the same number of shares, with an assignment and power of transfer endorsed on any such certificates or attached to any such certificates, duly executed, with such proof of the authenticity of the signature as the Corporation or its agents may reasonably require, at which time the Corporation shall record the transaction upon its books and issue a new certificate to the person entitled thereto (if the stock is then represented by certificates) and cancel any old certificate.</w:t>
      </w:r>
    </w:p>
    <w:p>
      <w:pPr>
        <w:spacing w:after="0" w:line="195"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Subject to applicable law, each certificate representing shares of stock shall be signed, countersigned and registered in such manner as the Board may by resolution prescribe, which resolution may permit all or any of the signatures on such certificates to be in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 The Corporation shall not have power to issue a certificate in bearer form.</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Lost, Stolen or Destroyed Certificates</w:t>
      </w:r>
      <w:r>
        <w:rPr>
          <w:rFonts w:ascii="Times New Roman" w:cs="Times New Roman" w:eastAsia="Times New Roman" w:hAnsi="Times New Roman"/>
          <w:sz w:val="22"/>
          <w:szCs w:val="22"/>
          <w:color w:val="auto"/>
        </w:rPr>
        <w:t>. No certificate for shares or uncertificated shares of stock in the Corporation shall be issued in place of any certificate alleged to have been lost, destroyed or stolen, except on production of such evidence of such loss, destruction or theft and on delivery to the Corporation of a bond of indemnity in such amount, upon such terms and secured by such surety, as the Board or any financial officer may in its or his or her discretion require.</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u w:val="single" w:color="auto"/>
          <w:color w:val="auto"/>
        </w:rPr>
        <w:t>Ownership of Shares</w:t>
      </w:r>
      <w:r>
        <w:rPr>
          <w:rFonts w:ascii="Times New Roman" w:cs="Times New Roman" w:eastAsia="Times New Roman" w:hAnsi="Times New Roman"/>
          <w:sz w:val="22"/>
          <w:szCs w:val="22"/>
          <w:color w:val="auto"/>
        </w:rPr>
        <w:t>. The Corporation shall be entitled to treat the holder of record of any share or shares of stock of the Corporation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6.4 </w:t>
      </w:r>
      <w:r>
        <w:rPr>
          <w:rFonts w:ascii="Times New Roman" w:cs="Times New Roman" w:eastAsia="Times New Roman" w:hAnsi="Times New Roman"/>
          <w:sz w:val="22"/>
          <w:szCs w:val="22"/>
          <w:u w:val="single" w:color="auto"/>
          <w:color w:val="auto"/>
        </w:rPr>
        <w:t>Regulations Regarding Certificates</w:t>
      </w:r>
      <w:r>
        <w:rPr>
          <w:rFonts w:ascii="Times New Roman" w:cs="Times New Roman" w:eastAsia="Times New Roman" w:hAnsi="Times New Roman"/>
          <w:sz w:val="22"/>
          <w:szCs w:val="22"/>
          <w:color w:val="auto"/>
        </w:rPr>
        <w:t>. The Board shall have the power and authority to make all such rules and regulations as it may deem expedient concerning the issue, transfer and registration or the replacement of certificates for shares of stock of the Corporation. The Corporation may enter into additional agreements with stockholders to restrict the transfer of stock of the Corporation in any manner not prohibited by the Delaware General Corporation Law.</w:t>
      </w:r>
    </w:p>
    <w:p>
      <w:pPr>
        <w:spacing w:after="0" w:line="17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Article VII</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 PROVISIONS</w:t>
      </w:r>
    </w:p>
    <w:p>
      <w:pPr>
        <w:spacing w:after="0" w:line="22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The fiscal year of the Corporation shall begin on the first (1st) day of January and end on the thirty-first (31st) day of December of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7.2 </w:t>
      </w: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Except as otherwise provided by law or the Certificate of Incorporation, the Board may from time to time declare, and the Corporation may pay, dividends on its outstanding shares of stock, which dividends may be paid in either cash, property or shares of stock of the Corporation. A member of the Board, or a member of any committee designated by the Board, shall be fully protected in relying in good faith upon the records of the Corporation and upon such information, opinions, reports or statements presented to the Corporation by any of its officers or employees, or committees of the Board, or by any other person as to matters the director reasonably believes are within such other person’s professional or expert competence and who has been selected with reasonable care by or on behalf of the Corporation, as to the value and amount of the assets, liabilities or net profits of the Corporation, or any other facts pertinent to the existence and amount of surplus or other funds from which dividends might properly be declared and paid.</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7.3 </w:t>
      </w:r>
      <w:r>
        <w:rPr>
          <w:rFonts w:ascii="Times New Roman" w:cs="Times New Roman" w:eastAsia="Times New Roman" w:hAnsi="Times New Roman"/>
          <w:sz w:val="22"/>
          <w:szCs w:val="22"/>
          <w:u w:val="single" w:color="auto"/>
          <w:color w:val="auto"/>
        </w:rPr>
        <w:t>Seal</w:t>
      </w:r>
      <w:r>
        <w:rPr>
          <w:rFonts w:ascii="Times New Roman" w:cs="Times New Roman" w:eastAsia="Times New Roman" w:hAnsi="Times New Roman"/>
          <w:sz w:val="22"/>
          <w:szCs w:val="22"/>
          <w:color w:val="auto"/>
        </w:rPr>
        <w:t>. The corporate seal shall have inscribed thereon the words “Corporate Seal,” the year of incorporation and around the margin thereof the words “California Resources Corporation — Delaware.”</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7.4 </w:t>
      </w:r>
      <w:r>
        <w:rPr>
          <w:rFonts w:ascii="Times New Roman" w:cs="Times New Roman" w:eastAsia="Times New Roman" w:hAnsi="Times New Roman"/>
          <w:sz w:val="22"/>
          <w:szCs w:val="22"/>
          <w:u w:val="single" w:color="auto"/>
          <w:color w:val="auto"/>
        </w:rPr>
        <w:t>Waiver of Notice</w:t>
      </w:r>
      <w:r>
        <w:rPr>
          <w:rFonts w:ascii="Times New Roman" w:cs="Times New Roman" w:eastAsia="Times New Roman" w:hAnsi="Times New Roman"/>
          <w:sz w:val="22"/>
          <w:szCs w:val="22"/>
          <w:color w:val="auto"/>
        </w:rPr>
        <w:t>. Whenever any notice is required to be given to any stockholder or director of the Corporation under the provisions of the Delaware General Corporation Law, the Certificate of Incorporation or these Bylaws, a waiver thereof in writing or by electronic transmission, by the person or persons entitled to such notice, whether before or after the time stated therein, shall be deemed equivalent to the giving of such notice. Neither the business to be transacted at, nor the purpose of, any annual or special meeting of the stockholders or the Board or committee thereof need be specified in any waiver of notice of such meeting.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9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7.5 </w:t>
      </w:r>
      <w:r>
        <w:rPr>
          <w:rFonts w:ascii="Times New Roman" w:cs="Times New Roman" w:eastAsia="Times New Roman" w:hAnsi="Times New Roman"/>
          <w:sz w:val="22"/>
          <w:szCs w:val="22"/>
          <w:u w:val="single" w:color="auto"/>
          <w:color w:val="auto"/>
        </w:rPr>
        <w:t>Resignations</w:t>
      </w:r>
      <w:r>
        <w:rPr>
          <w:rFonts w:ascii="Times New Roman" w:cs="Times New Roman" w:eastAsia="Times New Roman" w:hAnsi="Times New Roman"/>
          <w:sz w:val="22"/>
          <w:szCs w:val="22"/>
          <w:color w:val="auto"/>
        </w:rPr>
        <w:t>. Any director or any officer, whether elected or appointed, may resign at any time only by giving written notice, including by electronic transmission, of such resignation to the Secretary, and such resignation shall be deemed to be effective as of the close of business on the date said notice is received by the Secretary, or at such later time (including a later time determined upon the happening of an event or events) as is specified therein. No formal action shall be required of the Board or the stockholders to make any such resignation effective. Unless otherwise provided in the Certificate of Incorporation, when one or more directors shall resign from the Board, effective at a future date, a majority of the directors then in office, including those who have so resigned, shall have the power to fill such vacancy or vacancies, the vote thereon to take effect when such resignation or resignations shall become effective, and each director so chosen shall hold office as provided in the filling of the other vacancies.</w:t>
      </w:r>
    </w:p>
    <w:p>
      <w:pPr>
        <w:spacing w:after="0" w:line="18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7.6</w:t>
      </w:r>
      <w:r>
        <w:rPr>
          <w:sz w:val="20"/>
          <w:szCs w:val="20"/>
          <w:color w:val="auto"/>
        </w:rPr>
        <w:tab/>
      </w:r>
      <w:r>
        <w:rPr>
          <w:rFonts w:ascii="Times New Roman" w:cs="Times New Roman" w:eastAsia="Times New Roman" w:hAnsi="Times New Roman"/>
          <w:sz w:val="21"/>
          <w:szCs w:val="21"/>
          <w:u w:val="single" w:color="auto"/>
          <w:color w:val="auto"/>
        </w:rPr>
        <w:t>Indemnification and Advancement of Expenses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20" w:firstLine="1304"/>
        <w:spacing w:after="0" w:line="284" w:lineRule="auto"/>
        <w:tabs>
          <w:tab w:leader="none" w:pos="193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indemnify and hold harmless, to the fullest extent permitted by applicable law in the State of Delaware as it presently exists or may hereafter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amended, any person (a “</w:t>
      </w:r>
      <w:r>
        <w:rPr>
          <w:rFonts w:ascii="Times New Roman" w:cs="Times New Roman" w:eastAsia="Times New Roman" w:hAnsi="Times New Roman"/>
          <w:sz w:val="22"/>
          <w:szCs w:val="22"/>
          <w:u w:val="single" w:color="auto"/>
          <w:color w:val="auto"/>
        </w:rPr>
        <w:t>Covered Person</w:t>
      </w:r>
      <w:r>
        <w:rPr>
          <w:rFonts w:ascii="Times New Roman" w:cs="Times New Roman" w:eastAsia="Times New Roman" w:hAnsi="Times New Roman"/>
          <w:sz w:val="22"/>
          <w:szCs w:val="22"/>
          <w:color w:val="auto"/>
        </w:rPr>
        <w:t>”)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xml:space="preserve">”),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judgments, fines, penalties, amounts paid in settlement and other liability and loss suffered and expenses (including attorneys’ fees) reasonably incurred by such Covered Person in connection with a proceeding or any appeal thereof if the Covered Person acted in good faith and in a manner the Covered Person reasonably believed to be in or not opposed to the best interests of the Corporation, and, with respect to any criminal proceeding, had no reasonable cause to believe the Covered Person’s conduct was unlawful. Notwithstanding the preceding sentence, except as otherwise provided in </w:t>
      </w:r>
      <w:r>
        <w:rPr>
          <w:rFonts w:ascii="Times New Roman" w:cs="Times New Roman" w:eastAsia="Times New Roman" w:hAnsi="Times New Roman"/>
          <w:sz w:val="22"/>
          <w:szCs w:val="22"/>
          <w:u w:val="single" w:color="auto"/>
          <w:color w:val="auto"/>
        </w:rPr>
        <w:t>Section 7.6(C)</w:t>
      </w:r>
      <w:r>
        <w:rPr>
          <w:rFonts w:ascii="Times New Roman" w:cs="Times New Roman" w:eastAsia="Times New Roman" w:hAnsi="Times New Roman"/>
          <w:sz w:val="22"/>
          <w:szCs w:val="22"/>
          <w:color w:val="auto"/>
        </w:rPr>
        <w:t>, the Corporation shall be required to indemnify a Covered Person in connection with a proceeding (or part thereof) commenced by such Covered Person only if the commencement of such proceeding (or part thereof) by the Covered Person was authorized in the specific case by the Board.</w:t>
      </w:r>
    </w:p>
    <w:p>
      <w:pPr>
        <w:spacing w:after="0" w:line="193" w:lineRule="exact"/>
        <w:rPr>
          <w:sz w:val="20"/>
          <w:szCs w:val="20"/>
          <w:color w:val="auto"/>
        </w:rPr>
      </w:pPr>
    </w:p>
    <w:p>
      <w:pPr>
        <w:jc w:val="both"/>
        <w:ind w:firstLine="1304"/>
        <w:spacing w:after="0" w:line="251" w:lineRule="auto"/>
        <w:tabs>
          <w:tab w:leader="none" w:pos="193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Corporation shall to the fullest extent not prohibited by applicable law in the State of Delaware as it presently exists or may hereafter be amended pay the expenses (including attorneys’ fees) incurred by a Covered Person in defending any proceeding in advance of its final disposition; provided, however, that, to the extent required by law, such payment of expenses in advance of the final disposition of the proceeding shall be made only upon receipt of an undertaking by the Covered Person to repay all amounts advanced if it should be finally determined by a court of competent jurisdiction that the Covered Person is not entitled to be indemnified under this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or otherwise.</w:t>
      </w:r>
    </w:p>
    <w:p>
      <w:pPr>
        <w:spacing w:after="0" w:line="194"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claim for indemnification under this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(following the final disposition of such proceeding) is not paid in full within sixty (60) days after the Corporation has received a claim therefor by the Covered Person, or if a claim for any advancement of expenses under this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is not paid in full within thirty (30) days after the Corporation has received a statement or statements requesting such amounts to be advanced, the Covered Person shall thereupon (but not before) be entitled to file suit to recover the unpaid amount of such claim. If successful in whole or in part, the Covered Person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 provided, that in any suit brought by (i) a Covered Person to enforce a right to indemnification hereunder (but not in a suit brought by Covered Person to enforce a right to an advancement of expenses) it shall be a defense that such Covered Person has not met the applicable standard of conduct under applicable law in the State of Delaware or (ii) the Corporation to recover an advancement of expenses pursuant to the terms of an undertaking, the Corporation shall be entitled to recover such amounts upon a final and binding judicial decision rendered by a court as contemplated by Section 145(k) of the Delaware General Corporation Law that such Covered Person has not met the applicable standard of conduct under applicable law in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98" w:lineRule="exact"/>
        <w:rPr>
          <w:sz w:val="20"/>
          <w:szCs w:val="20"/>
          <w:color w:val="auto"/>
        </w:rPr>
      </w:pPr>
    </w:p>
    <w:p>
      <w:pPr>
        <w:jc w:val="both"/>
        <w:ind w:firstLine="1304"/>
        <w:spacing w:after="0" w:line="250" w:lineRule="auto"/>
        <w:tabs>
          <w:tab w:leader="none" w:pos="193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rights conferred on any Covered Person by this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shall not be exclusive of any other rights which such Covered Person may have or hereafter acquire under any statute, provision of the Certificate of Incorporation, these Bylaws, agreement, vote of stockholders or disinterested directors or otherwise. Further, the rights conferred to any Covered Person by this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shall continue as to any Covered Person who has ceased to be a director or officer of the Corporation or ceased serving at the request of the Corporation as a director, officer, employee or agent of another corporation or of a partnership, joint venture, trust, enterprise or nonprofit entity, including service with respect to employee benefit plans, and shall inure to the benefit of such Covered Person’s heirs, executors and administrators.</w:t>
      </w:r>
    </w:p>
    <w:p>
      <w:pPr>
        <w:spacing w:after="0" w:line="180"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Corporation may purchase and maintain insurance on behalf of any person who is or was a director, officer,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shall not limit the right of the Corporation, to the extent and in the manner permitted by law, to indemnify and to advance expenses to persons other than Covered Persons when and as authorized by appropriate corporate action.</w:t>
      </w:r>
    </w:p>
    <w:p>
      <w:pPr>
        <w:spacing w:after="0" w:line="16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obligation, if any, to indemnify or to advance expenses to any Covered Person who was or is serving at its request as a director, officer, employee or agent of another corporation, partnership, joint venture, trust, enterprise or nonprofit entity shall be reduced by any amount such Covered Person may collect as indemnification or advancement of expenses from such other corporation, partnership, joint venture, trust, enterprise or non-profit enterprise.</w:t>
      </w:r>
    </w:p>
    <w:p>
      <w:pPr>
        <w:spacing w:after="0" w:line="17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director or officer of the Corporation is by reason of such position, or a position as a director, officer, trustee, employee or agent with another entity at the request of the Corporation, a witness in any action, suit or proceeding, he or she shall be indemnified against all costs and expenses actually and reasonably incurred in connection therewith.</w:t>
      </w:r>
    </w:p>
    <w:p>
      <w:pPr>
        <w:spacing w:after="0" w:line="192"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to indemnification or to advancement of expenses of any Covered Person arising hereunder shall not be eliminated or impaired by an amendment to or repeal of these Bylaws after the occurrence of the act or omission that is the subject of the civil, criminal, administrative or investigative action, suit or proceeding for which indemnification or advancement of expenses is sought.</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7.7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Except as otherwise specifically provided herein (including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hereof) or required by law, all notices required to be given to any stockholder, director, officer, employee or agent shall be in writing and may in every instance be effectively given by hand delivery to the recipient thereof, by depositing such notice in the mails, postage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paid, or by sending such notice by commercial courier service, or by facsimile or other electronic transmission, provided that notice to stockholders by electronic transmission shall be given in the manner provided in Section 232 of the Delaware General Corporation Law. Any such notice shall be addressed to such stockholder, director, officer, employee or agent at his or her last known address as the same appears on the books of the Corporation. Without limiting the manner by which notice otherwise may be given effectively, notice to any stockholder shall be deemed given: (A) if by facsimile, when directed to a number at which the stockholder has consented to receive notice; (B) if by electronic mail, when directed to an electronic mail address at which the stockholder has consented to receive notice; (C) if by posting on an electronic network together with separate notice to the stockholder of such specific posting, upon the later of (1) such posting and (2) the giving of such separate notice; (D) if by any other form of electronic transmission, when directed to the stockholder; and (E) if by mail, when deposited in the mail, postage prepaid, directed to the stockholder at such stockholder’s address as it appears on the records of the Corporation.</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7.8 </w:t>
      </w:r>
      <w:r>
        <w:rPr>
          <w:rFonts w:ascii="Times New Roman" w:cs="Times New Roman" w:eastAsia="Times New Roman" w:hAnsi="Times New Roman"/>
          <w:sz w:val="22"/>
          <w:szCs w:val="22"/>
          <w:u w:val="single" w:color="auto"/>
          <w:color w:val="auto"/>
        </w:rPr>
        <w:t>Facsimile Signatures</w:t>
      </w:r>
      <w:r>
        <w:rPr>
          <w:rFonts w:ascii="Times New Roman" w:cs="Times New Roman" w:eastAsia="Times New Roman" w:hAnsi="Times New Roman"/>
          <w:sz w:val="22"/>
          <w:szCs w:val="22"/>
          <w:color w:val="auto"/>
        </w:rPr>
        <w:t>. In addition to the provisions for use of facsimile signatures elsewhere specifically authorized in these Bylaws, facsimile signatures (including electronic signatures) of any officer or officers of the Corporation may be used whenever and as authorized by the Board or a committee thereof.</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7.9 </w:t>
      </w:r>
      <w:r>
        <w:rPr>
          <w:rFonts w:ascii="Times New Roman" w:cs="Times New Roman" w:eastAsia="Times New Roman" w:hAnsi="Times New Roman"/>
          <w:sz w:val="22"/>
          <w:szCs w:val="22"/>
          <w:u w:val="single" w:color="auto"/>
          <w:color w:val="auto"/>
        </w:rPr>
        <w:t>Time Periods</w:t>
      </w:r>
      <w:r>
        <w:rPr>
          <w:rFonts w:ascii="Times New Roman" w:cs="Times New Roman" w:eastAsia="Times New Roman" w:hAnsi="Times New Roman"/>
          <w:sz w:val="22"/>
          <w:szCs w:val="22"/>
          <w:color w:val="auto"/>
        </w:rPr>
        <w:t>. In applying any provision of these Bylaws which require that an act be done or not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7.10 </w:t>
      </w:r>
      <w:r>
        <w:rPr>
          <w:rFonts w:ascii="Times New Roman" w:cs="Times New Roman" w:eastAsia="Times New Roman" w:hAnsi="Times New Roman"/>
          <w:sz w:val="22"/>
          <w:szCs w:val="22"/>
          <w:u w:val="single" w:color="auto"/>
          <w:color w:val="auto"/>
        </w:rPr>
        <w:t>Reliance Upon Books, Reports and Records</w:t>
      </w:r>
      <w:r>
        <w:rPr>
          <w:rFonts w:ascii="Times New Roman" w:cs="Times New Roman" w:eastAsia="Times New Roman" w:hAnsi="Times New Roman"/>
          <w:sz w:val="22"/>
          <w:szCs w:val="22"/>
          <w:color w:val="auto"/>
        </w:rPr>
        <w:t>. Each director, each member of any committee designated by the Board, and, to the fullest extent permitted by law, each officer of the Corporation shall, in the performance of his or her duties, be fully protected in relying in good faith upon the records of the Corporation and upon information, opinions, reports or statements presented to the Corporation by any of the Corporation’s officers or employees, or committees designated by the Board, or by any other person as to the matters the director reasonably believes are within such other person’s professional or expert competence and who has been selected with reasonable care by or on behalf of the Corporation.</w:t>
      </w:r>
    </w:p>
    <w:p>
      <w:pPr>
        <w:spacing w:after="0" w:line="18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Article VIII</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22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8.1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Subject to the provisions of the Certificate of Incorporation, these Bylaws may be amended, altered or repealed (A) by resolution adopted by a majority of the directors present at any special or regular meeting of the Board at which a quorum is present if, in the case of such special meeting only, notice of such amendment, alteration or repeal is contained in the notice or waiver of notice of such meeting or (B) at any regular or special meeting of the stockholders upon the affirmative vote of at least a majority in voting power of the outstanding shares of the Corporation entitled to vote thereon if, in the case of such special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meeting only, notice of such amendment, alteration or repeal is contained in the notice or waiver of notice of such meeting.</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Notwithstanding the foregoing, no amendment, alteration or repeal of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shall adversely affect any right or protection existing under these Bylaws immediately prior to such amendment, alteration or repeal, including any right or protection of a present or former director, officer or employee thereunder in respect of any act or omission occurring prior to the time of such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777865" cy="6172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5777865" cy="6172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16, 2026</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 World Trade Center, Suite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 Beach, California 90831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your request, we have audited the estimates prepared by California Resources Corporation (CRC), as of December 31, 2025, of the proved reserves to the CRC interest in certain oil and gas properties located in California. The scope of our work did not include auditing the future net revenue associated with these reserves. It is our understanding that the proved reserves estimates shown herein constitute approximately 81 percent of all proved reserves owned by CRC. Economic analysis was performed by CRC only to confirm economic producibility and determine economic limits for the properties. We have examined the estimates with respect to reserves quantities, reserves categorization, future producing rates, and economic producibility, using the definitions set forth in U.S. Securities and Exchange Commission (SEC) Regulation S-X Rule 4-10(a). The estimates of reserves have been prepared in accordance with the definitions and regulations of the SEC and conform to the FASB Accounting Standards Codification Topic 932, Extractive Activities—Oil and Gas. We completed our audit on or about the date of this letter. This report has been prepared for CRC's use in filing with the SEC; in our opinion the assumptions, data, methods, and procedures used in the preparation of this report are appropriate for such purpose.</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It is our understanding that various local and state governmental entities in the state of California have proposed or adopted policies, such as California Senate Bill 1137 (SB1137), that affect future production and development of oil and gas reserves within the state. However, we have been informed by CRC that these properties will not be affected by the implementation of these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CRC's estimates of the net reserves, as of December 31, 2025, for the audited properties:</w:t>
      </w:r>
    </w:p>
    <w:p>
      <w:pPr>
        <w:spacing w:after="0" w:line="320" w:lineRule="exact"/>
        <w:rPr>
          <w:sz w:val="20"/>
          <w:szCs w:val="20"/>
          <w:color w:val="auto"/>
        </w:rPr>
      </w:pPr>
    </w:p>
    <w:tbl>
      <w:tblPr>
        <w:tblLayout w:type="fixed"/>
        <w:tblInd w:w="1420" w:type="dxa"/>
        <w:tblCellMar>
          <w:top w:w="0" w:type="dxa"/>
          <w:left w:w="0" w:type="dxa"/>
          <w:bottom w:w="0" w:type="dxa"/>
          <w:right w:w="0" w:type="dxa"/>
        </w:tblCellMar>
      </w:tblPr>
      <w:tr>
        <w:trPr>
          <w:trHeight w:val="239"/>
        </w:trPr>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0" w:type="dxa"/>
            <w:vAlign w:val="bottom"/>
            <w:gridSpan w:val="3"/>
          </w:tcPr>
          <w:p>
            <w:pPr>
              <w:jc w:val="center"/>
              <w:spacing w:after="0"/>
              <w:rPr>
                <w:sz w:val="20"/>
                <w:szCs w:val="20"/>
                <w:color w:val="auto"/>
              </w:rPr>
            </w:pPr>
            <w:r>
              <w:rPr>
                <w:rFonts w:ascii="Arial" w:cs="Arial" w:eastAsia="Arial" w:hAnsi="Arial"/>
                <w:sz w:val="18"/>
                <w:szCs w:val="18"/>
                <w:color w:val="auto"/>
                <w:w w:val="99"/>
              </w:rPr>
              <w:t>Net Reserves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Oil</w:t>
            </w:r>
          </w:p>
        </w:tc>
        <w:tc>
          <w:tcPr>
            <w:tcW w:w="300" w:type="dxa"/>
            <w:vAlign w:val="bottom"/>
          </w:tcPr>
          <w:p>
            <w:pPr>
              <w:spacing w:after="0"/>
              <w:rPr>
                <w:sz w:val="22"/>
                <w:szCs w:val="2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NGL</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Gas</w:t>
            </w:r>
          </w:p>
        </w:tc>
        <w:tc>
          <w:tcPr>
            <w:tcW w:w="0" w:type="dxa"/>
            <w:vAlign w:val="bottom"/>
          </w:tcPr>
          <w:p>
            <w:pPr>
              <w:spacing w:after="0"/>
              <w:rPr>
                <w:sz w:val="1"/>
                <w:szCs w:val="1"/>
                <w:color w:val="auto"/>
              </w:rPr>
            </w:pPr>
          </w:p>
        </w:tc>
      </w:tr>
      <w:tr>
        <w:trPr>
          <w:trHeight w:val="446"/>
        </w:trPr>
        <w:tc>
          <w:tcPr>
            <w:tcW w:w="3240" w:type="dxa"/>
            <w:vAlign w:val="bottom"/>
            <w:gridSpan w:val="2"/>
          </w:tcPr>
          <w:p>
            <w:pPr>
              <w:ind w:left="1100"/>
              <w:spacing w:after="0"/>
              <w:rPr>
                <w:sz w:val="20"/>
                <w:szCs w:val="20"/>
                <w:color w:val="auto"/>
              </w:rPr>
            </w:pPr>
            <w:r>
              <w:rPr>
                <w:rFonts w:ascii="Arial" w:cs="Arial" w:eastAsia="Arial" w:hAnsi="Arial"/>
                <w:sz w:val="18"/>
                <w:szCs w:val="18"/>
                <w:color w:val="auto"/>
              </w:rPr>
              <w:t>Category</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(MBBL)</w:t>
            </w:r>
          </w:p>
        </w:tc>
        <w:tc>
          <w:tcPr>
            <w:tcW w:w="30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8"/>
              </w:rPr>
              <w:t>(MBBL)</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(MMCF)</w:t>
            </w:r>
          </w:p>
        </w:tc>
        <w:tc>
          <w:tcPr>
            <w:tcW w:w="0" w:type="dxa"/>
            <w:vAlign w:val="bottom"/>
          </w:tcPr>
          <w:p>
            <w:pPr>
              <w:spacing w:after="0"/>
              <w:rPr>
                <w:sz w:val="1"/>
                <w:szCs w:val="1"/>
                <w:color w:val="auto"/>
              </w:rPr>
            </w:pPr>
          </w:p>
        </w:tc>
      </w:tr>
      <w:tr>
        <w:trPr>
          <w:trHeight w:val="185"/>
        </w:trPr>
        <w:tc>
          <w:tcPr>
            <w:tcW w:w="29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10"/>
        </w:trPr>
        <w:tc>
          <w:tcPr>
            <w:tcW w:w="3240" w:type="dxa"/>
            <w:vAlign w:val="bottom"/>
            <w:gridSpan w:val="2"/>
            <w:vMerge w:val="restart"/>
          </w:tcPr>
          <w:p>
            <w:pPr>
              <w:spacing w:after="0"/>
              <w:rPr>
                <w:sz w:val="20"/>
                <w:szCs w:val="20"/>
                <w:color w:val="auto"/>
              </w:rPr>
            </w:pPr>
            <w:r>
              <w:rPr>
                <w:rFonts w:ascii="Arial" w:cs="Arial" w:eastAsia="Arial" w:hAnsi="Arial"/>
                <w:sz w:val="18"/>
                <w:szCs w:val="18"/>
                <w:color w:val="auto"/>
              </w:rPr>
              <w:t>Proved Developed Producing</w:t>
            </w:r>
          </w:p>
        </w:tc>
        <w:tc>
          <w:tcPr>
            <w:tcW w:w="980" w:type="dxa"/>
            <w:vAlign w:val="bottom"/>
          </w:tcPr>
          <w:p>
            <w:pPr>
              <w:jc w:val="right"/>
              <w:spacing w:after="0"/>
              <w:rPr>
                <w:sz w:val="20"/>
                <w:szCs w:val="20"/>
                <w:color w:val="auto"/>
              </w:rPr>
            </w:pPr>
            <w:r>
              <w:rPr>
                <w:rFonts w:ascii="Arial" w:cs="Arial" w:eastAsia="Arial" w:hAnsi="Arial"/>
                <w:sz w:val="18"/>
                <w:szCs w:val="18"/>
                <w:color w:val="auto"/>
              </w:rPr>
              <w:t>335,743.6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27,460.1</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295,575.0</w:t>
            </w:r>
          </w:p>
        </w:tc>
        <w:tc>
          <w:tcPr>
            <w:tcW w:w="0" w:type="dxa"/>
            <w:vAlign w:val="bottom"/>
          </w:tcPr>
          <w:p>
            <w:pPr>
              <w:spacing w:after="0"/>
              <w:rPr>
                <w:sz w:val="1"/>
                <w:szCs w:val="1"/>
                <w:color w:val="auto"/>
              </w:rPr>
            </w:pPr>
          </w:p>
        </w:tc>
      </w:tr>
      <w:tr>
        <w:trPr>
          <w:trHeight w:val="162"/>
        </w:trPr>
        <w:tc>
          <w:tcPr>
            <w:tcW w:w="324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3240" w:type="dxa"/>
            <w:vAlign w:val="bottom"/>
            <w:gridSpan w:val="2"/>
            <w:vMerge w:val="restart"/>
          </w:tcPr>
          <w:p>
            <w:pPr>
              <w:spacing w:after="0"/>
              <w:rPr>
                <w:sz w:val="20"/>
                <w:szCs w:val="20"/>
                <w:color w:val="auto"/>
              </w:rPr>
            </w:pPr>
            <w:r>
              <w:rPr>
                <w:rFonts w:ascii="Arial" w:cs="Arial" w:eastAsia="Arial" w:hAnsi="Arial"/>
                <w:sz w:val="18"/>
                <w:szCs w:val="18"/>
                <w:color w:val="auto"/>
              </w:rPr>
              <w:t>Proved Developed Non-Producing</w:t>
            </w:r>
          </w:p>
        </w:tc>
        <w:tc>
          <w:tcPr>
            <w:tcW w:w="980" w:type="dxa"/>
            <w:vAlign w:val="bottom"/>
          </w:tcPr>
          <w:p>
            <w:pPr>
              <w:jc w:val="right"/>
              <w:spacing w:after="0"/>
              <w:rPr>
                <w:sz w:val="20"/>
                <w:szCs w:val="20"/>
                <w:color w:val="auto"/>
              </w:rPr>
            </w:pPr>
            <w:r>
              <w:rPr>
                <w:rFonts w:ascii="Arial" w:cs="Arial" w:eastAsia="Arial" w:hAnsi="Arial"/>
                <w:sz w:val="18"/>
                <w:szCs w:val="18"/>
                <w:color w:val="auto"/>
              </w:rPr>
              <w:t>33,783.6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1,738.8</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22,645.6</w:t>
            </w:r>
          </w:p>
        </w:tc>
        <w:tc>
          <w:tcPr>
            <w:tcW w:w="0" w:type="dxa"/>
            <w:vAlign w:val="bottom"/>
          </w:tcPr>
          <w:p>
            <w:pPr>
              <w:spacing w:after="0"/>
              <w:rPr>
                <w:sz w:val="1"/>
                <w:szCs w:val="1"/>
                <w:color w:val="auto"/>
              </w:rPr>
            </w:pPr>
          </w:p>
        </w:tc>
      </w:tr>
      <w:tr>
        <w:trPr>
          <w:trHeight w:val="162"/>
        </w:trPr>
        <w:tc>
          <w:tcPr>
            <w:tcW w:w="324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240" w:type="dxa"/>
            <w:vAlign w:val="bottom"/>
            <w:gridSpan w:val="2"/>
            <w:vMerge w:val="restart"/>
          </w:tcPr>
          <w:p>
            <w:pPr>
              <w:spacing w:after="0"/>
              <w:rPr>
                <w:sz w:val="20"/>
                <w:szCs w:val="20"/>
                <w:color w:val="auto"/>
              </w:rPr>
            </w:pPr>
            <w:r>
              <w:rPr>
                <w:rFonts w:ascii="Arial" w:cs="Arial" w:eastAsia="Arial" w:hAnsi="Arial"/>
                <w:sz w:val="18"/>
                <w:szCs w:val="18"/>
                <w:color w:val="auto"/>
              </w:rPr>
              <w:t>Proved Undeveloped</w:t>
            </w:r>
          </w:p>
        </w:tc>
        <w:tc>
          <w:tcPr>
            <w:tcW w:w="980" w:type="dxa"/>
            <w:vAlign w:val="bottom"/>
          </w:tcPr>
          <w:p>
            <w:pPr>
              <w:jc w:val="right"/>
              <w:spacing w:after="0"/>
              <w:rPr>
                <w:sz w:val="20"/>
                <w:szCs w:val="20"/>
                <w:color w:val="auto"/>
              </w:rPr>
            </w:pPr>
            <w:r>
              <w:rPr>
                <w:rFonts w:ascii="Arial" w:cs="Arial" w:eastAsia="Arial" w:hAnsi="Arial"/>
                <w:sz w:val="18"/>
                <w:szCs w:val="18"/>
                <w:color w:val="auto"/>
              </w:rPr>
              <w:t>56,790.2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5,657.6</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83,162.1</w:t>
            </w:r>
          </w:p>
        </w:tc>
        <w:tc>
          <w:tcPr>
            <w:tcW w:w="0" w:type="dxa"/>
            <w:vAlign w:val="bottom"/>
          </w:tcPr>
          <w:p>
            <w:pPr>
              <w:spacing w:after="0"/>
              <w:rPr>
                <w:sz w:val="1"/>
                <w:szCs w:val="1"/>
                <w:color w:val="auto"/>
              </w:rPr>
            </w:pPr>
          </w:p>
        </w:tc>
      </w:tr>
      <w:tr>
        <w:trPr>
          <w:trHeight w:val="162"/>
        </w:trPr>
        <w:tc>
          <w:tcPr>
            <w:tcW w:w="324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0"/>
        </w:trPr>
        <w:tc>
          <w:tcPr>
            <w:tcW w:w="324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 Proved</w:t>
            </w:r>
          </w:p>
        </w:tc>
        <w:tc>
          <w:tcPr>
            <w:tcW w:w="980" w:type="dxa"/>
            <w:vAlign w:val="bottom"/>
          </w:tcPr>
          <w:p>
            <w:pPr>
              <w:jc w:val="right"/>
              <w:spacing w:after="0"/>
              <w:rPr>
                <w:sz w:val="20"/>
                <w:szCs w:val="20"/>
                <w:color w:val="auto"/>
              </w:rPr>
            </w:pPr>
            <w:r>
              <w:rPr>
                <w:rFonts w:ascii="Arial" w:cs="Arial" w:eastAsia="Arial" w:hAnsi="Arial"/>
                <w:sz w:val="18"/>
                <w:szCs w:val="18"/>
                <w:color w:val="auto"/>
              </w:rPr>
              <w:t>426,317.4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34,856.6</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401,382.6</w:t>
            </w:r>
          </w:p>
        </w:tc>
        <w:tc>
          <w:tcPr>
            <w:tcW w:w="0" w:type="dxa"/>
            <w:vAlign w:val="bottom"/>
          </w:tcPr>
          <w:p>
            <w:pPr>
              <w:spacing w:after="0"/>
              <w:rPr>
                <w:sz w:val="1"/>
                <w:szCs w:val="1"/>
                <w:color w:val="auto"/>
              </w:rPr>
            </w:pPr>
          </w:p>
        </w:tc>
      </w:tr>
      <w:tr>
        <w:trPr>
          <w:trHeight w:val="162"/>
        </w:trPr>
        <w:tc>
          <w:tcPr>
            <w:tcW w:w="324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ind w:left="1380"/>
        <w:spacing w:after="0"/>
        <w:rPr>
          <w:sz w:val="20"/>
          <w:szCs w:val="20"/>
          <w:color w:val="auto"/>
        </w:rPr>
      </w:pPr>
      <w:r>
        <w:rPr>
          <w:rFonts w:ascii="Arial" w:cs="Arial" w:eastAsia="Arial" w:hAnsi="Arial"/>
          <w:sz w:val="13"/>
          <w:szCs w:val="13"/>
          <w:i w:val="1"/>
          <w:iCs w:val="1"/>
          <w:color w:val="auto"/>
        </w:rPr>
        <w:t>Totals may not add because of rounding.</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oil volumes shown include crude oil and condensate. Oil and natural gas liquids (NGL) volumes are expressed in thousands of barrels (MBBL); a barrel is equivalent to 42 United States gallons. Gas volumes are expressed in millions of cubic feet (MMCF) at standard temperature and pressure bases.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6249035" cy="5740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2">
                      <a:extLst>
                        <a:ext uri="{28A0092B-C50C-407E-A947-70E740481C1C}"/>
                      </a:extLst>
                    </a:blip>
                    <a:srcRect/>
                    <a:stretch>
                      <a:fillRect/>
                    </a:stretch>
                  </pic:blipFill>
                  <pic:spPr bwMode="auto">
                    <a:xfrm>
                      <a:off x="0" y="0"/>
                      <a:ext cx="6249035" cy="5740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412230" cy="7372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6412230" cy="73723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When compared on a field-by-field basis, some of the estimates of CRC are greater and some are less than the estimates of Netherland, Sewell &amp; Associates, Inc. (NSAI). However, in our opinion the estimates shown herein of CRC's reserves are reasonable when aggregated at the proved level and have been prepared in accordance with the Standards Pertaining to the Estimating and Auditing of Oil and Gas Reserves Information promulgated by the Society of Petroleum Engineers (SPE Standards). Additionally, these estimates are within the recommended 10 percent tolerance threshold set forth in the SPE Standards. We are satisfied with the methods and procedures used by CRC in preparing the December 31, 2025, estimates of reserves, and we saw nothing of an unusual nature that would cause us to take exception with the estimates, in the aggregate, as prepared by CRC.</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Reserves categorization conveys the relative degree of certainty; reserves subcategorization is based on development and production status. The estimates of reserves included herein have not been adjusted for risk. CRC's estimates do not include probable or possible reserves that may exist for these properties.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Oil, NGL, and gas prices were used only to confirm economic producibility and determine economic limits for the properties. Prices used by CRC are based on the 12-month unweighted arithmetic average of the first-day-of-the-month price for each month in the period January through December 2025. For oil and NGL volumes, the average Brent spot price of $69.38 per barrel is adjusted for quality, transportation fees, and market differentials. For gas volumes, the average Henry Hub spot price of $3.387 per MMBTU is adjusted for energy content, transportation fees, and market differentials. All prices are held constant throughout the lives of the properties. The average adjusted product prices weighted by production over the remaining lives of the properties are $68.30 per barrel of oil, $46.53 per barrel of NGL, and $3.467 per MCF of gas.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Costs were used only to confirm economic producibility and determine economic limits for the properties. Operating costs used by CRC are based on historical operating expense records. These costs include the per-well overhead expenses allowed under joint operating agreements along with estimates of costs to be incurred at and below the district and field levels. Operating costs have been divided into field-level costs, per-well costs, and per-unit-of-production costs. Headquarters general and administrative overhead expenses of CRC are included to the extent that they are covered under joint operating agreements for the operated properties. Capital costs used by CRC are based on authorizations for expenditure and actual costs from recent activity. Capital costs are included as required for workovers, new development wells, and production equipment. Abandonment costs used are CRC's estimates of the costs to abandon the wells and production facilities, net of any salvage value. Operating, capital, and abandonment costs are not escalated for inflation.</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estimates of CRC and NSAI are based on certain assumptions including, but not limited to, that the properties will be developed consistent with current development plans as provided to us by CRC, that the properties will be operated in a prudent manner, that no governmental regulations or controls will be put in place that would impact the ability of the interest owner to recover the reserves, and that projections of future production will prove consistent with actual performance. If the reserves are recovered, the revenues therefrom and the costs related thereto could be more or less than the estimated amounts used to confirm economic producibility and determine economic limits for the properties. Because of governmental policies and uncertainties of supply and demand, the sales rates, prices received for the reserves, and costs incurred in recovering such reserves may vary from assumptions made while preparing these estimates.</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412230" cy="7372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6412230" cy="73723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should be understood that our audit does not constitute a complete reserves study of the audited oil and gas properties. Our audit consisted primarily of substantive testing, wherein we conducted a detailed review of all properties. In the conduct of our audit, we have not independently verified the accuracy and completeness of information and data furnished by CRC with respect to ownership interests, oil and gas production, well test data, historical costs of operation and development, product prices, or any agreements relating to current and future operations of the properties and sales of production. However, if in the course of our examination something came to our attention that brought into question the validity or sufficiency of any such information or data, we did not rely on such information or data until we had satisfactorily resolved our questions relating thereto or had independently verified such information or data. Our audit did not include a review of CRC's overall reserves management processes and practices.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used standard engineering and geoscience methods, or a combination of methods, including performance analysis, volumetric analysis, analogy, and reservoir modeling, that we considered to be appropriate and necessary to establish the conclusions set forth herein. As in all aspects of oil and gas evaluation, there are uncertainties inherent in the interpretation of engineering and geoscience data; therefore, our conclusions necessarily represent only informed professional judgment.</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Supporting data documenting this audit, along with data provided by CRC, are on file in our office. The technical persons primarily responsible for conducting this audit meet the requirements regarding qualifications, independence, objectivity, and confidentiality set forth in the SPE Standards. C. Ashley Smith, a Licensed Professional Engineer in the State of Texas, has been practicing consulting petroleum engineering at NSAI since 2006 and has over 5 years of prior industry experience. Edward C. Roy III, a Licensed Professional Geoscientist in the State of Texas, has been practicing consulting petroleum geoscience at NSAI since 2008 and has over 11 years of prior industry experience. We are independent petroleum engineers, geologists, geophysicists, and petrophysicists; we do not own an interest in these properties nor are we employed on a contingent basis.</w:t>
      </w:r>
    </w:p>
    <w:p>
      <w:pPr>
        <w:spacing w:after="0" w:line="200" w:lineRule="exact"/>
        <w:rPr>
          <w:sz w:val="20"/>
          <w:szCs w:val="20"/>
          <w:color w:val="auto"/>
        </w:rPr>
      </w:pPr>
    </w:p>
    <w:p>
      <w:pPr>
        <w:spacing w:after="0" w:line="28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Sincerely,</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Registered Engineering Firm F-2699</w:t>
      </w:r>
    </w:p>
    <w:p>
      <w:pPr>
        <w:spacing w:after="0" w:line="33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Richard B. Talley, Jr.</w:t>
      </w:r>
    </w:p>
    <w:p>
      <w:pPr>
        <w:spacing w:after="0" w:line="63"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By:</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Richard B. Talley, Jr., P.E.</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1440" w:right="339" w:bottom="1440" w:gutter="0" w:footer="0" w:header="0"/>
        </w:sectPr>
      </w:pPr>
    </w:p>
    <w:p>
      <w:pPr>
        <w:spacing w:after="0" w:line="32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 C. Ashley Smith</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/s/ Edward C. Roy III</w:t>
      </w:r>
    </w:p>
    <w:p>
      <w:pPr>
        <w:spacing w:after="0" w:line="63" w:lineRule="exact"/>
        <w:rPr>
          <w:sz w:val="20"/>
          <w:szCs w:val="20"/>
          <w:color w:val="auto"/>
        </w:rPr>
      </w:pPr>
    </w:p>
    <w:p>
      <w:pPr>
        <w:sectPr>
          <w:pgSz w:w="11900" w:h="16838" w:orient="portrait"/>
          <w:cols w:equalWidth="0" w:num="2">
            <w:col w:w="5280" w:space="720"/>
            <w:col w:w="524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jc w:val="center"/>
        <w:ind w:right="5300"/>
        <w:spacing w:after="0"/>
        <w:rPr>
          <w:sz w:val="20"/>
          <w:szCs w:val="20"/>
          <w:color w:val="auto"/>
        </w:rPr>
      </w:pPr>
      <w:r>
        <w:rPr>
          <w:rFonts w:ascii="Arial" w:cs="Arial" w:eastAsia="Arial" w:hAnsi="Arial"/>
          <w:sz w:val="17"/>
          <w:szCs w:val="17"/>
          <w:color w:val="auto"/>
        </w:rPr>
        <w:t>By:</w:t>
      </w:r>
    </w:p>
    <w:p>
      <w:pPr>
        <w:spacing w:after="0" w:line="75" w:lineRule="exact"/>
        <w:rPr>
          <w:sz w:val="20"/>
          <w:szCs w:val="20"/>
          <w:color w:val="auto"/>
        </w:rPr>
      </w:pPr>
    </w:p>
    <w:p>
      <w:pPr>
        <w:sectPr>
          <w:pgSz w:w="11900" w:h="16838" w:orient="portrait"/>
          <w:cols w:equalWidth="0" w:num="2">
            <w:col w:w="4960" w:space="720"/>
            <w:col w:w="5560"/>
          </w:cols>
          <w:pgMar w:left="320" w:top="1440" w:right="33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C. Ashley Smith, P.E. 100560</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Edward C. Roy III, P.G. 2364</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ectPr>
          <w:pgSz w:w="11900" w:h="16838" w:orient="portrait"/>
          <w:cols w:equalWidth="0" w:num="2">
            <w:col w:w="5280" w:space="720"/>
            <w:col w:w="5240"/>
          </w:cols>
          <w:pgMar w:left="320" w:top="1440" w:right="339" w:bottom="1440" w:gutter="0" w:footer="0" w:header="0"/>
          <w:type w:val="continuous"/>
        </w:sect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Signed: February 16, 2026</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center"/>
        <w:ind w:right="3000"/>
        <w:spacing w:after="0"/>
        <w:rPr>
          <w:sz w:val="20"/>
          <w:szCs w:val="20"/>
          <w:color w:val="auto"/>
        </w:rPr>
      </w:pPr>
      <w:r>
        <w:rPr>
          <w:rFonts w:ascii="Arial" w:cs="Arial" w:eastAsia="Arial" w:hAnsi="Arial"/>
          <w:sz w:val="17"/>
          <w:szCs w:val="17"/>
          <w:color w:val="auto"/>
        </w:rPr>
        <w:t>Date Signed: February 16, 2026</w:t>
      </w:r>
    </w:p>
    <w:p>
      <w:pPr>
        <w:spacing w:after="0" w:line="200" w:lineRule="exact"/>
        <w:rPr>
          <w:sz w:val="20"/>
          <w:szCs w:val="20"/>
          <w:color w:val="auto"/>
        </w:rPr>
      </w:pPr>
    </w:p>
    <w:p>
      <w:pPr>
        <w:sectPr>
          <w:pgSz w:w="11900" w:h="16838" w:orient="portrait"/>
          <w:cols w:equalWidth="0" w:num="2">
            <w:col w:w="4960" w:space="720"/>
            <w:col w:w="5560"/>
          </w:cols>
          <w:pgMar w:left="320" w:top="1440" w:right="339" w:bottom="1440" w:gutter="0" w:footer="0" w:header="0"/>
          <w:type w:val="continuous"/>
        </w:sect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CAS:MSS</w:t>
      </w:r>
    </w:p>
    <w:p>
      <w:pPr>
        <w:sectPr>
          <w:pgSz w:w="11900" w:h="16838" w:orient="portrait"/>
          <w:cols w:equalWidth="0" w:num="1">
            <w:col w:w="11240"/>
          </w:cols>
          <w:pgMar w:left="320" w:top="1440" w:right="339" w:bottom="1440" w:gutter="0" w:footer="0" w:header="0"/>
          <w:type w:val="continuous"/>
        </w:sectPr>
      </w:pPr>
    </w:p>
    <w:bookmarkStart w:id="196" w:name="page197"/>
    <w:bookmarkEnd w:id="196"/>
    <w:p>
      <w:pPr>
        <w:jc w:val="center"/>
        <w:spacing w:after="0"/>
        <w:rPr>
          <w:sz w:val="20"/>
          <w:szCs w:val="20"/>
          <w:color w:val="auto"/>
        </w:rPr>
      </w:pPr>
      <w:r>
        <w:rPr>
          <w:rFonts w:ascii="Times New Roman" w:cs="Times New Roman" w:eastAsia="Times New Roman" w:hAnsi="Times New Roman"/>
          <w:sz w:val="22"/>
          <w:szCs w:val="22"/>
          <w:b w:val="1"/>
          <w:bCs w:val="1"/>
          <w:color w:val="auto"/>
        </w:rPr>
        <w:t>DeGolyer and MacNaughton</w:t>
      </w:r>
    </w:p>
    <w:p>
      <w:pPr>
        <w:spacing w:after="0" w:line="3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5001 Spring Valley Road</w:t>
      </w:r>
    </w:p>
    <w:p>
      <w:pPr>
        <w:spacing w:after="0" w:line="2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Suite 800 East</w:t>
      </w:r>
    </w:p>
    <w:p>
      <w:pPr>
        <w:jc w:val="center"/>
        <w:spacing w:after="0" w:line="223" w:lineRule="auto"/>
        <w:rPr>
          <w:sz w:val="20"/>
          <w:szCs w:val="20"/>
          <w:color w:val="auto"/>
        </w:rPr>
      </w:pPr>
      <w:r>
        <w:rPr>
          <w:rFonts w:ascii="Times New Roman" w:cs="Times New Roman" w:eastAsia="Times New Roman" w:hAnsi="Times New Roman"/>
          <w:sz w:val="22"/>
          <w:szCs w:val="22"/>
          <w:color w:val="auto"/>
        </w:rPr>
        <w:t>Dallas, Texas 75244</w:t>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February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California Resources Corporation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World Trade Center, Suite 1500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Long Beach, CA 90831</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337" w:lineRule="exact"/>
        <w:rPr>
          <w:sz w:val="20"/>
          <w:szCs w:val="20"/>
          <w:color w:val="auto"/>
        </w:rPr>
      </w:pPr>
    </w:p>
    <w:p>
      <w:pPr>
        <w:jc w:val="both"/>
        <w:ind w:firstLine="648"/>
        <w:spacing w:after="0" w:line="304" w:lineRule="auto"/>
        <w:rPr>
          <w:sz w:val="20"/>
          <w:szCs w:val="20"/>
          <w:color w:val="auto"/>
        </w:rPr>
      </w:pPr>
      <w:r>
        <w:rPr>
          <w:rFonts w:ascii="Times New Roman" w:cs="Times New Roman" w:eastAsia="Times New Roman" w:hAnsi="Times New Roman"/>
          <w:sz w:val="20"/>
          <w:szCs w:val="20"/>
          <w:color w:val="auto"/>
        </w:rPr>
        <w:t>Pursuant to your request, this report of third party presents an independent evaluation, as of December 31, 2025, of the estimated net proved oil, natural gas liquids (NGL), and gas reserves of certain properties in which California Resources Corporation (CRC) has represented it holds an interest. This evaluation was completed on February 20, 2026. The properties evaluated herein consist of working interests located in the State of Utah. CRC has represented that these properties account for 5 percent on a net equivalent barrel basis of net proved reserves attributable to the interests held by CRC, as of December 31, 2025, and that the net proved reserves estimates were prepared in accordance with the reserves definitions of Rules 4–10(a) (1)–(32) of Regulation S–X of the United States Securities and Exchange Commission (SEC). It is our opinion that the procedures and methodologies employed by CRC for the preparation of its proved reserves estimates as of December 31, 2025, comply with the current requirements of the SEC. We have reviewed information provided to us by CRC that it represents to be CRC’s estimates of the net reserves, as of December 31, 2025, for the same properties as those which we evaluated. This report was prepared in accordance with guidelines specified in Item 1202(a)(8) of Regulation S–K and is to be used for inclusion in certain SEC filings by CRC.</w:t>
      </w:r>
    </w:p>
    <w:p>
      <w:pPr>
        <w:spacing w:after="0" w:line="211" w:lineRule="exact"/>
        <w:rPr>
          <w:sz w:val="20"/>
          <w:szCs w:val="20"/>
          <w:color w:val="auto"/>
        </w:rPr>
      </w:pPr>
    </w:p>
    <w:p>
      <w:pPr>
        <w:jc w:val="both"/>
        <w:ind w:firstLine="648"/>
        <w:spacing w:after="0" w:line="317" w:lineRule="auto"/>
        <w:rPr>
          <w:sz w:val="20"/>
          <w:szCs w:val="20"/>
          <w:color w:val="auto"/>
        </w:rPr>
      </w:pPr>
      <w:r>
        <w:rPr>
          <w:rFonts w:ascii="Times New Roman" w:cs="Times New Roman" w:eastAsia="Times New Roman" w:hAnsi="Times New Roman"/>
          <w:sz w:val="20"/>
          <w:szCs w:val="20"/>
          <w:color w:val="auto"/>
        </w:rPr>
        <w:t>Reserves estimates included herein are expressed as net reserves as represented by CRC. Gross reserves are defined as the total estimated petroleum remaining to be produced from these properties after December 31, 2025. Net reserves are defined as that portion of the gross reserves attributable to the interests held by CRC after deducting all interests held by others.</w:t>
      </w:r>
    </w:p>
    <w:p>
      <w:pPr>
        <w:sectPr>
          <w:pgSz w:w="11900" w:h="16838" w:orient="portrait"/>
          <w:cols w:equalWidth="0" w:num="1">
            <w:col w:w="11240"/>
          </w:cols>
          <w:pgMar w:left="320" w:top="108"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DeGolyer and MacNaughton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firstLine="648"/>
        <w:spacing w:after="0" w:line="317" w:lineRule="auto"/>
        <w:rPr>
          <w:sz w:val="20"/>
          <w:szCs w:val="20"/>
          <w:color w:val="auto"/>
        </w:rPr>
      </w:pPr>
      <w:r>
        <w:rPr>
          <w:rFonts w:ascii="Times New Roman" w:cs="Times New Roman" w:eastAsia="Times New Roman" w:hAnsi="Times New Roman"/>
          <w:sz w:val="20"/>
          <w:szCs w:val="20"/>
          <w:color w:val="auto"/>
        </w:rPr>
        <w:t>Estimates of reserves should be regarded only as estimates that may change as further production history and additional information become available. Not only are such estimates based on that information which is currently available, but such estimates are also subject to the uncertainties inherent in the application of judgmental factors in interpreting such information.</w:t>
      </w:r>
    </w:p>
    <w:p>
      <w:pPr>
        <w:spacing w:after="0" w:line="196" w:lineRule="exact"/>
        <w:rPr>
          <w:sz w:val="20"/>
          <w:szCs w:val="20"/>
          <w:color w:val="auto"/>
        </w:rPr>
      </w:pPr>
    </w:p>
    <w:p>
      <w:pPr>
        <w:jc w:val="both"/>
        <w:ind w:firstLine="648"/>
        <w:spacing w:after="0" w:line="306" w:lineRule="auto"/>
        <w:rPr>
          <w:sz w:val="20"/>
          <w:szCs w:val="20"/>
          <w:color w:val="auto"/>
        </w:rPr>
      </w:pPr>
      <w:r>
        <w:rPr>
          <w:rFonts w:ascii="Times New Roman" w:cs="Times New Roman" w:eastAsia="Times New Roman" w:hAnsi="Times New Roman"/>
          <w:sz w:val="20"/>
          <w:szCs w:val="20"/>
          <w:color w:val="auto"/>
        </w:rPr>
        <w:t>Information used in the preparation of this report was obtained from CRC and from public sources. In the preparation of this report we have relied, without independent verification, upon information furnished by CRC with respect to the property interests being evaluated, production from such properties, current costs of operation and development, current prices for production, agreements relating to current and future operations and sale of production, and various other information and data that were accepted as represented. A field examination was not considered necessary for the purposes of this report.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Definition of Reserves</w:t>
      </w:r>
    </w:p>
    <w:p>
      <w:pPr>
        <w:spacing w:after="0" w:line="355"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0"/>
          <w:szCs w:val="20"/>
          <w:color w:val="auto"/>
        </w:rPr>
        <w:t>Petroleum reserves included in this report are classified as proved. Only proved reserves have been evaluated for this report. Reserves classifications used in this report are in accordance with the reserves definitions of Rules 4–10(a)</w:t>
      </w:r>
    </w:p>
    <w:p>
      <w:pPr>
        <w:spacing w:after="0" w:line="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20"/>
          <w:szCs w:val="20"/>
          <w:color w:val="auto"/>
        </w:rPr>
        <w:t>(1)–(32) of Regulation S–X of the SEC. Reserves are judged to be economically producible in future years from known reservoirs under existing economic and operating conditions and assuming continuation of current regulatory practices using established production methods and equipment. In the analyses of production-decline curves, reserves were estimated only to the limit of economic rates of production under existing economic and operating conditions using prices and costs consistent with the effective date of this report, including consideration of changes in existing prices provided only by contractual arrangements but not including escalations based upon future conditions. The petroleum reserves are classified as follows:</w:t>
      </w:r>
    </w:p>
    <w:p>
      <w:pPr>
        <w:spacing w:after="0" w:line="202" w:lineRule="exact"/>
        <w:rPr>
          <w:sz w:val="20"/>
          <w:szCs w:val="20"/>
          <w:color w:val="auto"/>
        </w:rPr>
      </w:pPr>
    </w:p>
    <w:p>
      <w:pPr>
        <w:jc w:val="both"/>
        <w:ind w:left="660" w:right="640"/>
        <w:spacing w:after="0" w:line="306" w:lineRule="auto"/>
        <w:rPr>
          <w:sz w:val="20"/>
          <w:szCs w:val="20"/>
          <w:color w:val="auto"/>
        </w:rPr>
      </w:pPr>
      <w:r>
        <w:rPr>
          <w:rFonts w:ascii="Times New Roman" w:cs="Times New Roman" w:eastAsia="Times New Roman" w:hAnsi="Times New Roman"/>
          <w:sz w:val="20"/>
          <w:szCs w:val="20"/>
          <w:i w:val="1"/>
          <w:iCs w:val="1"/>
          <w:color w:val="auto"/>
        </w:rPr>
        <w:t xml:space="preserve">Proved oil and gas reserves </w:t>
      </w:r>
      <w:r>
        <w:rPr>
          <w:rFonts w:ascii="Times New Roman" w:cs="Times New Roman" w:eastAsia="Times New Roman" w:hAnsi="Times New Roman"/>
          <w:sz w:val="20"/>
          <w:szCs w:val="20"/>
          <w:color w:val="auto"/>
        </w:rPr>
        <w:t>– Proved oil and gas reserves are those quantities of oil and gas, which, by analysis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ectPr>
          <w:pgSz w:w="11900" w:h="16838" w:orient="portrait"/>
          <w:cols w:equalWidth="0" w:num="1">
            <w:col w:w="11240"/>
          </w:cols>
          <w:pgMar w:left="320" w:top="121"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DeGolyer and MacNaughton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(i) The area of the reservoir considered as proved includes:</w:t>
      </w:r>
    </w:p>
    <w:p>
      <w:pPr>
        <w:spacing w:after="0" w:line="67" w:lineRule="exact"/>
        <w:rPr>
          <w:sz w:val="20"/>
          <w:szCs w:val="20"/>
          <w:color w:val="auto"/>
        </w:rPr>
      </w:pPr>
    </w:p>
    <w:p>
      <w:pPr>
        <w:jc w:val="both"/>
        <w:ind w:left="980" w:right="980"/>
        <w:spacing w:after="0" w:line="310" w:lineRule="auto"/>
        <w:tabs>
          <w:tab w:leader="none" w:pos="132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area identified by drilling and limited by fluid contacts, if any, and (B) Adjacent undrilled portions of the reservoir that can, with reasonable certainty, be judged to be continuous with it and to contain economically producible oil or gas on the basis of available geoscience and engineering data.</w:t>
      </w:r>
    </w:p>
    <w:p>
      <w:pPr>
        <w:spacing w:after="0" w:line="216" w:lineRule="exact"/>
        <w:rPr>
          <w:sz w:val="20"/>
          <w:szCs w:val="20"/>
          <w:color w:val="auto"/>
        </w:rPr>
      </w:pPr>
    </w:p>
    <w:p>
      <w:pPr>
        <w:jc w:val="both"/>
        <w:ind w:left="980" w:right="980"/>
        <w:spacing w:after="0" w:line="310" w:lineRule="auto"/>
        <w:tabs>
          <w:tab w:leader="none" w:pos="131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202" w:lineRule="exact"/>
        <w:rPr>
          <w:rFonts w:ascii="Times New Roman" w:cs="Times New Roman" w:eastAsia="Times New Roman" w:hAnsi="Times New Roman"/>
          <w:sz w:val="20"/>
          <w:szCs w:val="20"/>
          <w:color w:val="auto"/>
        </w:rPr>
      </w:pPr>
    </w:p>
    <w:p>
      <w:pPr>
        <w:ind w:left="1360" w:hanging="380"/>
        <w:spacing w:after="0"/>
        <w:tabs>
          <w:tab w:leader="none" w:pos="13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direct observation from well penetrations has defined a highest known oil (HKO) elevation and the</w:t>
      </w:r>
    </w:p>
    <w:p>
      <w:pPr>
        <w:spacing w:after="0" w:line="67" w:lineRule="exact"/>
        <w:rPr>
          <w:rFonts w:ascii="Times New Roman" w:cs="Times New Roman" w:eastAsia="Times New Roman" w:hAnsi="Times New Roman"/>
          <w:sz w:val="20"/>
          <w:szCs w:val="20"/>
          <w:color w:val="auto"/>
        </w:rPr>
      </w:pPr>
    </w:p>
    <w:p>
      <w:pPr>
        <w:jc w:val="both"/>
        <w:ind w:left="980" w:right="980"/>
        <w:spacing w:after="0" w:line="31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215" w:lineRule="exact"/>
        <w:rPr>
          <w:rFonts w:ascii="Times New Roman" w:cs="Times New Roman" w:eastAsia="Times New Roman" w:hAnsi="Times New Roman"/>
          <w:sz w:val="20"/>
          <w:szCs w:val="20"/>
          <w:color w:val="auto"/>
        </w:rPr>
      </w:pPr>
    </w:p>
    <w:p>
      <w:pPr>
        <w:ind w:left="980" w:right="980"/>
        <w:spacing w:after="0" w:line="295" w:lineRule="auto"/>
        <w:tabs>
          <w:tab w:leader="none" w:pos="132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Reserves which can be produced economically through application of improved recovery techniques (including, but not limited to, fluid injection) are included in the proved classification when:</w:t>
      </w:r>
    </w:p>
    <w:p>
      <w:pPr>
        <w:spacing w:after="0" w:line="1" w:lineRule="exact"/>
        <w:rPr>
          <w:rFonts w:ascii="Times New Roman" w:cs="Times New Roman" w:eastAsia="Times New Roman" w:hAnsi="Times New Roman"/>
          <w:sz w:val="20"/>
          <w:szCs w:val="20"/>
          <w:color w:val="auto"/>
        </w:rPr>
      </w:pPr>
    </w:p>
    <w:p>
      <w:pPr>
        <w:ind w:left="9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Successful testing by a pilot project in an area of the reservoir with properties no more favorable than in the</w:t>
      </w:r>
    </w:p>
    <w:p>
      <w:pPr>
        <w:spacing w:after="0" w:line="67" w:lineRule="exact"/>
        <w:rPr>
          <w:rFonts w:ascii="Times New Roman" w:cs="Times New Roman" w:eastAsia="Times New Roman" w:hAnsi="Times New Roman"/>
          <w:sz w:val="20"/>
          <w:szCs w:val="20"/>
          <w:color w:val="auto"/>
        </w:rPr>
      </w:pPr>
    </w:p>
    <w:p>
      <w:pPr>
        <w:jc w:val="both"/>
        <w:ind w:left="980" w:right="980"/>
        <w:spacing w:after="0" w:line="31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spacing w:after="0" w:line="202" w:lineRule="exact"/>
        <w:rPr>
          <w:rFonts w:ascii="Times New Roman" w:cs="Times New Roman" w:eastAsia="Times New Roman" w:hAnsi="Times New Roman"/>
          <w:sz w:val="20"/>
          <w:szCs w:val="20"/>
          <w:color w:val="auto"/>
        </w:rPr>
      </w:pPr>
    </w:p>
    <w:p>
      <w:pPr>
        <w:jc w:val="both"/>
        <w:ind w:left="980" w:right="980"/>
        <w:spacing w:after="0" w:line="302" w:lineRule="auto"/>
        <w:tabs>
          <w:tab w:leader="none" w:pos="1269"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Existing economic conditions include prices and costs at which economic producibility from a reservoir is to be determined. The price shall be the average price during the 12-month period prior to the ending date of the period</w:t>
      </w:r>
    </w:p>
    <w:p>
      <w:pPr>
        <w:spacing w:after="0" w:line="1" w:lineRule="exact"/>
        <w:rPr>
          <w:rFonts w:ascii="Times New Roman" w:cs="Times New Roman" w:eastAsia="Times New Roman" w:hAnsi="Times New Roman"/>
          <w:sz w:val="20"/>
          <w:szCs w:val="20"/>
          <w:color w:val="auto"/>
        </w:rPr>
      </w:pPr>
    </w:p>
    <w:p>
      <w:pPr>
        <w:jc w:val="both"/>
        <w:ind w:left="980" w:right="980"/>
        <w:spacing w:after="0" w:line="31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covered by the report, determined as an unweighted arithmetic average of the first-day-of-the-month price for each month within such period, unless prices are defined by contractual arrangements, excluding escalations based upon future conditions.</w:t>
      </w:r>
    </w:p>
    <w:p>
      <w:pPr>
        <w:sectPr>
          <w:pgSz w:w="11900" w:h="16838" w:orient="portrait"/>
          <w:cols w:equalWidth="0" w:num="1">
            <w:col w:w="11240"/>
          </w:cols>
          <w:pgMar w:left="320" w:top="121"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DeGolyer and MacNaughton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right="640"/>
        <w:spacing w:after="0" w:line="343" w:lineRule="auto"/>
        <w:rPr>
          <w:sz w:val="20"/>
          <w:szCs w:val="20"/>
          <w:color w:val="auto"/>
        </w:rPr>
      </w:pPr>
      <w:r>
        <w:rPr>
          <w:rFonts w:ascii="Times New Roman" w:cs="Times New Roman" w:eastAsia="Times New Roman" w:hAnsi="Times New Roman"/>
          <w:sz w:val="20"/>
          <w:szCs w:val="20"/>
          <w:i w:val="1"/>
          <w:iCs w:val="1"/>
          <w:color w:val="auto"/>
        </w:rPr>
        <w:t xml:space="preserve">Developed oil and gas reserves </w:t>
      </w:r>
      <w:r>
        <w:rPr>
          <w:rFonts w:ascii="Times New Roman" w:cs="Times New Roman" w:eastAsia="Times New Roman" w:hAnsi="Times New Roman"/>
          <w:sz w:val="20"/>
          <w:szCs w:val="20"/>
          <w:color w:val="auto"/>
        </w:rPr>
        <w:t>– Developed oil and gas reserves are reserves of any category that can be expected to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recovered:</w:t>
      </w:r>
    </w:p>
    <w:p>
      <w:pPr>
        <w:spacing w:after="0" w:line="170" w:lineRule="exact"/>
        <w:rPr>
          <w:sz w:val="20"/>
          <w:szCs w:val="20"/>
          <w:color w:val="auto"/>
        </w:rPr>
      </w:pPr>
    </w:p>
    <w:p>
      <w:pPr>
        <w:ind w:left="980" w:right="980"/>
        <w:spacing w:after="0" w:line="325" w:lineRule="auto"/>
        <w:tabs>
          <w:tab w:leader="none" w:pos="125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existing wells with existing equipment and operating methods or in which the cost of the required equipment is relatively minor compared to the cost of a new well; and</w:t>
      </w:r>
    </w:p>
    <w:p>
      <w:pPr>
        <w:spacing w:after="0" w:line="200" w:lineRule="exact"/>
        <w:rPr>
          <w:rFonts w:ascii="Times New Roman" w:cs="Times New Roman" w:eastAsia="Times New Roman" w:hAnsi="Times New Roman"/>
          <w:sz w:val="20"/>
          <w:szCs w:val="20"/>
          <w:color w:val="auto"/>
        </w:rPr>
      </w:pPr>
    </w:p>
    <w:p>
      <w:pPr>
        <w:ind w:left="980" w:right="980"/>
        <w:spacing w:after="0" w:line="325" w:lineRule="auto"/>
        <w:tabs>
          <w:tab w:leader="none" w:pos="1285"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installed extraction equipment and infrastructure operational at the time of the reserves estimate if the extraction is by means not involving a well.</w:t>
      </w:r>
    </w:p>
    <w:p>
      <w:pPr>
        <w:spacing w:after="0" w:line="183" w:lineRule="exact"/>
        <w:rPr>
          <w:sz w:val="20"/>
          <w:szCs w:val="20"/>
          <w:color w:val="auto"/>
        </w:rPr>
      </w:pPr>
    </w:p>
    <w:p>
      <w:pPr>
        <w:jc w:val="both"/>
        <w:ind w:left="660" w:right="660"/>
        <w:spacing w:after="0" w:line="319" w:lineRule="auto"/>
        <w:rPr>
          <w:sz w:val="20"/>
          <w:szCs w:val="20"/>
          <w:color w:val="auto"/>
        </w:rPr>
      </w:pPr>
      <w:r>
        <w:rPr>
          <w:rFonts w:ascii="Times New Roman" w:cs="Times New Roman" w:eastAsia="Times New Roman" w:hAnsi="Times New Roman"/>
          <w:sz w:val="20"/>
          <w:szCs w:val="20"/>
          <w:i w:val="1"/>
          <w:iCs w:val="1"/>
          <w:color w:val="auto"/>
        </w:rPr>
        <w:t xml:space="preserve">Undeveloped oil and gas reserves – </w:t>
      </w:r>
      <w:r>
        <w:rPr>
          <w:rFonts w:ascii="Times New Roman" w:cs="Times New Roman" w:eastAsia="Times New Roman" w:hAnsi="Times New Roman"/>
          <w:sz w:val="20"/>
          <w:szCs w:val="20"/>
          <w:color w:val="auto"/>
        </w:rPr>
        <w:t>Undeveloped oil and gas reserves are reserves of any category that are expected to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recovered from new wells on undrilled acreage, or from existing wells where a relatively major expenditure is required for recompletion.</w:t>
      </w:r>
    </w:p>
    <w:p>
      <w:pPr>
        <w:spacing w:after="0" w:line="194" w:lineRule="exact"/>
        <w:rPr>
          <w:sz w:val="20"/>
          <w:szCs w:val="20"/>
          <w:color w:val="auto"/>
        </w:rPr>
      </w:pPr>
    </w:p>
    <w:p>
      <w:pPr>
        <w:jc w:val="both"/>
        <w:ind w:left="980" w:right="980"/>
        <w:spacing w:after="0" w:line="317" w:lineRule="auto"/>
        <w:tabs>
          <w:tab w:leader="none" w:pos="12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95" w:lineRule="exact"/>
        <w:rPr>
          <w:rFonts w:ascii="Times New Roman" w:cs="Times New Roman" w:eastAsia="Times New Roman" w:hAnsi="Times New Roman"/>
          <w:sz w:val="20"/>
          <w:szCs w:val="20"/>
          <w:color w:val="auto"/>
        </w:rPr>
      </w:pPr>
    </w:p>
    <w:p>
      <w:pPr>
        <w:jc w:val="both"/>
        <w:ind w:left="980" w:right="980"/>
        <w:spacing w:after="0" w:line="317" w:lineRule="auto"/>
        <w:tabs>
          <w:tab w:leader="none" w:pos="1312"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95" w:lineRule="exact"/>
        <w:rPr>
          <w:rFonts w:ascii="Times New Roman" w:cs="Times New Roman" w:eastAsia="Times New Roman" w:hAnsi="Times New Roman"/>
          <w:sz w:val="20"/>
          <w:szCs w:val="20"/>
          <w:color w:val="auto"/>
        </w:rPr>
      </w:pPr>
    </w:p>
    <w:p>
      <w:pPr>
        <w:jc w:val="both"/>
        <w:ind w:left="980" w:right="980"/>
        <w:spacing w:after="0" w:line="302" w:lineRule="auto"/>
        <w:tabs>
          <w:tab w:leader="none" w:pos="134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no circumstances shall estimates for undeveloped reserves be attributable to any acreage for which an application of fluid injection or other improved recovery technique is contemplated, unless such techniques have</w:t>
      </w:r>
    </w:p>
    <w:p>
      <w:pPr>
        <w:spacing w:after="0" w:line="1" w:lineRule="exact"/>
        <w:rPr>
          <w:rFonts w:ascii="Times New Roman" w:cs="Times New Roman" w:eastAsia="Times New Roman" w:hAnsi="Times New Roman"/>
          <w:sz w:val="20"/>
          <w:szCs w:val="20"/>
          <w:color w:val="auto"/>
        </w:rPr>
      </w:pPr>
    </w:p>
    <w:p>
      <w:pPr>
        <w:ind w:left="980" w:right="980"/>
        <w:spacing w:after="0" w:line="32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been proved effective by actual projects in the same reservoir or an analogous reservoir, as defined in [section 210.4– 10 (a) Definitions], or by other evidence using reliable technology establishing reasonable certainty.</w:t>
      </w:r>
    </w:p>
    <w:p>
      <w:pPr>
        <w:sectPr>
          <w:pgSz w:w="11900" w:h="16838" w:orient="portrait"/>
          <w:cols w:equalWidth="0" w:num="1">
            <w:col w:w="11240"/>
          </w:cols>
          <w:pgMar w:left="320" w:top="121"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DeGolyer and MacNaughton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Methodology and Procedures</w:t>
      </w:r>
    </w:p>
    <w:p>
      <w:pPr>
        <w:spacing w:after="0" w:line="34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20"/>
          <w:szCs w:val="20"/>
          <w:color w:val="auto"/>
        </w:rPr>
        <w:t>Estimates of reserves were prepared by the use of appropriate geologic, petroleum engineering, and evaluation principles and techniques that are in accordance with the reserves definitions of Rules 4–10(a) (1)–(32) of Regulation S–X of the SEC and with practices generally recognized by the petroleum industry as presented in the publication of the Society of Petroleum Engineers entitled “Standards Pertaining to the Estimating and Auditing of Oil and Gas Reserves Information (revised June 2019) Approved by the SPE Board on 25 June 2019” and in Monograph 3 and Monograph 4 published by the Society of Petroleum Evaluation Engineers. The method or combination of methods used in the analysis of each reservoir was tempered by experience with similar reservoirs, stage of development, quality and completeness of basic data, and production history.</w:t>
      </w:r>
    </w:p>
    <w:p>
      <w:pPr>
        <w:spacing w:after="0" w:line="209" w:lineRule="exact"/>
        <w:rPr>
          <w:sz w:val="20"/>
          <w:szCs w:val="20"/>
          <w:color w:val="auto"/>
        </w:rPr>
      </w:pPr>
    </w:p>
    <w:p>
      <w:pPr>
        <w:jc w:val="both"/>
        <w:ind w:right="20" w:firstLine="648"/>
        <w:spacing w:after="0" w:line="339" w:lineRule="auto"/>
        <w:rPr>
          <w:sz w:val="20"/>
          <w:szCs w:val="20"/>
          <w:color w:val="auto"/>
        </w:rPr>
      </w:pPr>
      <w:r>
        <w:rPr>
          <w:rFonts w:ascii="Times New Roman" w:cs="Times New Roman" w:eastAsia="Times New Roman" w:hAnsi="Times New Roman"/>
          <w:sz w:val="20"/>
          <w:szCs w:val="20"/>
          <w:color w:val="auto"/>
        </w:rPr>
        <w:t>Based on the current stage of field development, production performance, the development plan provided by CRC, and analyses of areas offsetting existing wells with test or production data, reserves were classified as proved.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proved undeveloped reserves estimates were based on opportunities identified in the plan of development provided by CRC.</w:t>
      </w:r>
    </w:p>
    <w:p>
      <w:pPr>
        <w:spacing w:after="0" w:line="297" w:lineRule="exact"/>
        <w:rPr>
          <w:sz w:val="20"/>
          <w:szCs w:val="20"/>
          <w:color w:val="auto"/>
        </w:rPr>
      </w:pPr>
    </w:p>
    <w:p>
      <w:pPr>
        <w:jc w:val="both"/>
        <w:ind w:firstLine="648"/>
        <w:spacing w:after="0" w:line="317" w:lineRule="auto"/>
        <w:rPr>
          <w:sz w:val="20"/>
          <w:szCs w:val="20"/>
          <w:color w:val="auto"/>
        </w:rPr>
      </w:pPr>
      <w:r>
        <w:rPr>
          <w:rFonts w:ascii="Times New Roman" w:cs="Times New Roman" w:eastAsia="Times New Roman" w:hAnsi="Times New Roman"/>
          <w:sz w:val="20"/>
          <w:szCs w:val="20"/>
          <w:color w:val="auto"/>
        </w:rPr>
        <w:t>CRC has represented that its senior management is committed to the development plan provided by CRC and that CRC has the financial capability to execute the development plan, including the drilling and completion of wells and the installation of equipment and facilities.</w:t>
      </w:r>
    </w:p>
    <w:p>
      <w:pPr>
        <w:spacing w:after="0" w:line="196"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20"/>
          <w:szCs w:val="20"/>
          <w:color w:val="auto"/>
        </w:rPr>
        <w:t>For depletion-type reservoirs or those whose performance disclosed a reliable decline in producing-rate trends or other diagnostic characteristics, reserves were estimated by the application of appropriate decline curves or other performance relationships. In the analyses of production-decline curves, reserves were estimated only to the limits of economic production as defined under the Definition of Reserves heading of this report.</w:t>
      </w:r>
    </w:p>
    <w:p>
      <w:pPr>
        <w:spacing w:after="0" w:line="216" w:lineRule="exact"/>
        <w:rPr>
          <w:sz w:val="20"/>
          <w:szCs w:val="20"/>
          <w:color w:val="auto"/>
        </w:rPr>
      </w:pPr>
    </w:p>
    <w:p>
      <w:pPr>
        <w:jc w:val="both"/>
        <w:ind w:firstLine="648"/>
        <w:spacing w:after="0" w:line="306" w:lineRule="auto"/>
        <w:rPr>
          <w:sz w:val="20"/>
          <w:szCs w:val="20"/>
          <w:color w:val="auto"/>
        </w:rPr>
      </w:pPr>
      <w:r>
        <w:rPr>
          <w:rFonts w:ascii="Times New Roman" w:cs="Times New Roman" w:eastAsia="Times New Roman" w:hAnsi="Times New Roman"/>
          <w:sz w:val="20"/>
          <w:szCs w:val="20"/>
          <w:color w:val="auto"/>
        </w:rPr>
        <w:t>For the evaluation of unconventional reservoirs, a performance-based methodology integrating the appropriate geology and petroleum engineering data was utilized for this report. Performance-based methodology primarily includes (1) production diagnostics, (2) decline-curve analysis, and (3) model-based analysis (if necessary, based on availability of data). Production diagnostics include data quality control, identification of flow regimes, and characteristic well performance behavior. These analyses were performed for all well groupings (or type-curve areas).</w:t>
      </w:r>
    </w:p>
    <w:p>
      <w:pPr>
        <w:sectPr>
          <w:pgSz w:w="11900" w:h="16838" w:orient="portrait"/>
          <w:cols w:equalWidth="0" w:num="1">
            <w:col w:w="11240"/>
          </w:cols>
          <w:pgMar w:left="320" w:top="121"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DeGolyer and MacNaughton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20"/>
          <w:szCs w:val="20"/>
          <w:color w:val="auto"/>
        </w:rPr>
        <w:t>Characteristic rate-decline profiles from diagnostic interpretation were translated to modified hyperbolic rate profiles, including one or multiple b-exponent values followed by an exponential decline. Based on the availability of data, model-based analysis may be integrated to evaluate long-term decline behavior, the effect of dynamic reservoir and fracture parameters on well performance, and complex situations sourced by the nature of unconventional reservoirs.</w:t>
      </w:r>
    </w:p>
    <w:p>
      <w:pPr>
        <w:spacing w:after="0" w:line="216" w:lineRule="exact"/>
        <w:rPr>
          <w:sz w:val="20"/>
          <w:szCs w:val="20"/>
          <w:color w:val="auto"/>
        </w:rPr>
      </w:pPr>
    </w:p>
    <w:p>
      <w:pPr>
        <w:jc w:val="both"/>
        <w:ind w:firstLine="648"/>
        <w:spacing w:after="0" w:line="325" w:lineRule="auto"/>
        <w:rPr>
          <w:sz w:val="20"/>
          <w:szCs w:val="20"/>
          <w:color w:val="auto"/>
        </w:rPr>
      </w:pPr>
      <w:r>
        <w:rPr>
          <w:rFonts w:ascii="Times New Roman" w:cs="Times New Roman" w:eastAsia="Times New Roman" w:hAnsi="Times New Roman"/>
          <w:sz w:val="20"/>
          <w:szCs w:val="20"/>
          <w:color w:val="auto"/>
        </w:rPr>
        <w:t>In the evaluation of undeveloped reserves, type-well analysis was performed using well data from analogous reservoirs for which more complete historical performance data were available.</w:t>
      </w:r>
    </w:p>
    <w:p>
      <w:pPr>
        <w:spacing w:after="0" w:line="187"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20"/>
          <w:szCs w:val="20"/>
          <w:color w:val="auto"/>
        </w:rPr>
        <w:t>Data provided by CRC from wells drilled through December 31, 2025, and made available for this evaluation were used to prepare the reserves estimates herein. These reserves estimates were based on consideration of monthly production data available for certain properties only through September 2025. Estimated cumulative production, as of December 31, 2025, was deducted from the estimated gross ultimate recovery to estimate gross reserves. This required that production be estimated for up to 3 months.</w:t>
      </w:r>
    </w:p>
    <w:p>
      <w:pPr>
        <w:spacing w:after="0" w:line="202"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0"/>
          <w:szCs w:val="20"/>
          <w:color w:val="auto"/>
        </w:rPr>
        <w:t>Oil reserves estimated herein are to be recovered by normal field separation. NGL reserves estimated herein include pentanes and heavier fractions (C</w:t>
      </w:r>
      <w:r>
        <w:rPr>
          <w:rFonts w:ascii="Times New Roman" w:cs="Times New Roman" w:eastAsia="Times New Roman" w:hAnsi="Times New Roman"/>
          <w:sz w:val="25"/>
          <w:szCs w:val="25"/>
          <w:color w:val="auto"/>
          <w:vertAlign w:val="subscript"/>
        </w:rPr>
        <w:t>5+</w:t>
      </w:r>
      <w:r>
        <w:rPr>
          <w:rFonts w:ascii="Times New Roman" w:cs="Times New Roman" w:eastAsia="Times New Roman" w:hAnsi="Times New Roman"/>
          <w:sz w:val="20"/>
          <w:szCs w:val="20"/>
          <w:color w:val="auto"/>
        </w:rPr>
        <w:t>) and liquefied petroleum gas (LPG), which consists primarily of propane and butane fractions, and are the result of low-temperature plant processing. Oil and NGL reserves included in this report are expressed in thousands of barrels (Mbbl). In these estimates, 1 barrel equals 42 United States gallons.</w:t>
      </w:r>
    </w:p>
    <w:p>
      <w:pPr>
        <w:spacing w:after="0" w:line="230" w:lineRule="exact"/>
        <w:rPr>
          <w:sz w:val="20"/>
          <w:szCs w:val="20"/>
          <w:color w:val="auto"/>
        </w:rPr>
      </w:pPr>
    </w:p>
    <w:p>
      <w:pPr>
        <w:jc w:val="both"/>
        <w:ind w:firstLine="648"/>
        <w:spacing w:after="0" w:line="306" w:lineRule="auto"/>
        <w:rPr>
          <w:sz w:val="20"/>
          <w:szCs w:val="20"/>
          <w:color w:val="auto"/>
        </w:rPr>
      </w:pPr>
      <w:r>
        <w:rPr>
          <w:rFonts w:ascii="Times New Roman" w:cs="Times New Roman" w:eastAsia="Times New Roman" w:hAnsi="Times New Roman"/>
          <w:sz w:val="20"/>
          <w:szCs w:val="20"/>
          <w:color w:val="auto"/>
        </w:rPr>
        <w:t>Gas quantities estimated herein are expressed as sales gas. Sales gas is defined as the total gas to be produced from the reservoirs, measured at the point of delivery, after reduction for fuel usage, flare, and shrinkage resulting from field separation and processing. Gas reserves estimated herein are reported as sales gas. Gas quantities are expressed at a temperature base of 60 degrees Fahrenheit (°F) and at a pressure base of 14.73 pounds per square inch absolute (psia). Gas quantities included in this report are expressed in millions of cubic feet (MMcf).</w:t>
      </w:r>
    </w:p>
    <w:p>
      <w:pPr>
        <w:spacing w:after="0" w:line="208"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20"/>
          <w:szCs w:val="20"/>
          <w:color w:val="auto"/>
        </w:rPr>
        <w:t>Gas quantities are identified by the type of reservoir from which the gas will be produced. Nonassociated gas is gas at initial reservoir conditions with no oil present in the reservoir. Associated gas is both gas-cap gas and solution gas. Gas-cap gas is gas at initial reservoir conditions and is in communication with an underlying oil zone. Solution gas is gas dissolved in oil at initial reservoir conditions. Gas quantities estimated herein are associated gas.</w:t>
      </w:r>
    </w:p>
    <w:p>
      <w:pPr>
        <w:spacing w:after="0" w:line="216" w:lineRule="exact"/>
        <w:rPr>
          <w:sz w:val="20"/>
          <w:szCs w:val="20"/>
          <w:color w:val="auto"/>
        </w:rPr>
      </w:pPr>
    </w:p>
    <w:p>
      <w:pPr>
        <w:jc w:val="both"/>
        <w:ind w:firstLine="648"/>
        <w:spacing w:after="0" w:line="325" w:lineRule="auto"/>
        <w:rPr>
          <w:sz w:val="20"/>
          <w:szCs w:val="20"/>
          <w:color w:val="auto"/>
        </w:rPr>
      </w:pPr>
      <w:r>
        <w:rPr>
          <w:rFonts w:ascii="Times New Roman" w:cs="Times New Roman" w:eastAsia="Times New Roman" w:hAnsi="Times New Roman"/>
          <w:sz w:val="20"/>
          <w:szCs w:val="20"/>
          <w:color w:val="auto"/>
        </w:rPr>
        <w:t>At the request of CRC, sales gas reserves estimated herein were converted to oil equivalent using an energy equivalent factor of 6,000 cubic feet of gas per 1 barrel of oil equivalent.</w:t>
      </w:r>
    </w:p>
    <w:p>
      <w:pPr>
        <w:sectPr>
          <w:pgSz w:w="11900" w:h="16838" w:orient="portrait"/>
          <w:cols w:equalWidth="0" w:num="1">
            <w:col w:w="11240"/>
          </w:cols>
          <w:pgMar w:left="320" w:top="121"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DeGolyer and MacNaughton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Primary Economic Assumptions</w:t>
      </w:r>
    </w:p>
    <w:p>
      <w:pPr>
        <w:spacing w:after="0" w:line="341" w:lineRule="exact"/>
        <w:rPr>
          <w:sz w:val="20"/>
          <w:szCs w:val="20"/>
          <w:color w:val="auto"/>
        </w:rPr>
      </w:pPr>
    </w:p>
    <w:p>
      <w:pPr>
        <w:jc w:val="both"/>
        <w:ind w:firstLine="648"/>
        <w:spacing w:after="0" w:line="317" w:lineRule="auto"/>
        <w:rPr>
          <w:sz w:val="20"/>
          <w:szCs w:val="20"/>
          <w:color w:val="auto"/>
        </w:rPr>
      </w:pPr>
      <w:r>
        <w:rPr>
          <w:rFonts w:ascii="Times New Roman" w:cs="Times New Roman" w:eastAsia="Times New Roman" w:hAnsi="Times New Roman"/>
          <w:sz w:val="20"/>
          <w:szCs w:val="20"/>
          <w:color w:val="auto"/>
        </w:rPr>
        <w:t>This report has been prepared using initial prices, expenses, and costs provided by CRC. Future prices were estimated using guidelines established by the SEC and the Financial Accounting Standards Board (FASB). The following economic assumptions were used for estimating the reserves reported herein:</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Oil and NGL Prices</w:t>
      </w:r>
    </w:p>
    <w:p>
      <w:pPr>
        <w:spacing w:after="0" w:line="328" w:lineRule="exact"/>
        <w:rPr>
          <w:sz w:val="20"/>
          <w:szCs w:val="20"/>
          <w:color w:val="auto"/>
        </w:rPr>
      </w:pPr>
    </w:p>
    <w:p>
      <w:pPr>
        <w:jc w:val="both"/>
        <w:ind w:left="980" w:right="980"/>
        <w:spacing w:after="0" w:line="307" w:lineRule="auto"/>
        <w:rPr>
          <w:sz w:val="20"/>
          <w:szCs w:val="20"/>
          <w:color w:val="auto"/>
        </w:rPr>
      </w:pPr>
      <w:r>
        <w:rPr>
          <w:rFonts w:ascii="Times New Roman" w:cs="Times New Roman" w:eastAsia="Times New Roman" w:hAnsi="Times New Roman"/>
          <w:sz w:val="20"/>
          <w:szCs w:val="20"/>
          <w:color w:val="auto"/>
        </w:rPr>
        <w:t>CRC has represented that the oil and NGL prices were based on a reference price, calculated as the unweighted arithmetic average of the first-day-of-the-month price for each month within the 12-month period prior to the end of the reporting period, unless prices are defined by contractual agreements. CRC supplied differentials to a West Texas Intermediate oil reference price of $66.01 per barrel and the prices were held constant thereafter. The volume-weighted average prices attributable to the estimated proved reserves over the lives of the properties were $50.87 per barrel of oil and $25.52 per barrel of NGL.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Gas Prices</w:t>
      </w:r>
    </w:p>
    <w:p>
      <w:pPr>
        <w:spacing w:after="0" w:line="328" w:lineRule="exact"/>
        <w:rPr>
          <w:sz w:val="20"/>
          <w:szCs w:val="20"/>
          <w:color w:val="auto"/>
        </w:rPr>
      </w:pPr>
    </w:p>
    <w:p>
      <w:pPr>
        <w:jc w:val="both"/>
        <w:ind w:left="980" w:right="980"/>
        <w:spacing w:after="0" w:line="305" w:lineRule="auto"/>
        <w:rPr>
          <w:sz w:val="20"/>
          <w:szCs w:val="20"/>
          <w:color w:val="auto"/>
        </w:rPr>
      </w:pPr>
      <w:r>
        <w:rPr>
          <w:rFonts w:ascii="Times New Roman" w:cs="Times New Roman" w:eastAsia="Times New Roman" w:hAnsi="Times New Roman"/>
          <w:sz w:val="20"/>
          <w:szCs w:val="20"/>
          <w:color w:val="auto"/>
        </w:rPr>
        <w:t>CRC has represented that the gas prices were based on a reference price, calculated as the unweighted arithmetic average of the first-day-of-the-month price for each month within the 12-month period prior to the end of the reporting period, unless prices are defined by contractual agreements. CRC provided differentials to the Henry Hub reference price of $3.40 per million Btu and the prices were held constant thereafter. Btu factors provided by CRC were used to convert prices from dollars per million Btu to dollars per thousand cubic feet. The volume-weighted average price attributable to the estimated proved reserves over the lives of the properties was $3.10 per thousand cubic feet of gas.</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Production and Ad Valorem Taxes</w:t>
      </w:r>
    </w:p>
    <w:p>
      <w:pPr>
        <w:spacing w:after="0" w:line="328" w:lineRule="exact"/>
        <w:rPr>
          <w:sz w:val="20"/>
          <w:szCs w:val="20"/>
          <w:color w:val="auto"/>
        </w:rPr>
      </w:pPr>
    </w:p>
    <w:p>
      <w:pPr>
        <w:jc w:val="both"/>
        <w:ind w:left="980" w:right="980"/>
        <w:spacing w:after="0" w:line="339" w:lineRule="auto"/>
        <w:rPr>
          <w:sz w:val="20"/>
          <w:szCs w:val="20"/>
          <w:color w:val="auto"/>
        </w:rPr>
      </w:pPr>
      <w:r>
        <w:rPr>
          <w:rFonts w:ascii="Times New Roman" w:cs="Times New Roman" w:eastAsia="Times New Roman" w:hAnsi="Times New Roman"/>
          <w:sz w:val="20"/>
          <w:szCs w:val="20"/>
          <w:color w:val="auto"/>
        </w:rPr>
        <w:t>Production taxes were calculated using the tax rates for the State of Utah, and ad valorem taxes were estimated using rates provided by CRC based on recent payments.</w:t>
      </w:r>
    </w:p>
    <w:p>
      <w:pPr>
        <w:sectPr>
          <w:pgSz w:w="11900" w:h="16838" w:orient="portrait"/>
          <w:cols w:equalWidth="0" w:num="1">
            <w:col w:w="11240"/>
          </w:cols>
          <w:pgMar w:left="320" w:top="121"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DeGolyer and MacNaughton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Operating Expenses, Capital Costs, and Abandonment Costs</w:t>
      </w:r>
    </w:p>
    <w:p>
      <w:pPr>
        <w:spacing w:after="0" w:line="314" w:lineRule="exact"/>
        <w:rPr>
          <w:sz w:val="20"/>
          <w:szCs w:val="20"/>
          <w:color w:val="auto"/>
        </w:rPr>
      </w:pPr>
    </w:p>
    <w:p>
      <w:pPr>
        <w:jc w:val="both"/>
        <w:ind w:left="980" w:right="980"/>
        <w:spacing w:after="0" w:line="306" w:lineRule="auto"/>
        <w:rPr>
          <w:sz w:val="20"/>
          <w:szCs w:val="20"/>
          <w:color w:val="auto"/>
        </w:rPr>
      </w:pPr>
      <w:r>
        <w:rPr>
          <w:rFonts w:ascii="Times New Roman" w:cs="Times New Roman" w:eastAsia="Times New Roman" w:hAnsi="Times New Roman"/>
          <w:sz w:val="20"/>
          <w:szCs w:val="20"/>
          <w:color w:val="auto"/>
        </w:rPr>
        <w:t>Estimates of operating expenses and future capital expenditures, provided by CRC and based on existing economic conditions, were held constant for the lives of the properties. In certain cases, future expenditures, either higher or lower than current expenditures, may have been used because of anticipated changes in operating conditions, but no general escalation that might result from inflation was applied. Abandonment costs, which are those costs associated with the removal of equipment, plugging of wells, and reclamation and restoration associated with the abandonment, were provided by CRC for all properties and were not adjusted for inflation. Operating expenses, capital costs, and abandonment costs were considered, as appropriate, in determining the economic viability of the undeveloped reserves estimated herein.</w:t>
      </w:r>
    </w:p>
    <w:p>
      <w:pPr>
        <w:spacing w:after="0" w:line="206"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20"/>
          <w:szCs w:val="20"/>
          <w:color w:val="auto"/>
        </w:rPr>
        <w:t xml:space="preserve">In our opinion, the information relating to estimated proved reserves, estimated future net revenue from proved reserves, and present worth of estimated future net revenue from proved reserves of oil, NGL, and gas contained in this report has been prepared in accordance with Paragraphs 932-235-50-4, 932-235-50-6, 932-235-50-7, 932-235-50-9, 932-235-50-30, and 932-235-50-31(a), (b), and (e) of the Accounting Standards Update 932-235-50, </w:t>
      </w:r>
      <w:r>
        <w:rPr>
          <w:rFonts w:ascii="Times New Roman" w:cs="Times New Roman" w:eastAsia="Times New Roman" w:hAnsi="Times New Roman"/>
          <w:sz w:val="20"/>
          <w:szCs w:val="20"/>
          <w:i w:val="1"/>
          <w:iCs w:val="1"/>
          <w:color w:val="auto"/>
        </w:rPr>
        <w:t>Extractive Industries – Oil and Gas (Topic 932): Oil and Gas Reserve Estimation and Disclosures</w:t>
      </w:r>
      <w:r>
        <w:rPr>
          <w:rFonts w:ascii="Times New Roman" w:cs="Times New Roman" w:eastAsia="Times New Roman" w:hAnsi="Times New Roman"/>
          <w:sz w:val="20"/>
          <w:szCs w:val="20"/>
          <w:color w:val="auto"/>
        </w:rPr>
        <w:t xml:space="preserve"> (January 2010) of the FASB and Rules 4–10(a) (1)–(32) of Regulation S–X and Rules 302(b), 1201, 1202(a) (1), (2), (3), (4), (8), and 1203(a) of Regulation S–K of the SEC; provided, however, that</w:t>
      </w:r>
    </w:p>
    <w:p>
      <w:pPr>
        <w:spacing w:after="0" w:line="3" w:lineRule="exact"/>
        <w:rPr>
          <w:sz w:val="20"/>
          <w:szCs w:val="20"/>
          <w:color w:val="auto"/>
        </w:rPr>
      </w:pPr>
    </w:p>
    <w:p>
      <w:pPr>
        <w:ind w:firstLine="8"/>
        <w:spacing w:after="0" w:line="325" w:lineRule="auto"/>
        <w:tabs>
          <w:tab w:leader="none" w:pos="239"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income tax expenses have not been taken into account in estimating the future net revenue and present worth values set forth herein and (ii) estimates of the proved developed and proved undeveloped reserves are not presented at the beginning of the year.</w:t>
      </w:r>
    </w:p>
    <w:p>
      <w:pPr>
        <w:spacing w:after="0" w:line="201"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20"/>
          <w:szCs w:val="20"/>
          <w:color w:val="auto"/>
        </w:rPr>
        <w:t>To the extent the above-enumerated rules, regulations, and statements require determinations of an accounting or legal nature, we, as engineers, are necessarily unable to express an opinion as to whether the above-described information is in accordance therewith or sufficient therefor.</w:t>
      </w:r>
    </w:p>
    <w:p>
      <w:pPr>
        <w:sectPr>
          <w:pgSz w:w="11900" w:h="16838" w:orient="portrait"/>
          <w:cols w:equalWidth="0" w:num="1">
            <w:col w:w="11240"/>
          </w:cols>
          <w:pgMar w:left="320" w:top="121"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DeGolyer and MacNaughton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Summary of Conclusions</w:t>
      </w:r>
    </w:p>
    <w:p>
      <w:pPr>
        <w:spacing w:after="0" w:line="341"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20"/>
          <w:szCs w:val="20"/>
          <w:color w:val="auto"/>
        </w:rPr>
        <w:t>DeGolyer and MacNaughton has performed an independent evaluation of the extent of the estimated net proved oil, NGL, and gas reserves of certain properties in which CRC has represented it holds an interest. CRC has represented that its estimated net proved reserves attributable to the evaluated properties were based on the definition of proved reserves of the SEC. CRC’s estimates of the net proved reserves, as of December 31, 2025, attributable to these properties, which</w:t>
      </w:r>
    </w:p>
    <w:p>
      <w:pPr>
        <w:spacing w:after="0" w:line="1" w:lineRule="exact"/>
        <w:rPr>
          <w:sz w:val="20"/>
          <w:szCs w:val="20"/>
          <w:color w:val="auto"/>
        </w:rPr>
      </w:pPr>
    </w:p>
    <w:p>
      <w:pPr>
        <w:jc w:val="both"/>
        <w:spacing w:after="0" w:line="339" w:lineRule="auto"/>
        <w:rPr>
          <w:sz w:val="20"/>
          <w:szCs w:val="20"/>
          <w:color w:val="auto"/>
        </w:rPr>
      </w:pPr>
      <w:r>
        <w:rPr>
          <w:rFonts w:ascii="Times New Roman" w:cs="Times New Roman" w:eastAsia="Times New Roman" w:hAnsi="Times New Roman"/>
          <w:sz w:val="20"/>
          <w:szCs w:val="20"/>
          <w:color w:val="auto"/>
        </w:rPr>
        <w:t>represent 5 percent of CRC’s total proved reserves on a net equivalent basis, are summarized as follows, expressed in thousands of barrels (Mbbl), millions of cubic feet (MMcf), and thousands of barrels of oil equivalent (Mboe):</w:t>
      </w:r>
    </w:p>
    <w:p>
      <w:pPr>
        <w:spacing w:after="0" w:line="212"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3"/>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Estimated by CRC</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9"/>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Net Proved Reserves</w:t>
            </w:r>
          </w:p>
        </w:tc>
        <w:tc>
          <w:tcPr>
            <w:tcW w:w="1240" w:type="dxa"/>
            <w:vAlign w:val="bottom"/>
          </w:tcPr>
          <w:p>
            <w:pPr>
              <w:spacing w:after="0"/>
              <w:rPr>
                <w:sz w:val="16"/>
                <w:szCs w:val="16"/>
                <w:color w:val="auto"/>
              </w:rPr>
            </w:pPr>
          </w:p>
        </w:tc>
      </w:tr>
      <w:tr>
        <w:trPr>
          <w:trHeight w:val="190"/>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240" w:type="dxa"/>
            <w:vAlign w:val="bottom"/>
          </w:tcPr>
          <w:p>
            <w:pPr>
              <w:spacing w:after="0"/>
              <w:rPr>
                <w:sz w:val="16"/>
                <w:szCs w:val="16"/>
                <w:color w:val="auto"/>
              </w:rPr>
            </w:pPr>
          </w:p>
        </w:tc>
      </w:tr>
      <w:tr>
        <w:trPr>
          <w:trHeight w:val="2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5"/>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40" w:type="dxa"/>
            <w:vAlign w:val="bottom"/>
          </w:tcPr>
          <w:p>
            <w:pPr>
              <w:spacing w:after="0"/>
              <w:rPr>
                <w:sz w:val="16"/>
                <w:szCs w:val="16"/>
                <w:color w:val="auto"/>
              </w:rPr>
            </w:pPr>
          </w:p>
        </w:tc>
      </w:tr>
      <w:tr>
        <w:trPr>
          <w:trHeight w:val="175"/>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Properties Evaluated by</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Oil</w:t>
            </w:r>
          </w:p>
        </w:tc>
        <w:tc>
          <w:tcPr>
            <w:tcW w:w="15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NGL</w:t>
            </w:r>
          </w:p>
        </w:tc>
        <w:tc>
          <w:tcPr>
            <w:tcW w:w="9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Gas</w:t>
            </w: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Oil Equivalent</w:t>
            </w:r>
          </w:p>
        </w:tc>
      </w:tr>
      <w:tr>
        <w:trPr>
          <w:trHeight w:val="204"/>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DeGolyer and MacNaughton</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(Mbbl)</w:t>
            </w:r>
          </w:p>
        </w:tc>
        <w:tc>
          <w:tcPr>
            <w:tcW w:w="15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(Mbbl)</w:t>
            </w:r>
          </w:p>
        </w:tc>
        <w:tc>
          <w:tcPr>
            <w:tcW w:w="9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(MMcf)</w:t>
            </w:r>
          </w:p>
        </w:tc>
        <w:tc>
          <w:tcPr>
            <w:tcW w:w="12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(Mboe)</w:t>
            </w:r>
          </w:p>
        </w:tc>
      </w:tr>
      <w:tr>
        <w:trPr>
          <w:trHeight w:val="23"/>
        </w:trPr>
        <w:tc>
          <w:tcPr>
            <w:tcW w:w="3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474"/>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Proved Developed</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4,697</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9,311</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6,644</w:t>
            </w:r>
          </w:p>
        </w:tc>
      </w:tr>
      <w:tr>
        <w:trPr>
          <w:trHeight w:val="257"/>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Proved Undeveloped</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21,245</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21,295</w:t>
            </w: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25,693</w:t>
            </w:r>
          </w:p>
        </w:tc>
      </w:tr>
      <w:tr>
        <w:trPr>
          <w:trHeight w:val="3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456"/>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Proved</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25,942</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1,294</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30,605</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32,337</w:t>
            </w:r>
          </w:p>
        </w:tc>
      </w:tr>
    </w:tbl>
    <w:p>
      <w:pPr>
        <w:spacing w:after="0" w:line="284" w:lineRule="exact"/>
        <w:rPr>
          <w:sz w:val="20"/>
          <w:szCs w:val="20"/>
          <w:color w:val="auto"/>
        </w:rPr>
      </w:pPr>
    </w:p>
    <w:p>
      <w:pPr>
        <w:ind w:left="1100" w:right="1880" w:hanging="485"/>
        <w:spacing w:after="0" w:line="302" w:lineRule="auto"/>
        <w:rPr>
          <w:sz w:val="20"/>
          <w:szCs w:val="20"/>
          <w:color w:val="auto"/>
        </w:rPr>
      </w:pPr>
      <w:r>
        <w:rPr>
          <w:rFonts w:ascii="Times New Roman" w:cs="Times New Roman" w:eastAsia="Times New Roman" w:hAnsi="Times New Roman"/>
          <w:sz w:val="14"/>
          <w:szCs w:val="14"/>
          <w:color w:val="auto"/>
        </w:rPr>
        <w:t>Note: Sales gas reserves estimated herein were converted to oil equivalent using an energy equivalent factor of 6,000 cubic feet of gas per 1 barrel of oil equivalent.</w:t>
      </w:r>
    </w:p>
    <w:p>
      <w:pPr>
        <w:sectPr>
          <w:pgSz w:w="11900" w:h="16838" w:orient="portrait"/>
          <w:cols w:equalWidth="0" w:num="1">
            <w:col w:w="11240"/>
          </w:cols>
          <w:pgMar w:left="320" w:top="121"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DeGolyer and MacNaughton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20"/>
          <w:szCs w:val="20"/>
          <w:color w:val="auto"/>
        </w:rPr>
        <w:t>In comparing the detailed net proved reserves estimates prepared by DeGolyer and MacNaughton and by CRC of the properties evaluated, differences have been found, both positive and negative, resulting in an aggregate difference of less than 10 percent for the evaluated properties when compared on the basis of net equivalent barrels. It is DeGolyer and MacNaughton’s opinion, based on the differences in aggregate, that the CRC’s estimates of proved reserves are reasonable.</w:t>
      </w:r>
    </w:p>
    <w:p>
      <w:pPr>
        <w:spacing w:after="0" w:line="216"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20"/>
          <w:szCs w:val="20"/>
          <w:color w:val="auto"/>
        </w:rPr>
        <w:t>While the oil and gas industry may be subject to regulatory changes from time to time that could affect an industry participant’s ability to recover its reserves, we are not aware of any such governmental actions which would restrict the recovery of the December 31, 2025, estimated reserves.</w:t>
      </w:r>
    </w:p>
    <w:p>
      <w:pPr>
        <w:spacing w:after="0" w:line="202"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20"/>
          <w:szCs w:val="20"/>
          <w:color w:val="auto"/>
        </w:rPr>
        <w:t>DeGolyer and MacNaughton is an independent petroleum engineering consulting firm that has been providing petroleum consulting services throughout the world since 1936. DeGolyer and MacNaughton does not have any financial interest, including stock ownership, in CRC. Our fees were not contingent on the results of our evaluation. This report has been prepared at the request of CRC. DeGolyer and MacNaughton has used all assumptions, data, procedures, and methods that it considers necessary and appropriate to prepare this report.</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Submitted,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DeGOLYER and MacNAUGHTON</w:t>
      </w:r>
    </w:p>
    <w:p>
      <w:pPr>
        <w:spacing w:after="0" w:line="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Texas Registered Engineering Firm F-716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\s\ Dilhan Ilk</w:t>
      </w:r>
    </w:p>
    <w:p>
      <w:pPr>
        <w:ind w:left="3900"/>
        <w:spacing w:after="0" w:line="211" w:lineRule="auto"/>
        <w:rPr>
          <w:sz w:val="20"/>
          <w:szCs w:val="20"/>
          <w:color w:val="auto"/>
        </w:rPr>
      </w:pPr>
      <w:r>
        <w:rPr>
          <w:rFonts w:ascii="Times New Roman" w:cs="Times New Roman" w:eastAsia="Times New Roman" w:hAnsi="Times New Roman"/>
          <w:sz w:val="20"/>
          <w:szCs w:val="20"/>
          <w:color w:val="auto"/>
        </w:rPr>
        <w:t>Dilhan Ilk, P.E.</w:t>
      </w:r>
    </w:p>
    <w:p>
      <w:pPr>
        <w:ind w:left="3900"/>
        <w:spacing w:after="0"/>
        <w:rPr>
          <w:sz w:val="20"/>
          <w:szCs w:val="20"/>
          <w:color w:val="auto"/>
        </w:rPr>
      </w:pPr>
      <w:r>
        <w:rPr>
          <w:rFonts w:ascii="Times New Roman" w:cs="Times New Roman" w:eastAsia="Times New Roman" w:hAnsi="Times New Roman"/>
          <w:sz w:val="20"/>
          <w:szCs w:val="20"/>
          <w:color w:val="auto"/>
        </w:rPr>
        <w:t>Executive Vice President</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DeGolyer and MacNaughton</w:t>
      </w:r>
    </w:p>
    <w:p>
      <w:pPr>
        <w:sectPr>
          <w:pgSz w:w="11900" w:h="16838" w:orient="portrait"/>
          <w:cols w:equalWidth="0" w:num="1">
            <w:col w:w="11240"/>
          </w:cols>
          <w:pgMar w:left="320" w:top="121"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6"/>
          <w:szCs w:val="16"/>
          <w:color w:val="auto"/>
        </w:rPr>
        <w:t>DeGolyer and MacNaughton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QUALIFICATION</w:t>
      </w:r>
    </w:p>
    <w:p>
      <w:pPr>
        <w:spacing w:after="0" w:line="200" w:lineRule="exact"/>
        <w:rPr>
          <w:sz w:val="20"/>
          <w:szCs w:val="20"/>
          <w:color w:val="auto"/>
        </w:rPr>
      </w:pPr>
    </w:p>
    <w:p>
      <w:pPr>
        <w:spacing w:after="0" w:line="3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I, Dilhan Ilk, Petroleum Engineer with DeGolyer and MacNaughton, 5001 Spring Valley Road, Suite 800 East, Dallas, Texas, 75244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U.S.A., hereby certify:</w:t>
      </w:r>
    </w:p>
    <w:p>
      <w:pPr>
        <w:spacing w:after="0" w:line="297" w:lineRule="exact"/>
        <w:rPr>
          <w:sz w:val="20"/>
          <w:szCs w:val="20"/>
          <w:color w:val="auto"/>
        </w:rPr>
      </w:pPr>
    </w:p>
    <w:p>
      <w:pPr>
        <w:jc w:val="both"/>
        <w:ind w:left="660" w:hanging="328"/>
        <w:spacing w:after="0" w:line="317" w:lineRule="auto"/>
        <w:tabs>
          <w:tab w:leader="none" w:pos="66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 am an Executive Vice President with DeGolyer and MacNaughton, which firm did prepare this report of third party addressed to California Resources Corporation dated February 20, 2026, and that I, as Executive Vice President, was responsible for the preparation of this report of third party.</w:t>
      </w:r>
    </w:p>
    <w:p>
      <w:pPr>
        <w:spacing w:after="0" w:line="195" w:lineRule="exact"/>
        <w:rPr>
          <w:rFonts w:ascii="Times New Roman" w:cs="Times New Roman" w:eastAsia="Times New Roman" w:hAnsi="Times New Roman"/>
          <w:sz w:val="20"/>
          <w:szCs w:val="20"/>
          <w:color w:val="auto"/>
        </w:rPr>
      </w:pPr>
    </w:p>
    <w:p>
      <w:pPr>
        <w:jc w:val="both"/>
        <w:ind w:left="660" w:hanging="328"/>
        <w:spacing w:after="0" w:line="318" w:lineRule="auto"/>
        <w:tabs>
          <w:tab w:leader="none" w:pos="66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I attended Istanbul Technical University, and that I graduated with a Bachelor of Science degree in Petroleum Engineering in the year 2003, a Master of Science degree in Petroleum Engineering from Texas A&amp;M University in 2005, and a Doctor of Philosophy</w:t>
      </w:r>
    </w:p>
    <w:p>
      <w:pPr>
        <w:spacing w:after="0" w:line="1" w:lineRule="exact"/>
        <w:rPr>
          <w:rFonts w:ascii="Times New Roman" w:cs="Times New Roman" w:eastAsia="Times New Roman" w:hAnsi="Times New Roman"/>
          <w:sz w:val="19"/>
          <w:szCs w:val="19"/>
          <w:color w:val="auto"/>
        </w:rPr>
      </w:pPr>
    </w:p>
    <w:p>
      <w:pPr>
        <w:jc w:val="both"/>
        <w:ind w:left="660"/>
        <w:spacing w:after="0" w:line="310"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degree in Petroleum Engineering from Texas A&amp;M University in 2010; that I am a Registered Professional Engineer in the State of Texas; that I am a member of the Society of Petroleum Engineers; and that I have in excess of 15 years of experience in oil and gas reservoir studies and reserves evaluations.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\s\ Dilhan Ilk</w:t>
      </w:r>
    </w:p>
    <w:p>
      <w:pPr>
        <w:ind w:left="3900"/>
        <w:spacing w:after="0" w:line="233" w:lineRule="auto"/>
        <w:rPr>
          <w:sz w:val="20"/>
          <w:szCs w:val="20"/>
          <w:color w:val="auto"/>
        </w:rPr>
      </w:pPr>
      <w:r>
        <w:rPr>
          <w:rFonts w:ascii="Times New Roman" w:cs="Times New Roman" w:eastAsia="Times New Roman" w:hAnsi="Times New Roman"/>
          <w:sz w:val="20"/>
          <w:szCs w:val="20"/>
          <w:color w:val="auto"/>
        </w:rPr>
        <w:t>Dilhan Ilk, P.E.</w:t>
      </w:r>
    </w:p>
    <w:p>
      <w:pPr>
        <w:ind w:left="3900"/>
        <w:spacing w:after="0"/>
        <w:rPr>
          <w:sz w:val="20"/>
          <w:szCs w:val="20"/>
          <w:color w:val="auto"/>
        </w:rPr>
      </w:pPr>
      <w:r>
        <w:rPr>
          <w:rFonts w:ascii="Times New Roman" w:cs="Times New Roman" w:eastAsia="Times New Roman" w:hAnsi="Times New Roman"/>
          <w:sz w:val="20"/>
          <w:szCs w:val="20"/>
          <w:color w:val="auto"/>
        </w:rPr>
        <w:t>Executive Vice President</w:t>
      </w:r>
    </w:p>
    <w:p>
      <w:pPr>
        <w:ind w:left="3900"/>
        <w:spacing w:after="0"/>
        <w:rPr>
          <w:sz w:val="20"/>
          <w:szCs w:val="20"/>
          <w:color w:val="auto"/>
        </w:rPr>
      </w:pPr>
      <w:r>
        <w:rPr>
          <w:rFonts w:ascii="Times New Roman" w:cs="Times New Roman" w:eastAsia="Times New Roman" w:hAnsi="Times New Roman"/>
          <w:sz w:val="20"/>
          <w:szCs w:val="20"/>
          <w:color w:val="auto"/>
        </w:rPr>
        <w:t>DeGolyer and MacNaughton</w:t>
      </w:r>
    </w:p>
    <w:p>
      <w:pPr>
        <w:sectPr>
          <w:pgSz w:w="11900" w:h="16838" w:orient="portrait"/>
          <w:cols w:equalWidth="0" w:num="1">
            <w:col w:w="11240"/>
          </w:cols>
          <w:pgMar w:left="320" w:top="612"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5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On December 18, 2025, pursuant to the Agreement and Plan of Merger, dated as of September 14, 2025 (the Merger Agreement), California Resources Corporation (CRC, we, us, or our) acquired Berry Corporation (bry) (Berry) in an all-stock transaction (the Berry Merger). In connection with the closing of the Berry Merger, we issued 5,572,115 shares of our common stock, which represented 0.0718 shares of our common stock for each outstanding share of Berry stock as of December 17, 2025. We paid cash or issued replacement equity awards in settlement of certain Berry restricted and performance stock units. We also paid approximately $449 million in connection with the extinguishment of all of Berry’s outstanding indebtedness using the proceeds from the issuance of our 7.000% senior notes due 2034 (the 2034 Senior Notes) and cash on hand.</w:t>
      </w:r>
    </w:p>
    <w:p>
      <w:pPr>
        <w:spacing w:after="0" w:line="210"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The following unaudited pro forma condensed combined financial information is derived from the audited historical consolidated financial statements of CRC and the unaudited historical consolidated financial statements of Berry, respectively, and gives effect to (i) the Berry Merger, (ii) the extinguishment of Berry’s outstanding debt, and (iii) the issuance of new debt (collectively, the pro forma events). The unaudited pro forma condensed combined financial information was prepared in accordance with Article 11 of Regulation S-X.</w:t>
      </w:r>
    </w:p>
    <w:p>
      <w:pPr>
        <w:spacing w:after="0" w:line="20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2025 gives effect to the pro forma events as if they had occurred on January 1, 2025. The unaudited pro forma condensed combined statements of operations have been derived from and should be read in conjunction with (i) the historical audited consolidated statement of operations of CRC for the year ended December 31, 2025 and (ii) the historical unaudited consolidated and combined financial statements of Berry for the nine months ended September 30, 2025. No unaudited pro forma combined balance sheet as of December 31, 2025 is presented due to the fact that all pro forma events were completed prior to December 31, 2025, and the results of the pro forma events are reflected in CRC’s audited consolidated balance sheet included in our Annual Report on Form 10-K for the year ended December 31, 2025 (the 2025 Annual Report).</w:t>
      </w:r>
    </w:p>
    <w:p>
      <w:pPr>
        <w:spacing w:after="0" w:line="210"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The unaudited condensed combined pro forma financial statements contain certain reclassification adjustments to conform the historical financial statement presentation of Berry to that of CRC.</w:t>
      </w:r>
    </w:p>
    <w:p>
      <w:pPr>
        <w:spacing w:after="0" w:line="180"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CRC utilized the services of C&amp;J Well Services, a subsidiary of Berry, during the year ended December 31, 2025. As such, an adjustment was applied to the unaudited pro forma combined condensed statement of operations for the year ended December 31, 2025 to eliminate a portion of services revenue and operating costs related to well servicing, which would be considered intercompany activity and eliminated in consolidation.</w:t>
      </w:r>
    </w:p>
    <w:p>
      <w:pPr>
        <w:spacing w:after="0" w:line="203"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pro forma adjustments are based on available information and upon assumptions that management believes are reasonable in order to reflect on a pro forma basis, the effect of the pro forma events on the historical financial information of CRC. The adjustments are described in the notes to the unaudited pro forma condensed combined statement of operations.</w:t>
      </w:r>
    </w:p>
    <w:p>
      <w:pPr>
        <w:spacing w:after="0" w:line="19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unaudited pro forma condensed combined financial information is included for informational purposes only. The unaudited pro forma condensed combined financial information should not be relied upon as being indicative of our results of operations or financial condition had the pro forma events occurred on the date assumed. The unaudited pro forma condensed combined financial information also does not project our results of operations for any future period or date, including, but not limited to, the anticipated realization of ongoing savings from potential operating efficiencies, asset dispositions, cost savings, or economies of scale that the combined company may achieve with respect to the combined operations. Specifically, the unaudited pro forma condensed combined statement of operations does not include projected synergies expected to be achieved as a result of the Berry Merger and any associated costs that may be required to be incurred to achieve those synergies. The unaudited pro forma condensed combined statement of operations should be read in conjunction with the 2025 Annual Report.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bookmarkStart w:id="208" w:name="page209"/>
    <w:bookmarkEnd w:id="208"/>
    <w:p>
      <w:pPr>
        <w:jc w:val="center"/>
        <w:ind w:right="-33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For the year ended December 31, 2025</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b w:val="1"/>
                <w:bCs w:val="1"/>
                <w:color w:val="auto"/>
              </w:rPr>
              <w:t>(in millions, except per share amounts)</w:t>
            </w: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84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Borders>
              <w:bottom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For the year</w:t>
            </w:r>
          </w:p>
        </w:tc>
        <w:tc>
          <w:tcPr>
            <w:tcW w:w="126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rPr>
              <w:t>For the period of</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1260" w:type="dxa"/>
            <w:vAlign w:val="bottom"/>
            <w:gridSpan w:val="3"/>
            <w:vMerge w:val="restart"/>
          </w:tcPr>
          <w:p>
            <w:pPr>
              <w:jc w:val="center"/>
              <w:ind w:right="80"/>
              <w:spacing w:after="0" w:line="139" w:lineRule="exact"/>
              <w:rPr>
                <w:sz w:val="20"/>
                <w:szCs w:val="20"/>
                <w:color w:val="auto"/>
              </w:rPr>
            </w:pPr>
            <w:r>
              <w:rPr>
                <w:rFonts w:ascii="Arial" w:cs="Arial" w:eastAsia="Arial" w:hAnsi="Arial"/>
                <w:sz w:val="14"/>
                <w:szCs w:val="14"/>
                <w:b w:val="1"/>
                <w:bCs w:val="1"/>
                <w:color w:val="auto"/>
              </w:rPr>
              <w:t>January 1, 2025</w:t>
            </w: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840" w:type="dxa"/>
            <w:vAlign w:val="bottom"/>
          </w:tcPr>
          <w:p>
            <w:pPr>
              <w:spacing w:after="0"/>
              <w:rPr>
                <w:sz w:val="6"/>
                <w:szCs w:val="6"/>
                <w:color w:val="auto"/>
              </w:rPr>
            </w:pPr>
          </w:p>
        </w:tc>
        <w:tc>
          <w:tcPr>
            <w:tcW w:w="1280" w:type="dxa"/>
            <w:vAlign w:val="bottom"/>
            <w:gridSpan w:val="3"/>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rPr>
              <w:t>ended</w:t>
            </w:r>
          </w:p>
        </w:tc>
        <w:tc>
          <w:tcPr>
            <w:tcW w:w="126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rPr>
              <w:t>through</w:t>
            </w: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0" w:type="dxa"/>
            <w:vAlign w:val="bottom"/>
            <w:gridSpan w:val="5"/>
            <w:vMerge w:val="restart"/>
          </w:tcPr>
          <w:p>
            <w:pPr>
              <w:jc w:val="right"/>
              <w:ind w:right="28"/>
              <w:spacing w:after="0" w:line="149" w:lineRule="exact"/>
              <w:rPr>
                <w:sz w:val="20"/>
                <w:szCs w:val="20"/>
                <w:color w:val="auto"/>
              </w:rPr>
            </w:pPr>
            <w:r>
              <w:rPr>
                <w:rFonts w:ascii="Arial" w:cs="Arial" w:eastAsia="Arial" w:hAnsi="Arial"/>
                <w:sz w:val="14"/>
                <w:szCs w:val="14"/>
                <w:b w:val="1"/>
                <w:bCs w:val="1"/>
                <w:color w:val="auto"/>
              </w:rPr>
              <w:t>For the year ended December 31, 2025</w:t>
            </w: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840" w:type="dxa"/>
            <w:vAlign w:val="bottom"/>
          </w:tcPr>
          <w:p>
            <w:pPr>
              <w:spacing w:after="0"/>
              <w:rPr>
                <w:sz w:val="7"/>
                <w:szCs w:val="7"/>
                <w:color w:val="auto"/>
              </w:rPr>
            </w:pPr>
          </w:p>
        </w:tc>
        <w:tc>
          <w:tcPr>
            <w:tcW w:w="128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0" w:type="dxa"/>
            <w:vAlign w:val="bottom"/>
            <w:gridSpan w:val="5"/>
            <w:vMerge w:val="continue"/>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restart"/>
          </w:tcPr>
          <w:p>
            <w:pPr>
              <w:jc w:val="center"/>
              <w:ind w:right="180"/>
              <w:spacing w:after="0" w:line="145" w:lineRule="exact"/>
              <w:rPr>
                <w:sz w:val="20"/>
                <w:szCs w:val="20"/>
                <w:color w:val="auto"/>
              </w:rPr>
            </w:pPr>
            <w:r>
              <w:rPr>
                <w:rFonts w:ascii="Arial" w:cs="Arial" w:eastAsia="Arial" w:hAnsi="Arial"/>
                <w:sz w:val="14"/>
                <w:szCs w:val="14"/>
                <w:b w:val="1"/>
                <w:bCs w:val="1"/>
                <w:color w:val="auto"/>
              </w:rPr>
              <w:t>December 17,</w:t>
            </w: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840" w:type="dxa"/>
            <w:vAlign w:val="bottom"/>
          </w:tcPr>
          <w:p>
            <w:pPr>
              <w:spacing w:after="0"/>
              <w:rPr>
                <w:sz w:val="6"/>
                <w:szCs w:val="6"/>
                <w:color w:val="auto"/>
              </w:rPr>
            </w:pPr>
          </w:p>
        </w:tc>
        <w:tc>
          <w:tcPr>
            <w:tcW w:w="76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rPr>
              <w:t>2025</w:t>
            </w: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84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76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rPr>
              <w:t>CRC</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Berry</w:t>
            </w:r>
          </w:p>
        </w:tc>
        <w:tc>
          <w:tcPr>
            <w:tcW w:w="140" w:type="dxa"/>
            <w:vAlign w:val="bottom"/>
          </w:tcPr>
          <w:p>
            <w:pPr>
              <w:spacing w:after="0"/>
              <w:rPr>
                <w:sz w:val="12"/>
                <w:szCs w:val="12"/>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Presentation</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rPr>
              <w:t>Transaction</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Financing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CRC Proforma</w:t>
            </w: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center"/>
              <w:ind w:right="68"/>
              <w:spacing w:after="0" w:line="139" w:lineRule="exact"/>
              <w:rPr>
                <w:sz w:val="20"/>
                <w:szCs w:val="20"/>
                <w:color w:val="auto"/>
              </w:rPr>
            </w:pPr>
            <w:r>
              <w:rPr>
                <w:rFonts w:ascii="Arial" w:cs="Arial" w:eastAsia="Arial" w:hAnsi="Arial"/>
                <w:sz w:val="14"/>
                <w:szCs w:val="14"/>
                <w:b w:val="1"/>
                <w:bCs w:val="1"/>
                <w:color w:val="auto"/>
              </w:rPr>
              <w:t>Adjustments</w:t>
            </w: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840" w:type="dxa"/>
            <w:vAlign w:val="bottom"/>
          </w:tcPr>
          <w:p>
            <w:pPr>
              <w:spacing w:after="0"/>
              <w:rPr>
                <w:sz w:val="6"/>
                <w:szCs w:val="6"/>
                <w:color w:val="auto"/>
              </w:rPr>
            </w:pPr>
          </w:p>
        </w:tc>
        <w:tc>
          <w:tcPr>
            <w:tcW w:w="12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6"/>
                <w:szCs w:val="6"/>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(proforma)</w:t>
            </w:r>
          </w:p>
        </w:tc>
        <w:tc>
          <w:tcPr>
            <w:tcW w:w="140" w:type="dxa"/>
            <w:vAlign w:val="bottom"/>
          </w:tcPr>
          <w:p>
            <w:pPr>
              <w:spacing w:after="0"/>
              <w:rPr>
                <w:sz w:val="6"/>
                <w:szCs w:val="6"/>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24"/>
        </w:trPr>
        <w:tc>
          <w:tcPr>
            <w:tcW w:w="284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Acquisition</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84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84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operating revenues</w:t>
            </w: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3,669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 xml:space="preserve">(B)  </w:t>
            </w: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4,298</w:t>
            </w:r>
          </w:p>
        </w:tc>
        <w:tc>
          <w:tcPr>
            <w:tcW w:w="0" w:type="dxa"/>
            <w:vAlign w:val="bottom"/>
          </w:tcPr>
          <w:p>
            <w:pPr>
              <w:spacing w:after="0"/>
              <w:rPr>
                <w:sz w:val="1"/>
                <w:szCs w:val="1"/>
                <w:color w:val="auto"/>
              </w:rPr>
            </w:pPr>
          </w:p>
        </w:tc>
      </w:tr>
      <w:tr>
        <w:trPr>
          <w:trHeight w:val="95"/>
        </w:trPr>
        <w:tc>
          <w:tcPr>
            <w:tcW w:w="2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40" w:type="dxa"/>
            <w:vAlign w:val="bottom"/>
          </w:tcPr>
          <w:p>
            <w:pPr>
              <w:ind w:left="240"/>
              <w:spacing w:after="0"/>
              <w:rPr>
                <w:sz w:val="20"/>
                <w:szCs w:val="20"/>
                <w:color w:val="auto"/>
              </w:rPr>
            </w:pPr>
            <w:r>
              <w:rPr>
                <w:rFonts w:ascii="Arial" w:cs="Arial" w:eastAsia="Arial" w:hAnsi="Arial"/>
                <w:sz w:val="14"/>
                <w:szCs w:val="14"/>
                <w:color w:val="auto"/>
              </w:rPr>
              <w:t>Operating costs</w:t>
            </w:r>
          </w:p>
        </w:tc>
        <w:tc>
          <w:tcPr>
            <w:tcW w:w="76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1,252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w:t>
            </w:r>
          </w:p>
        </w:tc>
        <w:tc>
          <w:tcPr>
            <w:tcW w:w="500" w:type="dxa"/>
            <w:vAlign w:val="bottom"/>
            <w:gridSpan w:val="2"/>
          </w:tcPr>
          <w:p>
            <w:pPr>
              <w:ind w:left="100"/>
              <w:spacing w:after="0"/>
              <w:rPr>
                <w:sz w:val="20"/>
                <w:szCs w:val="20"/>
                <w:color w:val="auto"/>
              </w:rPr>
            </w:pPr>
            <w:r>
              <w:rPr>
                <w:rFonts w:ascii="Arial" w:cs="Arial" w:eastAsia="Arial" w:hAnsi="Arial"/>
                <w:sz w:val="13"/>
                <w:szCs w:val="13"/>
                <w:color w:val="auto"/>
              </w:rPr>
              <w:t>(B)</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1,434</w:t>
            </w:r>
          </w:p>
        </w:tc>
        <w:tc>
          <w:tcPr>
            <w:tcW w:w="0" w:type="dxa"/>
            <w:vAlign w:val="bottom"/>
          </w:tcPr>
          <w:p>
            <w:pPr>
              <w:spacing w:after="0"/>
              <w:rPr>
                <w:sz w:val="1"/>
                <w:szCs w:val="1"/>
                <w:color w:val="auto"/>
              </w:rPr>
            </w:pPr>
          </w:p>
        </w:tc>
      </w:tr>
      <w:tr>
        <w:trPr>
          <w:trHeight w:val="206"/>
        </w:trPr>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Cost of services</w:t>
            </w:r>
          </w:p>
        </w:tc>
        <w:tc>
          <w:tcPr>
            <w:tcW w:w="7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w:t>
            </w: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40" w:type="dxa"/>
            <w:vAlign w:val="bottom"/>
          </w:tcPr>
          <w:p>
            <w:pPr>
              <w:ind w:left="240"/>
              <w:spacing w:after="0"/>
              <w:rPr>
                <w:sz w:val="20"/>
                <w:szCs w:val="20"/>
                <w:color w:val="auto"/>
              </w:rPr>
            </w:pPr>
            <w:r>
              <w:rPr>
                <w:rFonts w:ascii="Arial" w:cs="Arial" w:eastAsia="Arial" w:hAnsi="Arial"/>
                <w:sz w:val="14"/>
                <w:szCs w:val="14"/>
                <w:color w:val="auto"/>
              </w:rPr>
              <w:t>General and administrative expenses</w:t>
            </w:r>
          </w:p>
        </w:tc>
        <w:tc>
          <w:tcPr>
            <w:tcW w:w="76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500" w:type="dxa"/>
            <w:vAlign w:val="bottom"/>
            <w:gridSpan w:val="2"/>
          </w:tcPr>
          <w:p>
            <w:pPr>
              <w:ind w:left="80"/>
              <w:spacing w:after="0"/>
              <w:rPr>
                <w:sz w:val="20"/>
                <w:szCs w:val="20"/>
                <w:color w:val="auto"/>
              </w:rPr>
            </w:pPr>
            <w:r>
              <w:rPr>
                <w:rFonts w:ascii="Arial" w:cs="Arial" w:eastAsia="Arial" w:hAnsi="Arial"/>
                <w:sz w:val="14"/>
                <w:szCs w:val="14"/>
                <w:color w:val="auto"/>
              </w:rPr>
              <w:t>(C)</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207"/>
        </w:trPr>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Depreciation, depletion and amortization</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98"/>
        </w:trPr>
        <w:tc>
          <w:tcPr>
            <w:tcW w:w="2840" w:type="dxa"/>
            <w:vAlign w:val="bottom"/>
          </w:tcPr>
          <w:p>
            <w:pPr>
              <w:ind w:left="240"/>
              <w:spacing w:after="0"/>
              <w:rPr>
                <w:sz w:val="20"/>
                <w:szCs w:val="20"/>
                <w:color w:val="auto"/>
              </w:rPr>
            </w:pPr>
            <w:r>
              <w:rPr>
                <w:rFonts w:ascii="Arial" w:cs="Arial" w:eastAsia="Arial" w:hAnsi="Arial"/>
                <w:sz w:val="14"/>
                <w:szCs w:val="14"/>
                <w:color w:val="auto"/>
              </w:rPr>
              <w:t>Asset impairment</w:t>
            </w:r>
          </w:p>
        </w:tc>
        <w:tc>
          <w:tcPr>
            <w:tcW w:w="76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07"/>
        </w:trPr>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Taxes other than on income</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49"/>
        </w:trPr>
        <w:tc>
          <w:tcPr>
            <w:tcW w:w="2840" w:type="dxa"/>
            <w:vAlign w:val="bottom"/>
          </w:tcPr>
          <w:p>
            <w:pPr>
              <w:ind w:left="240"/>
              <w:spacing w:after="0" w:line="149" w:lineRule="exact"/>
              <w:rPr>
                <w:sz w:val="20"/>
                <w:szCs w:val="20"/>
                <w:color w:val="auto"/>
              </w:rPr>
            </w:pPr>
            <w:r>
              <w:rPr>
                <w:rFonts w:ascii="Arial" w:cs="Arial" w:eastAsia="Arial" w:hAnsi="Arial"/>
                <w:sz w:val="14"/>
                <w:szCs w:val="14"/>
                <w:color w:val="auto"/>
              </w:rPr>
              <w:t>Costs related to marketing of purchased</w:t>
            </w:r>
          </w:p>
        </w:tc>
        <w:tc>
          <w:tcPr>
            <w:tcW w:w="760" w:type="dxa"/>
            <w:vAlign w:val="bottom"/>
          </w:tcPr>
          <w:p>
            <w:pPr>
              <w:spacing w:after="0"/>
              <w:rPr>
                <w:sz w:val="12"/>
                <w:szCs w:val="12"/>
                <w:color w:val="auto"/>
              </w:rPr>
            </w:pPr>
          </w:p>
        </w:tc>
        <w:tc>
          <w:tcPr>
            <w:tcW w:w="440" w:type="dxa"/>
            <w:vAlign w:val="bottom"/>
            <w:vMerge w:val="restart"/>
          </w:tcPr>
          <w:p>
            <w:pPr>
              <w:jc w:val="right"/>
              <w:ind w:right="8"/>
              <w:spacing w:after="0"/>
              <w:rPr>
                <w:sz w:val="20"/>
                <w:szCs w:val="20"/>
                <w:color w:val="auto"/>
              </w:rPr>
            </w:pPr>
            <w:r>
              <w:rPr>
                <w:rFonts w:ascii="Arial" w:cs="Arial" w:eastAsia="Arial" w:hAnsi="Arial"/>
                <w:sz w:val="14"/>
                <w:szCs w:val="14"/>
                <w:color w:val="auto"/>
              </w:rPr>
              <w:t>182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89"/>
        </w:trPr>
        <w:tc>
          <w:tcPr>
            <w:tcW w:w="2840" w:type="dxa"/>
            <w:vAlign w:val="bottom"/>
          </w:tcPr>
          <w:p>
            <w:pPr>
              <w:ind w:left="240"/>
              <w:spacing w:after="0"/>
              <w:rPr>
                <w:sz w:val="20"/>
                <w:szCs w:val="20"/>
                <w:color w:val="auto"/>
              </w:rPr>
            </w:pPr>
            <w:r>
              <w:rPr>
                <w:rFonts w:ascii="Arial" w:cs="Arial" w:eastAsia="Arial" w:hAnsi="Arial"/>
                <w:sz w:val="14"/>
                <w:szCs w:val="14"/>
                <w:color w:val="auto"/>
              </w:rPr>
              <w:t>commodities</w:t>
            </w:r>
          </w:p>
        </w:tc>
        <w:tc>
          <w:tcPr>
            <w:tcW w:w="76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Electricity generation expenses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8"/>
        </w:trPr>
        <w:tc>
          <w:tcPr>
            <w:tcW w:w="2840" w:type="dxa"/>
            <w:vAlign w:val="bottom"/>
          </w:tcPr>
          <w:p>
            <w:pPr>
              <w:ind w:left="240"/>
              <w:spacing w:after="0"/>
              <w:rPr>
                <w:sz w:val="20"/>
                <w:szCs w:val="20"/>
                <w:color w:val="auto"/>
              </w:rPr>
            </w:pPr>
            <w:r>
              <w:rPr>
                <w:rFonts w:ascii="Arial" w:cs="Arial" w:eastAsia="Arial" w:hAnsi="Arial"/>
                <w:sz w:val="14"/>
                <w:szCs w:val="14"/>
                <w:color w:val="auto"/>
              </w:rPr>
              <w:t>Transportation costs</w:t>
            </w:r>
          </w:p>
        </w:tc>
        <w:tc>
          <w:tcPr>
            <w:tcW w:w="76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7"/>
        </w:trPr>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Accretion expense</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(E)</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9"/>
        </w:trPr>
        <w:tc>
          <w:tcPr>
            <w:tcW w:w="2840" w:type="dxa"/>
            <w:vAlign w:val="bottom"/>
          </w:tcPr>
          <w:p>
            <w:pPr>
              <w:ind w:left="240"/>
              <w:spacing w:after="0" w:line="149" w:lineRule="exact"/>
              <w:rPr>
                <w:sz w:val="20"/>
                <w:szCs w:val="20"/>
                <w:color w:val="auto"/>
              </w:rPr>
            </w:pPr>
            <w:r>
              <w:rPr>
                <w:rFonts w:ascii="Arial" w:cs="Arial" w:eastAsia="Arial" w:hAnsi="Arial"/>
                <w:sz w:val="14"/>
                <w:szCs w:val="14"/>
                <w:color w:val="auto"/>
              </w:rPr>
              <w:t>Net loss on natural gas purchase</w:t>
            </w:r>
          </w:p>
        </w:tc>
        <w:tc>
          <w:tcPr>
            <w:tcW w:w="760" w:type="dxa"/>
            <w:vAlign w:val="bottom"/>
          </w:tcPr>
          <w:p>
            <w:pPr>
              <w:spacing w:after="0"/>
              <w:rPr>
                <w:sz w:val="12"/>
                <w:szCs w:val="12"/>
                <w:color w:val="auto"/>
              </w:rPr>
            </w:pPr>
          </w:p>
        </w:tc>
        <w:tc>
          <w:tcPr>
            <w:tcW w:w="440" w:type="dxa"/>
            <w:vAlign w:val="bottom"/>
            <w:vMerge w:val="restart"/>
          </w:tcPr>
          <w:p>
            <w:pPr>
              <w:jc w:val="right"/>
              <w:ind w:right="8"/>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9"/>
        </w:trPr>
        <w:tc>
          <w:tcPr>
            <w:tcW w:w="2840" w:type="dxa"/>
            <w:vAlign w:val="bottom"/>
          </w:tcPr>
          <w:p>
            <w:pPr>
              <w:ind w:left="240"/>
              <w:spacing w:after="0"/>
              <w:rPr>
                <w:sz w:val="20"/>
                <w:szCs w:val="20"/>
                <w:color w:val="auto"/>
              </w:rPr>
            </w:pPr>
            <w:r>
              <w:rPr>
                <w:rFonts w:ascii="Arial" w:cs="Arial" w:eastAsia="Arial" w:hAnsi="Arial"/>
                <w:sz w:val="14"/>
                <w:szCs w:val="14"/>
                <w:color w:val="auto"/>
              </w:rPr>
              <w:t>derivatives</w:t>
            </w:r>
          </w:p>
        </w:tc>
        <w:tc>
          <w:tcPr>
            <w:tcW w:w="76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Measurement period adjustments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2840" w:type="dxa"/>
            <w:vAlign w:val="bottom"/>
          </w:tcPr>
          <w:p>
            <w:pPr>
              <w:ind w:left="240"/>
              <w:spacing w:after="0"/>
              <w:rPr>
                <w:sz w:val="20"/>
                <w:szCs w:val="20"/>
                <w:color w:val="auto"/>
              </w:rPr>
            </w:pPr>
            <w:r>
              <w:rPr>
                <w:rFonts w:ascii="Arial" w:cs="Arial" w:eastAsia="Arial" w:hAnsi="Arial"/>
                <w:sz w:val="14"/>
                <w:szCs w:val="14"/>
                <w:color w:val="auto"/>
              </w:rPr>
              <w:t>Acquisition and other transaction costs</w:t>
            </w:r>
          </w:p>
        </w:tc>
        <w:tc>
          <w:tcPr>
            <w:tcW w:w="76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w:t>
            </w:r>
          </w:p>
        </w:tc>
        <w:tc>
          <w:tcPr>
            <w:tcW w:w="460" w:type="dxa"/>
            <w:vAlign w:val="bottom"/>
            <w:gridSpan w:val="2"/>
          </w:tcPr>
          <w:p>
            <w:pPr>
              <w:ind w:left="140"/>
              <w:spacing w:after="0"/>
              <w:rPr>
                <w:sz w:val="20"/>
                <w:szCs w:val="20"/>
                <w:color w:val="auto"/>
              </w:rPr>
            </w:pPr>
            <w:r>
              <w:rPr>
                <w:rFonts w:ascii="Arial" w:cs="Arial" w:eastAsia="Arial" w:hAnsi="Arial"/>
                <w:sz w:val="13"/>
                <w:szCs w:val="13"/>
                <w:color w:val="auto"/>
              </w:rPr>
              <w:t>(A)</w:t>
            </w: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operating expenses, net</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operating expenses</w:t>
            </w:r>
          </w:p>
        </w:tc>
        <w:tc>
          <w:tcPr>
            <w:tcW w:w="76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3,070</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753</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3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3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3,763</w:t>
            </w:r>
          </w:p>
        </w:tc>
        <w:tc>
          <w:tcPr>
            <w:tcW w:w="0" w:type="dxa"/>
            <w:vAlign w:val="bottom"/>
          </w:tcPr>
          <w:p>
            <w:pPr>
              <w:spacing w:after="0"/>
              <w:rPr>
                <w:sz w:val="1"/>
                <w:szCs w:val="1"/>
                <w:color w:val="auto"/>
              </w:rPr>
            </w:pPr>
          </w:p>
        </w:tc>
      </w:tr>
      <w:tr>
        <w:trPr>
          <w:trHeight w:val="200"/>
        </w:trPr>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 gain on asset divestitures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7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598</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37</w:t>
            </w:r>
          </w:p>
        </w:tc>
        <w:tc>
          <w:tcPr>
            <w:tcW w:w="3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95"/>
        </w:trPr>
        <w:tc>
          <w:tcPr>
            <w:tcW w:w="28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840" w:type="dxa"/>
            <w:vAlign w:val="bottom"/>
          </w:tcPr>
          <w:p>
            <w:pPr>
              <w:ind w:left="20"/>
              <w:spacing w:after="0"/>
              <w:rPr>
                <w:sz w:val="20"/>
                <w:szCs w:val="20"/>
                <w:color w:val="auto"/>
              </w:rPr>
            </w:pPr>
            <w:r>
              <w:rPr>
                <w:rFonts w:ascii="Arial" w:cs="Arial" w:eastAsia="Arial" w:hAnsi="Arial"/>
                <w:sz w:val="14"/>
                <w:szCs w:val="14"/>
                <w:b w:val="1"/>
                <w:bCs w:val="1"/>
                <w:color w:val="auto"/>
              </w:rPr>
              <w:t>NON-OPERATING INCOME (EXPENSES)</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and debt expense</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4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(H)</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98"/>
        </w:trPr>
        <w:tc>
          <w:tcPr>
            <w:tcW w:w="2840" w:type="dxa"/>
            <w:vAlign w:val="bottom"/>
          </w:tcPr>
          <w:p>
            <w:pPr>
              <w:ind w:left="240"/>
              <w:spacing w:after="0"/>
              <w:rPr>
                <w:sz w:val="20"/>
                <w:szCs w:val="20"/>
                <w:color w:val="auto"/>
              </w:rPr>
            </w:pPr>
            <w:r>
              <w:rPr>
                <w:rFonts w:ascii="Arial" w:cs="Arial" w:eastAsia="Arial" w:hAnsi="Arial"/>
                <w:sz w:val="14"/>
                <w:szCs w:val="14"/>
                <w:color w:val="auto"/>
              </w:rPr>
              <w:t>Loss on early extinguishment of debt</w:t>
            </w: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3"/>
        </w:trPr>
        <w:tc>
          <w:tcPr>
            <w:tcW w:w="284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Equity loss from unconsolidated</w:t>
            </w:r>
          </w:p>
        </w:tc>
        <w:tc>
          <w:tcPr>
            <w:tcW w:w="76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subsidiaries</w:t>
            </w:r>
          </w:p>
        </w:tc>
        <w:tc>
          <w:tcPr>
            <w:tcW w:w="76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40" w:type="dxa"/>
            <w:vAlign w:val="bottom"/>
          </w:tcPr>
          <w:p>
            <w:pPr>
              <w:ind w:left="240"/>
              <w:spacing w:after="0"/>
              <w:rPr>
                <w:sz w:val="20"/>
                <w:szCs w:val="20"/>
                <w:color w:val="auto"/>
              </w:rPr>
            </w:pPr>
            <w:r>
              <w:rPr>
                <w:rFonts w:ascii="Arial" w:cs="Arial" w:eastAsia="Arial" w:hAnsi="Arial"/>
                <w:sz w:val="14"/>
                <w:szCs w:val="14"/>
                <w:color w:val="auto"/>
              </w:rPr>
              <w:t>Other non-operating income</w:t>
            </w:r>
          </w:p>
        </w:tc>
        <w:tc>
          <w:tcPr>
            <w:tcW w:w="76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3"/>
        </w:trPr>
        <w:tc>
          <w:tcPr>
            <w:tcW w:w="284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INCOME (LOSS) BEFORE INCOME</w:t>
            </w:r>
          </w:p>
        </w:tc>
        <w:tc>
          <w:tcPr>
            <w:tcW w:w="7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502</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93</w:t>
            </w:r>
          </w:p>
        </w:tc>
        <w:tc>
          <w:tcPr>
            <w:tcW w:w="3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TAXES</w:t>
            </w:r>
          </w:p>
        </w:tc>
        <w:tc>
          <w:tcPr>
            <w:tcW w:w="76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(provision) benefit</w:t>
            </w: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36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(G)</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32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7"/>
              </w:rPr>
              <w:t>(I)</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20"/>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per share</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40" w:type="dxa"/>
            <w:vAlign w:val="bottom"/>
          </w:tcPr>
          <w:p>
            <w:pPr>
              <w:ind w:left="20"/>
              <w:spacing w:after="0"/>
              <w:rPr>
                <w:sz w:val="20"/>
                <w:szCs w:val="20"/>
                <w:color w:val="auto"/>
              </w:rPr>
            </w:pPr>
            <w:r>
              <w:rPr>
                <w:rFonts w:ascii="Arial" w:cs="Arial" w:eastAsia="Arial" w:hAnsi="Arial"/>
                <w:sz w:val="14"/>
                <w:szCs w:val="14"/>
                <w:color w:val="auto"/>
              </w:rPr>
              <w:t>Basic</w:t>
            </w: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4.17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07"/>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Weighted-average common shares</w:t>
            </w: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outstanding</w:t>
            </w: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840" w:type="dxa"/>
            <w:vAlign w:val="bottom"/>
          </w:tcPr>
          <w:p>
            <w:pPr>
              <w:ind w:left="20"/>
              <w:spacing w:after="0"/>
              <w:rPr>
                <w:sz w:val="20"/>
                <w:szCs w:val="20"/>
                <w:color w:val="auto"/>
              </w:rPr>
            </w:pPr>
            <w:r>
              <w:rPr>
                <w:rFonts w:ascii="Arial" w:cs="Arial" w:eastAsia="Arial" w:hAnsi="Arial"/>
                <w:sz w:val="14"/>
                <w:szCs w:val="14"/>
                <w:color w:val="auto"/>
              </w:rPr>
              <w:t>Basic</w:t>
            </w:r>
          </w:p>
        </w:tc>
        <w:tc>
          <w:tcPr>
            <w:tcW w:w="76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87.0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92.3</w:t>
            </w:r>
          </w:p>
        </w:tc>
        <w:tc>
          <w:tcPr>
            <w:tcW w:w="0" w:type="dxa"/>
            <w:vAlign w:val="bottom"/>
          </w:tcPr>
          <w:p>
            <w:pPr>
              <w:spacing w:after="0"/>
              <w:rPr>
                <w:sz w:val="1"/>
                <w:szCs w:val="1"/>
                <w:color w:val="auto"/>
              </w:rPr>
            </w:pPr>
          </w:p>
        </w:tc>
      </w:tr>
      <w:tr>
        <w:trPr>
          <w:trHeight w:val="206"/>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69" w:right="339" w:bottom="1440" w:gutter="0" w:footer="0" w:header="0"/>
        </w:sectPr>
      </w:pPr>
    </w:p>
    <w:bookmarkStart w:id="209" w:name="page210"/>
    <w:bookmarkEnd w:id="209"/>
    <w:p>
      <w:pPr>
        <w:ind w:left="2280"/>
        <w:spacing w:after="0"/>
        <w:rPr>
          <w:sz w:val="20"/>
          <w:szCs w:val="20"/>
          <w:color w:val="auto"/>
        </w:rPr>
      </w:pPr>
      <w:r>
        <w:rPr>
          <w:rFonts w:ascii="Arial" w:cs="Arial" w:eastAsia="Arial" w:hAnsi="Arial"/>
          <w:sz w:val="18"/>
          <w:szCs w:val="18"/>
          <w:b w:val="1"/>
          <w:bCs w:val="1"/>
          <w:color w:val="auto"/>
        </w:rPr>
        <w:t>Notes to Unaudited Pro Forma Condensed Combined Statement of Operations</w:t>
      </w:r>
    </w:p>
    <w:p>
      <w:pPr>
        <w:spacing w:after="0" w:line="25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BASIS OF PRESENTATION</w:t>
      </w:r>
    </w:p>
    <w:p>
      <w:pPr>
        <w:spacing w:after="0" w:line="252"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The unaudited pro forma condensed combined statement of operations was prepared in accordance with Article 11 of Regulation S-X, and presents the pro forma financial condition and results of operations of CRC based upon the historical financial information of CRC and Berry after giving effect to the pro forma events and related adjustments set forth in the notes to the unaudited pro forma condensed combined financial information.</w:t>
      </w:r>
    </w:p>
    <w:p>
      <w:pPr>
        <w:spacing w:after="0" w:line="20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unaudited pro forma condensed combined financial information does not reflect any management adjustments for expected synergies or dissynergies of the mergers. Included in the historical CRC statement of operations for the year ended December 31, 2025 was $20 million for nonrecurring transaction and integration costs related to the Berry Merger as well as $ 13 million which included severance for certain Berry executives, the acceleration of certain stock-based compensation awards and retention bonuses. Additionally, Berry recognized $17 million merger-related transaction costs.</w:t>
      </w:r>
    </w:p>
    <w:p>
      <w:pPr>
        <w:spacing w:after="0" w:line="206"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2025, gives effect to the pro forma events as if they had occurred on January 1, 2025.</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ADJUSTMENTS TO UNAUDITED PRO FORMA CONDENSED COMBINED STATEMENT OF OPERATIONS</w:t>
      </w:r>
    </w:p>
    <w:p>
      <w:pPr>
        <w:spacing w:after="0" w:line="252" w:lineRule="exact"/>
        <w:rPr>
          <w:sz w:val="20"/>
          <w:szCs w:val="20"/>
          <w:color w:val="auto"/>
        </w:rPr>
      </w:pPr>
    </w:p>
    <w:p>
      <w:pPr>
        <w:ind w:right="440" w:firstLine="324"/>
        <w:spacing w:after="0" w:line="287" w:lineRule="auto"/>
        <w:rPr>
          <w:sz w:val="20"/>
          <w:szCs w:val="20"/>
          <w:color w:val="auto"/>
        </w:rPr>
      </w:pPr>
      <w:r>
        <w:rPr>
          <w:rFonts w:ascii="Arial" w:cs="Arial" w:eastAsia="Arial" w:hAnsi="Arial"/>
          <w:sz w:val="18"/>
          <w:szCs w:val="18"/>
          <w:color w:val="auto"/>
        </w:rPr>
        <w:t>The following adjustments were made related to the unaudited pro forma condensed combined statement of operations for the year ended December 31, 2025:</w:t>
      </w:r>
    </w:p>
    <w:p>
      <w:pPr>
        <w:spacing w:after="0" w:line="180" w:lineRule="exact"/>
        <w:rPr>
          <w:sz w:val="20"/>
          <w:szCs w:val="20"/>
          <w:color w:val="auto"/>
        </w:rPr>
      </w:pPr>
    </w:p>
    <w:p>
      <w:pPr>
        <w:ind w:left="660" w:right="780" w:hanging="328"/>
        <w:spacing w:after="0" w:line="287" w:lineRule="auto"/>
        <w:tabs>
          <w:tab w:leader="none" w:pos="65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Reflects certain reclassification adjustments to conform Berry’s historical revenues and expenses to the financial statement presentation of CRC, which included the reclassification of:</w:t>
      </w:r>
    </w:p>
    <w:p>
      <w:pPr>
        <w:spacing w:after="0" w:line="179" w:lineRule="exact"/>
        <w:rPr>
          <w:rFonts w:ascii="Arial" w:cs="Arial" w:eastAsia="Arial" w:hAnsi="Arial"/>
          <w:sz w:val="18"/>
          <w:szCs w:val="18"/>
          <w:color w:val="auto"/>
        </w:rPr>
      </w:pPr>
    </w:p>
    <w:p>
      <w:pPr>
        <w:ind w:left="1300" w:right="800" w:hanging="320"/>
        <w:spacing w:after="0" w:line="287" w:lineRule="auto"/>
        <w:tabs>
          <w:tab w:leader="none" w:pos="128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$78 million related to C&amp;J Well Services from cost of services to other operating expenses, net, all within operating expenses;</w:t>
      </w:r>
    </w:p>
    <w:p>
      <w:pPr>
        <w:spacing w:after="0" w:line="179" w:lineRule="exact"/>
        <w:rPr>
          <w:rFonts w:ascii="Arial" w:cs="Arial" w:eastAsia="Arial" w:hAnsi="Arial"/>
          <w:sz w:val="18"/>
          <w:szCs w:val="18"/>
          <w:color w:val="auto"/>
        </w:rPr>
      </w:pPr>
    </w:p>
    <w:p>
      <w:pPr>
        <w:ind w:left="1300" w:right="400" w:hanging="320"/>
        <w:spacing w:after="0" w:line="287" w:lineRule="auto"/>
        <w:tabs>
          <w:tab w:leader="none" w:pos="128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$11 million of accretion expense from depreciation, depletion and amortization to accretion expense, all within operating expenses;</w:t>
      </w:r>
    </w:p>
    <w:p>
      <w:pPr>
        <w:spacing w:after="0" w:line="179" w:lineRule="exact"/>
        <w:rPr>
          <w:rFonts w:ascii="Arial" w:cs="Arial" w:eastAsia="Arial" w:hAnsi="Arial"/>
          <w:sz w:val="18"/>
          <w:szCs w:val="18"/>
          <w:color w:val="auto"/>
        </w:rPr>
      </w:pPr>
    </w:p>
    <w:p>
      <w:pPr>
        <w:ind w:left="1300" w:right="500" w:hanging="320"/>
        <w:spacing w:after="0" w:line="287" w:lineRule="auto"/>
        <w:tabs>
          <w:tab w:leader="none" w:pos="128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$17 million of transaction costs from acquisition and other transaction costs to other operating expenses, net, all within operating expenses;</w:t>
      </w:r>
    </w:p>
    <w:p>
      <w:pPr>
        <w:spacing w:after="0" w:line="179" w:lineRule="exact"/>
        <w:rPr>
          <w:rFonts w:ascii="Arial" w:cs="Arial" w:eastAsia="Arial" w:hAnsi="Arial"/>
          <w:sz w:val="18"/>
          <w:szCs w:val="18"/>
          <w:color w:val="auto"/>
        </w:rPr>
      </w:pPr>
    </w:p>
    <w:p>
      <w:pPr>
        <w:ind w:left="1300" w:hanging="320"/>
        <w:spacing w:after="0"/>
        <w:tabs>
          <w:tab w:leader="none" w:pos="13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$13 million of gain on asset divestiture from other operating expenses, net to net (loss) gain on asset divestitures.</w:t>
      </w:r>
    </w:p>
    <w:p>
      <w:pPr>
        <w:spacing w:after="0" w:line="252" w:lineRule="exact"/>
        <w:rPr>
          <w:rFonts w:ascii="Arial" w:cs="Arial" w:eastAsia="Arial" w:hAnsi="Arial"/>
          <w:sz w:val="18"/>
          <w:szCs w:val="18"/>
          <w:color w:val="auto"/>
        </w:rPr>
      </w:pPr>
    </w:p>
    <w:p>
      <w:pPr>
        <w:ind w:left="660" w:right="140" w:hanging="328"/>
        <w:spacing w:after="0" w:line="287" w:lineRule="auto"/>
        <w:tabs>
          <w:tab w:leader="none" w:pos="65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Reflects the elimination of activity between CRC and C&amp;J Well Services for the period from January 1, 2025 through December 17, 2025 that, following the Berry Merger, would be considered intercompany activity and eliminated upon consolidation.</w:t>
      </w:r>
    </w:p>
    <w:p>
      <w:pPr>
        <w:spacing w:after="0" w:line="179" w:lineRule="exact"/>
        <w:rPr>
          <w:rFonts w:ascii="Arial" w:cs="Arial" w:eastAsia="Arial" w:hAnsi="Arial"/>
          <w:sz w:val="18"/>
          <w:szCs w:val="18"/>
          <w:color w:val="auto"/>
        </w:rPr>
      </w:pPr>
    </w:p>
    <w:p>
      <w:pPr>
        <w:ind w:left="640" w:hanging="308"/>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Reflects $5 million related to additional retention awards paid to Berry employees.</w:t>
      </w:r>
    </w:p>
    <w:p>
      <w:pPr>
        <w:spacing w:after="0" w:line="252" w:lineRule="exact"/>
        <w:rPr>
          <w:rFonts w:ascii="Arial" w:cs="Arial" w:eastAsia="Arial" w:hAnsi="Arial"/>
          <w:sz w:val="18"/>
          <w:szCs w:val="18"/>
          <w:color w:val="auto"/>
        </w:rPr>
      </w:pPr>
    </w:p>
    <w:p>
      <w:pPr>
        <w:ind w:left="660" w:right="200" w:hanging="328"/>
        <w:spacing w:after="0" w:line="287" w:lineRule="auto"/>
        <w:tabs>
          <w:tab w:leader="none" w:pos="65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Reflects the estimated changes in pro forma depreciation, depletion, and amortization expense based on the preliminary purchase price allocation resulting from the reduction in basis associated with the property, plant, and equipment balance.</w:t>
      </w:r>
    </w:p>
    <w:p>
      <w:pPr>
        <w:spacing w:after="0" w:line="179" w:lineRule="exact"/>
        <w:rPr>
          <w:rFonts w:ascii="Arial" w:cs="Arial" w:eastAsia="Arial" w:hAnsi="Arial"/>
          <w:sz w:val="18"/>
          <w:szCs w:val="18"/>
          <w:color w:val="auto"/>
        </w:rPr>
      </w:pPr>
    </w:p>
    <w:p>
      <w:pPr>
        <w:ind w:left="660" w:right="320" w:hanging="328"/>
        <w:spacing w:after="0" w:line="287" w:lineRule="auto"/>
        <w:tabs>
          <w:tab w:leader="none" w:pos="65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Reflects an estimated $4 million increase in accretion expense resulting from a remeasurement of the asset retirement obligation liability.</w:t>
      </w:r>
    </w:p>
    <w:p>
      <w:pPr>
        <w:spacing w:after="0" w:line="179" w:lineRule="exact"/>
        <w:rPr>
          <w:rFonts w:ascii="Arial" w:cs="Arial" w:eastAsia="Arial" w:hAnsi="Arial"/>
          <w:sz w:val="18"/>
          <w:szCs w:val="18"/>
          <w:color w:val="auto"/>
        </w:rPr>
      </w:pPr>
    </w:p>
    <w:p>
      <w:pPr>
        <w:ind w:left="660" w:right="480" w:hanging="328"/>
        <w:spacing w:after="0" w:line="287" w:lineRule="auto"/>
        <w:tabs>
          <w:tab w:leader="none" w:pos="63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Reflects the elimination of historical interest expense and amortization of debt issuance costs associated with the elimination of Berry’s outstanding debt.</w:t>
      </w:r>
    </w:p>
    <w:p>
      <w:pPr>
        <w:spacing w:after="0" w:line="179" w:lineRule="exact"/>
        <w:rPr>
          <w:rFonts w:ascii="Arial" w:cs="Arial" w:eastAsia="Arial" w:hAnsi="Arial"/>
          <w:sz w:val="18"/>
          <w:szCs w:val="18"/>
          <w:color w:val="auto"/>
        </w:rPr>
      </w:pPr>
    </w:p>
    <w:p>
      <w:pPr>
        <w:ind w:left="660" w:right="200" w:hanging="328"/>
        <w:spacing w:after="0" w:line="287" w:lineRule="auto"/>
        <w:tabs>
          <w:tab w:leader="none" w:pos="6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Reflects the change in tax related to the adjustments above calculated using a blended U.S. federal and state statutory income tax rate of 28%.</w:t>
      </w:r>
    </w:p>
    <w:p>
      <w:pPr>
        <w:spacing w:after="0" w:line="179" w:lineRule="exact"/>
        <w:rPr>
          <w:rFonts w:ascii="Arial" w:cs="Arial" w:eastAsia="Arial" w:hAnsi="Arial"/>
          <w:sz w:val="18"/>
          <w:szCs w:val="18"/>
          <w:color w:val="auto"/>
        </w:rPr>
      </w:pPr>
    </w:p>
    <w:p>
      <w:pPr>
        <w:ind w:left="660" w:right="380" w:hanging="328"/>
        <w:spacing w:after="0" w:line="318" w:lineRule="auto"/>
        <w:tabs>
          <w:tab w:leader="none" w:pos="65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Reflects interest expense related to the issuance of our 2034 Senior Notes, calculated based on an interest rate of 7.000%. This adjustment also includes the amortization of debt issuance costs of $7 million over the estimated eight-year period of the loan.</w:t>
      </w:r>
    </w:p>
    <w:p>
      <w:pPr>
        <w:sectPr>
          <w:pgSz w:w="11900" w:h="16838" w:orient="portrait"/>
          <w:cols w:equalWidth="0" w:num="1">
            <w:col w:w="11200"/>
          </w:cols>
          <w:pgMar w:left="320" w:top="1012" w:right="37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00"/>
          </w:cols>
          <w:pgMar w:left="320" w:top="1012" w:right="379" w:bottom="1440" w:gutter="0" w:footer="0" w:header="0"/>
          <w:type w:val="continuous"/>
        </w:sectPr>
      </w:pPr>
    </w:p>
    <w:bookmarkStart w:id="210" w:name="page211"/>
    <w:bookmarkEnd w:id="210"/>
    <w:p>
      <w:pPr>
        <w:ind w:left="660" w:right="180" w:hanging="328"/>
        <w:spacing w:after="0" w:line="287" w:lineRule="auto"/>
        <w:tabs>
          <w:tab w:leader="none" w:pos="65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the pro forma adjustment to taxes as a result of adjustment (H), which was calculated using a blended U.S. federal and state statutory income tax rate of 28%.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Net Income Per Share</w:t>
      </w:r>
    </w:p>
    <w:p>
      <w:pPr>
        <w:spacing w:after="0" w:line="252"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Unaudited basic pro forma net income per share is computed by dividing pro forma net income attributable to common shares by the pro forma weighted average number of common shares outstanding during the period. Unaudited diluted pro forma net income per share is computed by dividing pro forma net income attributable to common shares by the weighted average number of common shares outstanding during the period after adjusting for the impact of securities that would have a dilutive effect on net income per share.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60" w:type="dxa"/>
            <w:vAlign w:val="bottom"/>
          </w:tcPr>
          <w:p>
            <w:pPr>
              <w:spacing w:after="0"/>
              <w:rPr>
                <w:sz w:val="20"/>
                <w:szCs w:val="20"/>
                <w:color w:val="auto"/>
              </w:rPr>
            </w:pPr>
            <w:r>
              <w:rPr>
                <w:rFonts w:ascii="Arial" w:cs="Arial" w:eastAsia="Arial" w:hAnsi="Arial"/>
                <w:sz w:val="18"/>
                <w:szCs w:val="18"/>
                <w:color w:val="auto"/>
              </w:rPr>
              <w:t>Pro forma net income per share—basic and diluted</w:t>
            </w:r>
          </w:p>
        </w:tc>
        <w:tc>
          <w:tcPr>
            <w:tcW w:w="49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9"/>
        </w:trPr>
        <w:tc>
          <w:tcPr>
            <w:tcW w:w="5060" w:type="dxa"/>
            <w:vAlign w:val="bottom"/>
          </w:tcPr>
          <w:p>
            <w:pPr>
              <w:spacing w:after="0"/>
              <w:rPr>
                <w:sz w:val="20"/>
                <w:szCs w:val="20"/>
                <w:color w:val="auto"/>
              </w:rPr>
            </w:pPr>
            <w:r>
              <w:rPr>
                <w:rFonts w:ascii="Arial" w:cs="Arial" w:eastAsia="Arial" w:hAnsi="Arial"/>
                <w:sz w:val="18"/>
                <w:szCs w:val="18"/>
                <w:i w:val="1"/>
                <w:iCs w:val="1"/>
                <w:color w:val="auto"/>
              </w:rPr>
              <w:t>(in millions except per share amounts)</w:t>
            </w:r>
          </w:p>
        </w:tc>
        <w:tc>
          <w:tcPr>
            <w:tcW w:w="49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59"/>
        </w:trPr>
        <w:tc>
          <w:tcPr>
            <w:tcW w:w="5060" w:type="dxa"/>
            <w:vAlign w:val="bottom"/>
          </w:tcPr>
          <w:p>
            <w:pPr>
              <w:spacing w:after="0"/>
              <w:rPr>
                <w:sz w:val="20"/>
                <w:szCs w:val="20"/>
                <w:color w:val="auto"/>
              </w:rPr>
            </w:pPr>
            <w:r>
              <w:rPr>
                <w:rFonts w:ascii="Arial" w:cs="Arial" w:eastAsia="Arial" w:hAnsi="Arial"/>
                <w:sz w:val="18"/>
                <w:szCs w:val="18"/>
                <w:color w:val="auto"/>
              </w:rPr>
              <w:t>For the Year Ended December 31, 2025</w:t>
            </w:r>
          </w:p>
        </w:tc>
        <w:tc>
          <w:tcPr>
            <w:tcW w:w="49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6"/>
        </w:trPr>
        <w:tc>
          <w:tcPr>
            <w:tcW w:w="506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49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Pro forma net income - basic and diluted</w:t>
            </w:r>
          </w:p>
        </w:tc>
        <w:tc>
          <w:tcPr>
            <w:tcW w:w="490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49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Pro forma weighted average shares outstanding - basic</w:t>
            </w:r>
          </w:p>
        </w:tc>
        <w:tc>
          <w:tcPr>
            <w:tcW w:w="4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92.3</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Potential dilutive common shares:</w:t>
            </w:r>
          </w:p>
        </w:tc>
        <w:tc>
          <w:tcPr>
            <w:tcW w:w="49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5060" w:type="dxa"/>
            <w:vAlign w:val="bottom"/>
          </w:tcPr>
          <w:p>
            <w:pPr>
              <w:ind w:left="240"/>
              <w:spacing w:after="0"/>
              <w:rPr>
                <w:sz w:val="20"/>
                <w:szCs w:val="20"/>
                <w:color w:val="auto"/>
              </w:rPr>
            </w:pPr>
            <w:r>
              <w:rPr>
                <w:rFonts w:ascii="Arial" w:cs="Arial" w:eastAsia="Arial" w:hAnsi="Arial"/>
                <w:sz w:val="18"/>
                <w:szCs w:val="18"/>
                <w:color w:val="auto"/>
              </w:rPr>
              <w:t>Restricted Stock Units</w:t>
            </w:r>
          </w:p>
        </w:tc>
        <w:tc>
          <w:tcPr>
            <w:tcW w:w="4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5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Performance Stock Units</w:t>
            </w:r>
          </w:p>
        </w:tc>
        <w:tc>
          <w:tcPr>
            <w:tcW w:w="4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Pro forma weighted average shares outstanding - diluted</w:t>
            </w:r>
          </w:p>
        </w:tc>
        <w:tc>
          <w:tcPr>
            <w:tcW w:w="4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92.9</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49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Basic</w:t>
            </w:r>
          </w:p>
        </w:tc>
        <w:tc>
          <w:tcPr>
            <w:tcW w:w="490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4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746"/>
        </w:trPr>
        <w:tc>
          <w:tcPr>
            <w:tcW w:w="5060" w:type="dxa"/>
            <w:vAlign w:val="bottom"/>
          </w:tcPr>
          <w:p>
            <w:pPr>
              <w:spacing w:after="0"/>
              <w:rPr>
                <w:sz w:val="24"/>
                <w:szCs w:val="24"/>
                <w:color w:val="auto"/>
              </w:rPr>
            </w:pPr>
          </w:p>
        </w:tc>
        <w:tc>
          <w:tcPr>
            <w:tcW w:w="4900" w:type="dxa"/>
            <w:vAlign w:val="bottom"/>
          </w:tcPr>
          <w:p>
            <w:pPr>
              <w:jc w:val="right"/>
              <w:ind w:right="4190"/>
              <w:spacing w:after="0"/>
              <w:rPr>
                <w:sz w:val="20"/>
                <w:szCs w:val="20"/>
                <w:color w:val="auto"/>
              </w:rPr>
            </w:pPr>
            <w:r>
              <w:rPr>
                <w:rFonts w:ascii="Arial" w:cs="Arial" w:eastAsia="Arial" w:hAnsi="Arial"/>
                <w:sz w:val="18"/>
                <w:szCs w:val="18"/>
                <w:color w:val="auto"/>
              </w:rPr>
              <w:t>4</w:t>
            </w:r>
          </w:p>
        </w:tc>
        <w:tc>
          <w:tcPr>
            <w:tcW w:w="12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1)"/>
      <w:numFmt w:val="lowerLetter"/>
      <w:start w:val="1"/>
    </w:lvl>
  </w:abstractNum>
  <w:abstractNum w:abstractNumId="7">
    <w:nsid w:val="649BB77C"/>
    <w:multiLevelType w:val="hybridMultilevel"/>
    <w:lvl w:ilvl="0">
      <w:lvlJc w:val="left"/>
      <w:lvlText w:val="(%1)"/>
      <w:numFmt w:val="lowerLetter"/>
      <w:start w:val="1"/>
    </w:lvl>
  </w:abstractNum>
  <w:abstractNum w:abstractNumId="8">
    <w:nsid w:val="275AC794"/>
    <w:multiLevelType w:val="hybridMultilevel"/>
    <w:lvl w:ilvl="0">
      <w:lvlJc w:val="left"/>
      <w:lvlText w:val="(%1)"/>
      <w:numFmt w:val="lowerLetter"/>
      <w:start w:val="1"/>
    </w:lvl>
  </w:abstractNum>
  <w:abstractNum w:abstractNumId="9">
    <w:nsid w:val="39386575"/>
    <w:multiLevelType w:val="hybridMultilevel"/>
    <w:lvl w:ilvl="0">
      <w:lvlJc w:val="left"/>
      <w:lvlText w:val="(%1)"/>
      <w:numFmt w:val="lowerLetter"/>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1)"/>
      <w:numFmt w:val="lowerLetter"/>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1)"/>
      <w:numFmt w:val="decimal"/>
      <w:start w:val="1"/>
    </w:lvl>
  </w:abstractNum>
  <w:abstractNum w:abstractNumId="30">
    <w:nsid w:val="1F48EAA1"/>
    <w:multiLevelType w:val="hybridMultilevel"/>
    <w:lvl w:ilvl="0">
      <w:lvlJc w:val="left"/>
      <w:lvlText w:val="*"/>
      <w:numFmt w:val="bullet"/>
      <w:start w:val="1"/>
    </w:lvl>
  </w:abstractNum>
  <w:abstractNum w:abstractNumId="31">
    <w:nsid w:val="1381823A"/>
    <w:multiLevelType w:val="hybridMultilevel"/>
    <w:lvl w:ilvl="0">
      <w:lvlJc w:val="left"/>
      <w:lvlText w:val="(%1)"/>
      <w:numFmt w:val="lowerLetter"/>
      <w:start w:val="1"/>
    </w:lvl>
  </w:abstractNum>
  <w:abstractNum w:abstractNumId="32">
    <w:nsid w:val="5DB70AE5"/>
    <w:multiLevelType w:val="hybridMultilevel"/>
    <w:lvl w:ilvl="0">
      <w:lvlJc w:val="left"/>
      <w:lvlText w:val="(%1)"/>
      <w:numFmt w:val="lowerLetter"/>
      <w:start w:val="1"/>
    </w:lvl>
  </w:abstractNum>
  <w:abstractNum w:abstractNumId="33">
    <w:nsid w:val="100F8FCA"/>
    <w:multiLevelType w:val="hybridMultilevel"/>
    <w:lvl w:ilvl="0">
      <w:lvlJc w:val="left"/>
      <w:lvlText w:val="(%1)"/>
      <w:numFmt w:val="lowerLetter"/>
      <w:start w:val="1"/>
    </w:lvl>
  </w:abstractNum>
  <w:abstractNum w:abstractNumId="34">
    <w:nsid w:val="6590700B"/>
    <w:multiLevelType w:val="hybridMultilevel"/>
    <w:lvl w:ilvl="0">
      <w:lvlJc w:val="left"/>
      <w:lvlText w:val="(%1)"/>
      <w:numFmt w:val="lowerLetter"/>
      <w:start w:val="1"/>
    </w:lvl>
  </w:abstractNum>
  <w:abstractNum w:abstractNumId="35">
    <w:nsid w:val="15014ACB"/>
    <w:multiLevelType w:val="hybridMultilevel"/>
    <w:lvl w:ilvl="0">
      <w:lvlJc w:val="left"/>
      <w:lvlText w:val="(%1)"/>
      <w:numFmt w:val="lowerLetter"/>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1)"/>
      <w:numFmt w:val="lowerLetter"/>
      <w:start w:val="1"/>
    </w:lvl>
  </w:abstractNum>
  <w:abstractNum w:abstractNumId="38">
    <w:nsid w:val="799D0247"/>
    <w:multiLevelType w:val="hybridMultilevel"/>
    <w:lvl w:ilvl="0">
      <w:lvlJc w:val="left"/>
      <w:lvlText w:val="(%1)"/>
      <w:numFmt w:val="lowerLetter"/>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1)"/>
      <w:numFmt w:val="lowerLetter"/>
      <w:start w:val="1"/>
    </w:lvl>
  </w:abstractNum>
  <w:abstractNum w:abstractNumId="44">
    <w:nsid w:val="5DC79EA8"/>
    <w:multiLevelType w:val="hybridMultilevel"/>
    <w:lvl w:ilvl="0">
      <w:lvlJc w:val="left"/>
      <w:lvlText w:val="(%1)"/>
      <w:numFmt w:val="lowerRoman"/>
      <w:start w:val="2"/>
    </w:lvl>
  </w:abstractNum>
  <w:abstractNum w:abstractNumId="45">
    <w:nsid w:val="540A471C"/>
    <w:multiLevelType w:val="hybridMultilevel"/>
    <w:lvl w:ilvl="0">
      <w:lvlJc w:val="left"/>
      <w:lvlText w:val="(%1)"/>
      <w:numFmt w:val="lowerLetter"/>
      <w:start w:val="1"/>
    </w:lvl>
  </w:abstractNum>
  <w:abstractNum w:abstractNumId="46">
    <w:nsid w:val="7BD3EE7B"/>
    <w:multiLevelType w:val="hybridMultilevel"/>
    <w:lvl w:ilvl="0">
      <w:lvlJc w:val="left"/>
      <w:lvlText w:val="(%1)"/>
      <w:numFmt w:val="lowerLetter"/>
      <w:start w:val="1"/>
    </w:lvl>
  </w:abstractNum>
  <w:abstractNum w:abstractNumId="47">
    <w:nsid w:val="51D9C564"/>
    <w:multiLevelType w:val="hybridMultilevel"/>
    <w:lvl w:ilvl="0">
      <w:lvlJc w:val="left"/>
      <w:lvlText w:val="(%1)"/>
      <w:numFmt w:val="lowerLetter"/>
      <w:start w:val="1"/>
    </w:lvl>
  </w:abstractNum>
  <w:abstractNum w:abstractNumId="48">
    <w:nsid w:val="613EFDC5"/>
    <w:multiLevelType w:val="hybridMultilevel"/>
    <w:lvl w:ilvl="0">
      <w:lvlJc w:val="left"/>
      <w:lvlText w:val="•"/>
      <w:numFmt w:val="bullet"/>
      <w:start w:val="1"/>
    </w:lvl>
  </w:abstractNum>
  <w:abstractNum w:abstractNumId="49">
    <w:nsid w:val="BF72B14"/>
    <w:multiLevelType w:val="hybridMultilevel"/>
    <w:lvl w:ilvl="0">
      <w:lvlJc w:val="left"/>
      <w:lvlText w:val="•"/>
      <w:numFmt w:val="bullet"/>
      <w:start w:val="1"/>
    </w:lvl>
  </w:abstractNum>
  <w:abstractNum w:abstractNumId="50">
    <w:nsid w:val="11447B73"/>
    <w:multiLevelType w:val="hybridMultilevel"/>
    <w:lvl w:ilvl="0">
      <w:lvlJc w:val="left"/>
      <w:lvlText w:val="(%1)"/>
      <w:numFmt w:val="lowerRoman"/>
      <w:start w:val="3"/>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1)"/>
      <w:numFmt w:val="lowerLetter"/>
      <w:start w:val="1"/>
    </w:lvl>
  </w:abstractNum>
  <w:abstractNum w:abstractNumId="53">
    <w:nsid w:val="8F2B15E"/>
    <w:multiLevelType w:val="hybridMultilevel"/>
    <w:lvl w:ilvl="0">
      <w:lvlJc w:val="left"/>
      <w:lvlText w:val="(%1)"/>
      <w:numFmt w:val="lowerLetter"/>
      <w:start w:val="1"/>
    </w:lvl>
  </w:abstractNum>
  <w:abstractNum w:abstractNumId="54">
    <w:nsid w:val="1A32234B"/>
    <w:multiLevelType w:val="hybridMultilevel"/>
    <w:lvl w:ilvl="0">
      <w:lvlJc w:val="left"/>
      <w:lvlText w:val="(%1)"/>
      <w:numFmt w:val="lowerLetter"/>
      <w:start w:val="1"/>
    </w:lvl>
  </w:abstractNum>
  <w:abstractNum w:abstractNumId="55">
    <w:nsid w:val="3B0FD379"/>
    <w:multiLevelType w:val="hybridMultilevel"/>
    <w:lvl w:ilvl="0">
      <w:lvlJc w:val="left"/>
      <w:lvlText w:val="(%1)"/>
      <w:numFmt w:val="lowerLetter"/>
      <w:start w:val="1"/>
    </w:lvl>
  </w:abstractNum>
  <w:abstractNum w:abstractNumId="56">
    <w:nsid w:val="68EB2F63"/>
    <w:multiLevelType w:val="hybridMultilevel"/>
    <w:lvl w:ilvl="0">
      <w:lvlJc w:val="left"/>
      <w:lvlText w:val="(%1)"/>
      <w:numFmt w:val="lowerLetter"/>
      <w:start w:val="1"/>
    </w:lvl>
  </w:abstractNum>
  <w:abstractNum w:abstractNumId="57">
    <w:nsid w:val="4962813B"/>
    <w:multiLevelType w:val="hybridMultilevel"/>
    <w:lvl w:ilvl="0">
      <w:lvlJc w:val="left"/>
      <w:lvlText w:val="(%1)"/>
      <w:numFmt w:val="lowerLetter"/>
      <w:start w:val="1"/>
    </w:lvl>
  </w:abstractNum>
  <w:abstractNum w:abstractNumId="58">
    <w:nsid w:val="60B6DF70"/>
    <w:multiLevelType w:val="hybridMultilevel"/>
    <w:lvl w:ilvl="0">
      <w:lvlJc w:val="left"/>
      <w:lvlText w:val="(%1)"/>
      <w:numFmt w:val="lowerLetter"/>
      <w:start w:val="1"/>
    </w:lvl>
  </w:abstractNum>
  <w:abstractNum w:abstractNumId="59">
    <w:nsid w:val="6A5EE64"/>
    <w:multiLevelType w:val="hybridMultilevel"/>
    <w:lvl w:ilvl="0">
      <w:lvlJc w:val="left"/>
      <w:lvlText w:val="(%1)"/>
      <w:numFmt w:val="lowerLetter"/>
      <w:start w:val="1"/>
    </w:lvl>
  </w:abstractNum>
  <w:abstractNum w:abstractNumId="60">
    <w:nsid w:val="14330624"/>
    <w:multiLevelType w:val="hybridMultilevel"/>
    <w:lvl w:ilvl="0">
      <w:lvlJc w:val="left"/>
      <w:lvlText w:val="(%1)"/>
      <w:numFmt w:val="lowerLetter"/>
      <w:start w:val="1"/>
    </w:lvl>
  </w:abstractNum>
  <w:abstractNum w:abstractNumId="61">
    <w:nsid w:val="7FFFCA11"/>
    <w:multiLevelType w:val="hybridMultilevel"/>
    <w:lvl w:ilvl="0">
      <w:lvlJc w:val="left"/>
      <w:lvlText w:val="(%1)"/>
      <w:numFmt w:val="lowerLetter"/>
      <w:start w:val="1"/>
    </w:lvl>
  </w:abstractNum>
  <w:abstractNum w:abstractNumId="62">
    <w:nsid w:val="1A27709E"/>
    <w:multiLevelType w:val="hybridMultilevel"/>
    <w:lvl w:ilvl="0">
      <w:lvlJc w:val="left"/>
      <w:lvlText w:val="(%1)"/>
      <w:numFmt w:val="lowerLetter"/>
      <w:start w:val="1"/>
    </w:lvl>
  </w:abstractNum>
  <w:abstractNum w:abstractNumId="63">
    <w:nsid w:val="71EA1109"/>
    <w:multiLevelType w:val="hybridMultilevel"/>
    <w:lvl w:ilvl="0">
      <w:lvlJc w:val="left"/>
      <w:lvlText w:val="(%1)"/>
      <w:numFmt w:val="lowerLetter"/>
      <w:start w:val="1"/>
    </w:lvl>
  </w:abstractNum>
  <w:abstractNum w:abstractNumId="64">
    <w:nsid w:val="100F59DC"/>
    <w:multiLevelType w:val="hybridMultilevel"/>
    <w:lvl w:ilvl="0">
      <w:lvlJc w:val="left"/>
      <w:lvlText w:val="(%1)"/>
      <w:numFmt w:val="lowerLetter"/>
      <w:start w:val="1"/>
    </w:lvl>
  </w:abstractNum>
  <w:abstractNum w:abstractNumId="65">
    <w:nsid w:val="7FB7E0AA"/>
    <w:multiLevelType w:val="hybridMultilevel"/>
    <w:lvl w:ilvl="0">
      <w:lvlJc w:val="left"/>
      <w:lvlText w:val="(%1)"/>
      <w:numFmt w:val="lowerLetter"/>
      <w:start w:val="1"/>
    </w:lvl>
  </w:abstractNum>
  <w:abstractNum w:abstractNumId="66">
    <w:nsid w:val="6EB5BD4"/>
    <w:multiLevelType w:val="hybridMultilevel"/>
    <w:lvl w:ilvl="0">
      <w:lvlJc w:val="left"/>
      <w:lvlText w:val="(%1)"/>
      <w:numFmt w:val="lowerLetter"/>
      <w:start w:val="1"/>
    </w:lvl>
  </w:abstractNum>
  <w:abstractNum w:abstractNumId="67">
    <w:nsid w:val="6F6DD9AC"/>
    <w:multiLevelType w:val="hybridMultilevel"/>
    <w:lvl w:ilvl="0">
      <w:lvlJc w:val="left"/>
      <w:lvlText w:val="(%1)"/>
      <w:numFmt w:val="lowerLetter"/>
      <w:start w:val="1"/>
    </w:lvl>
  </w:abstractNum>
  <w:abstractNum w:abstractNumId="68">
    <w:nsid w:val="94211F2"/>
    <w:multiLevelType w:val="hybridMultilevel"/>
    <w:lvl w:ilvl="0">
      <w:lvlJc w:val="left"/>
      <w:lvlText w:val="(%1)"/>
      <w:numFmt w:val="lowerLetter"/>
      <w:start w:val="1"/>
    </w:lvl>
  </w:abstractNum>
  <w:abstractNum w:abstractNumId="69">
    <w:nsid w:val="885E1B"/>
    <w:multiLevelType w:val="hybridMultilevel"/>
    <w:lvl w:ilvl="0">
      <w:lvlJc w:val="left"/>
      <w:lvlText w:val="(%1)"/>
      <w:numFmt w:val="lowerLetter"/>
      <w:start w:val="1"/>
    </w:lvl>
  </w:abstractNum>
  <w:abstractNum w:abstractNumId="70">
    <w:nsid w:val="76272110"/>
    <w:multiLevelType w:val="hybridMultilevel"/>
    <w:lvl w:ilvl="0">
      <w:lvlJc w:val="left"/>
      <w:lvlText w:val="(%1)"/>
      <w:numFmt w:val="lowerLetter"/>
    </w:lvl>
    <w:lvl w:ilvl="1">
      <w:lvlJc w:val="left"/>
      <w:lvlText w:val="•"/>
      <w:numFmt w:val="bullet"/>
      <w:start w:val="1"/>
    </w:lvl>
  </w:abstractNum>
  <w:abstractNum w:abstractNumId="71">
    <w:nsid w:val="4C04A8AF"/>
    <w:multiLevelType w:val="hybridMultilevel"/>
    <w:lvl w:ilvl="0">
      <w:lvlJc w:val="left"/>
      <w:lvlText w:val="*"/>
      <w:numFmt w:val="bullet"/>
      <w:start w:val="1"/>
    </w:lvl>
    <w:lvl w:ilvl="1">
      <w:lvlJc w:val="left"/>
      <w:lvlText w:val="%2"/>
      <w:numFmt w:val="decimal"/>
      <w:start w:val="104"/>
    </w:lvl>
  </w:abstractNum>
  <w:abstractNum w:abstractNumId="72">
    <w:nsid w:val="1716703B"/>
    <w:multiLevelType w:val="hybridMultilevel"/>
    <w:lvl w:ilvl="0">
      <w:lvlJc w:val="left"/>
      <w:lvlText w:val="%1."/>
      <w:numFmt w:val="decimal"/>
      <w:start w:val="1"/>
    </w:lvl>
    <w:lvl w:ilvl="1">
      <w:lvlJc w:val="left"/>
      <w:lvlText w:val="%2."/>
      <w:numFmt w:val="lowerLetter"/>
      <w:start w:val="1"/>
    </w:lvl>
  </w:abstractNum>
  <w:abstractNum w:abstractNumId="73">
    <w:nsid w:val="14E17E33"/>
    <w:multiLevelType w:val="hybridMultilevel"/>
    <w:lvl w:ilvl="0">
      <w:lvlJc w:val="left"/>
      <w:lvlText w:val="%1."/>
      <w:numFmt w:val="decimal"/>
      <w:start w:val="1"/>
    </w:lvl>
    <w:lvl w:ilvl="1">
      <w:lvlJc w:val="left"/>
      <w:lvlText w:val="%2."/>
      <w:numFmt w:val="lowerLetter"/>
      <w:start w:val="1"/>
    </w:lvl>
  </w:abstractNum>
  <w:abstractNum w:abstractNumId="74">
    <w:nsid w:val="3222E7CD"/>
    <w:multiLevelType w:val="hybridMultilevel"/>
    <w:lvl w:ilvl="0">
      <w:lvlJc w:val="left"/>
      <w:lvlText w:val="%1."/>
      <w:numFmt w:val="decimal"/>
      <w:start w:val="1"/>
    </w:lvl>
  </w:abstractNum>
  <w:abstractNum w:abstractNumId="75">
    <w:nsid w:val="74DE0EE3"/>
    <w:multiLevelType w:val="hybridMultilevel"/>
    <w:lvl w:ilvl="0">
      <w:lvlJc w:val="left"/>
      <w:lvlText w:val="(%1)"/>
      <w:numFmt w:val="upperLetter"/>
      <w:start w:val="1"/>
    </w:lvl>
  </w:abstractNum>
  <w:abstractNum w:abstractNumId="76">
    <w:nsid w:val="68EBC550"/>
    <w:multiLevelType w:val="hybridMultilevel"/>
    <w:lvl w:ilvl="0">
      <w:lvlJc w:val="left"/>
      <w:lvlText w:val="(%1)"/>
      <w:numFmt w:val="upperLetter"/>
      <w:start w:val="2"/>
    </w:lvl>
  </w:abstractNum>
  <w:abstractNum w:abstractNumId="77">
    <w:nsid w:val="2DF6D648"/>
    <w:multiLevelType w:val="hybridMultilevel"/>
    <w:lvl w:ilvl="0">
      <w:lvlJc w:val="left"/>
      <w:lvlText w:val="(%1)"/>
      <w:numFmt w:val="upperLetter"/>
      <w:start w:val="1"/>
    </w:lvl>
  </w:abstractNum>
  <w:abstractNum w:abstractNumId="78">
    <w:nsid w:val="46B7D447"/>
    <w:multiLevelType w:val="hybridMultilevel"/>
    <w:lvl w:ilvl="0">
      <w:lvlJc w:val="left"/>
      <w:lvlText w:val="(%1)"/>
      <w:numFmt w:val="upperLetter"/>
      <w:start w:val="1"/>
    </w:lvl>
    <w:lvl w:ilvl="1">
      <w:lvlJc w:val="left"/>
      <w:lvlText w:val="(%2)"/>
      <w:numFmt w:val="decimal"/>
      <w:start w:val="1"/>
    </w:lvl>
    <w:lvl w:ilvl="2">
      <w:lvlJc w:val="left"/>
      <w:lvlText w:val="(%3)"/>
      <w:numFmt w:val="decimal"/>
      <w:start w:val="2"/>
    </w:lvl>
  </w:abstractNum>
  <w:abstractNum w:abstractNumId="79">
    <w:nsid w:val="4A2AC315"/>
    <w:multiLevelType w:val="hybridMultilevel"/>
    <w:lvl w:ilvl="0">
      <w:lvlJc w:val="left"/>
      <w:lvlText w:val="%1"/>
      <w:numFmt w:val="lowerLetter"/>
      <w:start w:val="1"/>
    </w:lvl>
    <w:lvl w:ilvl="1">
      <w:lvlJc w:val="left"/>
      <w:lvlText w:val="(%2)"/>
      <w:numFmt w:val="lowerLetter"/>
      <w:start w:val="1"/>
    </w:lvl>
  </w:abstractNum>
  <w:abstractNum w:abstractNumId="80">
    <w:nsid w:val="39EE015C"/>
    <w:multiLevelType w:val="hybridMultilevel"/>
    <w:lvl w:ilvl="0">
      <w:lvlJc w:val="left"/>
      <w:lvlText w:val="(%1)"/>
      <w:numFmt w:val="lowerLetter"/>
      <w:start w:val="35"/>
    </w:lvl>
    <w:lvl w:ilvl="1">
      <w:lvlJc w:val="left"/>
      <w:lvlText w:val="%2"/>
      <w:numFmt w:val="lowerLetter"/>
      <w:start w:val="1"/>
    </w:lvl>
  </w:abstractNum>
  <w:abstractNum w:abstractNumId="81">
    <w:nsid w:val="57FC4FBB"/>
    <w:multiLevelType w:val="hybridMultilevel"/>
    <w:lvl w:ilvl="0">
      <w:lvlJc w:val="left"/>
      <w:lvlText w:val="(%1)"/>
      <w:numFmt w:val="lowerLetter"/>
      <w:start w:val="2"/>
    </w:lvl>
  </w:abstractNum>
  <w:abstractNum w:abstractNumId="82">
    <w:nsid w:val="CC1016F"/>
    <w:multiLevelType w:val="hybridMultilevel"/>
    <w:lvl w:ilvl="0">
      <w:lvlJc w:val="left"/>
      <w:lvlText w:val="%1"/>
      <w:numFmt w:val="decimal"/>
      <w:start w:val="1"/>
    </w:lvl>
    <w:lvl w:ilvl="1">
      <w:lvlJc w:val="left"/>
      <w:lvlText w:val="(%2)"/>
      <w:numFmt w:val="lowerLetter"/>
      <w:start w:val="4"/>
    </w:lvl>
  </w:abstractNum>
  <w:abstractNum w:abstractNumId="83">
    <w:nsid w:val="43F18422"/>
    <w:multiLevelType w:val="hybridMultilevel"/>
    <w:lvl w:ilvl="0">
      <w:lvlJc w:val="left"/>
      <w:lvlText w:val="(%1)"/>
      <w:numFmt w:val="decimal"/>
      <w:start w:val="3"/>
    </w:lvl>
    <w:lvl w:ilvl="1">
      <w:lvlJc w:val="left"/>
      <w:lvlText w:val="%2"/>
      <w:numFmt w:val="lowerLetter"/>
      <w:start w:val="1"/>
    </w:lvl>
  </w:abstractNum>
  <w:abstractNum w:abstractNumId="84">
    <w:nsid w:val="60EF0119"/>
    <w:multiLevelType w:val="hybridMultilevel"/>
    <w:lvl w:ilvl="0">
      <w:lvlJc w:val="left"/>
      <w:lvlText w:val="(%1)"/>
      <w:numFmt w:val="decimal"/>
      <w:start w:val="4"/>
    </w:lvl>
  </w:abstractNum>
  <w:abstractNum w:abstractNumId="85">
    <w:nsid w:val="26F324BA"/>
    <w:multiLevelType w:val="hybridMultilevel"/>
    <w:lvl w:ilvl="0">
      <w:lvlJc w:val="left"/>
      <w:lvlText w:val="%1"/>
      <w:numFmt w:val="upperLetter"/>
      <w:start w:val="1"/>
    </w:lvl>
    <w:lvl w:ilvl="1">
      <w:lvlJc w:val="left"/>
      <w:lvlText w:val="(%2)"/>
      <w:numFmt w:val="decimal"/>
      <w:start w:val="5"/>
    </w:lvl>
  </w:abstractNum>
  <w:abstractNum w:abstractNumId="86">
    <w:nsid w:val="7F01579B"/>
    <w:multiLevelType w:val="hybridMultilevel"/>
    <w:lvl w:ilvl="0">
      <w:lvlJc w:val="left"/>
      <w:lvlText w:val="(%1)"/>
      <w:numFmt w:val="upperLetter"/>
      <w:start w:val="2"/>
    </w:lvl>
    <w:lvl w:ilvl="1">
      <w:lvlJc w:val="left"/>
      <w:lvlText w:val="%2"/>
      <w:numFmt w:val="decimal"/>
      <w:start w:val="1"/>
    </w:lvl>
  </w:abstractNum>
  <w:abstractNum w:abstractNumId="87">
    <w:nsid w:val="49DA307D"/>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88">
    <w:nsid w:val="7055A5F5"/>
    <w:multiLevelType w:val="hybridMultilevel"/>
    <w:lvl w:ilvl="0">
      <w:lvlJc w:val="left"/>
      <w:lvlText w:val="(%1)"/>
      <w:numFmt w:val="lowerLetter"/>
      <w:start w:val="3"/>
    </w:lvl>
    <w:lvl w:ilvl="1">
      <w:lvlJc w:val="left"/>
      <w:lvlText w:val="(%2)"/>
      <w:numFmt w:val="decimal"/>
      <w:start w:val="5"/>
    </w:lvl>
  </w:abstractNum>
  <w:abstractNum w:abstractNumId="89">
    <w:nsid w:val="5FB8370B"/>
    <w:multiLevelType w:val="hybridMultilevel"/>
    <w:lvl w:ilvl="0">
      <w:lvlJc w:val="left"/>
      <w:lvlText w:val="(%1)"/>
      <w:numFmt w:val="lowerLetter"/>
      <w:start w:val="2"/>
    </w:lvl>
    <w:lvl w:ilvl="1">
      <w:lvlJc w:val="left"/>
      <w:lvlText w:val="(%2)"/>
      <w:numFmt w:val="decimal"/>
      <w:start w:val="6"/>
    </w:lvl>
  </w:abstractNum>
  <w:abstractNum w:abstractNumId="90">
    <w:nsid w:val="50801EE1"/>
    <w:multiLevelType w:val="hybridMultilevel"/>
    <w:lvl w:ilvl="0">
      <w:lvlJc w:val="left"/>
      <w:lvlText w:val="(%1)"/>
      <w:numFmt w:val="upperLetter"/>
      <w:start w:val="1"/>
    </w:lvl>
  </w:abstractNum>
  <w:abstractNum w:abstractNumId="91">
    <w:nsid w:val="488AC1A"/>
    <w:multiLevelType w:val="hybridMultilevel"/>
    <w:lvl w:ilvl="0">
      <w:lvlJc w:val="left"/>
      <w:lvlText w:val="(%1)"/>
      <w:numFmt w:val="lowerLetter"/>
      <w:start w:val="1"/>
    </w:lvl>
  </w:abstractNum>
  <w:abstractNum w:abstractNumId="92">
    <w:nsid w:val="5FB8011C"/>
    <w:multiLevelType w:val="hybridMultilevel"/>
    <w:lvl w:ilvl="0">
      <w:lvlJc w:val="left"/>
      <w:lvlText w:val="(%1)"/>
      <w:numFmt w:val="upperLetter"/>
      <w:start w:val="1"/>
    </w:lvl>
  </w:abstractNum>
  <w:abstractNum w:abstractNumId="93">
    <w:nsid w:val="6AA78F7F"/>
    <w:multiLevelType w:val="hybridMultilevel"/>
    <w:lvl w:ilvl="0">
      <w:lvlJc w:val="left"/>
      <w:lvlText w:val="(%1)"/>
      <w:numFmt w:val="upperLetter"/>
      <w:start w:val="2"/>
    </w:lvl>
  </w:abstractNum>
  <w:abstractNum w:abstractNumId="94">
    <w:nsid w:val="7672BD23"/>
    <w:multiLevelType w:val="hybridMultilevel"/>
    <w:lvl w:ilvl="0">
      <w:lvlJc w:val="left"/>
      <w:lvlText w:val="(%1)"/>
      <w:numFmt w:val="upperLetter"/>
      <w:start w:val="4"/>
    </w:lvl>
  </w:abstractNum>
  <w:abstractNum w:abstractNumId="95">
    <w:nsid w:val="6FC75AF8"/>
    <w:multiLevelType w:val="hybridMultilevel"/>
    <w:lvl w:ilvl="0">
      <w:lvlJc w:val="left"/>
      <w:lvlText w:val="(%1)"/>
      <w:numFmt w:val="upperLetter"/>
      <w:start w:val="1"/>
    </w:lvl>
  </w:abstractNum>
  <w:abstractNum w:abstractNumId="96">
    <w:nsid w:val="6A5F7029"/>
    <w:multiLevelType w:val="hybridMultilevel"/>
    <w:lvl w:ilvl="0">
      <w:lvlJc w:val="left"/>
      <w:lvlText w:val="(%1)"/>
      <w:numFmt w:val="lowerRoman"/>
      <w:start w:val="2"/>
    </w:lvl>
  </w:abstractNum>
  <w:abstractNum w:abstractNumId="97">
    <w:nsid w:val="7D5E18F8"/>
    <w:multiLevelType w:val="hybridMultilevel"/>
    <w:lvl w:ilvl="0">
      <w:lvlJc w:val="left"/>
      <w:lvlText w:val="(%1)"/>
      <w:numFmt w:val="lowerRoman"/>
      <w:start w:val="1"/>
    </w:lvl>
  </w:abstractNum>
  <w:abstractNum w:abstractNumId="98">
    <w:nsid w:val="5F3534A4"/>
    <w:multiLevelType w:val="hybridMultilevel"/>
    <w:lvl w:ilvl="0">
      <w:lvlJc w:val="left"/>
      <w:lvlText w:val="(%1)"/>
      <w:numFmt w:val="lowerRoman"/>
      <w:start w:val="1"/>
    </w:lvl>
  </w:abstractNum>
  <w:abstractNum w:abstractNumId="99">
    <w:nsid w:val="73A1821B"/>
    <w:multiLevelType w:val="hybridMultilevel"/>
    <w:lvl w:ilvl="0">
      <w:lvlJc w:val="left"/>
      <w:lvlText w:val="(%1)"/>
      <w:numFmt w:val="lowerRoman"/>
      <w:start w:val="1"/>
    </w:lvl>
  </w:abstractNum>
  <w:abstractNum w:abstractNumId="100">
    <w:nsid w:val="7DE67713"/>
    <w:multiLevelType w:val="hybridMultilevel"/>
    <w:lvl w:ilvl="0">
      <w:lvlJc w:val="left"/>
      <w:lvlText w:val="%1."/>
      <w:numFmt w:val="decimal"/>
      <w:start w:val="1"/>
    </w:lvl>
  </w:abstractNum>
  <w:abstractNum w:abstractNumId="101">
    <w:nsid w:val="555C55B5"/>
    <w:multiLevelType w:val="hybridMultilevel"/>
    <w:lvl w:ilvl="0">
      <w:lvlJc w:val="left"/>
      <w:lvlText w:val="%1."/>
      <w:numFmt w:val="upperLetter"/>
      <w:start w:val="1"/>
    </w:lvl>
    <w:lvl w:ilvl="1">
      <w:lvlJc w:val="left"/>
      <w:lvlText w:val="%2."/>
      <w:numFmt w:val="decimal"/>
      <w:start w:val="1"/>
    </w:lvl>
  </w:abstractNum>
  <w:abstractNum w:abstractNumId="102">
    <w:nsid w:val="3FA62ACA"/>
    <w:multiLevelType w:val="hybridMultilevel"/>
    <w:lvl w:ilvl="0">
      <w:lvlJc w:val="left"/>
      <w:lvlText w:val="%1."/>
      <w:numFmt w:val="upp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14" Type="http://schemas.openxmlformats.org/officeDocument/2006/relationships/image" Target="media/image187.png"/><Relationship Id="rId228" Type="http://schemas.openxmlformats.org/officeDocument/2006/relationships/image" Target="media/image188.png"/><Relationship Id="rId247" Type="http://schemas.openxmlformats.org/officeDocument/2006/relationships/image" Target="media/image189.png"/><Relationship Id="rId254" Type="http://schemas.openxmlformats.org/officeDocument/2006/relationships/image" Target="media/image190.png"/><Relationship Id="rId255" Type="http://schemas.openxmlformats.org/officeDocument/2006/relationships/image" Target="media/image191.png"/><Relationship Id="rId256" Type="http://schemas.openxmlformats.org/officeDocument/2006/relationships/image" Target="media/image192.jpeg"/><Relationship Id="rId257" Type="http://schemas.openxmlformats.org/officeDocument/2006/relationships/image" Target="media/image193.png"/><Relationship Id="rId258" Type="http://schemas.openxmlformats.org/officeDocument/2006/relationships/image" Target="media/image194.png"/><Relationship Id="rId259" Type="http://schemas.openxmlformats.org/officeDocument/2006/relationships/image" Target="media/image195.png"/><Relationship Id="rId260" Type="http://schemas.openxmlformats.org/officeDocument/2006/relationships/image" Target="media/image196.png"/><Relationship Id="rId261" Type="http://schemas.openxmlformats.org/officeDocument/2006/relationships/image" Target="media/image197.jpeg"/><Relationship Id="rId262" Type="http://schemas.openxmlformats.org/officeDocument/2006/relationships/image" Target="media/image198.jpeg"/><Relationship Id="rId263" Type="http://schemas.openxmlformats.org/officeDocument/2006/relationships/image" Target="media/image199.jpeg"/><Relationship Id="rId264" Type="http://schemas.openxmlformats.org/officeDocument/2006/relationships/image" Target="media/image200.jpeg"/><Relationship Id="rId192" Type="http://schemas.openxmlformats.org/officeDocument/2006/relationships/hyperlink" Target="https://www.sec.gov/Archives/edgar/data/1609253/000110465914084170/a14-25233_1ex2d1.htm" TargetMode="External"/><Relationship Id="rId193" Type="http://schemas.openxmlformats.org/officeDocument/2006/relationships/hyperlink" Target="https://www.sec.gov/Archives/edgar/data/1609253/000160925320000133/a20201013exhibit991.htm" TargetMode="External"/><Relationship Id="rId194" Type="http://schemas.openxmlformats.org/officeDocument/2006/relationships/hyperlink" Target="https://www.sec.gov/Archives/edgar/data/1609253/000160925324000020/a20240207exhibit101.htm" TargetMode="External"/><Relationship Id="rId195" Type="http://schemas.openxmlformats.org/officeDocument/2006/relationships/hyperlink" Target="https://www.sec.gov/Archives/edgar/data/1609253/000160925325000076/mergeragreementedgar.htm" TargetMode="External"/><Relationship Id="rId196" Type="http://schemas.openxmlformats.org/officeDocument/2006/relationships/hyperlink" Target="https://www.sec.gov/Archives/edgar/data/1609253/000160925320000137/a8aex31.htm" TargetMode="External"/><Relationship Id="rId197" Type="http://schemas.openxmlformats.org/officeDocument/2006/relationships/hyperlink" Target="https://www.sec.gov/Archives/edgar/data/1609253/000160925322000036/a20220504ex31.htm" TargetMode="External"/><Relationship Id="rId198" Type="http://schemas.openxmlformats.org/officeDocument/2006/relationships/hyperlink" Target="https://www.sec.gov/Archives/edgar/data/1609253/000160925323000034/a20230428exhibit31.htm" TargetMode="External"/><Relationship Id="rId201" Type="http://schemas.openxmlformats.org/officeDocument/2006/relationships/hyperlink" Target="https://www.sec.gov/Archives/edgar/data/1609253/000160925321000047/a2020yeex41descriptionofca.htm" TargetMode="External"/><Relationship Id="rId202" Type="http://schemas.openxmlformats.org/officeDocument/2006/relationships/hyperlink" Target="https://www.sec.gov/Archives/edgar/data/1609253/000160925321000010/a20200120ex41.htm" TargetMode="External"/><Relationship Id="rId203" Type="http://schemas.openxmlformats.org/officeDocument/2006/relationships/hyperlink" Target="https://www.sec.gov/Archives/edgar/data/1609253/000160925321000010/a20200120ex42.htm" TargetMode="External"/><Relationship Id="rId204" Type="http://schemas.openxmlformats.org/officeDocument/2006/relationships/hyperlink" Target="https://www.sec.gov/Archives/edgar/data/1609253/000119312524173343/d845209dex106.htm" TargetMode="External"/><Relationship Id="rId205" Type="http://schemas.openxmlformats.org/officeDocument/2006/relationships/hyperlink" Target="https://www.sec.gov/ix?doc=/Archives/edgar/data/1609253/000119312524155155/d844238d8k.htm" TargetMode="External"/><Relationship Id="rId206" Type="http://schemas.openxmlformats.org/officeDocument/2006/relationships/hyperlink" Target="https://www.sec.gov/Archives/edgar/data/1609253/000119312524173343/d845209dex107.htm" TargetMode="External"/><Relationship Id="rId207" Type="http://schemas.openxmlformats.org/officeDocument/2006/relationships/hyperlink" Target="https://www.sec.gov/Archives/edgar/data/1609253/000119312524155155/d844238dex41.htm" TargetMode="External"/><Relationship Id="rId208" Type="http://schemas.openxmlformats.org/officeDocument/2006/relationships/hyperlink" Target="https://www.sec.gov/Archives/edgar/data/1609253/000119312525234517/d845351dex41.htm" TargetMode="External"/><Relationship Id="rId209" Type="http://schemas.openxmlformats.org/officeDocument/2006/relationships/hyperlink" Target="https://www.sec.gov/Archives/edgar/data/1609253/000104746914007128/a2220803zex-10_12.htm" TargetMode="External"/><Relationship Id="rId210" Type="http://schemas.openxmlformats.org/officeDocument/2006/relationships/hyperlink" Target="https://www.sec.gov/Archives/edgar/data/1609253/000104746914007128/a2220803zex-10_10.htm" TargetMode="External"/><Relationship Id="rId211" Type="http://schemas.openxmlformats.org/officeDocument/2006/relationships/hyperlink" Target="https://www.sec.gov/Archives/edgar/data/1609253/000104746914007128/a2220803zex-10_11.htm" TargetMode="External"/><Relationship Id="rId212" Type="http://schemas.openxmlformats.org/officeDocument/2006/relationships/hyperlink" Target="https://www.sec.gov/Archives/edgar/data/1609253/000110465914084170/a14-25233_1ex10d7.htm" TargetMode="External"/><Relationship Id="rId213" Type="http://schemas.openxmlformats.org/officeDocument/2006/relationships/hyperlink" Target="https://www.sec.gov/Archives/edgar/data/1609253/000110465914084170/a14-25233_1ex10d5.htm" TargetMode="External"/><Relationship Id="rId215" Type="http://schemas.openxmlformats.org/officeDocument/2006/relationships/hyperlink" Target="https://www.sec.gov/Archives/edgar/data/1609253/000110465914084170/a14-25233_1ex10d6.htm" TargetMode="External"/><Relationship Id="rId216" Type="http://schemas.openxmlformats.org/officeDocument/2006/relationships/hyperlink" Target="https://www.sec.gov/Archives/edgar/data/1609253/000160925320000193/a202010178kex104.htm" TargetMode="External"/><Relationship Id="rId217" Type="http://schemas.openxmlformats.org/officeDocument/2006/relationships/hyperlink" Target="https://www.sec.gov/Archives/edgar/data/1609253/000160925320000137/a8aex101.htm" TargetMode="External"/><Relationship Id="rId218" Type="http://schemas.openxmlformats.org/officeDocument/2006/relationships/hyperlink" Target="https://www.sec.gov/Archives/edgar/data/1609253/000119312524173343/d845209dex102.htm" TargetMode="External"/><Relationship Id="rId219" Type="http://schemas.openxmlformats.org/officeDocument/2006/relationships/hyperlink" Target="https://www.sec.gov/Archives/edgar/data/1609253/000119312524173343/d845209dex103.htm" TargetMode="External"/><Relationship Id="rId220" Type="http://schemas.openxmlformats.org/officeDocument/2006/relationships/hyperlink" Target="https://www.sec.gov/Archives/edgar/data/1609253/000160925323000040/a105crc-amendedandrestated.htm" TargetMode="External"/><Relationship Id="rId221" Type="http://schemas.openxmlformats.org/officeDocument/2006/relationships/hyperlink" Target="https://www.sec.gov/Archives/edgar/data/1609253/000160925323000081/exhibit101crc-firstamendme.htm" TargetMode="External"/><Relationship Id="rId222" Type="http://schemas.openxmlformats.org/officeDocument/2006/relationships/hyperlink" Target="https://www.sec.gov/Archives/edgar/data/1609253/000160925324000022/a20240209exhibit101.htm" TargetMode="External"/><Relationship Id="rId223" Type="http://schemas.openxmlformats.org/officeDocument/2006/relationships/hyperlink" Target="https://www.sec.gov/Archives/edgar/data/1609253/000160925324000048/a20240308exhibit101.htm" TargetMode="External"/><Relationship Id="rId224" Type="http://schemas.openxmlformats.org/officeDocument/2006/relationships/hyperlink" Target="https://www.sec.gov/Archives/edgar/data/1609253/000119312524173343/d845209dex105.htm" TargetMode="External"/><Relationship Id="rId225" Type="http://schemas.openxmlformats.org/officeDocument/2006/relationships/hyperlink" Target="https://www.sec.gov/Archives/edgar/data/1609253/000160925324000119/a103fifthamendmenttotheame.htm" TargetMode="External"/><Relationship Id="rId226" Type="http://schemas.openxmlformats.org/officeDocument/2006/relationships/hyperlink" Target="https://www.sec.gov/Archives/edgar/data/1609253/000119312525214054/d175953dex101.htm" TargetMode="External"/><Relationship Id="rId227" Type="http://schemas.openxmlformats.org/officeDocument/2006/relationships/hyperlink" Target="https://www.sec.gov/Archives/edgar/data/1609253/000160925325000083/a20251029exhibit101.htm" TargetMode="External"/><Relationship Id="rId229" Type="http://schemas.openxmlformats.org/officeDocument/2006/relationships/hyperlink" Target="https://www.sec.gov/Archives/edgar/data/1609253/000160925325000110/a20251215ex101.htm" TargetMode="External"/><Relationship Id="rId230" Type="http://schemas.openxmlformats.org/officeDocument/2006/relationships/hyperlink" Target="https://www.sec.gov/Archives/edgar/data/1609253/000160925320000141/a202010228kex101.htm" TargetMode="External"/><Relationship Id="rId231" Type="http://schemas.openxmlformats.org/officeDocument/2006/relationships/hyperlink" Target="https://www.sec.gov/Archives/edgar/data/1609253/000160925321000014/a20210118ex101.htm" TargetMode="External"/><Relationship Id="rId232" Type="http://schemas.openxmlformats.org/officeDocument/2006/relationships/hyperlink" Target="https://www.sec.gov/Archives/edgar/data/1609253/000160925321000047/a2020yeex1045rsuawardagree.htm" TargetMode="External"/><Relationship Id="rId233" Type="http://schemas.openxmlformats.org/officeDocument/2006/relationships/hyperlink" Target="https://www.sec.gov/Archives/edgar/data/0001609253/000160925321000101/a2021q2ex104-michaelpreston.htm" TargetMode="External"/><Relationship Id="rId234" Type="http://schemas.openxmlformats.org/officeDocument/2006/relationships/hyperlink" Target="https://www.sec.gov/Archives/edgar/data/1609253/000160925325000069/a102formamendedandrestated.htm" TargetMode="External"/><Relationship Id="rId235" Type="http://schemas.openxmlformats.org/officeDocument/2006/relationships/hyperlink" Target="https://www.sec.gov/Archives/edgar/data/0001609253/000160925321000101/a2021q2exhibit105-jaybys.htm" TargetMode="External"/><Relationship Id="rId236" Type="http://schemas.openxmlformats.org/officeDocument/2006/relationships/hyperlink" Target="https://www.sec.gov/Archives/edgar/data/1609253/000160925325000069/a101formamendedandrestated.htm" TargetMode="External"/><Relationship Id="rId237" Type="http://schemas.openxmlformats.org/officeDocument/2006/relationships/hyperlink" Target="https://www.sec.gov/Archives/edgar/data/1609253/000160925323000017/a2022yeex1025ceoemployment.htm" TargetMode="External"/><Relationship Id="rId238" Type="http://schemas.openxmlformats.org/officeDocument/2006/relationships/hyperlink" Target="https://www.sec.gov/Archives/edgar/data/1609253/000160925323000075/a103employmentagreement-ha.htm" TargetMode="External"/><Relationship Id="rId239" Type="http://schemas.openxmlformats.org/officeDocument/2006/relationships/hyperlink" Target="https://www.sec.gov/Archives/edgar/data/1609253/000160925323000075/a104employmentagreement-go.htm" TargetMode="External"/><Relationship Id="rId240" Type="http://schemas.openxmlformats.org/officeDocument/2006/relationships/hyperlink" Target="https://www.sec.gov/ix?doc=/Archives/edgar/data/1609253/000160925324000125/crc-20241119.htm" TargetMode="External"/><Relationship Id="rId241" Type="http://schemas.openxmlformats.org/officeDocument/2006/relationships/hyperlink" Target="https://www.sec.gov/Archives/edgar/data/1609253/000160925323000017/a2022yeex1026formofrestric.htm" TargetMode="External"/><Relationship Id="rId242" Type="http://schemas.openxmlformats.org/officeDocument/2006/relationships/hyperlink" Target="https://www.sec.gov/Archives/edgar/data/1609253/000160925323000017/a2022yeex1027formofperform.htm" TargetMode="External"/><Relationship Id="rId243" Type="http://schemas.openxmlformats.org/officeDocument/2006/relationships/hyperlink" Target="https://www.sec.gov/Archives/edgar/data/1609253/000160925323000017/a2022yeex1028formretention.htm" TargetMode="External"/><Relationship Id="rId244" Type="http://schemas.openxmlformats.org/officeDocument/2006/relationships/hyperlink" Target="https://www.sec.gov/Archives/edgar/data/1609253/000160925322000036/a20220504ex101.htm" TargetMode="External"/><Relationship Id="rId245" Type="http://schemas.openxmlformats.org/officeDocument/2006/relationships/hyperlink" Target="https://www.sec.gov/Archives/edgar/data/1609253/000160925324000102/a2024q2exhibit106.htm" TargetMode="External"/><Relationship Id="rId246" Type="http://schemas.openxmlformats.org/officeDocument/2006/relationships/hyperlink" Target="https://www.sec.gov/Archives/edgar/data/1609253/000160925324000043/a1029formofrestrictedstock.htm" TargetMode="External"/><Relationship Id="rId248" Type="http://schemas.openxmlformats.org/officeDocument/2006/relationships/hyperlink" Target="https://www.sec.gov/ix?doc=/Archives/edgar/data/1609253/000160925324000043/crc-20231231.htm" TargetMode="External"/><Relationship Id="rId249" Type="http://schemas.openxmlformats.org/officeDocument/2006/relationships/hyperlink" Target="https://www.sec.gov/Archives/edgar/data/1609253/000160925325000027/exhibit1036formofrestricte.htm" TargetMode="External"/><Relationship Id="rId250" Type="http://schemas.openxmlformats.org/officeDocument/2006/relationships/hyperlink" Target="https://www.sec.gov/Archives/edgar/data/1609253/000160925325000027/exhibit1037formofperforman.htm" TargetMode="External"/><Relationship Id="rId251" Type="http://schemas.openxmlformats.org/officeDocument/2006/relationships/hyperlink" Target="https://www.sec.gov/Archives/edgar/data/1609253/000160925325000090/a105formofrestrictedstocku.htm" TargetMode="External"/><Relationship Id="rId252" Type="http://schemas.openxmlformats.org/officeDocument/2006/relationships/hyperlink" Target="https://www.sec.gov/Archives/edgar/data/1609253/000160925325000027/exhibit992insidertradingpo.htm" TargetMode="External"/><Relationship Id="rId253" Type="http://schemas.openxmlformats.org/officeDocument/2006/relationships/hyperlink" Target="https://www.sec.gov/Archives/edgar/data/1609253/000160925325000027/exhibit993businessethics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2026-03-02T16:16:00Z</dcterms:created>
  <dcterms:modified xsi:type="dcterms:W3CDTF">2026-03-02T16:16:00Z</dcterms:modified>
</cp:coreProperties>
</file>