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1228725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132"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80" w:type="dxa"/>
            <w:vAlign w:val="bottom"/>
          </w:tcPr>
          <w:p>
            <w:pPr>
              <w:spacing w:after="0"/>
              <w:rPr>
                <w:sz w:val="20"/>
                <w:szCs w:val="20"/>
                <w:color w:val="auto"/>
              </w:rPr>
            </w:pPr>
          </w:p>
        </w:tc>
      </w:tr>
      <w:tr>
        <w:trPr>
          <w:trHeight w:val="34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001-36478</w:t>
            </w:r>
          </w:p>
        </w:tc>
        <w:tc>
          <w:tcPr>
            <w:tcW w:w="27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46-5670947</w:t>
            </w:r>
          </w:p>
        </w:tc>
      </w:tr>
      <w:tr>
        <w:trPr>
          <w:trHeight w:val="180"/>
        </w:trPr>
        <w:tc>
          <w:tcPr>
            <w:tcW w:w="29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10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15"/>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 World Trade Center, Suite 1500</w:t>
            </w:r>
          </w:p>
        </w:tc>
        <w:tc>
          <w:tcPr>
            <w:tcW w:w="41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Long Beach, California</w:t>
            </w:r>
          </w:p>
        </w:tc>
        <w:tc>
          <w:tcPr>
            <w:tcW w:w="4100" w:type="dxa"/>
            <w:vAlign w:val="bottom"/>
          </w:tcPr>
          <w:p>
            <w:pPr>
              <w:spacing w:after="0"/>
              <w:rPr>
                <w:sz w:val="20"/>
                <w:szCs w:val="20"/>
                <w:color w:val="auto"/>
              </w:rPr>
            </w:pPr>
          </w:p>
        </w:tc>
        <w:tc>
          <w:tcPr>
            <w:tcW w:w="27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90831</w:t>
            </w:r>
          </w:p>
        </w:tc>
      </w:tr>
      <w:tr>
        <w:trPr>
          <w:trHeight w:val="23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00" w:type="dxa"/>
            <w:vAlign w:val="bottom"/>
          </w:tcPr>
          <w:p>
            <w:pPr>
              <w:spacing w:after="0"/>
              <w:rPr>
                <w:sz w:val="20"/>
                <w:szCs w:val="20"/>
                <w:color w:val="auto"/>
              </w:rPr>
            </w:pP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Michael L. Preston</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Chief Strategy Officer and General Counsel</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(888) 848-4754</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17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63" w:lineRule="exact"/>
        <w:rPr>
          <w:sz w:val="24"/>
          <w:szCs w:val="24"/>
          <w:color w:val="auto"/>
        </w:rPr>
      </w:pPr>
    </w:p>
    <w:p>
      <w:pPr>
        <w:ind w:right="3160" w:firstLine="8"/>
        <w:spacing w:after="0" w:line="282" w:lineRule="auto"/>
        <w:tabs>
          <w:tab w:leader="none" w:pos="342"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Rule 13q-1 under the Securities Exchange Act (17 CFR 240.13q-1) for the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1768475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1794510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Resource Extraction Issuer Disclosure and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of Payments by Resource Extraction Issuers</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California Resources Corporation (the “Company”) is reporting payments made by the Company, its subsidiaries and entities under the Company’s control to the United States Federal Government related to the commercial development of oil, natural gas or minerals during the fiscal year ended December 31, 2023. No such payments were made to any foreign government during the period covered by this report. The specified payment disclosure required by this Form SD is included in Exhibit 2.01 to this Form SD.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00" w:lineRule="exact"/>
        <w:rPr>
          <w:sz w:val="20"/>
          <w:szCs w:val="20"/>
          <w:color w:val="auto"/>
        </w:rPr>
      </w:pPr>
    </w:p>
    <w:p>
      <w:pPr>
        <w:spacing w:after="0" w:line="291" w:lineRule="exact"/>
        <w:rPr>
          <w:sz w:val="20"/>
          <w:szCs w:val="20"/>
          <w:color w:val="auto"/>
        </w:rPr>
      </w:pPr>
    </w:p>
    <w:p>
      <w:pPr>
        <w:ind w:left="520"/>
        <w:spacing w:after="0"/>
        <w:tabs>
          <w:tab w:leader="none" w:pos="6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2.01</w:t>
      </w:r>
    </w:p>
    <w:p>
      <w:pPr>
        <w:spacing w:after="0" w:line="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u w:val="single" w:color="auto"/>
          <w:color w:val="0000FF"/>
        </w:rPr>
        <w:t>Resource Extraction Payment Report as required by Item 2.01 of this Form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Michael L. Preston</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2024</w:t>
            </w:r>
          </w:p>
        </w:tc>
      </w:tr>
      <w:tr>
        <w:trPr>
          <w:trHeight w:val="218"/>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6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Michael L. Preston</w:t>
            </w:r>
          </w:p>
        </w:tc>
        <w:tc>
          <w:tcPr>
            <w:tcW w:w="260" w:type="dxa"/>
            <w:vAlign w:val="bottom"/>
          </w:tcPr>
          <w:p>
            <w:pPr>
              <w:spacing w:after="0"/>
              <w:rPr>
                <w:sz w:val="18"/>
                <w:szCs w:val="18"/>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4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c>
          <w:tcPr>
            <w:tcW w:w="3540" w:type="dxa"/>
            <w:vAlign w:val="bottom"/>
          </w:tcPr>
          <w:p>
            <w:pPr>
              <w:spacing w:after="0"/>
              <w:rPr>
                <w:sz w:val="21"/>
                <w:szCs w:val="21"/>
                <w:color w:val="auto"/>
              </w:rPr>
            </w:pPr>
          </w:p>
        </w:tc>
      </w:tr>
    </w:tbl>
    <w:p>
      <w:pPr>
        <w:sectPr>
          <w:pgSz w:w="11900" w:h="16838" w:orient="portrait"/>
          <w:cols w:equalWidth="0" w:num="1">
            <w:col w:w="11220"/>
          </w:cols>
          <w:pgMar w:left="320" w:top="1440" w:right="359" w:bottom="1440" w:gutter="0" w:footer="0" w:header="0"/>
        </w:sectPr>
      </w:pPr>
    </w:p>
    <w:bookmarkStart w:id="2" w:name="page3"/>
    <w:bookmarkEnd w:id="2"/>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2.01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 Extraction Payment Report</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2023, California Resources Corporation (the “Company”) made payments to the United States Federal Government for royalties, permitting fees, surface rental fees, and income taxes related to the commercial development of its oil, natural gas, and natural gas liquids (“NGLs”) in California. No payments were made to foreign governments. All payments were made by the Company’s exploration and production (“E&amp;P”) segment and were paid in U.S. dollars. The table below summarizes the payments made by the Company in accordance with Rule 13q-1 of the Securities Exchange Act.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Payment Type</w:t>
            </w:r>
          </w:p>
        </w:tc>
        <w:tc>
          <w:tcPr>
            <w:tcW w:w="260" w:type="dxa"/>
            <w:vAlign w:val="bottom"/>
          </w:tcPr>
          <w:p>
            <w:pPr>
              <w:spacing w:after="0"/>
              <w:rPr>
                <w:sz w:val="17"/>
                <w:szCs w:val="17"/>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Payment Amount</w:t>
            </w:r>
          </w:p>
        </w:tc>
        <w:tc>
          <w:tcPr>
            <w:tcW w:w="1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20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Resource</w:t>
            </w:r>
          </w:p>
        </w:tc>
        <w:tc>
          <w:tcPr>
            <w:tcW w:w="18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Method of Extraction</w:t>
            </w:r>
          </w:p>
        </w:tc>
        <w:tc>
          <w:tcPr>
            <w:tcW w:w="0" w:type="dxa"/>
            <w:vAlign w:val="bottom"/>
          </w:tcPr>
          <w:p>
            <w:pPr>
              <w:spacing w:after="0"/>
              <w:rPr>
                <w:sz w:val="1"/>
                <w:szCs w:val="1"/>
                <w:color w:val="auto"/>
              </w:rPr>
            </w:pPr>
          </w:p>
        </w:tc>
      </w:tr>
      <w:tr>
        <w:trPr>
          <w:trHeight w:val="203"/>
        </w:trPr>
        <w:tc>
          <w:tcPr>
            <w:tcW w:w="31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gridSpan w:val="2"/>
            <w:vMerge w:val="continue"/>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40" w:type="dxa"/>
            <w:vAlign w:val="bottom"/>
            <w:tcBorders>
              <w:top w:val="single" w:sz="8" w:color="auto"/>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260" w:type="dxa"/>
            <w:vAlign w:val="bottom"/>
            <w:tcBorders>
              <w:top w:val="single" w:sz="8" w:color="auto"/>
            </w:tcBorders>
            <w:shd w:val="clear" w:color="auto" w:fill="DBDBDB"/>
          </w:tcPr>
          <w:p>
            <w:pPr>
              <w:spacing w:after="0"/>
              <w:rPr>
                <w:sz w:val="14"/>
                <w:szCs w:val="14"/>
                <w:color w:val="auto"/>
              </w:rPr>
            </w:pPr>
          </w:p>
        </w:tc>
        <w:tc>
          <w:tcPr>
            <w:tcW w:w="192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880" w:type="dxa"/>
            <w:vAlign w:val="bottom"/>
            <w:tcBorders>
              <w:top w:val="single" w:sz="8" w:color="auto"/>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1880" w:type="dxa"/>
            <w:vAlign w:val="bottom"/>
            <w:tcBorders>
              <w:top w:val="single" w:sz="8" w:color="auto"/>
            </w:tcBorders>
            <w:shd w:val="clear" w:color="auto" w:fill="DBDBDB"/>
          </w:tcPr>
          <w:p>
            <w:pPr>
              <w:ind w:left="20"/>
              <w:spacing w:after="0" w:line="169" w:lineRule="exact"/>
              <w:rPr>
                <w:sz w:val="20"/>
                <w:szCs w:val="20"/>
                <w:color w:val="auto"/>
              </w:rPr>
            </w:pPr>
            <w:r>
              <w:rPr>
                <w:rFonts w:ascii="Times New Roman" w:cs="Times New Roman" w:eastAsia="Times New Roman" w:hAnsi="Times New Roman"/>
                <w:sz w:val="18"/>
                <w:szCs w:val="18"/>
                <w:color w:val="auto"/>
              </w:rPr>
              <w:t>Oil, Natural Gas, and</w:t>
            </w:r>
          </w:p>
        </w:tc>
        <w:tc>
          <w:tcPr>
            <w:tcW w:w="120" w:type="dxa"/>
            <w:vAlign w:val="bottom"/>
            <w:tcBorders>
              <w:top w:val="single" w:sz="8" w:color="DBDBDB"/>
            </w:tcBorders>
            <w:shd w:val="clear" w:color="auto" w:fill="DBDBDB"/>
          </w:tcPr>
          <w:p>
            <w:pPr>
              <w:spacing w:after="0"/>
              <w:rPr>
                <w:sz w:val="14"/>
                <w:szCs w:val="14"/>
                <w:color w:val="auto"/>
              </w:rPr>
            </w:pPr>
          </w:p>
        </w:tc>
        <w:tc>
          <w:tcPr>
            <w:tcW w:w="188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100" w:type="dxa"/>
            <w:vAlign w:val="bottom"/>
            <w:shd w:val="clear" w:color="auto" w:fill="DBDBDB"/>
          </w:tcPr>
          <w:p>
            <w:pPr>
              <w:spacing w:after="0"/>
              <w:rPr>
                <w:sz w:val="21"/>
                <w:szCs w:val="21"/>
                <w:color w:val="auto"/>
              </w:rPr>
            </w:pPr>
          </w:p>
        </w:tc>
        <w:tc>
          <w:tcPr>
            <w:tcW w:w="196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Onshore California</w:t>
            </w:r>
          </w:p>
        </w:tc>
        <w:tc>
          <w:tcPr>
            <w:tcW w:w="200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NGLs</w:t>
            </w:r>
          </w:p>
        </w:tc>
        <w:tc>
          <w:tcPr>
            <w:tcW w:w="18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Well</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Onshore California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U.S. Federal Income Taxes</w:t>
            </w:r>
          </w:p>
        </w:tc>
        <w:tc>
          <w:tcPr>
            <w:tcW w:w="26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DBDBDB"/>
          </w:tcPr>
          <w:p>
            <w:pPr>
              <w:spacing w:after="0"/>
              <w:rPr>
                <w:sz w:val="19"/>
                <w:szCs w:val="19"/>
                <w:color w:val="auto"/>
              </w:rPr>
            </w:pPr>
          </w:p>
        </w:tc>
        <w:tc>
          <w:tcPr>
            <w:tcW w:w="18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DBDBDB"/>
          </w:tcPr>
          <w:p>
            <w:pPr>
              <w:spacing w:after="0"/>
              <w:rPr>
                <w:sz w:val="19"/>
                <w:szCs w:val="19"/>
                <w:color w:val="auto"/>
              </w:rPr>
            </w:pPr>
          </w:p>
        </w:tc>
        <w:tc>
          <w:tcPr>
            <w:tcW w:w="200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8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right="200" w:hanging="332"/>
        <w:spacing w:after="0" w:line="280"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federal government levies income taxes at the California Resources Corporation level rather than on a per project basis. Income tax payment information in the table above is presented at the California Resources Corporation level.</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2024-09-20T15:53:10Z</dcterms:created>
  <dcterms:modified xsi:type="dcterms:W3CDTF">2024-09-20T15:53:10Z</dcterms:modified>
</cp:coreProperties>
</file>