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McMahon Harry T.</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7"/>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SUITE 900</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8"/>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28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LOS ANGELES</w:t>
            </w:r>
          </w:p>
        </w:tc>
        <w:tc>
          <w:tcPr>
            <w:tcW w:w="760" w:type="dxa"/>
            <w:vAlign w:val="bottom"/>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11,128</w:t>
            </w:r>
            <w:r>
              <w:rPr>
                <w:rFonts w:ascii="Arial" w:cs="Arial" w:eastAsia="Arial" w:hAnsi="Arial"/>
                <w:sz w:val="15"/>
                <w:szCs w:val="15"/>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13,243</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2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0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Grant of Restricted Stock Units (RSUs) pursuant to California Resources Corporation's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RSUs will vest, in their entirety, on May 11,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11"/>
          <w:szCs w:val="11"/>
          <w:color w:val="0000FF"/>
        </w:rPr>
        <w:t>/s/ Ulrik Damborg, Attorney-in-Fact for Harry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3779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950" cy="571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T.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867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6715"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84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9"/>
          <w:szCs w:val="9"/>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060" w:space="1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Kendrick F. Royer and Jody L. Johnson, signing singly, t</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10th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Harry T. McMahon</w:t>
      </w:r>
    </w:p>
    <w:p>
      <w:pPr>
        <w:ind w:left="8"/>
        <w:spacing w:after="0"/>
        <w:rPr>
          <w:sz w:val="20"/>
          <w:szCs w:val="20"/>
          <w:color w:val="auto"/>
        </w:rPr>
      </w:pPr>
      <w:r>
        <w:rPr>
          <w:rFonts w:ascii="Courier New" w:cs="Courier New" w:eastAsia="Courier New" w:hAnsi="Courier New"/>
          <w:sz w:val="12"/>
          <w:szCs w:val="12"/>
          <w:color w:val="auto"/>
        </w:rPr>
        <w:t>Harry T. McMahon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44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2019-12-04T02:28:21Z</dcterms:created>
  <dcterms:modified xsi:type="dcterms:W3CDTF">2019-12-04T02:28:21Z</dcterms:modified>
</cp:coreProperties>
</file>