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Washington, D.C. 20549</w:t>
      </w:r>
    </w:p>
    <w:p>
      <w:pPr>
        <w:spacing w:after="0" w:line="317"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FORM 8-K</w:t>
      </w:r>
    </w:p>
    <w:p>
      <w:pPr>
        <w:spacing w:after="0" w:line="322"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6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February 26, 2018</w:t>
      </w:r>
    </w:p>
    <w:p>
      <w:pPr>
        <w:spacing w:after="0" w:line="322" w:lineRule="exact"/>
        <w:rPr>
          <w:sz w:val="24"/>
          <w:szCs w:val="24"/>
          <w:color w:val="auto"/>
        </w:rPr>
      </w:pPr>
    </w:p>
    <w:p>
      <w:pPr>
        <w:jc w:val="center"/>
        <w:ind w:right="-139"/>
        <w:spacing w:after="0"/>
        <w:rPr>
          <w:sz w:val="20"/>
          <w:szCs w:val="20"/>
          <w:color w:val="auto"/>
        </w:rPr>
      </w:pPr>
      <w:r>
        <w:rPr>
          <w:rFonts w:ascii="Arial" w:cs="Arial" w:eastAsia="Arial" w:hAnsi="Arial"/>
          <w:sz w:val="39"/>
          <w:szCs w:val="39"/>
          <w:b w:val="1"/>
          <w:bCs w:val="1"/>
          <w:color w:val="auto"/>
        </w:rPr>
        <w:t>California Resources Corporation</w:t>
      </w:r>
    </w:p>
    <w:p>
      <w:pPr>
        <w:spacing w:after="0" w:line="130"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Charter)</w:t>
      </w:r>
    </w:p>
    <w:p>
      <w:pPr>
        <w:sectPr>
          <w:pgSz w:w="11900" w:h="16838" w:orient="portrait"/>
          <w:cols w:equalWidth="0" w:num="1">
            <w:col w:w="11300"/>
          </w:cols>
          <w:pgMar w:left="240" w:top="1269" w:right="359" w:bottom="1440" w:gutter="0" w:footer="0" w:header="0"/>
        </w:sectPr>
      </w:pPr>
    </w:p>
    <w:p>
      <w:pPr>
        <w:spacing w:after="0" w:line="344" w:lineRule="exact"/>
        <w:rPr>
          <w:sz w:val="24"/>
          <w:szCs w:val="24"/>
          <w:color w:val="auto"/>
        </w:rPr>
      </w:pPr>
    </w:p>
    <w:p>
      <w:pPr>
        <w:ind w:left="15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jc w:val="center"/>
        <w:ind w:right="2440"/>
        <w:spacing w:after="0"/>
        <w:rPr>
          <w:sz w:val="20"/>
          <w:szCs w:val="20"/>
          <w:color w:val="auto"/>
        </w:rPr>
      </w:pPr>
      <w:r>
        <w:rPr>
          <w:rFonts w:ascii="Arial" w:cs="Arial" w:eastAsia="Arial" w:hAnsi="Arial"/>
          <w:sz w:val="13"/>
          <w:szCs w:val="13"/>
          <w:b w:val="1"/>
          <w:bCs w:val="1"/>
          <w:color w:val="auto"/>
        </w:rPr>
        <w:t>001-36478</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46-5670947</w:t>
      </w:r>
    </w:p>
    <w:p>
      <w:pPr>
        <w:spacing w:after="0" w:line="110" w:lineRule="exact"/>
        <w:rPr>
          <w:sz w:val="24"/>
          <w:szCs w:val="24"/>
          <w:color w:val="auto"/>
        </w:rPr>
      </w:pPr>
    </w:p>
    <w:p>
      <w:pPr>
        <w:sectPr>
          <w:pgSz w:w="11900" w:h="16838" w:orient="portrait"/>
          <w:cols w:equalWidth="0" w:num="3">
            <w:col w:w="4680" w:space="720"/>
            <w:col w:w="3080" w:space="720"/>
            <w:col w:w="2100"/>
          </w:cols>
          <w:pgMar w:left="240" w:top="1269" w:right="359" w:bottom="1440" w:gutter="0" w:footer="0" w:header="0"/>
          <w:type w:val="continuous"/>
        </w:sectPr>
      </w:pPr>
    </w:p>
    <w:p>
      <w:pPr>
        <w:jc w:val="center"/>
        <w:ind w:right="84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jc w:val="center"/>
        <w:ind w:right="800"/>
        <w:spacing w:after="0"/>
        <w:rPr>
          <w:sz w:val="20"/>
          <w:szCs w:val="20"/>
          <w:color w:val="auto"/>
        </w:rPr>
      </w:pPr>
      <w:r>
        <w:rPr>
          <w:rFonts w:ascii="Arial" w:cs="Arial" w:eastAsia="Arial" w:hAnsi="Arial"/>
          <w:sz w:val="14"/>
          <w:szCs w:val="14"/>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11" w:lineRule="exact"/>
        <w:rPr>
          <w:sz w:val="24"/>
          <w:szCs w:val="24"/>
          <w:color w:val="auto"/>
        </w:rPr>
      </w:pPr>
    </w:p>
    <w:p>
      <w:pPr>
        <w:sectPr>
          <w:pgSz w:w="11900" w:h="16838" w:orient="portrait"/>
          <w:cols w:equalWidth="0" w:num="3">
            <w:col w:w="4600" w:space="720"/>
            <w:col w:w="2960" w:space="720"/>
            <w:col w:w="2300"/>
          </w:cols>
          <w:pgMar w:left="240" w:top="1269" w:right="359" w:bottom="1440" w:gutter="0" w:footer="0" w:header="0"/>
          <w:type w:val="continuous"/>
        </w:sectPr>
      </w:pPr>
    </w:p>
    <w:p>
      <w:pPr>
        <w:spacing w:after="0" w:line="123"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9200 Oakdale Avenue, Suite 900</w:t>
      </w:r>
    </w:p>
    <w:p>
      <w:pPr>
        <w:spacing w:after="0" w:line="27" w:lineRule="exact"/>
        <w:rPr>
          <w:sz w:val="24"/>
          <w:szCs w:val="24"/>
          <w:color w:val="auto"/>
        </w:rPr>
      </w:pPr>
    </w:p>
    <w:p>
      <w:pPr>
        <w:ind w:left="2140"/>
        <w:spacing w:after="0"/>
        <w:rPr>
          <w:sz w:val="20"/>
          <w:szCs w:val="20"/>
          <w:color w:val="auto"/>
        </w:rPr>
      </w:pPr>
      <w:r>
        <w:rPr>
          <w:rFonts w:ascii="Arial" w:cs="Arial" w:eastAsia="Arial" w:hAnsi="Arial"/>
          <w:sz w:val="14"/>
          <w:szCs w:val="14"/>
          <w:b w:val="1"/>
          <w:bCs w:val="1"/>
          <w:color w:val="auto"/>
        </w:rPr>
        <w:t>Los Angeles, California</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91311</w:t>
      </w:r>
    </w:p>
    <w:p>
      <w:pPr>
        <w:spacing w:after="0" w:line="197" w:lineRule="exact"/>
        <w:rPr>
          <w:sz w:val="24"/>
          <w:szCs w:val="24"/>
          <w:color w:val="auto"/>
        </w:rPr>
      </w:pPr>
    </w:p>
    <w:p>
      <w:pPr>
        <w:sectPr>
          <w:pgSz w:w="11900" w:h="16838" w:orient="portrait"/>
          <w:cols w:equalWidth="0" w:num="2">
            <w:col w:w="7660" w:space="720"/>
            <w:col w:w="2920"/>
          </w:cols>
          <w:pgMar w:left="240" w:top="1269" w:right="359" w:bottom="1440" w:gutter="0" w:footer="0" w:header="0"/>
          <w:type w:val="continuous"/>
        </w:sectPr>
      </w:pPr>
    </w:p>
    <w:p>
      <w:pPr>
        <w:ind w:left="17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7540" w:space="720"/>
            <w:col w:w="3040"/>
          </w:cols>
          <w:pgMar w:left="240" w:top="1269" w:right="359" w:bottom="1440" w:gutter="0" w:footer="0" w:header="0"/>
          <w:type w:val="continuous"/>
        </w:sectPr>
      </w:pPr>
    </w:p>
    <w:p>
      <w:pPr>
        <w:spacing w:after="0" w:line="43"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85"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9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69"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u w:val="single" w:color="auto"/>
          <w:color w:val="auto"/>
        </w:rPr>
        <w:t>Results of Operations and Financial Condition.</w:t>
      </w:r>
    </w:p>
    <w:p>
      <w:pPr>
        <w:spacing w:after="0" w:line="297"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On February 26, 2018, the Company issued a press release announcing its financial condition and results of operations for the three and twelve months ended December 31, 2017. A copy of the press release is furnished as Exhibit 99.1 to this report on Form 8-K and is incorporated herein by reference.</w:t>
      </w:r>
    </w:p>
    <w:p>
      <w:pPr>
        <w:spacing w:after="0" w:line="124"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14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Statements contained in the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those results include those mentioned in the documents that the Company has filed with the Securities and Exchange Commission (the “SEC”).</w:t>
      </w:r>
    </w:p>
    <w:p>
      <w:pPr>
        <w:spacing w:after="0" w:line="187"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25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r>
        <w:rPr>
          <w:rFonts w:ascii="Arial" w:cs="Arial" w:eastAsia="Arial" w:hAnsi="Arial"/>
          <w:sz w:val="16"/>
          <w:szCs w:val="16"/>
          <w:color w:val="auto"/>
        </w:rPr>
        <w:t>.</w:t>
      </w:r>
    </w:p>
    <w:p>
      <w:pPr>
        <w:spacing w:after="0" w:line="200" w:lineRule="exact"/>
        <w:rPr>
          <w:sz w:val="20"/>
          <w:szCs w:val="20"/>
          <w:color w:val="auto"/>
        </w:rPr>
      </w:pPr>
    </w:p>
    <w:p>
      <w:pPr>
        <w:spacing w:after="0" w:line="27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 Exhibits.</w:t>
      </w:r>
    </w:p>
    <w:p>
      <w:pPr>
        <w:spacing w:after="0" w:line="341" w:lineRule="exact"/>
        <w:rPr>
          <w:sz w:val="20"/>
          <w:szCs w:val="20"/>
          <w:color w:val="auto"/>
        </w:rPr>
      </w:pPr>
    </w:p>
    <w:tbl>
      <w:tblPr>
        <w:tblLayout w:type="fixed"/>
        <w:tblInd w:w="750" w:type="dxa"/>
        <w:tblCellMar>
          <w:top w:w="0" w:type="dxa"/>
          <w:left w:w="0" w:type="dxa"/>
          <w:bottom w:w="0" w:type="dxa"/>
          <w:right w:w="0" w:type="dxa"/>
        </w:tblCellMar>
      </w:tblPr>
      <w:tr>
        <w:trPr>
          <w:trHeight w:val="216"/>
        </w:trPr>
        <w:tc>
          <w:tcPr>
            <w:tcW w:w="460" w:type="dxa"/>
            <w:vAlign w:val="bottom"/>
            <w:tcBorders>
              <w:top w:val="single" w:sz="8" w:color="auto"/>
              <w:left w:val="single" w:sz="8" w:color="auto"/>
            </w:tcBorders>
          </w:tcPr>
          <w:p>
            <w:pPr>
              <w:spacing w:after="0"/>
              <w:rPr>
                <w:sz w:val="18"/>
                <w:szCs w:val="18"/>
                <w:color w:val="auto"/>
              </w:rPr>
            </w:pPr>
          </w:p>
        </w:tc>
        <w:tc>
          <w:tcPr>
            <w:tcW w:w="1700" w:type="dxa"/>
            <w:vAlign w:val="bottom"/>
            <w:tcBorders>
              <w:top w:val="single" w:sz="8" w:color="auto"/>
              <w:right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3"/>
              </w:rPr>
              <w:t>Exhibit Number</w:t>
            </w:r>
          </w:p>
        </w:tc>
        <w:tc>
          <w:tcPr>
            <w:tcW w:w="20" w:type="dxa"/>
            <w:vAlign w:val="bottom"/>
            <w:tcBorders>
              <w:top w:val="single" w:sz="8" w:color="auto"/>
            </w:tcBorders>
          </w:tcPr>
          <w:p>
            <w:pPr>
              <w:spacing w:after="0"/>
              <w:rPr>
                <w:sz w:val="18"/>
                <w:szCs w:val="18"/>
                <w:color w:val="auto"/>
              </w:rPr>
            </w:pPr>
          </w:p>
        </w:tc>
        <w:tc>
          <w:tcPr>
            <w:tcW w:w="852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 of the Exhibits</w:t>
            </w: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1240" w:type="dxa"/>
            <w:vAlign w:val="bottom"/>
            <w:tcBorders>
              <w:top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60" w:type="dxa"/>
            <w:vAlign w:val="bottom"/>
            <w:tcBorders>
              <w:top w:val="single" w:sz="8" w:color="auto"/>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r>
      <w:tr>
        <w:trPr>
          <w:trHeight w:val="196"/>
        </w:trPr>
        <w:tc>
          <w:tcPr>
            <w:tcW w:w="1700" w:type="dxa"/>
            <w:vAlign w:val="bottom"/>
            <w:tcBorders>
              <w:left w:val="single" w:sz="8" w:color="auto"/>
            </w:tcBorders>
            <w:gridSpan w:val="2"/>
          </w:tcPr>
          <w:p>
            <w:pPr>
              <w:jc w:val="right"/>
              <w:ind w:right="370"/>
              <w:spacing w:after="0" w:line="196" w:lineRule="exact"/>
              <w:rPr>
                <w:sz w:val="20"/>
                <w:szCs w:val="20"/>
                <w:color w:val="auto"/>
              </w:rPr>
            </w:pPr>
            <w:r>
              <w:rPr>
                <w:rFonts w:ascii="Arial" w:cs="Arial" w:eastAsia="Arial" w:hAnsi="Arial"/>
                <w:sz w:val="18"/>
                <w:szCs w:val="18"/>
                <w:color w:val="auto"/>
              </w:rPr>
              <w:t>99.1</w:t>
            </w:r>
          </w:p>
        </w:tc>
        <w:tc>
          <w:tcPr>
            <w:tcW w:w="4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520" w:type="dxa"/>
            <w:vAlign w:val="bottom"/>
            <w:tcBorders>
              <w:right w:val="single" w:sz="8" w:color="auto"/>
            </w:tcBorders>
            <w:gridSpan w:val="3"/>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February 26, 2018</w:t>
              </w:r>
            </w:hyperlink>
          </w:p>
        </w:tc>
      </w:tr>
      <w:tr>
        <w:trPr>
          <w:trHeight w:val="156"/>
        </w:trPr>
        <w:tc>
          <w:tcPr>
            <w:tcW w:w="46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60" w:type="dxa"/>
            <w:vAlign w:val="bottom"/>
            <w:tcBorders>
              <w:top w:val="single" w:sz="8" w:color="0000FF"/>
              <w:bottom w:val="single" w:sz="8" w:color="auto"/>
            </w:tcBorders>
          </w:tcPr>
          <w:p>
            <w:pPr>
              <w:spacing w:after="0"/>
              <w:rPr>
                <w:sz w:val="13"/>
                <w:szCs w:val="13"/>
                <w:color w:val="auto"/>
              </w:rPr>
            </w:pPr>
          </w:p>
        </w:tc>
        <w:tc>
          <w:tcPr>
            <w:tcW w:w="740" w:type="dxa"/>
            <w:vAlign w:val="bottom"/>
            <w:tcBorders>
              <w:top w:val="single" w:sz="8" w:color="0000FF"/>
              <w:bottom w:val="single" w:sz="8" w:color="auto"/>
            </w:tcBorders>
          </w:tcPr>
          <w:p>
            <w:pPr>
              <w:spacing w:after="0"/>
              <w:rPr>
                <w:sz w:val="13"/>
                <w:szCs w:val="13"/>
                <w:color w:val="auto"/>
              </w:rPr>
            </w:pPr>
          </w:p>
        </w:tc>
        <w:tc>
          <w:tcPr>
            <w:tcW w:w="572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580" w:right="219" w:bottom="1440" w:gutter="0" w:footer="0" w:header="0"/>
        </w:sectPr>
      </w:pPr>
    </w:p>
    <w:bookmarkStart w:id="2" w:name="page3"/>
    <w:bookmarkEnd w:id="2"/>
    <w:p>
      <w:pPr>
        <w:spacing w:after="0" w:line="31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40640</wp:posOffset>
            </wp:positionV>
            <wp:extent cx="2872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0"/>
          <w:szCs w:val="20"/>
          <w:color w:val="auto"/>
        </w:rPr>
      </w:pPr>
    </w:p>
    <w:p>
      <w:pPr>
        <w:ind w:left="6380"/>
        <w:spacing w:after="0"/>
        <w:tabs>
          <w:tab w:leader="none" w:pos="7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Roy Pineci</w:t>
      </w:r>
    </w:p>
    <w:p>
      <w:pPr>
        <w:spacing w:after="0" w:line="63" w:lineRule="exact"/>
        <w:rPr>
          <w:sz w:val="20"/>
          <w:szCs w:val="20"/>
          <w:color w:val="auto"/>
        </w:rPr>
      </w:pPr>
    </w:p>
    <w:p>
      <w:pPr>
        <w:ind w:left="638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2018</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00"/>
          </w:cols>
          <w:pgMar w:left="240" w:top="1440" w:right="1059" w:bottom="1440" w:gutter="0" w:footer="0" w:header="0"/>
        </w:sectPr>
      </w:pPr>
    </w:p>
    <w:bookmarkStart w:id="3" w:name="page4"/>
    <w:bookmarkEnd w:id="3"/>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5380355</wp:posOffset>
            </wp:positionH>
            <wp:positionV relativeFrom="page">
              <wp:posOffset>380365</wp:posOffset>
            </wp:positionV>
            <wp:extent cx="202374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23745" cy="56578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Exhibit 99.1</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immediate release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California Resources Corporation Announces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Fourth Quarter 2017 and Year End Results</w:t>
      </w:r>
    </w:p>
    <w:p>
      <w:pPr>
        <w:spacing w:after="0" w:line="200" w:lineRule="exact"/>
        <w:rPr>
          <w:sz w:val="20"/>
          <w:szCs w:val="20"/>
          <w:color w:val="auto"/>
        </w:rPr>
      </w:pPr>
    </w:p>
    <w:p>
      <w:pPr>
        <w:spacing w:after="0" w:line="247"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22"/>
          <w:szCs w:val="22"/>
          <w:color w:val="auto"/>
        </w:rPr>
        <w:t>LOS ANGELES, February 26, 2018 – California Resources Corporation (NYSE:CRC) (the Company), an independent California-based oil and gas exploration and production company, today reported a net loss attributable to common stock (CRC net loss) of $138 million, or $3.23 per diluted share, for the fourth quarter of 2017. The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fourth quarter of 2017 was $14 million, or $0.33 per diluted share. For the full year of 2017, the CRC net loss was $266 million, or $6.26 per diluted share. The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full year of 2017 was $187 million, or $4.40 per diluted share.</w:t>
      </w:r>
    </w:p>
    <w:p>
      <w:pPr>
        <w:spacing w:after="0" w:line="6"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22"/>
          <w:szCs w:val="22"/>
          <w:color w:val="auto"/>
        </w:rPr>
        <w:t>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fourth quarter of 2017 was $222 million and $761 million for the full year of 2017. Cash provided by operating activities was $23 million for the fourth quarter of 2017 and $248 million for the full year of 2017. Capital investments for the fourth quarter of 2017 were $139 million and $371 million for the full year of 2017, of which $14 million was funded by CRC's joint venture (JV) partner Benefit Street Partners (BSP) in the fourth quarter and $96 million for the full year. For the full year of 2017, CRC was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neutral after working capital and excluding capital that was funded by BSP.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Quarterly Highlights Include:</w:t>
      </w:r>
    </w:p>
    <w:p>
      <w:pPr>
        <w:spacing w:after="0" w:line="43" w:lineRule="exact"/>
        <w:rPr>
          <w:sz w:val="20"/>
          <w:szCs w:val="20"/>
          <w:color w:val="auto"/>
        </w:rPr>
      </w:pPr>
    </w:p>
    <w:p>
      <w:pPr>
        <w:ind w:left="340" w:hanging="251"/>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Produced126,000 BOE per day</w:t>
      </w:r>
    </w:p>
    <w:p>
      <w:pPr>
        <w:spacing w:after="0" w:line="3" w:lineRule="exact"/>
        <w:rPr>
          <w:rFonts w:ascii="Arial" w:cs="Arial" w:eastAsia="Arial" w:hAnsi="Arial"/>
          <w:sz w:val="22"/>
          <w:szCs w:val="22"/>
          <w:color w:val="auto"/>
        </w:rPr>
      </w:pPr>
    </w:p>
    <w:p>
      <w:pPr>
        <w:ind w:left="340" w:hanging="251"/>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Invested capital of $139 million, of which JV partner BSP funded $14 million</w:t>
      </w:r>
    </w:p>
    <w:p>
      <w:pPr>
        <w:spacing w:after="0" w:line="3" w:lineRule="exact"/>
        <w:rPr>
          <w:rFonts w:ascii="Arial" w:cs="Arial" w:eastAsia="Arial" w:hAnsi="Arial"/>
          <w:sz w:val="22"/>
          <w:szCs w:val="22"/>
          <w:color w:val="auto"/>
        </w:rPr>
      </w:pPr>
    </w:p>
    <w:p>
      <w:pPr>
        <w:ind w:left="580" w:hanging="491"/>
        <w:spacing w:after="0" w:line="243" w:lineRule="auto"/>
        <w:tabs>
          <w:tab w:leader="none" w:pos="337" w:val="left"/>
        </w:tabs>
        <w:numPr>
          <w:ilvl w:val="0"/>
          <w:numId w:val="2"/>
        </w:numPr>
        <w:rPr>
          <w:rFonts w:ascii="Arial" w:cs="Arial" w:eastAsia="Arial" w:hAnsi="Arial"/>
          <w:sz w:val="22"/>
          <w:szCs w:val="22"/>
          <w:color w:val="auto"/>
        </w:rPr>
      </w:pPr>
      <w:r>
        <w:rPr>
          <w:rFonts w:ascii="Arial" w:cs="Arial" w:eastAsia="Arial" w:hAnsi="Arial"/>
          <w:sz w:val="22"/>
          <w:szCs w:val="22"/>
          <w:color w:val="auto"/>
        </w:rPr>
        <w:t>Drilled 37 wells with internally funded capital and 44 wells with BSP and Macquarie Infrastructure and Real Assets (MIRA) capital</w:t>
      </w:r>
    </w:p>
    <w:p>
      <w:pPr>
        <w:ind w:left="340" w:hanging="251"/>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Generated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$222 million, reflecting an adjusted EBITDAX margin</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39%</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22"/>
          <w:szCs w:val="22"/>
          <w:b w:val="1"/>
          <w:bCs w:val="1"/>
          <w:u w:val="single" w:color="auto"/>
          <w:color w:val="auto"/>
        </w:rPr>
        <w:t>Full Year Highlights Include:</w:t>
      </w:r>
    </w:p>
    <w:p>
      <w:pPr>
        <w:spacing w:after="0" w:line="43" w:lineRule="exact"/>
        <w:rPr>
          <w:sz w:val="20"/>
          <w:szCs w:val="20"/>
          <w:color w:val="auto"/>
        </w:rPr>
      </w:pPr>
    </w:p>
    <w:p>
      <w:pPr>
        <w:ind w:left="420" w:hanging="331"/>
        <w:spacing w:after="0" w:line="256" w:lineRule="auto"/>
        <w:tabs>
          <w:tab w:leader="none" w:pos="420" w:val="left"/>
        </w:tabs>
        <w:numPr>
          <w:ilvl w:val="0"/>
          <w:numId w:val="3"/>
        </w:numPr>
        <w:rPr>
          <w:rFonts w:ascii="Arial" w:cs="Arial" w:eastAsia="Arial" w:hAnsi="Arial"/>
          <w:sz w:val="22"/>
          <w:szCs w:val="22"/>
          <w:color w:val="auto"/>
        </w:rPr>
      </w:pPr>
      <w:r>
        <w:rPr>
          <w:rFonts w:ascii="Arial" w:cs="Arial" w:eastAsia="Arial" w:hAnsi="Arial"/>
          <w:sz w:val="22"/>
          <w:szCs w:val="22"/>
          <w:color w:val="auto"/>
        </w:rPr>
        <w:t>Proved reserves of 618 MMBOE, organically replacing 119% of reserves from the capital program, excluding price revisions</w:t>
      </w:r>
    </w:p>
    <w:p>
      <w:pPr>
        <w:ind w:left="420" w:hanging="331"/>
        <w:spacing w:after="0"/>
        <w:tabs>
          <w:tab w:leader="none" w:pos="420" w:val="left"/>
        </w:tabs>
        <w:numPr>
          <w:ilvl w:val="0"/>
          <w:numId w:val="3"/>
        </w:numPr>
        <w:rPr>
          <w:rFonts w:ascii="Arial" w:cs="Arial" w:eastAsia="Arial" w:hAnsi="Arial"/>
          <w:sz w:val="22"/>
          <w:szCs w:val="22"/>
          <w:color w:val="auto"/>
        </w:rPr>
      </w:pPr>
      <w:r>
        <w:rPr>
          <w:rFonts w:ascii="Arial" w:cs="Arial" w:eastAsia="Arial" w:hAnsi="Arial"/>
          <w:sz w:val="22"/>
          <w:szCs w:val="22"/>
          <w:color w:val="auto"/>
        </w:rPr>
        <w:t>Organic F&amp;D costs of $6.82 per BOE, excluding price revisions</w:t>
      </w:r>
    </w:p>
    <w:p>
      <w:pPr>
        <w:spacing w:after="0" w:line="17" w:lineRule="exact"/>
        <w:rPr>
          <w:rFonts w:ascii="Arial" w:cs="Arial" w:eastAsia="Arial" w:hAnsi="Arial"/>
          <w:sz w:val="22"/>
          <w:szCs w:val="22"/>
          <w:color w:val="auto"/>
        </w:rPr>
      </w:pPr>
    </w:p>
    <w:p>
      <w:pPr>
        <w:ind w:left="420" w:hanging="331"/>
        <w:spacing w:after="0"/>
        <w:tabs>
          <w:tab w:leader="none" w:pos="42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Invested capital of $371 million, of which JV partner BSP funded $96 million</w:t>
      </w:r>
    </w:p>
    <w:p>
      <w:pPr>
        <w:spacing w:after="0" w:line="17" w:lineRule="exact"/>
        <w:rPr>
          <w:rFonts w:ascii="Arial" w:cs="Arial" w:eastAsia="Arial" w:hAnsi="Arial"/>
          <w:sz w:val="22"/>
          <w:szCs w:val="22"/>
          <w:color w:val="auto"/>
        </w:rPr>
      </w:pPr>
    </w:p>
    <w:p>
      <w:pPr>
        <w:ind w:left="420" w:hanging="331"/>
        <w:spacing w:after="0"/>
        <w:tabs>
          <w:tab w:leader="none" w:pos="420" w:val="left"/>
        </w:tabs>
        <w:numPr>
          <w:ilvl w:val="0"/>
          <w:numId w:val="3"/>
        </w:numPr>
        <w:rPr>
          <w:rFonts w:ascii="Arial" w:cs="Arial" w:eastAsia="Arial" w:hAnsi="Arial"/>
          <w:sz w:val="22"/>
          <w:szCs w:val="22"/>
          <w:color w:val="auto"/>
        </w:rPr>
      </w:pPr>
      <w:r>
        <w:rPr>
          <w:rFonts w:ascii="Arial" w:cs="Arial" w:eastAsia="Arial" w:hAnsi="Arial"/>
          <w:sz w:val="22"/>
          <w:szCs w:val="22"/>
          <w:color w:val="auto"/>
        </w:rPr>
        <w:t>Drilled 110 wells with internally funded capital and 119 wells with BSP and MIRA funded capital</w:t>
      </w:r>
    </w:p>
    <w:p>
      <w:pPr>
        <w:spacing w:after="0" w:line="14" w:lineRule="exact"/>
        <w:rPr>
          <w:rFonts w:ascii="Arial" w:cs="Arial" w:eastAsia="Arial" w:hAnsi="Arial"/>
          <w:sz w:val="22"/>
          <w:szCs w:val="22"/>
          <w:color w:val="auto"/>
        </w:rPr>
      </w:pPr>
    </w:p>
    <w:p>
      <w:pPr>
        <w:ind w:left="420" w:hanging="331"/>
        <w:spacing w:after="0"/>
        <w:tabs>
          <w:tab w:leader="none" w:pos="420" w:val="left"/>
        </w:tabs>
        <w:numPr>
          <w:ilvl w:val="0"/>
          <w:numId w:val="3"/>
        </w:numPr>
        <w:rPr>
          <w:rFonts w:ascii="Arial" w:cs="Arial" w:eastAsia="Arial" w:hAnsi="Arial"/>
          <w:sz w:val="22"/>
          <w:szCs w:val="22"/>
          <w:color w:val="auto"/>
        </w:rPr>
      </w:pPr>
      <w:r>
        <w:rPr>
          <w:rFonts w:ascii="Arial" w:cs="Arial" w:eastAsia="Arial" w:hAnsi="Arial"/>
          <w:sz w:val="22"/>
          <w:szCs w:val="22"/>
          <w:color w:val="auto"/>
        </w:rPr>
        <w:t>Generated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$761 million, reflecting an adjusted EBITDAX margin</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36%</w:t>
      </w:r>
    </w:p>
    <w:p>
      <w:pPr>
        <w:spacing w:after="0" w:line="199" w:lineRule="exact"/>
        <w:rPr>
          <w:sz w:val="20"/>
          <w:szCs w:val="20"/>
          <w:color w:val="auto"/>
        </w:rPr>
      </w:pPr>
    </w:p>
    <w:p>
      <w:pPr>
        <w:jc w:val="both"/>
        <w:ind w:left="60" w:firstLine="2"/>
        <w:spacing w:after="0"/>
        <w:tabs>
          <w:tab w:leader="none" w:pos="164"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See Attachment 2 for explanations of how CRC calculates and uses the non–GAAP measures of adjusted EBITDAX, adjusted EBITDAX margin, PV-10, adjusted general and administrative expenses, free cash flow, production costs (excluding the effects of production sharing-type contracts (PSC)) and adjusted net loss, and for reconciliations of the foregoing to their nearest GAAP measure as applicable. VCI is calculated by dividing the net present value of the project's expected pre-tax cash flow over its life by the net present value of the related investments, each using a 10 percent discount rate.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440" w:right="239" w:bottom="1440" w:gutter="0" w:footer="0" w:header="0"/>
        </w:sectPr>
      </w:pPr>
    </w:p>
    <w:bookmarkStart w:id="4" w:name="page5"/>
    <w:bookmarkEnd w:id="4"/>
    <w:p>
      <w:pPr>
        <w:jc w:val="both"/>
        <w:ind w:left="60" w:firstLine="324"/>
        <w:spacing w:after="0" w:line="238" w:lineRule="auto"/>
        <w:rPr>
          <w:sz w:val="20"/>
          <w:szCs w:val="20"/>
          <w:color w:val="auto"/>
        </w:rPr>
      </w:pPr>
      <w:r>
        <w:rPr>
          <w:rFonts w:ascii="Arial" w:cs="Arial" w:eastAsia="Arial" w:hAnsi="Arial"/>
          <w:sz w:val="22"/>
          <w:szCs w:val="22"/>
          <w:color w:val="auto"/>
        </w:rPr>
        <w:t>Todd Stevens, CRC's President and Chief Executive Officer, said, "In 2017, we followed a strategic plan to focus on projects that offered the best value creation, to live within cash flow and to emphasize disciplined growth, and I am pleased to report that we delivered on all fronts. We replaced 119% of our production, despite a limited capital program. We leveraged our portfolio flexibility through JV partnerships to accelerate and de-risk our actionable inventory. As we have done every year since our inception, we continued to live within our cash flow, investing approximately $240 million of CRC development capital in 2017 with a VCI</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1.7 or fully-burdened returns of 30%. In addition, we took steps to meaningfully strengthen our financial position with a new credit amendment that provides a clear runway and a path to further de-lever. In 2018, we expect to build upon this solid momentum as we extend our track record of disciplined execution into a mid-cycle commodity environment and capture the significant upside that lies ahead. By remaining dedicated to our strategy centered on optimizing CRC’s world-class resources, driving operational execution and strengthening our balance sheet, we expect to deliver meaningful value creation for our shareholders in 2018 and beyond."</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2017 Results</w:t>
      </w:r>
    </w:p>
    <w:p>
      <w:pPr>
        <w:spacing w:after="0" w:line="43"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22"/>
          <w:szCs w:val="22"/>
          <w:color w:val="auto"/>
        </w:rPr>
        <w:t>For the fourth quarter of 2017, the CRC net loss was $138 million, or $3.23 per diluted share, and the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$14 million or $0.33 per diluted share. The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$116 million of non-cash derivatives losses and a net $8 million charge for other unusual and infrequent items.</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color w:val="auto"/>
        </w:rPr>
        <w:t>Total daily production volumes averaged 126,000 barrels of oil equivalent (BOE) per day for the fourth quarter of 2017. Oil volumes averaged 80,000 barrels per day, NGL volumes averaged 16,000 barrels per day and gas volumes averaged 179,000 thousand cubic feet (MCF) per day. These results reflect approximately 1,300 BOE per day of negative PSC effects due to higher realized prices in the fourth quarter compared to expected prices, as well as a 700 BOE per day quarterly impact due to the California wildfires that occurred in December 2017.</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color w:val="auto"/>
        </w:rPr>
        <w:t>Realized crude oil prices, including the effect of settled hedges, increased by $11.44 per barrel to $56.92 per barrel from the prior year comparable period. Settled hedges decreased realized crude oil prices by $2.95 per barrel. Average realized NGL prices registered $44.03 per barrel and realized natural gas prices were $2.77 per MCF.</w:t>
      </w:r>
    </w:p>
    <w:p>
      <w:pPr>
        <w:spacing w:after="0" w:line="1"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Production costs for the fourth quarter of 2017 were $227 million, or $19.64 per BOE, compared to $17.50 per BOE in the prior year comparable period. The industry practice for reporting PSCs can result in higher production costs per barrel as gross field operating costs are matched with net production. Excluding the PSC effects, per unit production costs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fourth quarter of 2017 would have been $18.31. The increase in unit based production costs was driven by an increase in energy costs, a ramp-up of downhole maintenance activity in line with stronger commodity prices and lower production volumes, but was partially offset by a more efficient use of energy. General and administrative (G&amp;A) expenses were $68 million for the fourth quarter of 2017. Adjusted general and administrative expenses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fourth quarter of 2017 were $67 million compared to $61 million in the prior year comparable period. The increase in adjusted G&amp;A expenses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a result of the timing of grants coupled with the higher costs of performance-based bonus and incentive compensation plans due to better than expected results.</w:t>
      </w:r>
    </w:p>
    <w:p>
      <w:pPr>
        <w:spacing w:after="0" w:line="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color w:val="auto"/>
        </w:rPr>
        <w:t>CRC reported taxes other than on income of $33 million and exploration expense of $5 million for the fourth quarter of 2017.</w:t>
      </w:r>
    </w:p>
    <w:p>
      <w:pPr>
        <w:spacing w:after="0" w:line="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21"/>
          <w:szCs w:val="21"/>
          <w:color w:val="auto"/>
        </w:rPr>
        <w:t>Capital investment in the fourth quarter of 2017 totaled $139 million, consisting of $125 million of internally funded capital and $14 million of BSP funded capital. Approximately $95 million was directed to drilling and capital workovers.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Cash provided by operating activities was $23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60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Full Year 2017 Results</w:t>
      </w:r>
    </w:p>
    <w:p>
      <w:pPr>
        <w:spacing w:after="0" w:line="41"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22"/>
          <w:szCs w:val="22"/>
          <w:color w:val="auto"/>
        </w:rPr>
        <w:t>For the full year of 2017, the CRC net loss was $266 million, or $6.26 per diluted share. The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$187 million, or $4.40 per diluted share, which excluded $78 million of non-cash derivative losses, $21 million of gains from asset divestitures, $4 million of net gains on early retirement of debt and a $26 million net charge from other unusual and infrequent items.</w:t>
      </w:r>
    </w:p>
    <w:p>
      <w:pPr>
        <w:spacing w:after="0" w:line="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color w:val="auto"/>
        </w:rPr>
        <w:t>Total daily production volumes averaged 129,000 BOE per day for the full year of 2017. Oil volumes averaged 83,000 barrels per day, NGL volumes averaged 16,000 barrels per day, and gas volumes averaged 182,000 MCF per day.</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color w:val="auto"/>
        </w:rPr>
        <w:t>Realized crude oil prices, including the effect of settled hedges, increased $9.23 per barrel to $51.24 per barrel from $42.01 per barrel in 2016. Settled hedges decreased 2017 realized crude oil prices by $0.23 per barrel compared with a $2.29 per barrel increase in 2016. Realized NGL prices increased 60% to $35.76 from $22.39 per barrel in 2016. Realized natural gas prices increased 17% to $2.67 per MCF compared with $2.28 per MCF in 2016.</w:t>
      </w:r>
    </w:p>
    <w:p>
      <w:pPr>
        <w:spacing w:after="0" w:line="1"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2"/>
          <w:szCs w:val="22"/>
          <w:color w:val="auto"/>
        </w:rPr>
        <w:t>Production costs for the full year of 2017 were $876 million, or $18.64 per BOE. Per unit production costs, excluding the effect of PSCs</w:t>
      </w:r>
      <w:r>
        <w:rPr>
          <w:rFonts w:ascii="Arial" w:cs="Arial" w:eastAsia="Arial" w:hAnsi="Arial"/>
          <w:sz w:val="28"/>
          <w:szCs w:val="28"/>
          <w:color w:val="auto"/>
          <w:vertAlign w:val="superscript"/>
        </w:rPr>
        <w:t>1</w:t>
      </w:r>
      <w:r>
        <w:rPr>
          <w:rFonts w:ascii="Arial" w:cs="Arial" w:eastAsia="Arial" w:hAnsi="Arial"/>
          <w:sz w:val="22"/>
          <w:szCs w:val="22"/>
          <w:color w:val="auto"/>
        </w:rPr>
        <w:t>, were $17.48 per BOE. The increase in production costs of $76 million from the prior year was driven by an increase in energy costs and a ramp-up of downhole and surface maintenance activity in line with stronger commodity prices, but were partially offset by a more efficient use of energy. While higher natural gas prices increase CRC's production costs for power and steam generation, they result in a net benefit due to higher revenue generated from natural gas sales. G&amp;A expenses were $259 million for the full year of 2017. Adjusted G&amp;A expenses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full year of 2017 were $254 million compared to $228 million in 2016. The increase in adjusted G&amp;A expenses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a result of the timing of grants coupled with the higher costs of performance-based bonus and incentive compensation plans due to better than expected results.</w:t>
      </w:r>
    </w:p>
    <w:p>
      <w:pPr>
        <w:spacing w:after="0" w:line="2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color w:val="auto"/>
        </w:rPr>
        <w:t>CRC reported taxes other than on income of $136 million and exploration expense of $22 million for the full year of 2017.</w:t>
      </w:r>
    </w:p>
    <w:p>
      <w:pPr>
        <w:spacing w:after="0" w:line="1"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22"/>
          <w:szCs w:val="22"/>
          <w:color w:val="auto"/>
        </w:rPr>
        <w:t>Capital investment in 2017 totaled $371 million, consisting of $275 million of CRC internally funded capital and $96 million of BSP funded capital. Approximately $266 million was directed to drilling and capital workovers. The Company's MIRA joint venture funded an additional $58 million of investment.</w:t>
      </w:r>
    </w:p>
    <w:p>
      <w:pPr>
        <w:spacing w:after="0" w:line="2"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22"/>
          <w:szCs w:val="22"/>
          <w:color w:val="auto"/>
        </w:rPr>
        <w:t>Cash provided by operating activities for the full year of 2017 was $248 million. The Company was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neutral after working capital and excluding capital that was funded by BSP.</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Operational Update</w:t>
      </w:r>
    </w:p>
    <w:p>
      <w:pPr>
        <w:spacing w:after="0" w:line="4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CRC operated an average of nine rigs during the fourth quarter of 2017 and drilled 81 wells, including those drilled with BSP and MIRA capital, which consisted of 75 development wells (36 steamflood, 25 waterflood, 13 primary and one unconventional) and six exploration wells (five steamflood and one primary). Most of the drilling activity was directed toward steamfloods and waterfloods, which have different production profiles and longer response times than typical conventional wells. As a result, the full production contribution is not typically experienced in the same year that the well is drilled. In the San Joaquin basin, CRC operated seven rigs and produced approximately 88 MBOE per day for the fourth quarter. The Los Angeles basin had one rig directed toward waterflood projects, and contributed 26 MBOE per day of production in the fourth quarter of 2017. The impact of the production sharing agreements in Long Beach decreased production by 1,300 BOE per day in the fourth quarter due to fewer cost-recovery barrels as a result of higher oil prices than initially expected. The Ventura basin activity included one rig focused on conventional projects and produced approximately 6,000 BOE per day for the fourth quarter. The California wildfires negatively impacted production by approximately 2,200 BOE per day in December 2017</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809" w:right="239" w:bottom="1440" w:gutter="0" w:footer="0" w:header="0"/>
        </w:sectPr>
      </w:pPr>
    </w:p>
    <w:bookmarkStart w:id="6" w:name="page7"/>
    <w:bookmarkEnd w:id="6"/>
    <w:p>
      <w:pPr>
        <w:jc w:val="both"/>
        <w:spacing w:after="0" w:line="245" w:lineRule="auto"/>
        <w:rPr>
          <w:sz w:val="20"/>
          <w:szCs w:val="20"/>
          <w:color w:val="auto"/>
        </w:rPr>
      </w:pPr>
      <w:r>
        <w:rPr>
          <w:rFonts w:ascii="Arial" w:cs="Arial" w:eastAsia="Arial" w:hAnsi="Arial"/>
          <w:sz w:val="22"/>
          <w:szCs w:val="22"/>
          <w:color w:val="auto"/>
        </w:rPr>
        <w:t>and production remained affected by approximately 1,200 BOE per day in January 2018 due to third party power and access issues related to the fires and subsequent mudslides. First quarter of 2018 production guidance reflects a 400 BOE per day reduction primarily due to these issues, a 600 BOE per day impact for PSC effects, as well as other factors. CRC had no development drilling activity in the Sacramento basin and continues to focus on oil weighted projects.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Balance Sheet Strengthening Update</w:t>
      </w:r>
    </w:p>
    <w:p>
      <w:pPr>
        <w:spacing w:after="0" w:line="4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2"/>
          <w:szCs w:val="22"/>
          <w:color w:val="auto"/>
        </w:rPr>
        <w:t>During February 2018, CRC entered into a midstream joint venture with an affiliate of Ares Management, L.P. For more details on the transaction, please see CRC's press release and Form 8-K dated February 7, 2018.</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Year-End 2017 Reserves and PV-10 Value</w:t>
      </w:r>
      <w:r>
        <w:rPr>
          <w:rFonts w:ascii="Arial" w:cs="Arial" w:eastAsia="Arial" w:hAnsi="Arial"/>
          <w:sz w:val="28"/>
          <w:szCs w:val="28"/>
          <w:b w:val="1"/>
          <w:bCs w:val="1"/>
          <w:color w:val="auto"/>
          <w:vertAlign w:val="superscript"/>
        </w:rPr>
        <w:t>1</w:t>
      </w:r>
    </w:p>
    <w:p>
      <w:pPr>
        <w:jc w:val="both"/>
        <w:ind w:firstLine="324"/>
        <w:spacing w:after="0" w:line="258" w:lineRule="auto"/>
        <w:rPr>
          <w:sz w:val="20"/>
          <w:szCs w:val="20"/>
          <w:color w:val="auto"/>
        </w:rPr>
      </w:pPr>
      <w:r>
        <w:rPr>
          <w:rFonts w:ascii="Arial" w:cs="Arial" w:eastAsia="Arial" w:hAnsi="Arial"/>
          <w:sz w:val="21"/>
          <w:szCs w:val="21"/>
          <w:color w:val="auto"/>
        </w:rPr>
        <w:t>CRC's proved reserves totaled 618 MMBOE as of the end of 2017, up from 568 MMBOE at year-end 2016. Excluding positive price revisions, the Company organically replaced 119% of proved reserves. This strong reserve replacement ratio (RRR)** was achieved with a limited, well executed capital program for the year, in addition to positive performance revisions primarily in Huntington Beach and Buena Vista Area. A total of approximately 34 MMBOE of additions were related to extensions and discoveries in several CRC fields and another 22 MMBOE was added through positive performance revisions. All-in 2017 Finding and Development (F&amp;D) costs were $3.94 per BOE in 2017, including price revisions. Organic F&amp;D costs were $6.82 per BOE in 2017, which exclude price revisions.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Summary of Changes in Proved Reserves Based on the SEC Price Deck* (Million BOE)</w:t>
      </w:r>
    </w:p>
    <w:p>
      <w:pPr>
        <w:spacing w:after="0" w:line="112" w:lineRule="exact"/>
        <w:rPr>
          <w:sz w:val="20"/>
          <w:szCs w:val="20"/>
          <w:color w:val="auto"/>
        </w:rPr>
      </w:pPr>
    </w:p>
    <w:tbl>
      <w:tblPr>
        <w:tblLayout w:type="fixed"/>
        <w:tblInd w:w="1790" w:type="dxa"/>
        <w:tblCellMar>
          <w:top w:w="0" w:type="dxa"/>
          <w:left w:w="0" w:type="dxa"/>
          <w:bottom w:w="0" w:type="dxa"/>
          <w:right w:w="0" w:type="dxa"/>
        </w:tblCellMar>
      </w:tblPr>
      <w:tr>
        <w:trPr>
          <w:trHeight w:val="288"/>
        </w:trPr>
        <w:tc>
          <w:tcPr>
            <w:tcW w:w="542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20"/>
                <w:szCs w:val="20"/>
                <w:color w:val="auto"/>
              </w:rPr>
              <w:t>Balance at December 31, 2016</w:t>
            </w:r>
          </w:p>
        </w:tc>
        <w:tc>
          <w:tcPr>
            <w:tcW w:w="166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568</w:t>
            </w:r>
          </w:p>
        </w:tc>
      </w:tr>
      <w:tr>
        <w:trPr>
          <w:trHeight w:val="446"/>
        </w:trPr>
        <w:tc>
          <w:tcPr>
            <w:tcW w:w="542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Revisions Related to Performance</w:t>
            </w:r>
          </w:p>
        </w:tc>
        <w:tc>
          <w:tcPr>
            <w:tcW w:w="1660" w:type="dxa"/>
            <w:vAlign w:val="bottom"/>
          </w:tcPr>
          <w:p>
            <w:pPr>
              <w:spacing w:after="0"/>
              <w:rPr>
                <w:sz w:val="24"/>
                <w:szCs w:val="24"/>
                <w:color w:val="auto"/>
              </w:rPr>
            </w:pPr>
          </w:p>
        </w:tc>
        <w:tc>
          <w:tcPr>
            <w:tcW w:w="80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22</w:t>
            </w:r>
          </w:p>
        </w:tc>
      </w:tr>
      <w:tr>
        <w:trPr>
          <w:trHeight w:val="270"/>
        </w:trPr>
        <w:tc>
          <w:tcPr>
            <w:tcW w:w="542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Extensions and Discoveries</w:t>
            </w:r>
          </w:p>
        </w:tc>
        <w:tc>
          <w:tcPr>
            <w:tcW w:w="1660" w:type="dxa"/>
            <w:vAlign w:val="bottom"/>
          </w:tcPr>
          <w:p>
            <w:pPr>
              <w:spacing w:after="0"/>
              <w:rPr>
                <w:sz w:val="23"/>
                <w:szCs w:val="23"/>
                <w:color w:val="auto"/>
              </w:rPr>
            </w:pPr>
          </w:p>
        </w:tc>
        <w:tc>
          <w:tcPr>
            <w:tcW w:w="80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34</w:t>
            </w:r>
          </w:p>
        </w:tc>
      </w:tr>
      <w:tr>
        <w:trPr>
          <w:trHeight w:val="270"/>
        </w:trPr>
        <w:tc>
          <w:tcPr>
            <w:tcW w:w="542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Sales</w:t>
            </w:r>
          </w:p>
        </w:tc>
        <w:tc>
          <w:tcPr>
            <w:tcW w:w="1660" w:type="dxa"/>
            <w:vAlign w:val="bottom"/>
          </w:tcPr>
          <w:p>
            <w:pPr>
              <w:spacing w:after="0"/>
              <w:rPr>
                <w:sz w:val="23"/>
                <w:szCs w:val="23"/>
                <w:color w:val="auto"/>
              </w:rPr>
            </w:pPr>
          </w:p>
        </w:tc>
        <w:tc>
          <w:tcPr>
            <w:tcW w:w="80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(8)</w:t>
            </w:r>
          </w:p>
        </w:tc>
      </w:tr>
      <w:tr>
        <w:trPr>
          <w:trHeight w:val="270"/>
        </w:trPr>
        <w:tc>
          <w:tcPr>
            <w:tcW w:w="542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Revisions Related to Price</w:t>
            </w:r>
          </w:p>
        </w:tc>
        <w:tc>
          <w:tcPr>
            <w:tcW w:w="1660" w:type="dxa"/>
            <w:vAlign w:val="bottom"/>
          </w:tcPr>
          <w:p>
            <w:pPr>
              <w:spacing w:after="0"/>
              <w:rPr>
                <w:sz w:val="23"/>
                <w:szCs w:val="23"/>
                <w:color w:val="auto"/>
              </w:rPr>
            </w:pPr>
          </w:p>
        </w:tc>
        <w:tc>
          <w:tcPr>
            <w:tcW w:w="80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49</w:t>
            </w:r>
          </w:p>
        </w:tc>
      </w:tr>
      <w:tr>
        <w:trPr>
          <w:trHeight w:val="270"/>
        </w:trPr>
        <w:tc>
          <w:tcPr>
            <w:tcW w:w="542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Production</w:t>
            </w:r>
          </w:p>
        </w:tc>
        <w:tc>
          <w:tcPr>
            <w:tcW w:w="1660" w:type="dxa"/>
            <w:vAlign w:val="bottom"/>
          </w:tcPr>
          <w:p>
            <w:pPr>
              <w:spacing w:after="0"/>
              <w:rPr>
                <w:sz w:val="23"/>
                <w:szCs w:val="23"/>
                <w:color w:val="auto"/>
              </w:rPr>
            </w:pPr>
          </w:p>
        </w:tc>
        <w:tc>
          <w:tcPr>
            <w:tcW w:w="80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(47)</w:t>
            </w:r>
          </w:p>
        </w:tc>
      </w:tr>
      <w:tr>
        <w:trPr>
          <w:trHeight w:val="462"/>
        </w:trPr>
        <w:tc>
          <w:tcPr>
            <w:tcW w:w="54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20"/>
                <w:szCs w:val="20"/>
                <w:color w:val="auto"/>
              </w:rPr>
              <w:t>Balance at December 31, 2017</w:t>
            </w:r>
          </w:p>
        </w:tc>
        <w:tc>
          <w:tcPr>
            <w:tcW w:w="16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618</w:t>
            </w:r>
          </w:p>
        </w:tc>
      </w:tr>
      <w:tr>
        <w:trPr>
          <w:trHeight w:val="237"/>
        </w:trPr>
        <w:tc>
          <w:tcPr>
            <w:tcW w:w="5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77"/>
        </w:trPr>
        <w:tc>
          <w:tcPr>
            <w:tcW w:w="54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20"/>
                <w:szCs w:val="20"/>
                <w:color w:val="auto"/>
              </w:rPr>
              <w:t>2017 Organic Finding and Development Cost**</w:t>
            </w:r>
          </w:p>
        </w:tc>
        <w:tc>
          <w:tcPr>
            <w:tcW w:w="166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6.82</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*Calculated using the first-day-of-the-month twelve-month average Brent oil price of $54.42 per barrel and NYMEX natural gas price of $2.98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 Million British Thermal Units (MMBTU), before adjustments for gravity, quality and transportation costs, in accordance with Securities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(SEC) rules and regulations.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See calculation of RRR and F&amp;D on Attachment 3.</w:t>
      </w:r>
    </w:p>
    <w:p>
      <w:pPr>
        <w:spacing w:after="0" w:line="274" w:lineRule="exact"/>
        <w:rPr>
          <w:sz w:val="20"/>
          <w:szCs w:val="20"/>
          <w:color w:val="auto"/>
        </w:rPr>
      </w:pPr>
    </w:p>
    <w:p>
      <w:pPr>
        <w:ind w:right="520"/>
        <w:spacing w:after="0" w:line="285" w:lineRule="auto"/>
        <w:rPr>
          <w:sz w:val="20"/>
          <w:szCs w:val="20"/>
          <w:color w:val="auto"/>
        </w:rPr>
      </w:pPr>
      <w:r>
        <w:rPr>
          <w:rFonts w:ascii="Arial" w:cs="Arial" w:eastAsia="Arial" w:hAnsi="Arial"/>
          <w:sz w:val="22"/>
          <w:szCs w:val="22"/>
          <w:color w:val="auto"/>
        </w:rPr>
        <w:t>The present value of CRC's proved reserves as of December 31, 2017 was approximately $4.5 billion on a pre-tax basis, discounted at 10% (PV-10</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2018 Capital Budget</w:t>
      </w:r>
    </w:p>
    <w:p>
      <w:pPr>
        <w:spacing w:after="0" w:line="4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With stronger expected cash flows, CRC estimates its 2018 capital program will range from $425 million to $450 million, which includes approximately $100 to $150 million in JV capital. CRC's 2018 capital program may grow further through the use of cash on the balance sheet, additional tranches from existing JVs as well as potential new JVs. CRC’s direct investment level will be largely directed to waterflood and steamflood investments which will drive enhanced production into 2019.</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60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Credit Facility Amendment</w:t>
      </w:r>
    </w:p>
    <w:p>
      <w:pPr>
        <w:spacing w:after="0" w:line="4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CRC entered into its seventh amendment of the 2014 Credit Facility in November 2017. This amendment received unanimous approval from all 29 lenders and financial institutions and became effective after the closing of a new $1.3 billion first lien secured term loan facility (“2017 Term Loan”). Net proceeds were used to pay the $559 million remaining balance of the 2014 Term Loan, reduce the balance of the 2014 Revolving Credit Facility and pay accrued interest. The amendment extended the maturity date of the 2014 Revolving Credit Facility to June 30, 2021 and modified some of its covenants. Subsequent to the amendment, CRC was able to eliminate the springing maturity features related to the 5% notes due January 15, 2020 and the 5 ½% notes due September 15, 2021 by buying back $65 million of principal of the 5% Notes and $35 million in principal of the 5 ½% Notes. For more details on the amendment, please see the Company's Form 8-K disclosure dated November 17, 2017.</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2"/>
          <w:szCs w:val="22"/>
          <w:color w:val="auto"/>
        </w:rPr>
        <w:t xml:space="preserve">To participate in today’s conference call scheduled for 5:00 P.M. Eastern Standard Time, either dial (877) 328-5505 (International calls please dial +1 (412) 317-5421) or access via webcast at </w:t>
      </w:r>
      <w:r>
        <w:rPr>
          <w:rFonts w:ascii="Arial" w:cs="Arial" w:eastAsia="Arial" w:hAnsi="Arial"/>
          <w:sz w:val="22"/>
          <w:szCs w:val="22"/>
          <w:color w:val="421BFF"/>
        </w:rPr>
        <w:t>www.crc.com</w:t>
      </w:r>
      <w:r>
        <w:rPr>
          <w:rFonts w:ascii="Arial" w:cs="Arial" w:eastAsia="Arial" w:hAnsi="Arial"/>
          <w:sz w:val="22"/>
          <w:szCs w:val="22"/>
          <w:color w:val="auto"/>
        </w:rPr>
        <w:t xml:space="preserve">, fifteen minutes prior to the scheduled start time to register. Participants may also pre-register for the conference call at </w:t>
      </w:r>
      <w:r>
        <w:rPr>
          <w:rFonts w:ascii="Arial" w:cs="Arial" w:eastAsia="Arial" w:hAnsi="Arial"/>
          <w:sz w:val="22"/>
          <w:szCs w:val="22"/>
          <w:color w:val="421BFF"/>
        </w:rPr>
        <w:t xml:space="preserve">http://dpregister.com/10115435. </w:t>
      </w:r>
      <w:r>
        <w:rPr>
          <w:rFonts w:ascii="Arial" w:cs="Arial" w:eastAsia="Arial" w:hAnsi="Arial"/>
          <w:sz w:val="22"/>
          <w:szCs w:val="22"/>
          <w:color w:val="000000"/>
        </w:rPr>
        <w:t>A digital replay of the conference call will be archived for approximately 30 days and</w:t>
      </w:r>
      <w:r>
        <w:rPr>
          <w:rFonts w:ascii="Arial" w:cs="Arial" w:eastAsia="Arial" w:hAnsi="Arial"/>
          <w:sz w:val="22"/>
          <w:szCs w:val="22"/>
          <w:color w:val="421BFF"/>
        </w:rPr>
        <w:t xml:space="preserve"> </w:t>
      </w:r>
      <w:r>
        <w:rPr>
          <w:rFonts w:ascii="Arial" w:cs="Arial" w:eastAsia="Arial" w:hAnsi="Arial"/>
          <w:sz w:val="22"/>
          <w:szCs w:val="22"/>
          <w:color w:val="000000"/>
        </w:rPr>
        <w:t xml:space="preserve">supplemental slides for the conference call will be available online in the Investor Relations section of </w:t>
      </w:r>
      <w:r>
        <w:rPr>
          <w:rFonts w:ascii="Arial" w:cs="Arial" w:eastAsia="Arial" w:hAnsi="Arial"/>
          <w:sz w:val="22"/>
          <w:szCs w:val="22"/>
          <w:color w:val="421BFF"/>
        </w:rPr>
        <w:t>www.crc.com.</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2"/>
          <w:szCs w:val="22"/>
          <w:color w:val="auto"/>
        </w:rPr>
        <w:t>California Resources Corporation is the largest oil and natural gas exploration and production company in California on a gross-operated basis. The Company operates its world-class resource base exclusively within the State of California, applying complementary and integrated infrastructure to gather, process and market its production. Using advanced technology, California Resources Corporation focuses on safely and responsibly supplying affordable energy for California by Californians.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4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color w:val="auto"/>
        </w:rPr>
        <w:t>This presentation contains forward-looking statements that involve risks and uncertainties that could materially affect CRC's expected results of operations, liquidity, cash flows and business prospects. Such statements include those regarding the Company's expectations as to future:</w:t>
      </w:r>
    </w:p>
    <w:p>
      <w:pPr>
        <w:spacing w:after="0" w:line="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financial position, liquidity, cash flows and results of operations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business prospects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transactions and projects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operating costs</w:t>
      </w:r>
    </w:p>
    <w:p>
      <w:pPr>
        <w:spacing w:after="0" w:line="17" w:lineRule="exact"/>
        <w:rPr>
          <w:rFonts w:ascii="Arial" w:cs="Arial" w:eastAsia="Arial" w:hAnsi="Arial"/>
          <w:sz w:val="22"/>
          <w:szCs w:val="22"/>
          <w:color w:val="auto"/>
        </w:rPr>
      </w:pPr>
    </w:p>
    <w:p>
      <w:pPr>
        <w:ind w:left="660" w:right="20" w:hanging="328"/>
        <w:spacing w:after="0" w:line="256"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operations and operational results including production, hedging, capital investment and expected value creation index (VCI)</w:t>
      </w: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budgets and maintenance capital requirements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reserves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curves</w:t>
      </w:r>
    </w:p>
    <w:p>
      <w:pPr>
        <w:spacing w:after="0" w:line="9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Actual results may differ from anticipated results, sometimes materially, and reported results should not be considered an indication of future performance. While CRC believes the assumptions or bases underlying our expectations are reasonable and make them in good faith, they almost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850" w:right="239" w:bottom="1440" w:gutter="0" w:footer="0" w:header="0"/>
        </w:sectPr>
      </w:pPr>
    </w:p>
    <w:bookmarkStart w:id="8" w:name="page9"/>
    <w:bookmarkEnd w:id="8"/>
    <w:p>
      <w:pPr>
        <w:spacing w:after="0" w:line="243" w:lineRule="auto"/>
        <w:rPr>
          <w:sz w:val="20"/>
          <w:szCs w:val="20"/>
          <w:color w:val="auto"/>
        </w:rPr>
      </w:pPr>
      <w:r>
        <w:rPr>
          <w:rFonts w:ascii="Arial" w:cs="Arial" w:eastAsia="Arial" w:hAnsi="Arial"/>
          <w:sz w:val="22"/>
          <w:szCs w:val="22"/>
          <w:color w:val="auto"/>
        </w:rPr>
        <w:t>always vary from actual results, sometimes materially. Factors (but not necessarily all the factors) that could cause results to differ include:</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commodity price changes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debt limitations on its financial flexibility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insufficient cash flow to fund planned investment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inability to enter desirable transactions including asset sales and joint ventures</w:t>
      </w:r>
    </w:p>
    <w:p>
      <w:pPr>
        <w:spacing w:after="0" w:line="3" w:lineRule="exact"/>
        <w:rPr>
          <w:rFonts w:ascii="Arial" w:cs="Arial" w:eastAsia="Arial" w:hAnsi="Arial"/>
          <w:sz w:val="22"/>
          <w:szCs w:val="22"/>
          <w:color w:val="auto"/>
        </w:rPr>
      </w:pPr>
    </w:p>
    <w:p>
      <w:pPr>
        <w:jc w:val="both"/>
        <w:ind w:left="66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unexpected geologic conditions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changes in business strategy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inability to replace reserves</w:t>
      </w:r>
    </w:p>
    <w:p>
      <w:pPr>
        <w:spacing w:after="0" w:line="3" w:lineRule="exact"/>
        <w:rPr>
          <w:rFonts w:ascii="Arial" w:cs="Arial" w:eastAsia="Arial" w:hAnsi="Arial"/>
          <w:sz w:val="22"/>
          <w:szCs w:val="22"/>
          <w:color w:val="auto"/>
        </w:rPr>
      </w:pPr>
    </w:p>
    <w:p>
      <w:pPr>
        <w:ind w:left="66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insufficient capital, including as a result of lender restrictions, unavailability of capital markets or inability to attract potential investors</w:t>
      </w: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inability to enter efficient hedges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equipment, service or labor price inflation or unavailability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availability or timing of, or conditions imposed on, permits and approvals</w:t>
      </w:r>
    </w:p>
    <w:p>
      <w:pPr>
        <w:spacing w:after="0" w:line="3" w:lineRule="exact"/>
        <w:rPr>
          <w:rFonts w:ascii="Arial" w:cs="Arial" w:eastAsia="Arial" w:hAnsi="Arial"/>
          <w:sz w:val="22"/>
          <w:szCs w:val="22"/>
          <w:color w:val="auto"/>
        </w:rPr>
      </w:pPr>
    </w:p>
    <w:p>
      <w:pPr>
        <w:ind w:left="66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lower-than-expected production, reserves or resources from development projects or acquisitions or higher-than-expected decline rates</w:t>
      </w:r>
    </w:p>
    <w:p>
      <w:pPr>
        <w:ind w:left="66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disruptions due to accidents, mechanical failures, transportation or storage constraints, natural disasters, labor difficulties, cyber attacks or other catastrophic events</w:t>
      </w:r>
    </w:p>
    <w:p>
      <w:pPr>
        <w:ind w:left="660" w:hanging="328"/>
        <w:spacing w:after="0" w:line="249"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factors discussed in “Risk Factors” in CRC's Annual Report on Form 10-K available on its website at www.crc.com.</w:t>
      </w:r>
    </w:p>
    <w:p>
      <w:pPr>
        <w:spacing w:after="0" w:line="6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gridSpan w:val="4"/>
          </w:tcPr>
          <w:p>
            <w:pPr>
              <w:spacing w:after="0"/>
              <w:rPr>
                <w:sz w:val="20"/>
                <w:szCs w:val="20"/>
                <w:color w:val="auto"/>
              </w:rPr>
            </w:pPr>
            <w:r>
              <w:rPr>
                <w:rFonts w:ascii="Arial" w:cs="Arial" w:eastAsia="Arial" w:hAnsi="Arial"/>
                <w:sz w:val="22"/>
                <w:szCs w:val="22"/>
                <w:b w:val="1"/>
                <w:bCs w:val="1"/>
                <w:color w:val="auto"/>
              </w:rPr>
              <w:t>Contacts:</w:t>
            </w:r>
          </w:p>
        </w:tc>
        <w:tc>
          <w:tcPr>
            <w:tcW w:w="110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676"/>
        </w:trPr>
        <w:tc>
          <w:tcPr>
            <w:tcW w:w="4580" w:type="dxa"/>
            <w:vAlign w:val="bottom"/>
            <w:gridSpan w:val="4"/>
          </w:tcPr>
          <w:p>
            <w:pPr>
              <w:ind w:left="40"/>
              <w:spacing w:after="0"/>
              <w:rPr>
                <w:sz w:val="20"/>
                <w:szCs w:val="20"/>
                <w:color w:val="auto"/>
              </w:rPr>
            </w:pPr>
            <w:r>
              <w:rPr>
                <w:rFonts w:ascii="Arial" w:cs="Arial" w:eastAsia="Arial" w:hAnsi="Arial"/>
                <w:sz w:val="22"/>
                <w:szCs w:val="22"/>
                <w:color w:val="auto"/>
              </w:rPr>
              <w:t>Scott Espenshade (Investor Relations)</w:t>
            </w:r>
          </w:p>
        </w:tc>
        <w:tc>
          <w:tcPr>
            <w:tcW w:w="3880" w:type="dxa"/>
            <w:vAlign w:val="bottom"/>
            <w:gridSpan w:val="2"/>
          </w:tcPr>
          <w:p>
            <w:pPr>
              <w:ind w:left="1100"/>
              <w:spacing w:after="0"/>
              <w:rPr>
                <w:sz w:val="20"/>
                <w:szCs w:val="20"/>
                <w:color w:val="auto"/>
              </w:rPr>
            </w:pPr>
            <w:r>
              <w:rPr>
                <w:rFonts w:ascii="Arial" w:cs="Arial" w:eastAsia="Arial" w:hAnsi="Arial"/>
                <w:sz w:val="22"/>
                <w:szCs w:val="22"/>
                <w:color w:val="auto"/>
              </w:rPr>
              <w:t>Margita Thompson (Media)</w:t>
            </w:r>
          </w:p>
        </w:tc>
      </w:tr>
      <w:tr>
        <w:trPr>
          <w:trHeight w:val="243"/>
        </w:trPr>
        <w:tc>
          <w:tcPr>
            <w:tcW w:w="27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818-661-6010</w:t>
            </w:r>
          </w:p>
        </w:tc>
        <w:tc>
          <w:tcPr>
            <w:tcW w:w="1820" w:type="dxa"/>
            <w:vAlign w:val="bottom"/>
          </w:tcPr>
          <w:p>
            <w:pPr>
              <w:spacing w:after="0"/>
              <w:rPr>
                <w:sz w:val="21"/>
                <w:szCs w:val="21"/>
                <w:color w:val="auto"/>
              </w:rPr>
            </w:pPr>
          </w:p>
        </w:tc>
        <w:tc>
          <w:tcPr>
            <w:tcW w:w="3880" w:type="dxa"/>
            <w:vAlign w:val="bottom"/>
            <w:gridSpan w:val="2"/>
          </w:tcPr>
          <w:p>
            <w:pPr>
              <w:ind w:left="1100"/>
              <w:spacing w:after="0" w:line="243" w:lineRule="exact"/>
              <w:rPr>
                <w:sz w:val="20"/>
                <w:szCs w:val="20"/>
                <w:color w:val="auto"/>
              </w:rPr>
            </w:pPr>
            <w:r>
              <w:rPr>
                <w:rFonts w:ascii="Arial" w:cs="Arial" w:eastAsia="Arial" w:hAnsi="Arial"/>
                <w:sz w:val="22"/>
                <w:szCs w:val="22"/>
                <w:color w:val="auto"/>
              </w:rPr>
              <w:t>818-661-6005</w:t>
            </w:r>
          </w:p>
        </w:tc>
      </w:tr>
      <w:tr>
        <w:trPr>
          <w:trHeight w:val="209"/>
        </w:trPr>
        <w:tc>
          <w:tcPr>
            <w:tcW w:w="4580" w:type="dxa"/>
            <w:vAlign w:val="bottom"/>
            <w:gridSpan w:val="4"/>
          </w:tcPr>
          <w:p>
            <w:pPr>
              <w:ind w:left="40"/>
              <w:spacing w:after="0" w:line="209" w:lineRule="exact"/>
              <w:rPr>
                <w:sz w:val="20"/>
                <w:szCs w:val="20"/>
                <w:color w:val="auto"/>
              </w:rPr>
            </w:pPr>
            <w:r>
              <w:rPr>
                <w:rFonts w:ascii="Arial" w:cs="Arial" w:eastAsia="Arial" w:hAnsi="Arial"/>
                <w:sz w:val="22"/>
                <w:szCs w:val="22"/>
                <w:color w:val="421BFF"/>
              </w:rPr>
              <w:t>Scott.Espenshade@crc.com</w:t>
            </w:r>
          </w:p>
        </w:tc>
        <w:tc>
          <w:tcPr>
            <w:tcW w:w="3880" w:type="dxa"/>
            <w:vAlign w:val="bottom"/>
            <w:gridSpan w:val="2"/>
          </w:tcPr>
          <w:p>
            <w:pPr>
              <w:ind w:left="1100"/>
              <w:spacing w:after="0" w:line="209" w:lineRule="exact"/>
              <w:rPr>
                <w:sz w:val="20"/>
                <w:szCs w:val="20"/>
                <w:color w:val="auto"/>
              </w:rPr>
            </w:pPr>
            <w:r>
              <w:rPr>
                <w:rFonts w:ascii="Arial" w:cs="Arial" w:eastAsia="Arial" w:hAnsi="Arial"/>
                <w:sz w:val="22"/>
                <w:szCs w:val="22"/>
                <w:color w:val="421BFF"/>
                <w:w w:val="97"/>
              </w:rPr>
              <w:t>Margita.Thompson@crc.com</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760" w:type="dxa"/>
            <w:vAlign w:val="bottom"/>
            <w:shd w:val="clear" w:color="auto" w:fill="421B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80" w:type="dxa"/>
            <w:vAlign w:val="bottom"/>
            <w:shd w:val="clear" w:color="auto" w:fill="421BFF"/>
          </w:tcPr>
          <w:p>
            <w:pPr>
              <w:spacing w:after="0" w:line="20" w:lineRule="exact"/>
              <w:rPr>
                <w:sz w:val="1"/>
                <w:szCs w:val="1"/>
                <w:color w:val="auto"/>
              </w:rPr>
            </w:pPr>
          </w:p>
        </w:tc>
      </w:tr>
      <w:tr>
        <w:trPr>
          <w:trHeight w:val="507"/>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80" w:type="dxa"/>
            <w:vAlign w:val="bottom"/>
            <w:gridSpan w:val="2"/>
          </w:tcPr>
          <w:p>
            <w:pPr>
              <w:ind w:left="840"/>
              <w:spacing w:after="0"/>
              <w:rPr>
                <w:sz w:val="20"/>
                <w:szCs w:val="20"/>
                <w:color w:val="auto"/>
              </w:rPr>
            </w:pPr>
            <w:r>
              <w:rPr>
                <w:rFonts w:ascii="Arial" w:cs="Arial" w:eastAsia="Arial" w:hAnsi="Arial"/>
                <w:sz w:val="18"/>
                <w:szCs w:val="18"/>
                <w:color w:val="auto"/>
              </w:rPr>
              <w:t>Page 6</w:t>
            </w:r>
          </w:p>
        </w:tc>
      </w:tr>
    </w:tbl>
    <w:p>
      <w:pPr>
        <w:sectPr>
          <w:pgSz w:w="11900" w:h="16838" w:orient="portrait"/>
          <w:cols w:equalWidth="0" w:num="1">
            <w:col w:w="11420"/>
          </w:cols>
          <w:pgMar w:left="240" w:top="687"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Attachment 1</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5120" w:type="dxa"/>
            <w:vAlign w:val="bottom"/>
            <w:gridSpan w:val="5"/>
          </w:tcPr>
          <w:p>
            <w:pPr>
              <w:spacing w:after="0"/>
              <w:rPr>
                <w:sz w:val="20"/>
                <w:szCs w:val="20"/>
                <w:color w:val="auto"/>
              </w:rPr>
            </w:pPr>
            <w:r>
              <w:rPr>
                <w:rFonts w:ascii="Arial" w:cs="Arial" w:eastAsia="Arial" w:hAnsi="Arial"/>
                <w:sz w:val="14"/>
                <w:szCs w:val="14"/>
                <w:b w:val="1"/>
                <w:bCs w:val="1"/>
                <w:color w:val="auto"/>
              </w:rPr>
              <w:t>SUMMARY OF RESULTS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3"/>
          </w:tcPr>
          <w:p>
            <w:pPr>
              <w:jc w:val="right"/>
              <w:ind w:right="8"/>
              <w:spacing w:after="0"/>
              <w:rPr>
                <w:sz w:val="20"/>
                <w:szCs w:val="20"/>
                <w:color w:val="auto"/>
              </w:rPr>
            </w:pPr>
            <w:r>
              <w:rPr>
                <w:rFonts w:ascii="Arial" w:cs="Arial" w:eastAsia="Arial" w:hAnsi="Arial"/>
                <w:sz w:val="14"/>
                <w:szCs w:val="14"/>
                <w:color w:val="auto"/>
              </w:rPr>
              <w:t>Fourth Quarter</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ind w:left="460"/>
              <w:spacing w:after="0"/>
              <w:rPr>
                <w:sz w:val="20"/>
                <w:szCs w:val="20"/>
                <w:color w:val="auto"/>
              </w:rPr>
            </w:pPr>
            <w:r>
              <w:rPr>
                <w:rFonts w:ascii="Arial" w:cs="Arial" w:eastAsia="Arial" w:hAnsi="Arial"/>
                <w:sz w:val="14"/>
                <w:szCs w:val="14"/>
                <w:color w:val="auto"/>
              </w:rPr>
              <w:t>Twelve Months</w:t>
            </w:r>
          </w:p>
        </w:tc>
      </w:tr>
      <w:tr>
        <w:trPr>
          <w:trHeight w:val="264"/>
        </w:trPr>
        <w:tc>
          <w:tcPr>
            <w:tcW w:w="40" w:type="dxa"/>
            <w:vAlign w:val="bottom"/>
            <w:tcBorders>
              <w:bottom w:val="single" w:sz="8" w:color="auto"/>
            </w:tcBorders>
          </w:tcPr>
          <w:p>
            <w:pPr>
              <w:spacing w:after="0"/>
              <w:rPr>
                <w:sz w:val="22"/>
                <w:szCs w:val="22"/>
                <w:color w:val="auto"/>
              </w:rPr>
            </w:pPr>
          </w:p>
        </w:tc>
        <w:tc>
          <w:tcPr>
            <w:tcW w:w="500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 and shares in millions, except per share amounts)</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color w:val="auto"/>
              </w:rPr>
              <w:t>2016</w:t>
            </w:r>
          </w:p>
        </w:tc>
        <w:tc>
          <w:tcPr>
            <w:tcW w:w="5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22"/>
                <w:szCs w:val="22"/>
                <w:color w:val="auto"/>
              </w:rPr>
            </w:pPr>
          </w:p>
        </w:tc>
      </w:tr>
      <w:tr>
        <w:trPr>
          <w:trHeight w:val="391"/>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b w:val="1"/>
                <w:bCs w:val="1"/>
                <w:color w:val="auto"/>
              </w:rPr>
              <w:t>Statement of Operations Data:</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206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Revenues and Other</w:t>
            </w:r>
          </w:p>
        </w:tc>
        <w:tc>
          <w:tcPr>
            <w:tcW w:w="30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Oil and gas net sales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549</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464</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1,936</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1,621</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Net derivative losses</w:t>
            </w:r>
          </w:p>
        </w:tc>
        <w:tc>
          <w:tcPr>
            <w:tcW w:w="18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(141)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(206)</w:t>
            </w:r>
          </w:p>
        </w:tc>
        <w:tc>
          <w:tcPr>
            <w:tcW w:w="34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w:t>
            </w:r>
          </w:p>
        </w:tc>
        <w:tc>
          <w:tcPr>
            <w:tcW w:w="34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5120" w:type="dxa"/>
            <w:vAlign w:val="bottom"/>
            <w:gridSpan w:val="5"/>
          </w:tcPr>
          <w:p>
            <w:pPr>
              <w:ind w:left="80"/>
              <w:spacing w:after="0"/>
              <w:rPr>
                <w:sz w:val="20"/>
                <w:szCs w:val="20"/>
                <w:color w:val="auto"/>
              </w:rPr>
            </w:pPr>
            <w:r>
              <w:rPr>
                <w:rFonts w:ascii="Arial" w:cs="Arial" w:eastAsia="Arial" w:hAnsi="Arial"/>
                <w:sz w:val="14"/>
                <w:szCs w:val="14"/>
                <w:color w:val="auto"/>
              </w:rPr>
              <w:t>Total revenues and other</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455</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w:t>
            </w:r>
          </w:p>
        </w:tc>
        <w:tc>
          <w:tcPr>
            <w:tcW w:w="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1,547</w:t>
            </w:r>
          </w:p>
        </w:tc>
        <w:tc>
          <w:tcPr>
            <w:tcW w:w="340" w:type="dxa"/>
            <w:vAlign w:val="bottom"/>
          </w:tcPr>
          <w:p>
            <w:pPr>
              <w:spacing w:after="0"/>
              <w:rPr>
                <w:sz w:val="21"/>
                <w:szCs w:val="21"/>
                <w:color w:val="auto"/>
              </w:rPr>
            </w:pPr>
          </w:p>
        </w:tc>
      </w:tr>
      <w:tr>
        <w:trPr>
          <w:trHeight w:val="420"/>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b w:val="1"/>
                <w:bCs w:val="1"/>
                <w:color w:val="auto"/>
              </w:rPr>
              <w:t>Costs and Other</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Production costs</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227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876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800</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248</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132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544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559</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Taxes other than on income</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Other expenses, net</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c>
          <w:tcPr>
            <w:tcW w:w="34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5120" w:type="dxa"/>
            <w:vAlign w:val="bottom"/>
            <w:gridSpan w:val="5"/>
          </w:tcPr>
          <w:p>
            <w:pPr>
              <w:ind w:left="80"/>
              <w:spacing w:after="0"/>
              <w:rPr>
                <w:sz w:val="20"/>
                <w:szCs w:val="20"/>
                <w:color w:val="auto"/>
              </w:rPr>
            </w:pPr>
            <w:r>
              <w:rPr>
                <w:rFonts w:ascii="Arial" w:cs="Arial" w:eastAsia="Arial" w:hAnsi="Arial"/>
                <w:sz w:val="14"/>
                <w:szCs w:val="14"/>
                <w:color w:val="auto"/>
              </w:rPr>
              <w:t>Total costs and other</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495</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w:t>
            </w:r>
          </w:p>
        </w:tc>
        <w:tc>
          <w:tcPr>
            <w:tcW w:w="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1,943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1,853</w:t>
            </w:r>
          </w:p>
        </w:tc>
        <w:tc>
          <w:tcPr>
            <w:tcW w:w="340" w:type="dxa"/>
            <w:vAlign w:val="bottom"/>
          </w:tcPr>
          <w:p>
            <w:pPr>
              <w:spacing w:after="0"/>
              <w:rPr>
                <w:sz w:val="21"/>
                <w:szCs w:val="21"/>
                <w:color w:val="auto"/>
              </w:rPr>
            </w:pPr>
          </w:p>
        </w:tc>
      </w:tr>
      <w:tr>
        <w:trPr>
          <w:trHeight w:val="433"/>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b w:val="1"/>
                <w:bCs w:val="1"/>
                <w:color w:val="auto"/>
              </w:rPr>
              <w:t>Operating (Loss) Income</w:t>
            </w:r>
          </w:p>
        </w:tc>
        <w:tc>
          <w:tcPr>
            <w:tcW w:w="18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(306)</w:t>
            </w:r>
          </w:p>
        </w:tc>
        <w:tc>
          <w:tcPr>
            <w:tcW w:w="340" w:type="dxa"/>
            <w:vAlign w:val="bottom"/>
          </w:tcPr>
          <w:p>
            <w:pPr>
              <w:spacing w:after="0"/>
              <w:rPr>
                <w:sz w:val="24"/>
                <w:szCs w:val="24"/>
                <w:color w:val="auto"/>
              </w:rPr>
            </w:pPr>
          </w:p>
        </w:tc>
      </w:tr>
      <w:tr>
        <w:trPr>
          <w:trHeight w:val="405"/>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b w:val="1"/>
                <w:bCs w:val="1"/>
                <w:color w:val="auto"/>
              </w:rPr>
              <w:t>Non-Operating (Loss) Income</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Interest and debt expense, net</w:t>
            </w:r>
          </w:p>
        </w:tc>
        <w:tc>
          <w:tcPr>
            <w:tcW w:w="18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(91)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(328)</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Net gains on early extinguishment of debt</w:t>
            </w:r>
          </w:p>
        </w:tc>
        <w:tc>
          <w:tcPr>
            <w:tcW w:w="1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805</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(Losses) gains on asset divestitures</w:t>
            </w:r>
          </w:p>
        </w:tc>
        <w:tc>
          <w:tcPr>
            <w:tcW w:w="1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34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Other non-operating expense</w:t>
            </w:r>
          </w:p>
        </w:tc>
        <w:tc>
          <w:tcPr>
            <w:tcW w:w="18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379"/>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b w:val="1"/>
                <w:bCs w:val="1"/>
                <w:color w:val="auto"/>
              </w:rPr>
              <w:t>(Loss) Income Before Income Taxes</w:t>
            </w: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(135)</w:t>
            </w: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(262)</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201</w:t>
            </w:r>
          </w:p>
        </w:tc>
        <w:tc>
          <w:tcPr>
            <w:tcW w:w="340" w:type="dxa"/>
            <w:vAlign w:val="bottom"/>
          </w:tcPr>
          <w:p>
            <w:pPr>
              <w:spacing w:after="0"/>
              <w:rPr>
                <w:sz w:val="24"/>
                <w:szCs w:val="24"/>
                <w:color w:val="auto"/>
              </w:rPr>
            </w:pPr>
          </w:p>
        </w:tc>
      </w:tr>
      <w:tr>
        <w:trPr>
          <w:trHeight w:val="276"/>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Income tax benefit</w:t>
            </w:r>
          </w:p>
        </w:tc>
        <w:tc>
          <w:tcPr>
            <w:tcW w:w="18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340" w:type="dxa"/>
            <w:vAlign w:val="bottom"/>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5120" w:type="dxa"/>
            <w:vAlign w:val="bottom"/>
            <w:gridSpan w:val="5"/>
          </w:tcPr>
          <w:p>
            <w:pPr>
              <w:spacing w:after="0"/>
              <w:rPr>
                <w:sz w:val="20"/>
                <w:szCs w:val="20"/>
                <w:color w:val="auto"/>
              </w:rPr>
            </w:pPr>
            <w:r>
              <w:rPr>
                <w:rFonts w:ascii="Arial" w:cs="Arial" w:eastAsia="Arial" w:hAnsi="Arial"/>
                <w:sz w:val="14"/>
                <w:szCs w:val="14"/>
                <w:b w:val="1"/>
                <w:bCs w:val="1"/>
                <w:color w:val="auto"/>
              </w:rPr>
              <w:t>Net (Loss) Income</w:t>
            </w: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(135)</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5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(262)</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279</w:t>
            </w:r>
          </w:p>
        </w:tc>
        <w:tc>
          <w:tcPr>
            <w:tcW w:w="34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Net income attributable to noncontrolling interest</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120" w:type="dxa"/>
            <w:vAlign w:val="bottom"/>
            <w:gridSpan w:val="5"/>
          </w:tcPr>
          <w:p>
            <w:pPr>
              <w:spacing w:after="0"/>
              <w:rPr>
                <w:sz w:val="20"/>
                <w:szCs w:val="20"/>
                <w:color w:val="auto"/>
              </w:rPr>
            </w:pPr>
            <w:r>
              <w:rPr>
                <w:rFonts w:ascii="Arial" w:cs="Arial" w:eastAsia="Arial" w:hAnsi="Arial"/>
                <w:sz w:val="14"/>
                <w:szCs w:val="14"/>
                <w:b w:val="1"/>
                <w:bCs w:val="1"/>
                <w:color w:val="auto"/>
              </w:rPr>
              <w:t>Net (Loss) Income Attributable to Common Stock</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(77)</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(266)</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3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01"/>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Net (loss) income attributable to common stock per share - basic and diluted</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(3.23)</w:t>
            </w:r>
          </w:p>
        </w:tc>
        <w:tc>
          <w:tcPr>
            <w:tcW w:w="12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(1.83)</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(6.26)</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6.76</w:t>
            </w:r>
          </w:p>
        </w:tc>
        <w:tc>
          <w:tcPr>
            <w:tcW w:w="34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Adjusted net loss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(74)</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(187)</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(317)</w:t>
            </w:r>
          </w:p>
        </w:tc>
        <w:tc>
          <w:tcPr>
            <w:tcW w:w="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Adjusted net loss per diluted share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(0.33)</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(1.76)</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(4.40)</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(7.85)</w:t>
            </w:r>
          </w:p>
        </w:tc>
        <w:tc>
          <w:tcPr>
            <w:tcW w:w="340" w:type="dxa"/>
            <w:vAlign w:val="bottom"/>
          </w:tcPr>
          <w:p>
            <w:pPr>
              <w:spacing w:after="0"/>
              <w:rPr>
                <w:sz w:val="23"/>
                <w:szCs w:val="23"/>
                <w:color w:val="auto"/>
              </w:rPr>
            </w:pPr>
          </w:p>
        </w:tc>
      </w:tr>
      <w:tr>
        <w:trPr>
          <w:trHeight w:val="446"/>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Weighted-average common shares outstanding - diluted</w:t>
            </w:r>
          </w:p>
        </w:tc>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42.7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42.1</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340" w:type="dxa"/>
            <w:vAlign w:val="bottom"/>
          </w:tcPr>
          <w:p>
            <w:pPr>
              <w:spacing w:after="0"/>
              <w:rPr>
                <w:sz w:val="24"/>
                <w:szCs w:val="24"/>
                <w:color w:val="auto"/>
              </w:rPr>
            </w:pPr>
          </w:p>
        </w:tc>
      </w:tr>
      <w:tr>
        <w:trPr>
          <w:trHeight w:val="446"/>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Adjusted EBITDAX</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222</w:t>
            </w:r>
          </w:p>
        </w:tc>
        <w:tc>
          <w:tcPr>
            <w:tcW w:w="12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761</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616</w:t>
            </w:r>
          </w:p>
        </w:tc>
        <w:tc>
          <w:tcPr>
            <w:tcW w:w="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Effective tax rate</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340" w:type="dxa"/>
            <w:vAlign w:val="bottom"/>
          </w:tcPr>
          <w:p>
            <w:pPr>
              <w:spacing w:after="0"/>
              <w:rPr>
                <w:sz w:val="23"/>
                <w:szCs w:val="23"/>
                <w:color w:val="auto"/>
              </w:rPr>
            </w:pPr>
          </w:p>
        </w:tc>
      </w:tr>
      <w:tr>
        <w:trPr>
          <w:trHeight w:val="471"/>
        </w:trPr>
        <w:tc>
          <w:tcPr>
            <w:tcW w:w="4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Cash Flow Data:</w:t>
            </w:r>
          </w:p>
        </w:tc>
        <w:tc>
          <w:tcPr>
            <w:tcW w:w="40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Net cash provided (used) by operating activities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248</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(313)</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Net cash provided (used) by financing activities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108</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(69)</w:t>
            </w:r>
          </w:p>
        </w:tc>
        <w:tc>
          <w:tcPr>
            <w:tcW w:w="340" w:type="dxa"/>
            <w:vAlign w:val="bottom"/>
          </w:tcPr>
          <w:p>
            <w:pPr>
              <w:spacing w:after="0"/>
              <w:rPr>
                <w:sz w:val="23"/>
                <w:szCs w:val="23"/>
                <w:color w:val="auto"/>
              </w:rPr>
            </w:pPr>
          </w:p>
        </w:tc>
      </w:tr>
      <w:tr>
        <w:trPr>
          <w:trHeight w:val="458"/>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b w:val="1"/>
                <w:bCs w:val="1"/>
                <w:color w:val="auto"/>
              </w:rPr>
              <w:t>Balance Sheet Data:</w:t>
            </w:r>
          </w:p>
        </w:tc>
        <w:tc>
          <w:tcPr>
            <w:tcW w:w="18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2"/>
          </w:tcPr>
          <w:p>
            <w:pPr>
              <w:jc w:val="right"/>
              <w:ind w:right="168"/>
              <w:spacing w:after="0"/>
              <w:rPr>
                <w:sz w:val="20"/>
                <w:szCs w:val="20"/>
                <w:color w:val="auto"/>
              </w:rPr>
            </w:pPr>
            <w:r>
              <w:rPr>
                <w:rFonts w:ascii="Arial" w:cs="Arial" w:eastAsia="Arial" w:hAnsi="Arial"/>
                <w:sz w:val="14"/>
                <w:szCs w:val="14"/>
                <w:color w:val="auto"/>
              </w:rPr>
              <w:t>December 31,</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2016</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483</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Total property, plant and equipment, net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5,696</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5,885</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Current maturities of long-term debt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Other current liabilities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732</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626</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Long-term debt, principal amount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5,306</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5,168</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Total equity</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(720)</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(557)</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554"/>
        </w:trPr>
        <w:tc>
          <w:tcPr>
            <w:tcW w:w="40" w:type="dxa"/>
            <w:vAlign w:val="bottom"/>
          </w:tcPr>
          <w:p>
            <w:pPr>
              <w:spacing w:after="0"/>
              <w:rPr>
                <w:sz w:val="24"/>
                <w:szCs w:val="24"/>
                <w:color w:val="auto"/>
              </w:rPr>
            </w:pPr>
          </w:p>
        </w:tc>
        <w:tc>
          <w:tcPr>
            <w:tcW w:w="5120" w:type="dxa"/>
            <w:vAlign w:val="bottom"/>
            <w:gridSpan w:val="5"/>
          </w:tcPr>
          <w:p>
            <w:pPr>
              <w:spacing w:after="0"/>
              <w:rPr>
                <w:sz w:val="20"/>
                <w:szCs w:val="20"/>
                <w:color w:val="auto"/>
              </w:rPr>
            </w:pPr>
            <w:r>
              <w:rPr>
                <w:rFonts w:ascii="Arial" w:cs="Arial" w:eastAsia="Arial" w:hAnsi="Arial"/>
                <w:sz w:val="14"/>
                <w:szCs w:val="14"/>
                <w:color w:val="auto"/>
              </w:rPr>
              <w:t>Outstanding shares as of</w:t>
            </w:r>
          </w:p>
        </w:tc>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42.9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0" w:gutter="0" w:footer="0" w:header="0"/>
        </w:sectPr>
      </w:pP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747" w:right="239" w:bottom="0" w:gutter="0" w:footer="0" w:header="0"/>
          <w:type w:val="continuous"/>
        </w:sectPr>
      </w:pPr>
    </w:p>
    <w:bookmarkStart w:id="10" w:name="page11"/>
    <w:bookmarkEnd w:id="10"/>
    <w:p>
      <w:pPr>
        <w:ind w:left="10480"/>
        <w:spacing w:after="0"/>
        <w:rPr>
          <w:sz w:val="20"/>
          <w:szCs w:val="20"/>
          <w:color w:val="auto"/>
        </w:rPr>
      </w:pPr>
      <w:r>
        <w:rPr>
          <w:rFonts w:ascii="Arial" w:cs="Arial" w:eastAsia="Arial" w:hAnsi="Arial"/>
          <w:sz w:val="14"/>
          <w:szCs w:val="14"/>
          <w:b w:val="1"/>
          <w:bCs w:val="1"/>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195" w:lineRule="exact"/>
        <w:rPr>
          <w:sz w:val="20"/>
          <w:szCs w:val="20"/>
          <w:color w:val="auto"/>
        </w:rPr>
      </w:pPr>
    </w:p>
    <w:p>
      <w:pPr>
        <w:ind w:left="40" w:right="60"/>
        <w:spacing w:after="0" w:line="244" w:lineRule="auto"/>
        <w:rPr>
          <w:sz w:val="20"/>
          <w:szCs w:val="20"/>
          <w:color w:val="auto"/>
        </w:rPr>
      </w:pPr>
      <w:r>
        <w:rPr>
          <w:rFonts w:ascii="Arial" w:cs="Arial" w:eastAsia="Arial" w:hAnsi="Arial"/>
          <w:sz w:val="14"/>
          <w:szCs w:val="14"/>
          <w:color w:val="auto"/>
        </w:rPr>
        <w:t>Our results of operations can include the effects of unusual, out-of-period and infrequent transactions and events affecting earnings that vary widely and unpredictably in nature, timing, amount and frequency. Therefore, management uses measures called adjusted net income (loss) and adjusted general and administrative expenses, both which exclude those items. These measures are not meant to disassociate items from management's performance, but rather are meant to provide useful information to investors interested in comparing our performance between periods. Reported earnings are considered representative of management's performance over the long term. Adjusted net income (loss) and adjusted general and administrative expenses are not considered to be alternatives to net income (loss) or general and administrative expenses, respectively, reported in accordance with U.S. generally accepted accounting principles (GAAP).</w:t>
      </w:r>
    </w:p>
    <w:p>
      <w:pPr>
        <w:spacing w:after="0" w:line="152" w:lineRule="exact"/>
        <w:rPr>
          <w:sz w:val="20"/>
          <w:szCs w:val="20"/>
          <w:color w:val="auto"/>
        </w:rPr>
      </w:pPr>
    </w:p>
    <w:p>
      <w:pPr>
        <w:ind w:left="40" w:right="120"/>
        <w:spacing w:after="0" w:line="244"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out-of-period and infrequent items and other non-cash items. We believe adjusted EBITDAX provides useful information in assessing our financial condition, results of operations and cash flows and is widely used by the industry, the investment community and our lenders. While adjusted EBITDAX is a non-GAAP measure, the amounts included in the calculation of adjusted EBITDAX were computed in accordance with GAAP. This measure is a material component of certain of our financial covenants under our 2014 revolving credit facility and is provided in addition to, and not as an alternative for, income and liquidity measures calculated in accordance with GAAP. Certain items excluded from adjusted EBITDAX are significant components in understanding and assessing our financial performance, such as our cost of capital and tax structure, as well as the historic cost of depreciable and depletable assets. Adjusted EBITDAX should be read in conjunction with the information contained in our financial statements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NET LOSS</w:t>
      </w:r>
    </w:p>
    <w:p>
      <w:pPr>
        <w:spacing w:after="0" w:line="73" w:lineRule="exact"/>
        <w:rPr>
          <w:sz w:val="20"/>
          <w:szCs w:val="20"/>
          <w:color w:val="auto"/>
        </w:rPr>
      </w:pPr>
    </w:p>
    <w:p>
      <w:pPr>
        <w:ind w:left="40" w:right="120"/>
        <w:spacing w:after="0" w:line="258" w:lineRule="auto"/>
        <w:rPr>
          <w:sz w:val="20"/>
          <w:szCs w:val="20"/>
          <w:color w:val="auto"/>
        </w:rPr>
      </w:pPr>
      <w:r>
        <w:rPr>
          <w:rFonts w:ascii="Arial" w:cs="Arial" w:eastAsia="Arial" w:hAnsi="Arial"/>
          <w:sz w:val="14"/>
          <w:szCs w:val="14"/>
          <w:color w:val="auto"/>
        </w:rPr>
        <w:t>The following table presents a reconciliation of the GAAP financial measure of net income (loss) attributable to common stock to the non-GAAP financial measure of adjusted net loss: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6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color w:val="auto"/>
              </w:rPr>
              <w:t>Twelve Months</w:t>
            </w:r>
          </w:p>
        </w:tc>
        <w:tc>
          <w:tcPr>
            <w:tcW w:w="340" w:type="dxa"/>
            <w:vAlign w:val="bottom"/>
          </w:tcPr>
          <w:p>
            <w:pPr>
              <w:spacing w:after="0"/>
              <w:rPr>
                <w:sz w:val="15"/>
                <w:szCs w:val="15"/>
                <w:color w:val="auto"/>
              </w:rPr>
            </w:pPr>
          </w:p>
        </w:tc>
      </w:tr>
      <w:tr>
        <w:trPr>
          <w:trHeight w:val="250"/>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 except per share amounts)</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2016</w:t>
            </w:r>
          </w:p>
        </w:tc>
        <w:tc>
          <w:tcPr>
            <w:tcW w:w="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21"/>
                <w:szCs w:val="21"/>
                <w:color w:val="auto"/>
              </w:rPr>
            </w:pPr>
          </w:p>
        </w:tc>
      </w:tr>
      <w:tr>
        <w:trPr>
          <w:trHeight w:val="244"/>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Net (loss) income attributable to common stock</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(77)</w:t>
            </w:r>
          </w:p>
        </w:tc>
        <w:tc>
          <w:tcPr>
            <w:tcW w:w="66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(266)</w:t>
            </w:r>
          </w:p>
        </w:tc>
        <w:tc>
          <w:tcPr>
            <w:tcW w:w="10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340" w:type="dxa"/>
            <w:vAlign w:val="bottom"/>
          </w:tcPr>
          <w:p>
            <w:pPr>
              <w:spacing w:after="0"/>
              <w:rPr>
                <w:sz w:val="21"/>
                <w:szCs w:val="21"/>
                <w:color w:val="auto"/>
              </w:rPr>
            </w:pPr>
          </w:p>
        </w:tc>
      </w:tr>
      <w:tr>
        <w:trPr>
          <w:trHeight w:val="270"/>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Unusual and infrequent items: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550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losses (gains), excluding noncontrolling interest</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116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78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340" w:type="dxa"/>
            <w:vAlign w:val="bottom"/>
          </w:tcPr>
          <w:p>
            <w:pPr>
              <w:spacing w:after="0"/>
              <w:rPr>
                <w:sz w:val="23"/>
                <w:szCs w:val="23"/>
                <w:color w:val="auto"/>
              </w:rPr>
            </w:pPr>
          </w:p>
        </w:tc>
      </w:tr>
      <w:tr>
        <w:trPr>
          <w:trHeight w:val="270"/>
        </w:trPr>
        <w:tc>
          <w:tcPr>
            <w:tcW w:w="5500" w:type="dxa"/>
            <w:vAlign w:val="bottom"/>
            <w:gridSpan w:val="2"/>
          </w:tcPr>
          <w:p>
            <w:pPr>
              <w:ind w:left="180"/>
              <w:spacing w:after="0"/>
              <w:rPr>
                <w:sz w:val="20"/>
                <w:szCs w:val="20"/>
                <w:color w:val="auto"/>
              </w:rPr>
            </w:pPr>
            <w:r>
              <w:rPr>
                <w:rFonts w:ascii="Arial" w:cs="Arial" w:eastAsia="Arial" w:hAnsi="Arial"/>
                <w:sz w:val="14"/>
                <w:szCs w:val="14"/>
                <w:color w:val="auto"/>
              </w:rPr>
              <w:t>Early retirement, severance and other costs</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340" w:type="dxa"/>
            <w:vAlign w:val="bottom"/>
          </w:tcPr>
          <w:p>
            <w:pPr>
              <w:spacing w:after="0"/>
              <w:rPr>
                <w:sz w:val="23"/>
                <w:szCs w:val="23"/>
                <w:color w:val="auto"/>
              </w:rPr>
            </w:pPr>
          </w:p>
        </w:tc>
      </w:tr>
      <w:tr>
        <w:trPr>
          <w:trHeight w:val="270"/>
        </w:trPr>
        <w:tc>
          <w:tcPr>
            <w:tcW w:w="5500" w:type="dxa"/>
            <w:vAlign w:val="bottom"/>
            <w:gridSpan w:val="2"/>
          </w:tcPr>
          <w:p>
            <w:pPr>
              <w:ind w:left="180"/>
              <w:spacing w:after="0"/>
              <w:rPr>
                <w:sz w:val="20"/>
                <w:szCs w:val="20"/>
                <w:color w:val="auto"/>
              </w:rPr>
            </w:pPr>
            <w:r>
              <w:rPr>
                <w:rFonts w:ascii="Arial" w:cs="Arial" w:eastAsia="Arial" w:hAnsi="Arial"/>
                <w:sz w:val="14"/>
                <w:szCs w:val="14"/>
                <w:color w:val="auto"/>
              </w:rPr>
              <w:t>Losses (gains) on asset divestitures</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c>
          <w:tcPr>
            <w:tcW w:w="340" w:type="dxa"/>
            <w:vAlign w:val="bottom"/>
          </w:tcPr>
          <w:p>
            <w:pPr>
              <w:spacing w:after="0"/>
              <w:rPr>
                <w:sz w:val="23"/>
                <w:szCs w:val="23"/>
                <w:color w:val="auto"/>
              </w:rPr>
            </w:pPr>
          </w:p>
        </w:tc>
      </w:tr>
      <w:tr>
        <w:trPr>
          <w:trHeight w:val="270"/>
        </w:trPr>
        <w:tc>
          <w:tcPr>
            <w:tcW w:w="5500" w:type="dxa"/>
            <w:vAlign w:val="bottom"/>
            <w:gridSpan w:val="2"/>
          </w:tcPr>
          <w:p>
            <w:pPr>
              <w:ind w:left="180"/>
              <w:spacing w:after="0"/>
              <w:rPr>
                <w:sz w:val="20"/>
                <w:szCs w:val="20"/>
                <w:color w:val="auto"/>
              </w:rPr>
            </w:pPr>
            <w:r>
              <w:rPr>
                <w:rFonts w:ascii="Arial" w:cs="Arial" w:eastAsia="Arial" w:hAnsi="Arial"/>
                <w:sz w:val="14"/>
                <w:szCs w:val="14"/>
                <w:color w:val="auto"/>
              </w:rPr>
              <w:t>Net gains on early extinguishment of debt</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(805)</w:t>
            </w:r>
          </w:p>
        </w:tc>
        <w:tc>
          <w:tcPr>
            <w:tcW w:w="340" w:type="dxa"/>
            <w:vAlign w:val="bottom"/>
          </w:tcPr>
          <w:p>
            <w:pPr>
              <w:spacing w:after="0"/>
              <w:rPr>
                <w:sz w:val="23"/>
                <w:szCs w:val="23"/>
                <w:color w:val="auto"/>
              </w:rPr>
            </w:pPr>
          </w:p>
        </w:tc>
      </w:tr>
      <w:tr>
        <w:trPr>
          <w:trHeight w:val="276"/>
        </w:trPr>
        <w:tc>
          <w:tcPr>
            <w:tcW w:w="5500" w:type="dxa"/>
            <w:vAlign w:val="bottom"/>
            <w:gridSpan w:val="2"/>
          </w:tcPr>
          <w:p>
            <w:pPr>
              <w:ind w:left="18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24"/>
                <w:szCs w:val="24"/>
                <w:color w:val="auto"/>
              </w:rPr>
            </w:pPr>
          </w:p>
        </w:tc>
      </w:tr>
      <w:tr>
        <w:trPr>
          <w:trHeight w:val="244"/>
        </w:trPr>
        <w:tc>
          <w:tcPr>
            <w:tcW w:w="5500" w:type="dxa"/>
            <w:vAlign w:val="bottom"/>
            <w:gridSpan w:val="2"/>
          </w:tcPr>
          <w:p>
            <w:pPr>
              <w:ind w:left="280"/>
              <w:spacing w:after="0"/>
              <w:rPr>
                <w:sz w:val="20"/>
                <w:szCs w:val="20"/>
                <w:color w:val="auto"/>
              </w:rPr>
            </w:pPr>
            <w:r>
              <w:rPr>
                <w:rFonts w:ascii="Arial" w:cs="Arial" w:eastAsia="Arial" w:hAnsi="Arial"/>
                <w:sz w:val="14"/>
                <w:szCs w:val="14"/>
                <w:color w:val="auto"/>
              </w:rPr>
              <w:t>Total unusual and infrequent items</w:t>
            </w:r>
          </w:p>
        </w:tc>
        <w:tc>
          <w:tcPr>
            <w:tcW w:w="32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(545)</w:t>
            </w:r>
          </w:p>
        </w:tc>
        <w:tc>
          <w:tcPr>
            <w:tcW w:w="340" w:type="dxa"/>
            <w:vAlign w:val="bottom"/>
          </w:tcPr>
          <w:p>
            <w:pPr>
              <w:spacing w:after="0"/>
              <w:rPr>
                <w:sz w:val="21"/>
                <w:szCs w:val="21"/>
                <w:color w:val="auto"/>
              </w:rPr>
            </w:pPr>
          </w:p>
        </w:tc>
      </w:tr>
      <w:tr>
        <w:trPr>
          <w:trHeight w:val="392"/>
        </w:trPr>
        <w:tc>
          <w:tcPr>
            <w:tcW w:w="5500" w:type="dxa"/>
            <w:vAlign w:val="bottom"/>
            <w:gridSpan w:val="2"/>
          </w:tcPr>
          <w:p>
            <w:pPr>
              <w:ind w:left="180"/>
              <w:spacing w:after="0"/>
              <w:rPr>
                <w:sz w:val="20"/>
                <w:szCs w:val="20"/>
                <w:color w:val="auto"/>
              </w:rPr>
            </w:pPr>
            <w:r>
              <w:rPr>
                <w:rFonts w:ascii="Arial" w:cs="Arial" w:eastAsia="Arial" w:hAnsi="Arial"/>
                <w:sz w:val="14"/>
                <w:szCs w:val="14"/>
                <w:color w:val="auto"/>
              </w:rPr>
              <w:t>Deferred debt issuance costs write-off</w:t>
            </w:r>
          </w:p>
        </w:tc>
        <w:tc>
          <w:tcPr>
            <w:tcW w:w="32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340" w:type="dxa"/>
            <w:vAlign w:val="bottom"/>
          </w:tcPr>
          <w:p>
            <w:pPr>
              <w:spacing w:after="0"/>
              <w:rPr>
                <w:sz w:val="24"/>
                <w:szCs w:val="24"/>
                <w:color w:val="auto"/>
              </w:rPr>
            </w:pPr>
          </w:p>
        </w:tc>
      </w:tr>
      <w:tr>
        <w:trPr>
          <w:trHeight w:val="282"/>
        </w:trPr>
        <w:tc>
          <w:tcPr>
            <w:tcW w:w="5500" w:type="dxa"/>
            <w:vAlign w:val="bottom"/>
            <w:gridSpan w:val="2"/>
          </w:tcPr>
          <w:p>
            <w:pPr>
              <w:ind w:left="180"/>
              <w:spacing w:after="0"/>
              <w:rPr>
                <w:sz w:val="20"/>
                <w:szCs w:val="20"/>
                <w:color w:val="auto"/>
              </w:rPr>
            </w:pPr>
            <w:r>
              <w:rPr>
                <w:rFonts w:ascii="Arial" w:cs="Arial" w:eastAsia="Arial" w:hAnsi="Arial"/>
                <w:sz w:val="14"/>
                <w:szCs w:val="14"/>
                <w:color w:val="auto"/>
              </w:rPr>
              <w:t xml:space="preserve">Reversal of valuation allowance for deferred tax assets </w:t>
            </w:r>
            <w:r>
              <w:rPr>
                <w:rFonts w:ascii="Arial" w:cs="Arial" w:eastAsia="Arial" w:hAnsi="Arial"/>
                <w:sz w:val="21"/>
                <w:szCs w:val="21"/>
                <w:color w:val="auto"/>
                <w:vertAlign w:val="superscript"/>
              </w:rPr>
              <w:t>(a)</w:t>
            </w:r>
          </w:p>
        </w:tc>
        <w:tc>
          <w:tcPr>
            <w:tcW w:w="32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w:t>
            </w:r>
          </w:p>
        </w:tc>
        <w:tc>
          <w:tcPr>
            <w:tcW w:w="340" w:type="dxa"/>
            <w:vAlign w:val="bottom"/>
          </w:tcPr>
          <w:p>
            <w:pPr>
              <w:spacing w:after="0"/>
              <w:rPr>
                <w:sz w:val="24"/>
                <w:szCs w:val="24"/>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Adjusted net loss</w:t>
            </w: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6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340" w:type="dxa"/>
            <w:vAlign w:val="bottom"/>
          </w:tcPr>
          <w:p>
            <w:pPr>
              <w:spacing w:after="0"/>
              <w:rPr>
                <w:sz w:val="20"/>
                <w:szCs w:val="20"/>
                <w:color w:val="auto"/>
              </w:rPr>
            </w:pPr>
          </w:p>
        </w:tc>
      </w:tr>
      <w:tr>
        <w:trPr>
          <w:trHeight w:val="20"/>
        </w:trPr>
        <w:tc>
          <w:tcPr>
            <w:tcW w:w="55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36"/>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Net (loss) income attributable to common stock per diluted share</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(3.23)</w:t>
            </w:r>
          </w:p>
        </w:tc>
        <w:tc>
          <w:tcPr>
            <w:tcW w:w="12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(1.83)</w:t>
            </w:r>
          </w:p>
        </w:tc>
        <w:tc>
          <w:tcPr>
            <w:tcW w:w="660" w:type="dxa"/>
            <w:vAlign w:val="bottom"/>
          </w:tcPr>
          <w:p>
            <w:pPr>
              <w:spacing w:after="0"/>
              <w:rPr>
                <w:sz w:val="24"/>
                <w:szCs w:val="24"/>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(6.26)</w:t>
            </w:r>
          </w:p>
        </w:tc>
        <w:tc>
          <w:tcPr>
            <w:tcW w:w="100" w:type="dxa"/>
            <w:vAlign w:val="bottom"/>
          </w:tcPr>
          <w:p>
            <w:pPr>
              <w:spacing w:after="0"/>
              <w:rPr>
                <w:sz w:val="24"/>
                <w:szCs w:val="24"/>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6.76</w:t>
            </w:r>
          </w:p>
        </w:tc>
        <w:tc>
          <w:tcPr>
            <w:tcW w:w="340" w:type="dxa"/>
            <w:vAlign w:val="bottom"/>
          </w:tcPr>
          <w:p>
            <w:pPr>
              <w:spacing w:after="0"/>
              <w:rPr>
                <w:sz w:val="24"/>
                <w:szCs w:val="24"/>
                <w:color w:val="auto"/>
              </w:rPr>
            </w:pPr>
          </w:p>
        </w:tc>
      </w:tr>
      <w:tr>
        <w:trPr>
          <w:trHeight w:val="270"/>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Adjusted net loss per diluted share</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(0.33)</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(1.76)</w:t>
            </w:r>
          </w:p>
        </w:tc>
        <w:tc>
          <w:tcPr>
            <w:tcW w:w="660" w:type="dxa"/>
            <w:vAlign w:val="bottom"/>
          </w:tcPr>
          <w:p>
            <w:pPr>
              <w:spacing w:after="0"/>
              <w:rPr>
                <w:sz w:val="23"/>
                <w:szCs w:val="23"/>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(4.40)</w:t>
            </w:r>
          </w:p>
        </w:tc>
        <w:tc>
          <w:tcPr>
            <w:tcW w:w="100" w:type="dxa"/>
            <w:vAlign w:val="bottom"/>
          </w:tcPr>
          <w:p>
            <w:pPr>
              <w:spacing w:after="0"/>
              <w:rPr>
                <w:sz w:val="23"/>
                <w:szCs w:val="23"/>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(7.85)</w:t>
            </w:r>
          </w:p>
        </w:tc>
        <w:tc>
          <w:tcPr>
            <w:tcW w:w="340" w:type="dxa"/>
            <w:vAlign w:val="bottom"/>
          </w:tcPr>
          <w:p>
            <w:pPr>
              <w:spacing w:after="0"/>
              <w:rPr>
                <w:sz w:val="23"/>
                <w:szCs w:val="23"/>
                <w:color w:val="auto"/>
              </w:rPr>
            </w:pPr>
          </w:p>
        </w:tc>
      </w:tr>
      <w:tr>
        <w:trPr>
          <w:trHeight w:val="270"/>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(a) Amount represents the out-of-period portion of the valuation allowance reversal.</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96"/>
        </w:trPr>
        <w:tc>
          <w:tcPr>
            <w:tcW w:w="550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0"/>
        </w:trPr>
        <w:tc>
          <w:tcPr>
            <w:tcW w:w="55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39"/>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GAINS AND LOSSES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6"/>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color w:val="auto"/>
              </w:rPr>
              <w:t>Twelve Months</w:t>
            </w:r>
          </w:p>
        </w:tc>
        <w:tc>
          <w:tcPr>
            <w:tcW w:w="340" w:type="dxa"/>
            <w:vAlign w:val="bottom"/>
          </w:tcPr>
          <w:p>
            <w:pPr>
              <w:spacing w:after="0"/>
              <w:rPr>
                <w:sz w:val="24"/>
                <w:szCs w:val="24"/>
                <w:color w:val="auto"/>
              </w:rPr>
            </w:pP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2016</w:t>
            </w:r>
          </w:p>
        </w:tc>
        <w:tc>
          <w:tcPr>
            <w:tcW w:w="6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22"/>
                <w:szCs w:val="22"/>
                <w:color w:val="auto"/>
              </w:rPr>
            </w:pPr>
          </w:p>
        </w:tc>
      </w:tr>
      <w:tr>
        <w:trPr>
          <w:trHeight w:val="244"/>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Non-cash derivative losses, excluding noncontrolling interest</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(116)</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w:t>
            </w:r>
          </w:p>
        </w:tc>
        <w:tc>
          <w:tcPr>
            <w:tcW w:w="66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10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(283)</w:t>
            </w:r>
          </w:p>
        </w:tc>
        <w:tc>
          <w:tcPr>
            <w:tcW w:w="340" w:type="dxa"/>
            <w:vAlign w:val="bottom"/>
          </w:tcPr>
          <w:p>
            <w:pPr>
              <w:spacing w:after="0"/>
              <w:rPr>
                <w:sz w:val="21"/>
                <w:szCs w:val="21"/>
                <w:color w:val="auto"/>
              </w:rPr>
            </w:pPr>
          </w:p>
        </w:tc>
      </w:tr>
      <w:tr>
        <w:trPr>
          <w:trHeight w:val="270"/>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Non-cash derivative losses for noncontrolling interest</w:t>
            </w:r>
          </w:p>
        </w:tc>
        <w:tc>
          <w:tcPr>
            <w:tcW w:w="32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r>
      <w:tr>
        <w:trPr>
          <w:trHeight w:val="276"/>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Cash (payments) proceeds from settled derivatives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w:t>
            </w:r>
          </w:p>
        </w:tc>
        <w:tc>
          <w:tcPr>
            <w:tcW w:w="340" w:type="dxa"/>
            <w:vAlign w:val="bottom"/>
          </w:tcPr>
          <w:p>
            <w:pPr>
              <w:spacing w:after="0"/>
              <w:rPr>
                <w:sz w:val="24"/>
                <w:szCs w:val="24"/>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Net derivative losses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(141)</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66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340" w:type="dxa"/>
            <w:vAlign w:val="bottom"/>
          </w:tcPr>
          <w:p>
            <w:pPr>
              <w:spacing w:after="0"/>
              <w:rPr>
                <w:sz w:val="21"/>
                <w:szCs w:val="2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74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0"/>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FREE CASH FLOW</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7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color w:val="auto"/>
              </w:rPr>
              <w:t>Twelve Months</w:t>
            </w:r>
          </w:p>
        </w:tc>
        <w:tc>
          <w:tcPr>
            <w:tcW w:w="340" w:type="dxa"/>
            <w:vAlign w:val="bottom"/>
          </w:tcPr>
          <w:p>
            <w:pPr>
              <w:spacing w:after="0"/>
              <w:rPr>
                <w:sz w:val="24"/>
                <w:szCs w:val="24"/>
                <w:color w:val="auto"/>
              </w:rPr>
            </w:pPr>
          </w:p>
        </w:tc>
      </w:tr>
      <w:tr>
        <w:trPr>
          <w:trHeight w:val="264"/>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2016</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22"/>
                <w:szCs w:val="22"/>
                <w:color w:val="auto"/>
              </w:rPr>
            </w:pPr>
          </w:p>
        </w:tc>
      </w:tr>
      <w:tr>
        <w:trPr>
          <w:trHeight w:val="420"/>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Net cash provided (used) by operating activities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248</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130</w:t>
            </w:r>
          </w:p>
        </w:tc>
        <w:tc>
          <w:tcPr>
            <w:tcW w:w="340" w:type="dxa"/>
            <w:vAlign w:val="bottom"/>
          </w:tcPr>
          <w:p>
            <w:pPr>
              <w:spacing w:after="0"/>
              <w:rPr>
                <w:sz w:val="24"/>
                <w:szCs w:val="24"/>
                <w:color w:val="auto"/>
              </w:rPr>
            </w:pPr>
          </w:p>
        </w:tc>
      </w:tr>
      <w:tr>
        <w:trPr>
          <w:trHeight w:val="270"/>
        </w:trPr>
        <w:tc>
          <w:tcPr>
            <w:tcW w:w="5380" w:type="dxa"/>
            <w:vAlign w:val="bottom"/>
            <w:gridSpan w:val="2"/>
          </w:tcPr>
          <w:p>
            <w:pPr>
              <w:ind w:left="120"/>
              <w:spacing w:after="0"/>
              <w:rPr>
                <w:sz w:val="20"/>
                <w:szCs w:val="20"/>
                <w:color w:val="auto"/>
              </w:rPr>
            </w:pPr>
            <w:r>
              <w:rPr>
                <w:rFonts w:ascii="Arial" w:cs="Arial" w:eastAsia="Arial" w:hAnsi="Arial"/>
                <w:sz w:val="14"/>
                <w:szCs w:val="14"/>
                <w:color w:val="auto"/>
              </w:rPr>
              <w:t>Capital investment</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340" w:type="dxa"/>
            <w:vAlign w:val="bottom"/>
          </w:tcPr>
          <w:p>
            <w:pPr>
              <w:spacing w:after="0"/>
              <w:rPr>
                <w:sz w:val="23"/>
                <w:szCs w:val="23"/>
                <w:color w:val="auto"/>
              </w:rPr>
            </w:pPr>
          </w:p>
        </w:tc>
      </w:tr>
      <w:tr>
        <w:trPr>
          <w:trHeight w:val="276"/>
        </w:trPr>
        <w:tc>
          <w:tcPr>
            <w:tcW w:w="5380" w:type="dxa"/>
            <w:vAlign w:val="bottom"/>
            <w:gridSpan w:val="2"/>
          </w:tcPr>
          <w:p>
            <w:pPr>
              <w:ind w:left="120"/>
              <w:spacing w:after="0"/>
              <w:rPr>
                <w:sz w:val="20"/>
                <w:szCs w:val="20"/>
                <w:color w:val="auto"/>
              </w:rPr>
            </w:pPr>
            <w:r>
              <w:rPr>
                <w:rFonts w:ascii="Arial" w:cs="Arial" w:eastAsia="Arial" w:hAnsi="Arial"/>
                <w:sz w:val="14"/>
                <w:szCs w:val="14"/>
                <w:color w:val="auto"/>
              </w:rPr>
              <w:t>Changes in capital accruals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24"/>
                <w:szCs w:val="24"/>
                <w:color w:val="auto"/>
              </w:rPr>
            </w:pPr>
          </w:p>
        </w:tc>
      </w:tr>
      <w:tr>
        <w:trPr>
          <w:trHeight w:val="24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Free cash flow, after working capital</w:t>
            </w:r>
          </w:p>
        </w:tc>
        <w:tc>
          <w:tcPr>
            <w:tcW w:w="32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49</w:t>
            </w:r>
          </w:p>
        </w:tc>
        <w:tc>
          <w:tcPr>
            <w:tcW w:w="340" w:type="dxa"/>
            <w:vAlign w:val="bottom"/>
          </w:tcPr>
          <w:p>
            <w:pPr>
              <w:spacing w:after="0"/>
              <w:rPr>
                <w:sz w:val="21"/>
                <w:szCs w:val="21"/>
                <w:color w:val="auto"/>
              </w:rPr>
            </w:pPr>
          </w:p>
        </w:tc>
      </w:tr>
      <w:tr>
        <w:trPr>
          <w:trHeight w:val="276"/>
        </w:trPr>
        <w:tc>
          <w:tcPr>
            <w:tcW w:w="5380" w:type="dxa"/>
            <w:vAlign w:val="bottom"/>
            <w:gridSpan w:val="2"/>
          </w:tcPr>
          <w:p>
            <w:pPr>
              <w:ind w:left="120"/>
              <w:spacing w:after="0"/>
              <w:rPr>
                <w:sz w:val="20"/>
                <w:szCs w:val="20"/>
                <w:color w:val="auto"/>
              </w:rPr>
            </w:pPr>
            <w:r>
              <w:rPr>
                <w:rFonts w:ascii="Arial" w:cs="Arial" w:eastAsia="Arial" w:hAnsi="Arial"/>
                <w:sz w:val="14"/>
                <w:szCs w:val="14"/>
                <w:color w:val="auto"/>
              </w:rPr>
              <w:t>BSP funded capital investment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Free cash flow, excluding BSP funded capital</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49</w:t>
            </w:r>
          </w:p>
        </w:tc>
        <w:tc>
          <w:tcPr>
            <w:tcW w:w="340" w:type="dxa"/>
            <w:vAlign w:val="bottom"/>
          </w:tcPr>
          <w:p>
            <w:pPr>
              <w:spacing w:after="0"/>
              <w:rPr>
                <w:sz w:val="21"/>
                <w:szCs w:val="2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34"/>
        </w:trPr>
        <w:tc>
          <w:tcPr>
            <w:tcW w:w="5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0"/>
        </w:trPr>
        <w:tc>
          <w:tcPr>
            <w:tcW w:w="53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39"/>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GENERAL AND ADMINISTRATIVE EXPENSES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color w:val="auto"/>
              </w:rPr>
              <w:t>Twelve Months</w:t>
            </w:r>
          </w:p>
        </w:tc>
        <w:tc>
          <w:tcPr>
            <w:tcW w:w="340" w:type="dxa"/>
            <w:vAlign w:val="bottom"/>
          </w:tcPr>
          <w:p>
            <w:pPr>
              <w:spacing w:after="0"/>
              <w:rPr>
                <w:sz w:val="24"/>
                <w:szCs w:val="24"/>
                <w:color w:val="auto"/>
              </w:rPr>
            </w:pPr>
          </w:p>
        </w:tc>
      </w:tr>
      <w:tr>
        <w:trPr>
          <w:trHeight w:val="264"/>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2016</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22"/>
                <w:szCs w:val="22"/>
                <w:color w:val="auto"/>
              </w:rPr>
            </w:pPr>
          </w:p>
        </w:tc>
      </w:tr>
      <w:tr>
        <w:trPr>
          <w:trHeight w:val="447"/>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General and administrative expenses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62</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259</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248</w:t>
            </w:r>
          </w:p>
        </w:tc>
        <w:tc>
          <w:tcPr>
            <w:tcW w:w="340" w:type="dxa"/>
            <w:vAlign w:val="bottom"/>
          </w:tcPr>
          <w:p>
            <w:pPr>
              <w:spacing w:after="0"/>
              <w:rPr>
                <w:sz w:val="24"/>
                <w:szCs w:val="24"/>
                <w:color w:val="auto"/>
              </w:rPr>
            </w:pPr>
          </w:p>
        </w:tc>
      </w:tr>
      <w:tr>
        <w:trPr>
          <w:trHeight w:val="276"/>
        </w:trPr>
        <w:tc>
          <w:tcPr>
            <w:tcW w:w="5380" w:type="dxa"/>
            <w:vAlign w:val="bottom"/>
            <w:gridSpan w:val="2"/>
          </w:tcPr>
          <w:p>
            <w:pPr>
              <w:ind w:left="120"/>
              <w:spacing w:after="0"/>
              <w:rPr>
                <w:sz w:val="20"/>
                <w:szCs w:val="20"/>
                <w:color w:val="auto"/>
              </w:rPr>
            </w:pPr>
            <w:r>
              <w:rPr>
                <w:rFonts w:ascii="Arial" w:cs="Arial" w:eastAsia="Arial" w:hAnsi="Arial"/>
                <w:sz w:val="14"/>
                <w:szCs w:val="14"/>
                <w:color w:val="auto"/>
              </w:rPr>
              <w:t>Early retirement and severance costs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340" w:type="dxa"/>
            <w:vAlign w:val="bottom"/>
          </w:tcPr>
          <w:p>
            <w:pPr>
              <w:spacing w:after="0"/>
              <w:rPr>
                <w:sz w:val="24"/>
                <w:szCs w:val="24"/>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Adjusted general and administrative expenses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w:t>
            </w:r>
          </w:p>
        </w:tc>
        <w:tc>
          <w:tcPr>
            <w:tcW w:w="68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254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228</w:t>
            </w:r>
          </w:p>
        </w:tc>
        <w:tc>
          <w:tcPr>
            <w:tcW w:w="340" w:type="dxa"/>
            <w:vAlign w:val="bottom"/>
          </w:tcPr>
          <w:p>
            <w:pPr>
              <w:spacing w:after="0"/>
              <w:rPr>
                <w:sz w:val="21"/>
                <w:szCs w:val="2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EBITDAX</w:t>
      </w:r>
    </w:p>
    <w:p>
      <w:pPr>
        <w:spacing w:after="0" w:line="73" w:lineRule="exact"/>
        <w:rPr>
          <w:sz w:val="20"/>
          <w:szCs w:val="20"/>
          <w:color w:val="auto"/>
        </w:rPr>
      </w:pPr>
    </w:p>
    <w:p>
      <w:pPr>
        <w:ind w:left="40" w:right="600"/>
        <w:spacing w:after="0" w:line="258" w:lineRule="auto"/>
        <w:rPr>
          <w:sz w:val="20"/>
          <w:szCs w:val="20"/>
          <w:color w:val="auto"/>
        </w:rPr>
      </w:pPr>
      <w:r>
        <w:rPr>
          <w:rFonts w:ascii="Arial" w:cs="Arial" w:eastAsia="Arial" w:hAnsi="Arial"/>
          <w:sz w:val="14"/>
          <w:szCs w:val="14"/>
          <w:color w:val="auto"/>
        </w:rPr>
        <w:t>The following tables present a reconciliation of the GAAP financial measures of net income (loss) attributable to common stock and net cash provided (used) by operating activities to the non-GAAP financial measure of adjusted EBITDAX:</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color w:val="auto"/>
              </w:rPr>
              <w:t>Twelve Months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2016</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Net (loss) income attributable to common stock</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(266)</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279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Interest and debt expense, net</w:t>
            </w:r>
          </w:p>
        </w:tc>
        <w:tc>
          <w:tcPr>
            <w:tcW w:w="32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85</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343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328</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Income tax benefit</w:t>
            </w:r>
          </w:p>
        </w:tc>
        <w:tc>
          <w:tcPr>
            <w:tcW w:w="3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Depreciation, depletion and amortization, excluding noncontrolling interest</w:t>
            </w:r>
          </w:p>
        </w:tc>
        <w:tc>
          <w:tcPr>
            <w:tcW w:w="32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137</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535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559</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Exploration expense</w:t>
            </w:r>
          </w:p>
        </w:tc>
        <w:tc>
          <w:tcPr>
            <w:tcW w:w="32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0"/>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 xml:space="preserve">Unusual and infrequent items </w:t>
            </w:r>
            <w:r>
              <w:rPr>
                <w:rFonts w:ascii="Arial" w:cs="Arial" w:eastAsia="Arial" w:hAnsi="Arial"/>
                <w:sz w:val="21"/>
                <w:szCs w:val="21"/>
                <w:color w:val="auto"/>
                <w:vertAlign w:val="superscript"/>
              </w:rPr>
              <w:t>(c)</w:t>
            </w:r>
          </w:p>
        </w:tc>
        <w:tc>
          <w:tcPr>
            <w:tcW w:w="32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124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(545)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Other non-cash items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w:t>
            </w:r>
          </w:p>
        </w:tc>
        <w:tc>
          <w:tcPr>
            <w:tcW w:w="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Adjusted EBITDAX (A)</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222</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168</w:t>
            </w:r>
          </w:p>
        </w:tc>
        <w:tc>
          <w:tcPr>
            <w:tcW w:w="68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761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Net cash provided (used) by operating activities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248</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130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Cash interest</w:t>
            </w:r>
          </w:p>
        </w:tc>
        <w:tc>
          <w:tcPr>
            <w:tcW w:w="32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145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140</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396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384</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Exploration expenditures</w:t>
            </w:r>
          </w:p>
        </w:tc>
        <w:tc>
          <w:tcPr>
            <w:tcW w:w="32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76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Adjusted EBITDAX (A)</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222</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168</w:t>
            </w:r>
          </w:p>
        </w:tc>
        <w:tc>
          <w:tcPr>
            <w:tcW w:w="68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761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40"/>
              <w:spacing w:after="0"/>
              <w:rPr>
                <w:sz w:val="20"/>
                <w:szCs w:val="20"/>
                <w:color w:val="auto"/>
              </w:rPr>
            </w:pPr>
            <w:r>
              <w:rPr>
                <w:rFonts w:ascii="Arial" w:cs="Arial" w:eastAsia="Arial" w:hAnsi="Arial"/>
                <w:sz w:val="14"/>
                <w:szCs w:val="14"/>
                <w:color w:val="auto"/>
              </w:rPr>
              <w:t>(c) See Adjusted Net Loss reconciliation.</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53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3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EBITDAX MARGIN</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color w:val="auto"/>
              </w:rPr>
              <w:t>Twelve Months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2016</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Total Revenues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455</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452</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1,547</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losses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119</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Adjusted revenues (B)</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574</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492</w:t>
            </w:r>
          </w:p>
        </w:tc>
        <w:tc>
          <w:tcPr>
            <w:tcW w:w="68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2,089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1,830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Adjusted EBITDAX Margin (A)/(B)</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108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6"/>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PRODUCTION COSTS PER BOE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50"/>
        </w:trPr>
        <w:tc>
          <w:tcPr>
            <w:tcW w:w="5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40" w:type="dxa"/>
            <w:vAlign w:val="bottom"/>
            <w:tcBorders>
              <w:bottom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color w:val="auto"/>
              </w:rPr>
              <w:t>Twelve Months</w:t>
            </w: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per Boe)</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2016</w:t>
            </w:r>
          </w:p>
        </w:tc>
        <w:tc>
          <w:tcPr>
            <w:tcW w:w="6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r>
      <w:tr>
        <w:trPr>
          <w:trHeight w:val="24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Production Costs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19.64</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17.50</w:t>
            </w:r>
          </w:p>
        </w:tc>
        <w:tc>
          <w:tcPr>
            <w:tcW w:w="68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18.64</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15.61</w:t>
            </w:r>
          </w:p>
        </w:tc>
      </w:tr>
      <w:tr>
        <w:trPr>
          <w:trHeight w:val="276"/>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Costs attributable to PSC type contracts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(0.92)</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Production Costs, excluding the effects of PSC type contracts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18.31</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16.29</w:t>
            </w:r>
          </w:p>
        </w:tc>
        <w:tc>
          <w:tcPr>
            <w:tcW w:w="68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17.48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14.69</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PV-10 AND STANDARDIZED MEASURE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following table presents a reconciliation of the GAAP financial measure of standardized measure of discounted future net cash flows to the non-GAAP financial measure of</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PV-10:</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2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r>
      <w:tr>
        <w:trPr>
          <w:trHeight w:val="24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Standardized measure of discounted future net cash flows</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3,765</w:t>
            </w:r>
          </w:p>
        </w:tc>
      </w:tr>
      <w:tr>
        <w:trPr>
          <w:trHeight w:val="276"/>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Present value of future income taxes discounted at 10%</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780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 xml:space="preserve">PV-10 of proved reserves </w:t>
            </w:r>
            <w:r>
              <w:rPr>
                <w:rFonts w:ascii="Arial" w:cs="Arial" w:eastAsia="Arial" w:hAnsi="Arial"/>
                <w:sz w:val="17"/>
                <w:szCs w:val="17"/>
                <w:color w:val="auto"/>
                <w:vertAlign w:val="superscript"/>
              </w:rPr>
              <w:t>(1)</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4,545</w:t>
            </w:r>
          </w:p>
        </w:tc>
      </w:tr>
      <w:tr>
        <w:trPr>
          <w:trHeight w:val="20"/>
        </w:trPr>
        <w:tc>
          <w:tcPr>
            <w:tcW w:w="5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40" w:hanging="5"/>
        <w:spacing w:after="0" w:line="245" w:lineRule="auto"/>
        <w:tabs>
          <w:tab w:leader="none" w:pos="256" w:val="left"/>
        </w:tabs>
        <w:numPr>
          <w:ilvl w:val="0"/>
          <w:numId w:val="7"/>
        </w:numPr>
        <w:rPr>
          <w:rFonts w:ascii="Arial" w:cs="Arial" w:eastAsia="Arial" w:hAnsi="Arial"/>
          <w:sz w:val="14"/>
          <w:szCs w:val="14"/>
          <w:color w:val="auto"/>
        </w:rPr>
      </w:pPr>
      <w:r>
        <w:rPr>
          <w:rFonts w:ascii="Arial" w:cs="Arial" w:eastAsia="Arial" w:hAnsi="Arial"/>
          <w:sz w:val="14"/>
          <w:szCs w:val="14"/>
          <w:color w:val="auto"/>
        </w:rPr>
        <w:t>PV-10 is a non-GAAP financial measure and represents the year-end present value of estimated future cash inflows from proved oil and natural gas reserves, less future development and production costs, discounted at 10% per annum to reflect the timing of future cash flows and using SEC prescribed pricing assumptions for the period. PV-10 differs from Standardized Measure because Standardized Measure includes the effects of future income taxes on future net cash flows. Neither PV-10 nor Standardized Measure should be construed as the fair value of our oil and natural gas reserves. Standard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00"/>
          </w:cols>
          <w:pgMar w:left="240" w:top="842" w:right="359" w:bottom="1440" w:gutter="0" w:footer="0" w:header="0"/>
        </w:sectPr>
      </w:pPr>
    </w:p>
    <w:bookmarkStart w:id="13" w:name="page14"/>
    <w:bookmarkEnd w:id="13"/>
    <w:p>
      <w:pPr>
        <w:jc w:val="right"/>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Organic Reserve Replacement Ratio </w:t>
            </w:r>
            <w:r>
              <w:rPr>
                <w:rFonts w:ascii="Arial" w:cs="Arial" w:eastAsia="Arial" w:hAnsi="Arial"/>
                <w:sz w:val="17"/>
                <w:szCs w:val="17"/>
                <w:b w:val="1"/>
                <w:bCs w:val="1"/>
                <w:color w:val="auto"/>
                <w:vertAlign w:val="superscript"/>
              </w:rPr>
              <w:t>(1)</w:t>
            </w:r>
          </w:p>
        </w:tc>
        <w:tc>
          <w:tcPr>
            <w:tcW w:w="3280" w:type="dxa"/>
            <w:vAlign w:val="bottom"/>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r>
      <w:tr>
        <w:trPr>
          <w:trHeight w:val="252"/>
        </w:trPr>
        <w:tc>
          <w:tcPr>
            <w:tcW w:w="8320" w:type="dxa"/>
            <w:vAlign w:val="bottom"/>
            <w:gridSpan w:val="2"/>
          </w:tcPr>
          <w:p>
            <w:pPr>
              <w:ind w:left="40"/>
              <w:spacing w:after="0"/>
              <w:rPr>
                <w:sz w:val="20"/>
                <w:szCs w:val="20"/>
                <w:color w:val="auto"/>
              </w:rPr>
            </w:pPr>
            <w:r>
              <w:rPr>
                <w:rFonts w:ascii="Arial" w:cs="Arial" w:eastAsia="Arial" w:hAnsi="Arial"/>
                <w:sz w:val="14"/>
                <w:szCs w:val="14"/>
                <w:color w:val="auto"/>
              </w:rPr>
              <w:t>Organic proved reserves added - MMBOE</w:t>
            </w:r>
          </w:p>
        </w:tc>
        <w:tc>
          <w:tcPr>
            <w:tcW w:w="960" w:type="dxa"/>
            <w:vAlign w:val="bottom"/>
          </w:tcPr>
          <w:p>
            <w:pPr>
              <w:spacing w:after="0"/>
              <w:rPr>
                <w:sz w:val="21"/>
                <w:szCs w:val="21"/>
                <w:color w:val="auto"/>
              </w:rPr>
            </w:pPr>
          </w:p>
        </w:tc>
      </w:tr>
      <w:tr>
        <w:trPr>
          <w:trHeight w:val="270"/>
        </w:trPr>
        <w:tc>
          <w:tcPr>
            <w:tcW w:w="8320" w:type="dxa"/>
            <w:vAlign w:val="bottom"/>
            <w:gridSpan w:val="2"/>
          </w:tcPr>
          <w:p>
            <w:pPr>
              <w:ind w:left="180"/>
              <w:spacing w:after="0"/>
              <w:rPr>
                <w:sz w:val="20"/>
                <w:szCs w:val="20"/>
                <w:color w:val="auto"/>
              </w:rPr>
            </w:pPr>
            <w:r>
              <w:rPr>
                <w:rFonts w:ascii="Arial" w:cs="Arial" w:eastAsia="Arial" w:hAnsi="Arial"/>
                <w:sz w:val="14"/>
                <w:szCs w:val="14"/>
                <w:color w:val="auto"/>
              </w:rPr>
              <w:t>Extensions and discoveries</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34</w:t>
            </w:r>
          </w:p>
        </w:tc>
      </w:tr>
      <w:tr>
        <w:trPr>
          <w:trHeight w:val="276"/>
        </w:trPr>
        <w:tc>
          <w:tcPr>
            <w:tcW w:w="8320" w:type="dxa"/>
            <w:vAlign w:val="bottom"/>
            <w:gridSpan w:val="2"/>
          </w:tcPr>
          <w:p>
            <w:pPr>
              <w:ind w:left="180"/>
              <w:spacing w:after="0"/>
              <w:rPr>
                <w:sz w:val="20"/>
                <w:szCs w:val="20"/>
                <w:color w:val="auto"/>
              </w:rPr>
            </w:pPr>
            <w:r>
              <w:rPr>
                <w:rFonts w:ascii="Arial" w:cs="Arial" w:eastAsia="Arial" w:hAnsi="Arial"/>
                <w:sz w:val="14"/>
                <w:szCs w:val="14"/>
                <w:color w:val="auto"/>
              </w:rPr>
              <w:t>Revisions related to performance</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22</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4"/>
                <w:szCs w:val="14"/>
                <w:color w:val="auto"/>
              </w:rPr>
              <w:t>Total (A)</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56</w:t>
            </w:r>
          </w:p>
        </w:tc>
      </w:tr>
      <w:tr>
        <w:trPr>
          <w:trHeight w:val="20"/>
        </w:trPr>
        <w:tc>
          <w:tcPr>
            <w:tcW w:w="5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22"/>
        </w:trPr>
        <w:tc>
          <w:tcPr>
            <w:tcW w:w="8320" w:type="dxa"/>
            <w:vAlign w:val="bottom"/>
            <w:gridSpan w:val="2"/>
          </w:tcPr>
          <w:p>
            <w:pPr>
              <w:ind w:left="40"/>
              <w:spacing w:after="0"/>
              <w:rPr>
                <w:sz w:val="20"/>
                <w:szCs w:val="20"/>
                <w:color w:val="auto"/>
              </w:rPr>
            </w:pPr>
            <w:r>
              <w:rPr>
                <w:rFonts w:ascii="Arial" w:cs="Arial" w:eastAsia="Arial" w:hAnsi="Arial"/>
                <w:sz w:val="14"/>
                <w:szCs w:val="14"/>
                <w:color w:val="auto"/>
              </w:rPr>
              <w:t>Production in 2017 - MMBOE (B)</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47</w:t>
            </w:r>
          </w:p>
        </w:tc>
      </w:tr>
      <w:tr>
        <w:trPr>
          <w:trHeight w:val="270"/>
        </w:trPr>
        <w:tc>
          <w:tcPr>
            <w:tcW w:w="8320" w:type="dxa"/>
            <w:vAlign w:val="bottom"/>
            <w:gridSpan w:val="2"/>
          </w:tcPr>
          <w:p>
            <w:pPr>
              <w:ind w:left="40"/>
              <w:spacing w:after="0"/>
              <w:rPr>
                <w:sz w:val="20"/>
                <w:szCs w:val="20"/>
                <w:color w:val="auto"/>
              </w:rPr>
            </w:pPr>
            <w:r>
              <w:rPr>
                <w:rFonts w:ascii="Arial" w:cs="Arial" w:eastAsia="Arial" w:hAnsi="Arial"/>
                <w:sz w:val="14"/>
                <w:szCs w:val="14"/>
                <w:color w:val="auto"/>
              </w:rPr>
              <w:t>Organic reserve replacement ratio (A)/(B)</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119%</w:t>
            </w:r>
          </w:p>
        </w:tc>
      </w:tr>
    </w:tbl>
    <w:p>
      <w:pPr>
        <w:spacing w:after="0" w:line="327" w:lineRule="exact"/>
        <w:rPr>
          <w:sz w:val="20"/>
          <w:szCs w:val="20"/>
          <w:color w:val="auto"/>
        </w:rPr>
      </w:pPr>
    </w:p>
    <w:p>
      <w:pPr>
        <w:ind w:left="40" w:right="180" w:hanging="5"/>
        <w:spacing w:after="0" w:line="247" w:lineRule="auto"/>
        <w:tabs>
          <w:tab w:leader="none" w:pos="25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organic reserve replacement ratio is calculated for a specified period using the proved oil-equivalent additions from extensions and discoveries and performance-related revisions, divided by oil-equivalent production. There is no guarantee that historical sources of reserves additions will continue as many factors fully or partially outside management's control, including commodity prices, availability of capital and the underlying geology, affect reserves additions. Management uses this measure to gauge the results of its capital program. Other oil and gas producers may use different methods to calculate replacement ratios, which may affect comparability.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Finding and Development Costs</w:t>
            </w:r>
            <w:r>
              <w:rPr>
                <w:rFonts w:ascii="Arial" w:cs="Arial" w:eastAsia="Arial" w:hAnsi="Arial"/>
                <w:sz w:val="17"/>
                <w:szCs w:val="17"/>
                <w:b w:val="1"/>
                <w:bCs w:val="1"/>
                <w:color w:val="auto"/>
                <w:vertAlign w:val="superscript"/>
              </w:rPr>
              <w:t>(2)</w:t>
            </w:r>
          </w:p>
        </w:tc>
        <w:tc>
          <w:tcPr>
            <w:tcW w:w="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320" w:type="dxa"/>
            <w:vAlign w:val="bottom"/>
            <w:gridSpan w:val="2"/>
          </w:tcPr>
          <w:p>
            <w:pPr>
              <w:ind w:left="40"/>
              <w:spacing w:after="0"/>
              <w:rPr>
                <w:sz w:val="20"/>
                <w:szCs w:val="20"/>
                <w:color w:val="auto"/>
              </w:rPr>
            </w:pPr>
            <w:r>
              <w:rPr>
                <w:rFonts w:ascii="Arial" w:cs="Arial" w:eastAsia="Arial" w:hAnsi="Arial"/>
                <w:sz w:val="14"/>
                <w:szCs w:val="14"/>
                <w:color w:val="auto"/>
              </w:rPr>
              <w:t>Costs incurred - in millions (A)</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382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20" w:type="dxa"/>
            <w:vAlign w:val="bottom"/>
            <w:gridSpan w:val="2"/>
          </w:tcPr>
          <w:p>
            <w:pPr>
              <w:ind w:left="40"/>
              <w:spacing w:after="0"/>
              <w:rPr>
                <w:sz w:val="20"/>
                <w:szCs w:val="20"/>
                <w:color w:val="auto"/>
              </w:rPr>
            </w:pPr>
            <w:r>
              <w:rPr>
                <w:rFonts w:ascii="Arial" w:cs="Arial" w:eastAsia="Arial" w:hAnsi="Arial"/>
                <w:sz w:val="14"/>
                <w:szCs w:val="14"/>
                <w:color w:val="auto"/>
              </w:rPr>
              <w:t>Organic proved reserves added - MMBOE (B)</w:t>
            </w:r>
          </w:p>
        </w:tc>
        <w:tc>
          <w:tcPr>
            <w:tcW w:w="22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320" w:type="dxa"/>
            <w:vAlign w:val="bottom"/>
            <w:gridSpan w:val="2"/>
            <w:vMerge w:val="restart"/>
          </w:tcPr>
          <w:p>
            <w:pPr>
              <w:ind w:left="40"/>
              <w:spacing w:after="0"/>
              <w:rPr>
                <w:sz w:val="20"/>
                <w:szCs w:val="20"/>
                <w:color w:val="auto"/>
              </w:rPr>
            </w:pPr>
            <w:r>
              <w:rPr>
                <w:rFonts w:ascii="Arial" w:cs="Arial" w:eastAsia="Arial" w:hAnsi="Arial"/>
                <w:sz w:val="14"/>
                <w:szCs w:val="14"/>
                <w:color w:val="auto"/>
              </w:rPr>
              <w:t>Organic finding and development costs - $/BOE (A)/(B)</w:t>
            </w:r>
          </w:p>
        </w:tc>
        <w:tc>
          <w:tcPr>
            <w:tcW w:w="2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6.82</w:t>
            </w:r>
          </w:p>
        </w:tc>
        <w:tc>
          <w:tcPr>
            <w:tcW w:w="120" w:type="dxa"/>
            <w:vAlign w:val="bottom"/>
          </w:tcPr>
          <w:p>
            <w:pPr>
              <w:jc w:val="right"/>
              <w:spacing w:after="0"/>
              <w:rPr>
                <w:sz w:val="20"/>
                <w:szCs w:val="20"/>
                <w:color w:val="auto"/>
              </w:rPr>
            </w:pPr>
            <w:r>
              <w:rPr>
                <w:rFonts w:ascii="Arial" w:cs="Arial" w:eastAsia="Arial" w:hAnsi="Arial"/>
                <w:sz w:val="9"/>
                <w:szCs w:val="9"/>
                <w:color w:val="auto"/>
                <w:w w:val="90"/>
              </w:rPr>
              <w:t>(3)</w:t>
            </w:r>
          </w:p>
        </w:tc>
        <w:tc>
          <w:tcPr>
            <w:tcW w:w="0" w:type="dxa"/>
            <w:vAlign w:val="bottom"/>
          </w:tcPr>
          <w:p>
            <w:pPr>
              <w:spacing w:after="0"/>
              <w:rPr>
                <w:sz w:val="1"/>
                <w:szCs w:val="1"/>
                <w:color w:val="auto"/>
              </w:rPr>
            </w:pPr>
          </w:p>
        </w:tc>
      </w:tr>
      <w:tr>
        <w:trPr>
          <w:trHeight w:val="70"/>
        </w:trPr>
        <w:tc>
          <w:tcPr>
            <w:tcW w:w="832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6"/>
        </w:trPr>
        <w:tc>
          <w:tcPr>
            <w:tcW w:w="8320" w:type="dxa"/>
            <w:vAlign w:val="bottom"/>
            <w:gridSpan w:val="2"/>
          </w:tcPr>
          <w:p>
            <w:pPr>
              <w:ind w:left="40"/>
              <w:spacing w:after="0"/>
              <w:rPr>
                <w:sz w:val="20"/>
                <w:szCs w:val="20"/>
                <w:color w:val="auto"/>
              </w:rPr>
            </w:pPr>
            <w:r>
              <w:rPr>
                <w:rFonts w:ascii="Arial" w:cs="Arial" w:eastAsia="Arial" w:hAnsi="Arial"/>
                <w:sz w:val="14"/>
                <w:szCs w:val="14"/>
                <w:color w:val="auto"/>
              </w:rPr>
              <w:t>Proved reserves added including price related revisions, net - MMBOE (C)</w:t>
            </w:r>
          </w:p>
        </w:tc>
        <w:tc>
          <w:tcPr>
            <w:tcW w:w="22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97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320" w:type="dxa"/>
            <w:vAlign w:val="bottom"/>
            <w:gridSpan w:val="2"/>
            <w:vMerge w:val="restart"/>
          </w:tcPr>
          <w:p>
            <w:pPr>
              <w:ind w:left="40"/>
              <w:spacing w:after="0"/>
              <w:rPr>
                <w:sz w:val="20"/>
                <w:szCs w:val="20"/>
                <w:color w:val="auto"/>
              </w:rPr>
            </w:pPr>
            <w:r>
              <w:rPr>
                <w:rFonts w:ascii="Arial" w:cs="Arial" w:eastAsia="Arial" w:hAnsi="Arial"/>
                <w:sz w:val="14"/>
                <w:szCs w:val="14"/>
                <w:color w:val="auto"/>
              </w:rPr>
              <w:t>All in finding and development costs - $/BOE (A)/(C)</w:t>
            </w:r>
          </w:p>
        </w:tc>
        <w:tc>
          <w:tcPr>
            <w:tcW w:w="2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3.94</w:t>
            </w:r>
          </w:p>
        </w:tc>
        <w:tc>
          <w:tcPr>
            <w:tcW w:w="120" w:type="dxa"/>
            <w:vAlign w:val="bottom"/>
          </w:tcPr>
          <w:p>
            <w:pPr>
              <w:jc w:val="right"/>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70"/>
        </w:trPr>
        <w:tc>
          <w:tcPr>
            <w:tcW w:w="832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68" w:lineRule="exact"/>
        <w:rPr>
          <w:sz w:val="20"/>
          <w:szCs w:val="20"/>
          <w:color w:val="auto"/>
        </w:rPr>
      </w:pPr>
    </w:p>
    <w:p>
      <w:pPr>
        <w:ind w:left="40" w:right="200" w:hanging="5"/>
        <w:spacing w:after="0" w:line="244"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believe that reporting our finding and development costs can aid investors in their evaluation of our ability to add proved reserves at a reasonable cost but is not a substitute for required GAAP disclosures. Various factors, primarily timing differences and effects of commodity price changes, can cause finding and development costs associated with a particular period's reserves additions to be imprecise. For example, we will need to make more investments in order to develop the proved undeveloped reserves added during the year and any future revisions may change the actual measure from that presented above. In addition, part of the 2017 costs were incurred to convert proved undeveloped reserves from prior years to proved developed reserves. In our calculations, we have not estimated future costs to develop proved undeveloped reserves added in 2017 or removed costs related to proved undeveloped reserves added in prior periods. Our calculations of finding and development costs may not be comparable to similar measures provided by other companies.</w:t>
      </w:r>
    </w:p>
    <w:p>
      <w:pPr>
        <w:spacing w:after="0" w:line="272" w:lineRule="exact"/>
        <w:rPr>
          <w:rFonts w:ascii="Arial" w:cs="Arial" w:eastAsia="Arial" w:hAnsi="Arial"/>
          <w:sz w:val="14"/>
          <w:szCs w:val="14"/>
          <w:color w:val="auto"/>
        </w:rPr>
      </w:pPr>
    </w:p>
    <w:p>
      <w:pPr>
        <w:ind w:left="40" w:right="220" w:hanging="5"/>
        <w:spacing w:after="0" w:line="258"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calculate organic finding and development costs by dividing the costs incurred for the year from the capital program (including development, exploration costs and asset retirement obligations) by the amount of oil-equivalent proved reserves added in the same year from extensions and discoveries and performance-related revisions.</w:t>
      </w:r>
    </w:p>
    <w:p>
      <w:pPr>
        <w:spacing w:after="0" w:line="302" w:lineRule="exact"/>
        <w:rPr>
          <w:rFonts w:ascii="Arial" w:cs="Arial" w:eastAsia="Arial" w:hAnsi="Arial"/>
          <w:sz w:val="14"/>
          <w:szCs w:val="14"/>
          <w:color w:val="auto"/>
        </w:rPr>
      </w:pPr>
    </w:p>
    <w:p>
      <w:pPr>
        <w:ind w:left="40" w:right="120" w:hanging="5"/>
        <w:spacing w:after="0" w:line="250"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calculate all-in finding and development costs by dividing the costs incurred for the year from the capital program (including development, exploration costs and asset retirement obligations) by the amount of oil-equivalent proved reserves added in the same year from extensions and discoveries, performance-related revisions and price-related revisions less the amount of oil-equivalent proved reserves sold in the same year.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00"/>
          </w:cols>
          <w:pgMar w:left="240" w:top="748" w:right="259" w:bottom="1440" w:gutter="0" w:footer="0" w:header="0"/>
        </w:sectPr>
      </w:pPr>
    </w:p>
    <w:bookmarkStart w:id="14" w:name="page15"/>
    <w:bookmarkEnd w:id="14"/>
    <w:p>
      <w:pPr>
        <w:jc w:val="right"/>
        <w:spacing w:after="0"/>
        <w:rPr>
          <w:sz w:val="20"/>
          <w:szCs w:val="20"/>
          <w:color w:val="auto"/>
        </w:rPr>
      </w:pPr>
      <w:r>
        <w:rPr>
          <w:rFonts w:ascii="Arial" w:cs="Arial" w:eastAsia="Arial" w:hAnsi="Arial"/>
          <w:sz w:val="14"/>
          <w:szCs w:val="14"/>
          <w:b w:val="1"/>
          <w:bCs w:val="1"/>
          <w:color w:val="auto"/>
        </w:rPr>
        <w:t>Attachment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43180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NET INCOME / (LOSS) VARIANCE ANALYSIS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20"/>
                <w:szCs w:val="20"/>
                <w:color w:val="auto"/>
              </w:rPr>
            </w:pPr>
            <w:r>
              <w:rPr>
                <w:rFonts w:ascii="Arial" w:cs="Arial" w:eastAsia="Arial" w:hAnsi="Arial"/>
                <w:sz w:val="14"/>
                <w:szCs w:val="14"/>
                <w:b w:val="1"/>
                <w:bCs w:val="1"/>
                <w:color w:val="auto"/>
              </w:rPr>
              <w:t>2016 4th Quarter Adjusted Net Loss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540"/>
        </w:trPr>
        <w:tc>
          <w:tcPr>
            <w:tcW w:w="5120" w:type="dxa"/>
            <w:vAlign w:val="bottom"/>
          </w:tcPr>
          <w:p>
            <w:pPr>
              <w:spacing w:after="0"/>
              <w:rPr>
                <w:sz w:val="20"/>
                <w:szCs w:val="20"/>
                <w:color w:val="auto"/>
              </w:rPr>
            </w:pPr>
            <w:r>
              <w:rPr>
                <w:rFonts w:ascii="Arial" w:cs="Arial" w:eastAsia="Arial" w:hAnsi="Arial"/>
                <w:sz w:val="14"/>
                <w:szCs w:val="14"/>
                <w:color w:val="auto"/>
              </w:rPr>
              <w:t>Price - Oil</w:t>
            </w:r>
          </w:p>
        </w:tc>
        <w:tc>
          <w:tcPr>
            <w:tcW w:w="54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93</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Price - NGLs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21</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Price - Natural Gas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Volume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Production cost</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DD&amp;A</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Exploration expense</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Interest expense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Adjusted general &amp; administrative expenses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All others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82"/>
        </w:trPr>
        <w:tc>
          <w:tcPr>
            <w:tcW w:w="5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4"/>
                <w:szCs w:val="14"/>
                <w:b w:val="1"/>
                <w:bCs w:val="1"/>
                <w:color w:val="auto"/>
              </w:rPr>
              <w:t>2017 4th Quarter Adjusted Net Loss</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r>
      <w:tr>
        <w:trPr>
          <w:trHeight w:val="20"/>
        </w:trPr>
        <w:tc>
          <w:tcPr>
            <w:tcW w:w="5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92"/>
        </w:trPr>
        <w:tc>
          <w:tcPr>
            <w:tcW w:w="5120" w:type="dxa"/>
            <w:vAlign w:val="bottom"/>
          </w:tcPr>
          <w:p>
            <w:pPr>
              <w:spacing w:after="0"/>
              <w:rPr>
                <w:sz w:val="20"/>
                <w:szCs w:val="20"/>
                <w:color w:val="auto"/>
              </w:rPr>
            </w:pPr>
            <w:r>
              <w:rPr>
                <w:rFonts w:ascii="Arial" w:cs="Arial" w:eastAsia="Arial" w:hAnsi="Arial"/>
                <w:sz w:val="14"/>
                <w:szCs w:val="14"/>
                <w:b w:val="1"/>
                <w:bCs w:val="1"/>
                <w:color w:val="auto"/>
              </w:rPr>
              <w:t>2016 Twelve-Month Adjusted Net Loss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(317)</w:t>
            </w:r>
          </w:p>
        </w:tc>
      </w:tr>
      <w:tr>
        <w:trPr>
          <w:trHeight w:val="540"/>
        </w:trPr>
        <w:tc>
          <w:tcPr>
            <w:tcW w:w="5120" w:type="dxa"/>
            <w:vAlign w:val="bottom"/>
          </w:tcPr>
          <w:p>
            <w:pPr>
              <w:spacing w:after="0"/>
              <w:rPr>
                <w:sz w:val="20"/>
                <w:szCs w:val="20"/>
                <w:color w:val="auto"/>
              </w:rPr>
            </w:pPr>
            <w:r>
              <w:rPr>
                <w:rFonts w:ascii="Arial" w:cs="Arial" w:eastAsia="Arial" w:hAnsi="Arial"/>
                <w:sz w:val="14"/>
                <w:szCs w:val="14"/>
                <w:color w:val="auto"/>
              </w:rPr>
              <w:t>Price - Oil</w:t>
            </w:r>
          </w:p>
        </w:tc>
        <w:tc>
          <w:tcPr>
            <w:tcW w:w="54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308</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Price - NGLs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78</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Price - Natural Gas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29</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Volume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Production cost</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DD&amp;A</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Exploration expense</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Interest expense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Adjusted general &amp; administrative expenses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Income tax</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All others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24</w:t>
            </w:r>
          </w:p>
        </w:tc>
      </w:tr>
      <w:tr>
        <w:trPr>
          <w:trHeight w:val="282"/>
        </w:trPr>
        <w:tc>
          <w:tcPr>
            <w:tcW w:w="5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4"/>
                <w:szCs w:val="14"/>
                <w:b w:val="1"/>
                <w:bCs w:val="1"/>
                <w:color w:val="auto"/>
              </w:rPr>
              <w:t>2017 Twelve-Month Adjusted Net Loss</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w:t>
            </w:r>
          </w:p>
        </w:tc>
      </w:tr>
      <w:tr>
        <w:trPr>
          <w:trHeight w:val="20"/>
        </w:trPr>
        <w:tc>
          <w:tcPr>
            <w:tcW w:w="5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60"/>
          </w:cols>
          <w:pgMar w:left="280" w:top="748"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Attachment 5</w:t>
            </w:r>
          </w:p>
        </w:tc>
      </w:tr>
      <w:tr>
        <w:trPr>
          <w:trHeight w:val="20"/>
        </w:trPr>
        <w:tc>
          <w:tcPr>
            <w:tcW w:w="51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 INVESTMENTS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r>
      <w:tr>
        <w:trPr>
          <w:trHeight w:val="250"/>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Fourth Quarter</w:t>
            </w:r>
          </w:p>
        </w:tc>
        <w:tc>
          <w:tcPr>
            <w:tcW w:w="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40" w:type="dxa"/>
            <w:vAlign w:val="bottom"/>
            <w:gridSpan w:val="5"/>
          </w:tcPr>
          <w:p>
            <w:pPr>
              <w:ind w:left="460"/>
              <w:spacing w:after="0"/>
              <w:rPr>
                <w:sz w:val="20"/>
                <w:szCs w:val="20"/>
                <w:color w:val="auto"/>
              </w:rPr>
            </w:pPr>
            <w:r>
              <w:rPr>
                <w:rFonts w:ascii="Arial" w:cs="Arial" w:eastAsia="Arial" w:hAnsi="Arial"/>
                <w:sz w:val="14"/>
                <w:szCs w:val="14"/>
                <w:color w:val="auto"/>
              </w:rPr>
              <w:t>Twelve Months</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color w:val="auto"/>
              </w:rPr>
              <w:t>2016</w:t>
            </w:r>
          </w:p>
        </w:tc>
        <w:tc>
          <w:tcPr>
            <w:tcW w:w="6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22"/>
                <w:szCs w:val="22"/>
                <w:color w:val="auto"/>
              </w:rPr>
            </w:pPr>
          </w:p>
        </w:tc>
      </w:tr>
      <w:tr>
        <w:trPr>
          <w:trHeight w:val="528"/>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Internally Funded Capital Investments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125</w:t>
            </w:r>
          </w:p>
        </w:tc>
        <w:tc>
          <w:tcPr>
            <w:tcW w:w="120" w:type="dxa"/>
            <w:vAlign w:val="bottom"/>
          </w:tcPr>
          <w:p>
            <w:pPr>
              <w:spacing w:after="0"/>
              <w:rPr>
                <w:sz w:val="24"/>
                <w:szCs w:val="24"/>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275</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340" w:type="dxa"/>
            <w:vAlign w:val="bottom"/>
          </w:tcPr>
          <w:p>
            <w:pPr>
              <w:spacing w:after="0"/>
              <w:rPr>
                <w:sz w:val="24"/>
                <w:szCs w:val="24"/>
                <w:color w:val="auto"/>
              </w:rPr>
            </w:pPr>
          </w:p>
        </w:tc>
      </w:tr>
      <w:tr>
        <w:trPr>
          <w:trHeight w:val="432"/>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BSP Funded Capital</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17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Consolidated Reported Capital</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3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MIRA Funded Capital</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58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17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Total Capital Program</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159</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429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3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74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Attachment 6</w:t>
            </w:r>
          </w:p>
        </w:tc>
      </w:tr>
      <w:tr>
        <w:trPr>
          <w:trHeight w:val="20"/>
        </w:trPr>
        <w:tc>
          <w:tcPr>
            <w:tcW w:w="516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45"/>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PRODUCTION STATISTICS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8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Borders>
              <w:bottom w:val="single" w:sz="8" w:color="auto"/>
            </w:tcBorders>
            <w:gridSpan w:val="3"/>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380" w:type="dxa"/>
            <w:vAlign w:val="bottom"/>
            <w:tcBorders>
              <w:bottom w:val="single" w:sz="8" w:color="auto"/>
            </w:tcBorders>
            <w:gridSpan w:val="3"/>
          </w:tcPr>
          <w:p>
            <w:pPr>
              <w:spacing w:after="0"/>
              <w:rPr>
                <w:sz w:val="24"/>
                <w:szCs w:val="24"/>
                <w:color w:val="auto"/>
              </w:rPr>
            </w:pPr>
          </w:p>
        </w:tc>
        <w:tc>
          <w:tcPr>
            <w:tcW w:w="340" w:type="dxa"/>
            <w:vAlign w:val="bottom"/>
          </w:tcPr>
          <w:p>
            <w:pPr>
              <w:spacing w:after="0"/>
              <w:rPr>
                <w:sz w:val="24"/>
                <w:szCs w:val="24"/>
                <w:color w:val="auto"/>
              </w:rPr>
            </w:pPr>
          </w:p>
        </w:tc>
      </w:tr>
      <w:tr>
        <w:trPr>
          <w:trHeight w:val="244"/>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gridSpan w:val="3"/>
          </w:tcPr>
          <w:p>
            <w:pPr>
              <w:ind w:left="980"/>
              <w:spacing w:after="0"/>
              <w:rPr>
                <w:sz w:val="20"/>
                <w:szCs w:val="20"/>
                <w:color w:val="auto"/>
              </w:rPr>
            </w:pPr>
            <w:r>
              <w:rPr>
                <w:rFonts w:ascii="Arial" w:cs="Arial" w:eastAsia="Arial" w:hAnsi="Arial"/>
                <w:sz w:val="14"/>
                <w:szCs w:val="14"/>
                <w:color w:val="auto"/>
              </w:rPr>
              <w:t>Fourth Quarter</w:t>
            </w: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720" w:type="dxa"/>
            <w:vAlign w:val="bottom"/>
            <w:gridSpan w:val="4"/>
          </w:tcPr>
          <w:p>
            <w:pPr>
              <w:ind w:left="720"/>
              <w:spacing w:after="0"/>
              <w:rPr>
                <w:sz w:val="20"/>
                <w:szCs w:val="20"/>
                <w:color w:val="auto"/>
              </w:rPr>
            </w:pPr>
            <w:r>
              <w:rPr>
                <w:rFonts w:ascii="Arial" w:cs="Arial" w:eastAsia="Arial" w:hAnsi="Arial"/>
                <w:sz w:val="14"/>
                <w:szCs w:val="14"/>
                <w:color w:val="auto"/>
              </w:rPr>
              <w:t>Twelve Months</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Oil, NGLs and Natural Gas Production Per Day</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color w:val="auto"/>
              </w:rPr>
              <w:t>2016</w:t>
            </w:r>
          </w:p>
        </w:tc>
        <w:tc>
          <w:tcPr>
            <w:tcW w:w="66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22"/>
                <w:szCs w:val="22"/>
                <w:color w:val="auto"/>
              </w:rPr>
            </w:pPr>
          </w:p>
        </w:tc>
      </w:tr>
      <w:tr>
        <w:trPr>
          <w:trHeight w:val="47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Oil (MBbl/d)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55</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23"/>
                <w:szCs w:val="23"/>
                <w:color w:val="auto"/>
              </w:rPr>
            </w:pPr>
          </w:p>
        </w:tc>
      </w:tr>
      <w:tr>
        <w:trPr>
          <w:trHeight w:val="276"/>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9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244"/>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80</w:t>
            </w:r>
          </w:p>
        </w:tc>
        <w:tc>
          <w:tcPr>
            <w:tcW w:w="1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87</w:t>
            </w:r>
          </w:p>
        </w:tc>
        <w:tc>
          <w:tcPr>
            <w:tcW w:w="660" w:type="dxa"/>
            <w:vAlign w:val="bottom"/>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83</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91</w:t>
            </w:r>
          </w:p>
        </w:tc>
        <w:tc>
          <w:tcPr>
            <w:tcW w:w="340" w:type="dxa"/>
            <w:vAlign w:val="bottom"/>
          </w:tcPr>
          <w:p>
            <w:pPr>
              <w:spacing w:after="0"/>
              <w:rPr>
                <w:sz w:val="21"/>
                <w:szCs w:val="21"/>
                <w:color w:val="auto"/>
              </w:rPr>
            </w:pPr>
          </w:p>
        </w:tc>
      </w:tr>
      <w:tr>
        <w:trPr>
          <w:trHeight w:val="60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NGLs (MBbl/d)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9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3"/>
                <w:szCs w:val="23"/>
                <w:color w:val="auto"/>
              </w:rPr>
            </w:pPr>
          </w:p>
        </w:tc>
      </w:tr>
      <w:tr>
        <w:trPr>
          <w:trHeight w:val="276"/>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9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244"/>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660" w:type="dxa"/>
            <w:vAlign w:val="bottom"/>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340" w:type="dxa"/>
            <w:vAlign w:val="bottom"/>
          </w:tcPr>
          <w:p>
            <w:pPr>
              <w:spacing w:after="0"/>
              <w:rPr>
                <w:sz w:val="21"/>
                <w:szCs w:val="21"/>
                <w:color w:val="auto"/>
              </w:rPr>
            </w:pPr>
          </w:p>
        </w:tc>
      </w:tr>
      <w:tr>
        <w:trPr>
          <w:trHeight w:val="60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Natural Gas (MMcf/d)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152</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140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23"/>
                <w:szCs w:val="23"/>
                <w:color w:val="auto"/>
              </w:rPr>
            </w:pPr>
          </w:p>
        </w:tc>
      </w:tr>
      <w:tr>
        <w:trPr>
          <w:trHeight w:val="276"/>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33</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w:t>
            </w:r>
          </w:p>
        </w:tc>
        <w:tc>
          <w:tcPr>
            <w:tcW w:w="660" w:type="dxa"/>
            <w:vAlign w:val="bottom"/>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340" w:type="dxa"/>
            <w:vAlign w:val="bottom"/>
          </w:tcPr>
          <w:p>
            <w:pPr>
              <w:spacing w:after="0"/>
              <w:rPr>
                <w:sz w:val="24"/>
                <w:szCs w:val="24"/>
                <w:color w:val="auto"/>
              </w:rPr>
            </w:pPr>
          </w:p>
        </w:tc>
      </w:tr>
      <w:tr>
        <w:trPr>
          <w:trHeight w:val="244"/>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195</w:t>
            </w:r>
          </w:p>
        </w:tc>
        <w:tc>
          <w:tcPr>
            <w:tcW w:w="66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182</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340" w:type="dxa"/>
            <w:vAlign w:val="bottom"/>
          </w:tcPr>
          <w:p>
            <w:pPr>
              <w:spacing w:after="0"/>
              <w:rPr>
                <w:sz w:val="21"/>
                <w:szCs w:val="21"/>
                <w:color w:val="auto"/>
              </w:rPr>
            </w:pPr>
          </w:p>
        </w:tc>
      </w:tr>
      <w:tr>
        <w:trPr>
          <w:trHeight w:val="350"/>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Total Production (MBoe/d) </w:t>
            </w:r>
            <w:r>
              <w:rPr>
                <w:rFonts w:ascii="Arial" w:cs="Arial" w:eastAsia="Arial" w:hAnsi="Arial"/>
                <w:sz w:val="17"/>
                <w:szCs w:val="17"/>
                <w:b w:val="1"/>
                <w:bCs w:val="1"/>
                <w:color w:val="auto"/>
                <w:vertAlign w:val="superscript"/>
              </w:rPr>
              <w:t>(a)</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126</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w:t>
            </w:r>
          </w:p>
        </w:tc>
        <w:tc>
          <w:tcPr>
            <w:tcW w:w="660" w:type="dxa"/>
            <w:vAlign w:val="bottom"/>
          </w:tcPr>
          <w:p>
            <w:pPr>
              <w:spacing w:after="0"/>
              <w:rPr>
                <w:sz w:val="20"/>
                <w:szCs w:val="20"/>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w:t>
            </w:r>
          </w:p>
        </w:tc>
        <w:tc>
          <w:tcPr>
            <w:tcW w:w="3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320" w:hanging="5"/>
        <w:spacing w:after="0" w:line="258" w:lineRule="auto"/>
        <w:tabs>
          <w:tab w:leader="none" w:pos="2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between six Mcf of natural gas and one Bbl of oil. Barrels of oil equivalence does not necessarily result in price equivalence.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80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Attachment 7</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PRICE STATISTICS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r>
      <w:tr>
        <w:trPr>
          <w:trHeight w:val="250"/>
        </w:trPr>
        <w:tc>
          <w:tcPr>
            <w:tcW w:w="5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Fourth Quarter</w:t>
            </w:r>
          </w:p>
        </w:tc>
        <w:tc>
          <w:tcPr>
            <w:tcW w:w="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20" w:type="dxa"/>
            <w:vAlign w:val="bottom"/>
            <w:gridSpan w:val="5"/>
          </w:tcPr>
          <w:p>
            <w:pPr>
              <w:ind w:left="480"/>
              <w:spacing w:after="0"/>
              <w:rPr>
                <w:sz w:val="20"/>
                <w:szCs w:val="20"/>
                <w:color w:val="auto"/>
              </w:rPr>
            </w:pPr>
            <w:r>
              <w:rPr>
                <w:rFonts w:ascii="Arial" w:cs="Arial" w:eastAsia="Arial" w:hAnsi="Arial"/>
                <w:sz w:val="14"/>
                <w:szCs w:val="14"/>
                <w:color w:val="auto"/>
              </w:rPr>
              <w:t>Twelve Months</w:t>
            </w:r>
          </w:p>
        </w:tc>
      </w:tr>
      <w:tr>
        <w:trPr>
          <w:trHeight w:val="263"/>
        </w:trPr>
        <w:tc>
          <w:tcPr>
            <w:tcW w:w="50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color w:val="auto"/>
              </w:rPr>
              <w:t>2016</w:t>
            </w:r>
          </w:p>
        </w:tc>
        <w:tc>
          <w:tcPr>
            <w:tcW w:w="6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22"/>
                <w:szCs w:val="22"/>
                <w:color w:val="auto"/>
              </w:rPr>
            </w:pPr>
          </w:p>
        </w:tc>
      </w:tr>
      <w:tr>
        <w:trPr>
          <w:trHeight w:val="258"/>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Realized Prices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5040" w:type="dxa"/>
            <w:vAlign w:val="bottom"/>
          </w:tcPr>
          <w:p>
            <w:pPr>
              <w:ind w:left="80"/>
              <w:spacing w:after="0"/>
              <w:rPr>
                <w:sz w:val="20"/>
                <w:szCs w:val="20"/>
                <w:color w:val="auto"/>
              </w:rPr>
            </w:pPr>
            <w:r>
              <w:rPr>
                <w:rFonts w:ascii="Arial" w:cs="Arial" w:eastAsia="Arial" w:hAnsi="Arial"/>
                <w:sz w:val="14"/>
                <w:szCs w:val="14"/>
                <w:color w:val="auto"/>
              </w:rPr>
              <w:t>Oil with hedge ($/Bbl)</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56.92</w:t>
            </w:r>
          </w:p>
        </w:tc>
        <w:tc>
          <w:tcPr>
            <w:tcW w:w="100" w:type="dxa"/>
            <w:vAlign w:val="bottom"/>
          </w:tcPr>
          <w:p>
            <w:pPr>
              <w:spacing w:after="0"/>
              <w:rPr>
                <w:sz w:val="23"/>
                <w:szCs w:val="23"/>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45.48</w:t>
            </w:r>
          </w:p>
        </w:tc>
        <w:tc>
          <w:tcPr>
            <w:tcW w:w="68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51.24</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42.01</w:t>
            </w:r>
          </w:p>
        </w:tc>
        <w:tc>
          <w:tcPr>
            <w:tcW w:w="340" w:type="dxa"/>
            <w:vAlign w:val="bottom"/>
          </w:tcPr>
          <w:p>
            <w:pPr>
              <w:spacing w:after="0"/>
              <w:rPr>
                <w:sz w:val="23"/>
                <w:szCs w:val="23"/>
                <w:color w:val="auto"/>
              </w:rPr>
            </w:pPr>
          </w:p>
        </w:tc>
      </w:tr>
      <w:tr>
        <w:trPr>
          <w:trHeight w:val="270"/>
        </w:trPr>
        <w:tc>
          <w:tcPr>
            <w:tcW w:w="5040" w:type="dxa"/>
            <w:vAlign w:val="bottom"/>
          </w:tcPr>
          <w:p>
            <w:pPr>
              <w:ind w:left="80"/>
              <w:spacing w:after="0"/>
              <w:rPr>
                <w:sz w:val="20"/>
                <w:szCs w:val="20"/>
                <w:color w:val="auto"/>
              </w:rPr>
            </w:pPr>
            <w:r>
              <w:rPr>
                <w:rFonts w:ascii="Arial" w:cs="Arial" w:eastAsia="Arial" w:hAnsi="Arial"/>
                <w:sz w:val="14"/>
                <w:szCs w:val="14"/>
                <w:color w:val="auto"/>
              </w:rPr>
              <w:t>Oil without hedge ($/Bbl)</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59.87</w:t>
            </w:r>
          </w:p>
        </w:tc>
        <w:tc>
          <w:tcPr>
            <w:tcW w:w="100" w:type="dxa"/>
            <w:vAlign w:val="bottom"/>
          </w:tcPr>
          <w:p>
            <w:pPr>
              <w:spacing w:after="0"/>
              <w:rPr>
                <w:sz w:val="23"/>
                <w:szCs w:val="23"/>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46.60</w:t>
            </w:r>
          </w:p>
        </w:tc>
        <w:tc>
          <w:tcPr>
            <w:tcW w:w="68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51.47</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39.72</w:t>
            </w:r>
          </w:p>
        </w:tc>
        <w:tc>
          <w:tcPr>
            <w:tcW w:w="340" w:type="dxa"/>
            <w:vAlign w:val="bottom"/>
          </w:tcPr>
          <w:p>
            <w:pPr>
              <w:spacing w:after="0"/>
              <w:rPr>
                <w:sz w:val="23"/>
                <w:szCs w:val="23"/>
                <w:color w:val="auto"/>
              </w:rPr>
            </w:pPr>
          </w:p>
        </w:tc>
      </w:tr>
      <w:tr>
        <w:trPr>
          <w:trHeight w:val="392"/>
        </w:trPr>
        <w:tc>
          <w:tcPr>
            <w:tcW w:w="5040" w:type="dxa"/>
            <w:vAlign w:val="bottom"/>
          </w:tcPr>
          <w:p>
            <w:pPr>
              <w:ind w:left="80"/>
              <w:spacing w:after="0"/>
              <w:rPr>
                <w:sz w:val="20"/>
                <w:szCs w:val="20"/>
                <w:color w:val="auto"/>
              </w:rPr>
            </w:pPr>
            <w:r>
              <w:rPr>
                <w:rFonts w:ascii="Arial" w:cs="Arial" w:eastAsia="Arial" w:hAnsi="Arial"/>
                <w:sz w:val="14"/>
                <w:szCs w:val="14"/>
                <w:color w:val="auto"/>
              </w:rPr>
              <w:t>NGLs ($/Bbl)</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44.03</w:t>
            </w:r>
          </w:p>
        </w:tc>
        <w:tc>
          <w:tcPr>
            <w:tcW w:w="100" w:type="dxa"/>
            <w:vAlign w:val="bottom"/>
          </w:tcPr>
          <w:p>
            <w:pPr>
              <w:spacing w:after="0"/>
              <w:rPr>
                <w:sz w:val="24"/>
                <w:szCs w:val="24"/>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28.99</w:t>
            </w:r>
          </w:p>
        </w:tc>
        <w:tc>
          <w:tcPr>
            <w:tcW w:w="68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35.76</w:t>
            </w:r>
          </w:p>
        </w:tc>
        <w:tc>
          <w:tcPr>
            <w:tcW w:w="10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22.39</w:t>
            </w:r>
          </w:p>
        </w:tc>
        <w:tc>
          <w:tcPr>
            <w:tcW w:w="340" w:type="dxa"/>
            <w:vAlign w:val="bottom"/>
          </w:tcPr>
          <w:p>
            <w:pPr>
              <w:spacing w:after="0"/>
              <w:rPr>
                <w:sz w:val="24"/>
                <w:szCs w:val="24"/>
                <w:color w:val="auto"/>
              </w:rPr>
            </w:pPr>
          </w:p>
        </w:tc>
      </w:tr>
      <w:tr>
        <w:trPr>
          <w:trHeight w:val="392"/>
        </w:trPr>
        <w:tc>
          <w:tcPr>
            <w:tcW w:w="5040" w:type="dxa"/>
            <w:vAlign w:val="bottom"/>
          </w:tcPr>
          <w:p>
            <w:pPr>
              <w:ind w:left="80"/>
              <w:spacing w:after="0"/>
              <w:rPr>
                <w:sz w:val="20"/>
                <w:szCs w:val="20"/>
                <w:color w:val="auto"/>
              </w:rPr>
            </w:pPr>
            <w:r>
              <w:rPr>
                <w:rFonts w:ascii="Arial" w:cs="Arial" w:eastAsia="Arial" w:hAnsi="Arial"/>
                <w:sz w:val="14"/>
                <w:szCs w:val="14"/>
                <w:color w:val="auto"/>
              </w:rPr>
              <w:t>Natural gas ($/Mcf)</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2.77</w:t>
            </w:r>
          </w:p>
        </w:tc>
        <w:tc>
          <w:tcPr>
            <w:tcW w:w="100" w:type="dxa"/>
            <w:vAlign w:val="bottom"/>
          </w:tcPr>
          <w:p>
            <w:pPr>
              <w:spacing w:after="0"/>
              <w:rPr>
                <w:sz w:val="24"/>
                <w:szCs w:val="24"/>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2.79</w:t>
            </w:r>
          </w:p>
        </w:tc>
        <w:tc>
          <w:tcPr>
            <w:tcW w:w="68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2.67</w:t>
            </w:r>
          </w:p>
        </w:tc>
        <w:tc>
          <w:tcPr>
            <w:tcW w:w="10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2.28</w:t>
            </w:r>
          </w:p>
        </w:tc>
        <w:tc>
          <w:tcPr>
            <w:tcW w:w="340" w:type="dxa"/>
            <w:vAlign w:val="bottom"/>
          </w:tcPr>
          <w:p>
            <w:pPr>
              <w:spacing w:after="0"/>
              <w:rPr>
                <w:sz w:val="24"/>
                <w:szCs w:val="24"/>
                <w:color w:val="auto"/>
              </w:rPr>
            </w:pPr>
          </w:p>
        </w:tc>
      </w:tr>
      <w:tr>
        <w:trPr>
          <w:trHeight w:val="594"/>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Index Prices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040" w:type="dxa"/>
            <w:vAlign w:val="bottom"/>
          </w:tcPr>
          <w:p>
            <w:pPr>
              <w:ind w:left="80"/>
              <w:spacing w:after="0"/>
              <w:rPr>
                <w:sz w:val="20"/>
                <w:szCs w:val="20"/>
                <w:color w:val="auto"/>
              </w:rPr>
            </w:pPr>
            <w:r>
              <w:rPr>
                <w:rFonts w:ascii="Arial" w:cs="Arial" w:eastAsia="Arial" w:hAnsi="Arial"/>
                <w:sz w:val="14"/>
                <w:szCs w:val="14"/>
                <w:color w:val="auto"/>
              </w:rPr>
              <w:t>Brent oil ($/Bbl)</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61.54</w:t>
            </w:r>
          </w:p>
        </w:tc>
        <w:tc>
          <w:tcPr>
            <w:tcW w:w="100" w:type="dxa"/>
            <w:vAlign w:val="bottom"/>
          </w:tcPr>
          <w:p>
            <w:pPr>
              <w:spacing w:after="0"/>
              <w:rPr>
                <w:sz w:val="23"/>
                <w:szCs w:val="23"/>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51.13</w:t>
            </w:r>
          </w:p>
        </w:tc>
        <w:tc>
          <w:tcPr>
            <w:tcW w:w="68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54.82</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45.04</w:t>
            </w:r>
          </w:p>
        </w:tc>
        <w:tc>
          <w:tcPr>
            <w:tcW w:w="340" w:type="dxa"/>
            <w:vAlign w:val="bottom"/>
          </w:tcPr>
          <w:p>
            <w:pPr>
              <w:spacing w:after="0"/>
              <w:rPr>
                <w:sz w:val="23"/>
                <w:szCs w:val="23"/>
                <w:color w:val="auto"/>
              </w:rPr>
            </w:pPr>
          </w:p>
        </w:tc>
      </w:tr>
      <w:tr>
        <w:trPr>
          <w:trHeight w:val="270"/>
        </w:trPr>
        <w:tc>
          <w:tcPr>
            <w:tcW w:w="5040" w:type="dxa"/>
            <w:vAlign w:val="bottom"/>
          </w:tcPr>
          <w:p>
            <w:pPr>
              <w:ind w:left="80"/>
              <w:spacing w:after="0"/>
              <w:rPr>
                <w:sz w:val="20"/>
                <w:szCs w:val="20"/>
                <w:color w:val="auto"/>
              </w:rPr>
            </w:pPr>
            <w:r>
              <w:rPr>
                <w:rFonts w:ascii="Arial" w:cs="Arial" w:eastAsia="Arial" w:hAnsi="Arial"/>
                <w:sz w:val="14"/>
                <w:szCs w:val="14"/>
                <w:color w:val="auto"/>
              </w:rPr>
              <w:t>WTI oil ($/Bbl)</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55.40</w:t>
            </w:r>
          </w:p>
        </w:tc>
        <w:tc>
          <w:tcPr>
            <w:tcW w:w="100" w:type="dxa"/>
            <w:vAlign w:val="bottom"/>
          </w:tcPr>
          <w:p>
            <w:pPr>
              <w:spacing w:after="0"/>
              <w:rPr>
                <w:sz w:val="23"/>
                <w:szCs w:val="23"/>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49.29</w:t>
            </w:r>
          </w:p>
        </w:tc>
        <w:tc>
          <w:tcPr>
            <w:tcW w:w="68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50.95</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43.32</w:t>
            </w:r>
          </w:p>
        </w:tc>
        <w:tc>
          <w:tcPr>
            <w:tcW w:w="340" w:type="dxa"/>
            <w:vAlign w:val="bottom"/>
          </w:tcPr>
          <w:p>
            <w:pPr>
              <w:spacing w:after="0"/>
              <w:rPr>
                <w:sz w:val="23"/>
                <w:szCs w:val="23"/>
                <w:color w:val="auto"/>
              </w:rPr>
            </w:pPr>
          </w:p>
        </w:tc>
      </w:tr>
      <w:tr>
        <w:trPr>
          <w:trHeight w:val="270"/>
        </w:trPr>
        <w:tc>
          <w:tcPr>
            <w:tcW w:w="5040" w:type="dxa"/>
            <w:vAlign w:val="bottom"/>
          </w:tcPr>
          <w:p>
            <w:pPr>
              <w:ind w:left="80"/>
              <w:spacing w:after="0"/>
              <w:rPr>
                <w:sz w:val="20"/>
                <w:szCs w:val="20"/>
                <w:color w:val="auto"/>
              </w:rPr>
            </w:pPr>
            <w:r>
              <w:rPr>
                <w:rFonts w:ascii="Arial" w:cs="Arial" w:eastAsia="Arial" w:hAnsi="Arial"/>
                <w:sz w:val="14"/>
                <w:szCs w:val="14"/>
                <w:color w:val="auto"/>
              </w:rPr>
              <w:t>NYMEX gas ($/MMBtu)</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23"/>
                <w:szCs w:val="23"/>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2.95</w:t>
            </w:r>
          </w:p>
        </w:tc>
        <w:tc>
          <w:tcPr>
            <w:tcW w:w="68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3.09</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2.42</w:t>
            </w:r>
          </w:p>
        </w:tc>
        <w:tc>
          <w:tcPr>
            <w:tcW w:w="340" w:type="dxa"/>
            <w:vAlign w:val="bottom"/>
          </w:tcPr>
          <w:p>
            <w:pPr>
              <w:spacing w:after="0"/>
              <w:rPr>
                <w:sz w:val="23"/>
                <w:szCs w:val="23"/>
                <w:color w:val="auto"/>
              </w:rPr>
            </w:pPr>
          </w:p>
        </w:tc>
      </w:tr>
    </w:tbl>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60" w:type="dxa"/>
            <w:vAlign w:val="bottom"/>
          </w:tcPr>
          <w:p>
            <w:pPr>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70"/>
        </w:trPr>
        <w:tc>
          <w:tcPr>
            <w:tcW w:w="4560" w:type="dxa"/>
            <w:vAlign w:val="bottom"/>
          </w:tcPr>
          <w:p>
            <w:pPr>
              <w:ind w:left="40"/>
              <w:spacing w:after="0"/>
              <w:rPr>
                <w:sz w:val="20"/>
                <w:szCs w:val="20"/>
                <w:color w:val="auto"/>
              </w:rPr>
            </w:pPr>
            <w:r>
              <w:rPr>
                <w:rFonts w:ascii="Arial" w:cs="Arial" w:eastAsia="Arial" w:hAnsi="Arial"/>
                <w:sz w:val="14"/>
                <w:szCs w:val="14"/>
                <w:color w:val="auto"/>
              </w:rPr>
              <w:t>Oil with hedge as a percentage of Brent</w:t>
            </w:r>
          </w:p>
        </w:tc>
        <w:tc>
          <w:tcPr>
            <w:tcW w:w="2420" w:type="dxa"/>
            <w:vAlign w:val="bottom"/>
          </w:tcPr>
          <w:p>
            <w:pPr>
              <w:jc w:val="right"/>
              <w:ind w:right="548"/>
              <w:spacing w:after="0"/>
              <w:rPr>
                <w:sz w:val="20"/>
                <w:szCs w:val="20"/>
                <w:color w:val="auto"/>
              </w:rPr>
            </w:pPr>
            <w:r>
              <w:rPr>
                <w:rFonts w:ascii="Arial" w:cs="Arial" w:eastAsia="Arial" w:hAnsi="Arial"/>
                <w:sz w:val="14"/>
                <w:szCs w:val="14"/>
                <w:b w:val="1"/>
                <w:bCs w:val="1"/>
                <w:color w:val="auto"/>
              </w:rPr>
              <w:t>92%</w:t>
            </w:r>
          </w:p>
        </w:tc>
        <w:tc>
          <w:tcPr>
            <w:tcW w:w="1640" w:type="dxa"/>
            <w:vAlign w:val="bottom"/>
          </w:tcPr>
          <w:p>
            <w:pPr>
              <w:jc w:val="right"/>
              <w:ind w:right="668"/>
              <w:spacing w:after="0"/>
              <w:rPr>
                <w:sz w:val="20"/>
                <w:szCs w:val="20"/>
                <w:color w:val="auto"/>
              </w:rPr>
            </w:pPr>
            <w:r>
              <w:rPr>
                <w:rFonts w:ascii="Arial" w:cs="Arial" w:eastAsia="Arial" w:hAnsi="Arial"/>
                <w:sz w:val="14"/>
                <w:szCs w:val="14"/>
                <w:color w:val="auto"/>
              </w:rPr>
              <w:t>89%</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93%</w:t>
            </w:r>
          </w:p>
        </w:tc>
        <w:tc>
          <w:tcPr>
            <w:tcW w:w="7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70"/>
        </w:trPr>
        <w:tc>
          <w:tcPr>
            <w:tcW w:w="4560" w:type="dxa"/>
            <w:vAlign w:val="bottom"/>
          </w:tcPr>
          <w:p>
            <w:pPr>
              <w:ind w:left="40"/>
              <w:spacing w:after="0"/>
              <w:rPr>
                <w:sz w:val="20"/>
                <w:szCs w:val="20"/>
                <w:color w:val="auto"/>
              </w:rPr>
            </w:pPr>
            <w:r>
              <w:rPr>
                <w:rFonts w:ascii="Arial" w:cs="Arial" w:eastAsia="Arial" w:hAnsi="Arial"/>
                <w:sz w:val="14"/>
                <w:szCs w:val="14"/>
                <w:color w:val="auto"/>
              </w:rPr>
              <w:t>Oil without hedge as a percentage of Brent</w:t>
            </w:r>
          </w:p>
        </w:tc>
        <w:tc>
          <w:tcPr>
            <w:tcW w:w="2420" w:type="dxa"/>
            <w:vAlign w:val="bottom"/>
          </w:tcPr>
          <w:p>
            <w:pPr>
              <w:jc w:val="right"/>
              <w:ind w:right="548"/>
              <w:spacing w:after="0"/>
              <w:rPr>
                <w:sz w:val="20"/>
                <w:szCs w:val="20"/>
                <w:color w:val="auto"/>
              </w:rPr>
            </w:pPr>
            <w:r>
              <w:rPr>
                <w:rFonts w:ascii="Arial" w:cs="Arial" w:eastAsia="Arial" w:hAnsi="Arial"/>
                <w:sz w:val="14"/>
                <w:szCs w:val="14"/>
                <w:b w:val="1"/>
                <w:bCs w:val="1"/>
                <w:color w:val="auto"/>
              </w:rPr>
              <w:t>97%</w:t>
            </w:r>
          </w:p>
        </w:tc>
        <w:tc>
          <w:tcPr>
            <w:tcW w:w="1640" w:type="dxa"/>
            <w:vAlign w:val="bottom"/>
          </w:tcPr>
          <w:p>
            <w:pPr>
              <w:jc w:val="right"/>
              <w:ind w:right="668"/>
              <w:spacing w:after="0"/>
              <w:rPr>
                <w:sz w:val="20"/>
                <w:szCs w:val="20"/>
                <w:color w:val="auto"/>
              </w:rPr>
            </w:pPr>
            <w:r>
              <w:rPr>
                <w:rFonts w:ascii="Arial" w:cs="Arial" w:eastAsia="Arial" w:hAnsi="Arial"/>
                <w:sz w:val="14"/>
                <w:szCs w:val="14"/>
                <w:color w:val="auto"/>
              </w:rPr>
              <w:t>91%</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94%</w:t>
            </w:r>
          </w:p>
        </w:tc>
        <w:tc>
          <w:tcPr>
            <w:tcW w:w="78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392"/>
        </w:trPr>
        <w:tc>
          <w:tcPr>
            <w:tcW w:w="4560" w:type="dxa"/>
            <w:vAlign w:val="bottom"/>
          </w:tcPr>
          <w:p>
            <w:pPr>
              <w:ind w:left="40"/>
              <w:spacing w:after="0"/>
              <w:rPr>
                <w:sz w:val="20"/>
                <w:szCs w:val="20"/>
                <w:color w:val="auto"/>
              </w:rPr>
            </w:pPr>
            <w:r>
              <w:rPr>
                <w:rFonts w:ascii="Arial" w:cs="Arial" w:eastAsia="Arial" w:hAnsi="Arial"/>
                <w:sz w:val="14"/>
                <w:szCs w:val="14"/>
                <w:color w:val="auto"/>
              </w:rPr>
              <w:t>Oil with hedge as a percentage of WTI</w:t>
            </w:r>
          </w:p>
        </w:tc>
        <w:tc>
          <w:tcPr>
            <w:tcW w:w="2420" w:type="dxa"/>
            <w:vAlign w:val="bottom"/>
          </w:tcPr>
          <w:p>
            <w:pPr>
              <w:jc w:val="right"/>
              <w:ind w:right="548"/>
              <w:spacing w:after="0"/>
              <w:rPr>
                <w:sz w:val="20"/>
                <w:szCs w:val="20"/>
                <w:color w:val="auto"/>
              </w:rPr>
            </w:pPr>
            <w:r>
              <w:rPr>
                <w:rFonts w:ascii="Arial" w:cs="Arial" w:eastAsia="Arial" w:hAnsi="Arial"/>
                <w:sz w:val="14"/>
                <w:szCs w:val="14"/>
                <w:b w:val="1"/>
                <w:bCs w:val="1"/>
                <w:color w:val="auto"/>
              </w:rPr>
              <w:t>103%</w:t>
            </w:r>
          </w:p>
        </w:tc>
        <w:tc>
          <w:tcPr>
            <w:tcW w:w="1640" w:type="dxa"/>
            <w:vAlign w:val="bottom"/>
          </w:tcPr>
          <w:p>
            <w:pPr>
              <w:jc w:val="right"/>
              <w:ind w:right="668"/>
              <w:spacing w:after="0"/>
              <w:rPr>
                <w:sz w:val="20"/>
                <w:szCs w:val="20"/>
                <w:color w:val="auto"/>
              </w:rPr>
            </w:pPr>
            <w:r>
              <w:rPr>
                <w:rFonts w:ascii="Arial" w:cs="Arial" w:eastAsia="Arial" w:hAnsi="Arial"/>
                <w:sz w:val="14"/>
                <w:szCs w:val="14"/>
                <w:color w:val="auto"/>
              </w:rPr>
              <w:t>92%</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101%</w:t>
            </w:r>
          </w:p>
        </w:tc>
        <w:tc>
          <w:tcPr>
            <w:tcW w:w="78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70"/>
        </w:trPr>
        <w:tc>
          <w:tcPr>
            <w:tcW w:w="4560" w:type="dxa"/>
            <w:vAlign w:val="bottom"/>
          </w:tcPr>
          <w:p>
            <w:pPr>
              <w:ind w:left="40"/>
              <w:spacing w:after="0"/>
              <w:rPr>
                <w:sz w:val="20"/>
                <w:szCs w:val="20"/>
                <w:color w:val="auto"/>
              </w:rPr>
            </w:pPr>
            <w:r>
              <w:rPr>
                <w:rFonts w:ascii="Arial" w:cs="Arial" w:eastAsia="Arial" w:hAnsi="Arial"/>
                <w:sz w:val="14"/>
                <w:szCs w:val="14"/>
                <w:color w:val="auto"/>
              </w:rPr>
              <w:t>Oil without hedge as a percentage of WTI</w:t>
            </w:r>
          </w:p>
        </w:tc>
        <w:tc>
          <w:tcPr>
            <w:tcW w:w="2420" w:type="dxa"/>
            <w:vAlign w:val="bottom"/>
          </w:tcPr>
          <w:p>
            <w:pPr>
              <w:jc w:val="right"/>
              <w:ind w:right="548"/>
              <w:spacing w:after="0"/>
              <w:rPr>
                <w:sz w:val="20"/>
                <w:szCs w:val="20"/>
                <w:color w:val="auto"/>
              </w:rPr>
            </w:pPr>
            <w:r>
              <w:rPr>
                <w:rFonts w:ascii="Arial" w:cs="Arial" w:eastAsia="Arial" w:hAnsi="Arial"/>
                <w:sz w:val="14"/>
                <w:szCs w:val="14"/>
                <w:b w:val="1"/>
                <w:bCs w:val="1"/>
                <w:color w:val="auto"/>
              </w:rPr>
              <w:t>108%</w:t>
            </w:r>
          </w:p>
        </w:tc>
        <w:tc>
          <w:tcPr>
            <w:tcW w:w="1640" w:type="dxa"/>
            <w:vAlign w:val="bottom"/>
          </w:tcPr>
          <w:p>
            <w:pPr>
              <w:jc w:val="right"/>
              <w:ind w:right="668"/>
              <w:spacing w:after="0"/>
              <w:rPr>
                <w:sz w:val="20"/>
                <w:szCs w:val="20"/>
                <w:color w:val="auto"/>
              </w:rPr>
            </w:pPr>
            <w:r>
              <w:rPr>
                <w:rFonts w:ascii="Arial" w:cs="Arial" w:eastAsia="Arial" w:hAnsi="Arial"/>
                <w:sz w:val="14"/>
                <w:szCs w:val="14"/>
                <w:color w:val="auto"/>
              </w:rPr>
              <w:t>95%</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101%</w:t>
            </w:r>
          </w:p>
        </w:tc>
        <w:tc>
          <w:tcPr>
            <w:tcW w:w="78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392"/>
        </w:trPr>
        <w:tc>
          <w:tcPr>
            <w:tcW w:w="4560" w:type="dxa"/>
            <w:vAlign w:val="bottom"/>
          </w:tcPr>
          <w:p>
            <w:pPr>
              <w:ind w:left="40"/>
              <w:spacing w:after="0"/>
              <w:rPr>
                <w:sz w:val="20"/>
                <w:szCs w:val="20"/>
                <w:color w:val="auto"/>
              </w:rPr>
            </w:pPr>
            <w:r>
              <w:rPr>
                <w:rFonts w:ascii="Arial" w:cs="Arial" w:eastAsia="Arial" w:hAnsi="Arial"/>
                <w:sz w:val="14"/>
                <w:szCs w:val="14"/>
                <w:color w:val="auto"/>
              </w:rPr>
              <w:t>NGLs as a percentage of Brent</w:t>
            </w:r>
          </w:p>
        </w:tc>
        <w:tc>
          <w:tcPr>
            <w:tcW w:w="2420" w:type="dxa"/>
            <w:vAlign w:val="bottom"/>
          </w:tcPr>
          <w:p>
            <w:pPr>
              <w:jc w:val="right"/>
              <w:ind w:right="548"/>
              <w:spacing w:after="0"/>
              <w:rPr>
                <w:sz w:val="20"/>
                <w:szCs w:val="20"/>
                <w:color w:val="auto"/>
              </w:rPr>
            </w:pPr>
            <w:r>
              <w:rPr>
                <w:rFonts w:ascii="Arial" w:cs="Arial" w:eastAsia="Arial" w:hAnsi="Arial"/>
                <w:sz w:val="14"/>
                <w:szCs w:val="14"/>
                <w:b w:val="1"/>
                <w:bCs w:val="1"/>
                <w:color w:val="auto"/>
              </w:rPr>
              <w:t>72%</w:t>
            </w:r>
          </w:p>
        </w:tc>
        <w:tc>
          <w:tcPr>
            <w:tcW w:w="1640" w:type="dxa"/>
            <w:vAlign w:val="bottom"/>
          </w:tcPr>
          <w:p>
            <w:pPr>
              <w:jc w:val="right"/>
              <w:ind w:right="668"/>
              <w:spacing w:after="0"/>
              <w:rPr>
                <w:sz w:val="20"/>
                <w:szCs w:val="20"/>
                <w:color w:val="auto"/>
              </w:rPr>
            </w:pPr>
            <w:r>
              <w:rPr>
                <w:rFonts w:ascii="Arial" w:cs="Arial" w:eastAsia="Arial" w:hAnsi="Arial"/>
                <w:sz w:val="14"/>
                <w:szCs w:val="14"/>
                <w:color w:val="auto"/>
              </w:rPr>
              <w:t>57%</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65%</w:t>
            </w:r>
          </w:p>
        </w:tc>
        <w:tc>
          <w:tcPr>
            <w:tcW w:w="7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0"/>
        </w:trPr>
        <w:tc>
          <w:tcPr>
            <w:tcW w:w="4560" w:type="dxa"/>
            <w:vAlign w:val="bottom"/>
          </w:tcPr>
          <w:p>
            <w:pPr>
              <w:ind w:left="40"/>
              <w:spacing w:after="0"/>
              <w:rPr>
                <w:sz w:val="20"/>
                <w:szCs w:val="20"/>
                <w:color w:val="auto"/>
              </w:rPr>
            </w:pPr>
            <w:r>
              <w:rPr>
                <w:rFonts w:ascii="Arial" w:cs="Arial" w:eastAsia="Arial" w:hAnsi="Arial"/>
                <w:sz w:val="14"/>
                <w:szCs w:val="14"/>
                <w:color w:val="auto"/>
              </w:rPr>
              <w:t>NGLs as a percentage of WTI</w:t>
            </w:r>
          </w:p>
        </w:tc>
        <w:tc>
          <w:tcPr>
            <w:tcW w:w="2420" w:type="dxa"/>
            <w:vAlign w:val="bottom"/>
          </w:tcPr>
          <w:p>
            <w:pPr>
              <w:jc w:val="right"/>
              <w:ind w:right="548"/>
              <w:spacing w:after="0"/>
              <w:rPr>
                <w:sz w:val="20"/>
                <w:szCs w:val="20"/>
                <w:color w:val="auto"/>
              </w:rPr>
            </w:pPr>
            <w:r>
              <w:rPr>
                <w:rFonts w:ascii="Arial" w:cs="Arial" w:eastAsia="Arial" w:hAnsi="Arial"/>
                <w:sz w:val="14"/>
                <w:szCs w:val="14"/>
                <w:b w:val="1"/>
                <w:bCs w:val="1"/>
                <w:color w:val="auto"/>
              </w:rPr>
              <w:t>79%</w:t>
            </w:r>
          </w:p>
        </w:tc>
        <w:tc>
          <w:tcPr>
            <w:tcW w:w="1640" w:type="dxa"/>
            <w:vAlign w:val="bottom"/>
          </w:tcPr>
          <w:p>
            <w:pPr>
              <w:jc w:val="right"/>
              <w:ind w:right="668"/>
              <w:spacing w:after="0"/>
              <w:rPr>
                <w:sz w:val="20"/>
                <w:szCs w:val="20"/>
                <w:color w:val="auto"/>
              </w:rPr>
            </w:pPr>
            <w:r>
              <w:rPr>
                <w:rFonts w:ascii="Arial" w:cs="Arial" w:eastAsia="Arial" w:hAnsi="Arial"/>
                <w:sz w:val="14"/>
                <w:szCs w:val="14"/>
                <w:color w:val="auto"/>
              </w:rPr>
              <w:t>59%</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70%</w:t>
            </w:r>
          </w:p>
        </w:tc>
        <w:tc>
          <w:tcPr>
            <w:tcW w:w="78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392"/>
        </w:trPr>
        <w:tc>
          <w:tcPr>
            <w:tcW w:w="4560" w:type="dxa"/>
            <w:vAlign w:val="bottom"/>
          </w:tcPr>
          <w:p>
            <w:pPr>
              <w:ind w:left="40"/>
              <w:spacing w:after="0"/>
              <w:rPr>
                <w:sz w:val="20"/>
                <w:szCs w:val="20"/>
                <w:color w:val="auto"/>
              </w:rPr>
            </w:pPr>
            <w:r>
              <w:rPr>
                <w:rFonts w:ascii="Arial" w:cs="Arial" w:eastAsia="Arial" w:hAnsi="Arial"/>
                <w:sz w:val="14"/>
                <w:szCs w:val="14"/>
                <w:color w:val="auto"/>
              </w:rPr>
              <w:t>Natural gas as a percentage of NYMEX</w:t>
            </w:r>
          </w:p>
        </w:tc>
        <w:tc>
          <w:tcPr>
            <w:tcW w:w="2420" w:type="dxa"/>
            <w:vAlign w:val="bottom"/>
          </w:tcPr>
          <w:p>
            <w:pPr>
              <w:jc w:val="right"/>
              <w:ind w:right="548"/>
              <w:spacing w:after="0"/>
              <w:rPr>
                <w:sz w:val="20"/>
                <w:szCs w:val="20"/>
                <w:color w:val="auto"/>
              </w:rPr>
            </w:pPr>
            <w:r>
              <w:rPr>
                <w:rFonts w:ascii="Arial" w:cs="Arial" w:eastAsia="Arial" w:hAnsi="Arial"/>
                <w:sz w:val="14"/>
                <w:szCs w:val="14"/>
                <w:b w:val="1"/>
                <w:bCs w:val="1"/>
                <w:color w:val="auto"/>
              </w:rPr>
              <w:t>92%</w:t>
            </w:r>
          </w:p>
        </w:tc>
        <w:tc>
          <w:tcPr>
            <w:tcW w:w="1640" w:type="dxa"/>
            <w:vAlign w:val="bottom"/>
          </w:tcPr>
          <w:p>
            <w:pPr>
              <w:jc w:val="right"/>
              <w:ind w:right="668"/>
              <w:spacing w:after="0"/>
              <w:rPr>
                <w:sz w:val="20"/>
                <w:szCs w:val="20"/>
                <w:color w:val="auto"/>
              </w:rPr>
            </w:pPr>
            <w:r>
              <w:rPr>
                <w:rFonts w:ascii="Arial" w:cs="Arial" w:eastAsia="Arial" w:hAnsi="Arial"/>
                <w:sz w:val="14"/>
                <w:szCs w:val="14"/>
                <w:color w:val="auto"/>
              </w:rPr>
              <w:t>95%</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86%</w:t>
            </w:r>
          </w:p>
        </w:tc>
        <w:tc>
          <w:tcPr>
            <w:tcW w:w="780" w:type="dxa"/>
            <w:vAlign w:val="bottom"/>
          </w:tcPr>
          <w:p>
            <w:pPr>
              <w:jc w:val="right"/>
              <w:spacing w:after="0"/>
              <w:rPr>
                <w:sz w:val="20"/>
                <w:szCs w:val="20"/>
                <w:color w:val="auto"/>
              </w:rPr>
            </w:pPr>
            <w:r>
              <w:rPr>
                <w:rFonts w:ascii="Arial" w:cs="Arial" w:eastAsia="Arial" w:hAnsi="Arial"/>
                <w:sz w:val="14"/>
                <w:szCs w:val="14"/>
                <w:color w:val="auto"/>
              </w:rPr>
              <w:t>94%</w:t>
            </w:r>
          </w:p>
        </w:tc>
      </w:tr>
    </w:tbl>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80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6"/>
        </w:trPr>
        <w:tc>
          <w:tcPr>
            <w:tcW w:w="3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Attachment 8</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FOURTH QUARTER DRILLING ACTIVITY</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Wells Drilled (Gross)</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Development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567"/>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Exploration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30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Wells</w:t>
            </w: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CRC Wells Drilled </w:t>
            </w:r>
            <w:r>
              <w:rPr>
                <w:rFonts w:ascii="Arial" w:cs="Arial" w:eastAsia="Arial" w:hAnsi="Arial"/>
                <w:sz w:val="17"/>
                <w:szCs w:val="17"/>
                <w:color w:val="auto"/>
                <w:vertAlign w:val="superscript"/>
              </w:rPr>
              <w:t>(a)</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780" w:type="dxa"/>
            <w:vAlign w:val="bottom"/>
            <w:gridSpan w:val="2"/>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gridSpan w:val="2"/>
            <w:vMerge w:val="continue"/>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91"/>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BSP Wells Drilled </w:t>
            </w:r>
            <w:r>
              <w:rPr>
                <w:rFonts w:ascii="Arial" w:cs="Arial" w:eastAsia="Arial" w:hAnsi="Arial"/>
                <w:sz w:val="17"/>
                <w:szCs w:val="17"/>
                <w:color w:val="auto"/>
                <w:vertAlign w:val="superscript"/>
              </w:rPr>
              <w:t>(a)</w:t>
            </w: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gridSpan w:val="2"/>
            <w:vMerge w:val="continue"/>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91"/>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MIRA Wells Drilled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80" w:hanging="145"/>
        <w:spacing w:after="0"/>
        <w:tabs>
          <w:tab w:leader="none" w:pos="18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80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3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Attachment 9</w:t>
            </w: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00" w:type="dxa"/>
            <w:vAlign w:val="bottom"/>
            <w:gridSpan w:val="2"/>
          </w:tcPr>
          <w:p>
            <w:pPr>
              <w:ind w:left="40"/>
              <w:spacing w:after="0"/>
              <w:rPr>
                <w:sz w:val="20"/>
                <w:szCs w:val="20"/>
                <w:color w:val="auto"/>
              </w:rPr>
            </w:pPr>
            <w:r>
              <w:rPr>
                <w:rFonts w:ascii="Arial" w:cs="Arial" w:eastAsia="Arial" w:hAnsi="Arial"/>
                <w:sz w:val="14"/>
                <w:szCs w:val="14"/>
                <w:b w:val="1"/>
                <w:bCs w:val="1"/>
                <w:color w:val="auto"/>
              </w:rPr>
              <w:t>FULL YEAR DRILLING ACTIVITY</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Wells Drilled (Gross)</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5"/>
        </w:trPr>
        <w:tc>
          <w:tcPr>
            <w:tcW w:w="3900" w:type="dxa"/>
            <w:vAlign w:val="bottom"/>
            <w:gridSpan w:val="2"/>
          </w:tcPr>
          <w:p>
            <w:pPr>
              <w:ind w:left="40"/>
              <w:spacing w:after="0"/>
              <w:rPr>
                <w:sz w:val="20"/>
                <w:szCs w:val="20"/>
                <w:color w:val="auto"/>
              </w:rPr>
            </w:pPr>
            <w:r>
              <w:rPr>
                <w:rFonts w:ascii="Arial" w:cs="Arial" w:eastAsia="Arial" w:hAnsi="Arial"/>
                <w:sz w:val="14"/>
                <w:szCs w:val="14"/>
                <w:b w:val="1"/>
                <w:bCs w:val="1"/>
                <w:color w:val="auto"/>
              </w:rPr>
              <w:t>Development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3"/>
                <w:szCs w:val="2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76"/>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44"/>
        </w:trPr>
        <w:tc>
          <w:tcPr>
            <w:tcW w:w="39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567"/>
        </w:trPr>
        <w:tc>
          <w:tcPr>
            <w:tcW w:w="3900" w:type="dxa"/>
            <w:vAlign w:val="bottom"/>
            <w:gridSpan w:val="2"/>
          </w:tcPr>
          <w:p>
            <w:pPr>
              <w:ind w:left="40"/>
              <w:spacing w:after="0"/>
              <w:rPr>
                <w:sz w:val="20"/>
                <w:szCs w:val="20"/>
                <w:color w:val="auto"/>
              </w:rPr>
            </w:pPr>
            <w:r>
              <w:rPr>
                <w:rFonts w:ascii="Arial" w:cs="Arial" w:eastAsia="Arial" w:hAnsi="Arial"/>
                <w:sz w:val="14"/>
                <w:szCs w:val="14"/>
                <w:b w:val="1"/>
                <w:bCs w:val="1"/>
                <w:color w:val="auto"/>
              </w:rPr>
              <w:t>Exploration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44"/>
        </w:trPr>
        <w:tc>
          <w:tcPr>
            <w:tcW w:w="39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30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Wells</w:t>
            </w: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90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CRC Wells Drilled </w:t>
            </w:r>
            <w:r>
              <w:rPr>
                <w:rFonts w:ascii="Arial" w:cs="Arial" w:eastAsia="Arial" w:hAnsi="Arial"/>
                <w:sz w:val="17"/>
                <w:szCs w:val="17"/>
                <w:color w:val="auto"/>
                <w:vertAlign w:val="superscript"/>
              </w:rPr>
              <w:t>(a)</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900" w:type="dxa"/>
            <w:vAlign w:val="bottom"/>
            <w:gridSpan w:val="2"/>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gridSpan w:val="2"/>
            <w:vMerge w:val="continue"/>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91"/>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BSP Wells Drilled </w:t>
            </w:r>
            <w:r>
              <w:rPr>
                <w:rFonts w:ascii="Arial" w:cs="Arial" w:eastAsia="Arial" w:hAnsi="Arial"/>
                <w:sz w:val="17"/>
                <w:szCs w:val="17"/>
                <w:color w:val="auto"/>
                <w:vertAlign w:val="superscript"/>
              </w:rPr>
              <w:t>(a)</w:t>
            </w: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gridSpan w:val="2"/>
            <w:vMerge w:val="continue"/>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MIRA Wells Drilled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80" w:hanging="145"/>
        <w:spacing w:after="0"/>
        <w:tabs>
          <w:tab w:leader="none" w:pos="180"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Includes steam injectors, water injectors and drilled but uncompleted wells, which would not be included in the SEC definition of wells drilled.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801" w:right="239" w:bottom="1440" w:gutter="0" w:footer="0" w:header="0"/>
        </w:sectPr>
      </w:pPr>
    </w:p>
    <w:bookmarkStart w:id="20" w:name="page21"/>
    <w:bookmarkEnd w:id="20"/>
    <w:p>
      <w:pPr>
        <w:ind w:left="10365"/>
        <w:spacing w:after="0"/>
        <w:rPr>
          <w:sz w:val="20"/>
          <w:szCs w:val="20"/>
          <w:color w:val="auto"/>
        </w:rPr>
      </w:pPr>
      <w:r>
        <w:rPr>
          <w:rFonts w:ascii="Arial" w:cs="Arial" w:eastAsia="Arial" w:hAnsi="Arial"/>
          <w:sz w:val="14"/>
          <w:szCs w:val="14"/>
          <w:b w:val="1"/>
          <w:bCs w:val="1"/>
          <w:color w:val="auto"/>
        </w:rPr>
        <w:t>Attachment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26035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43180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5680" w:type="dxa"/>
            <w:vAlign w:val="bottom"/>
          </w:tcPr>
          <w:p>
            <w:pPr>
              <w:spacing w:after="0"/>
              <w:rPr>
                <w:sz w:val="20"/>
                <w:szCs w:val="20"/>
                <w:color w:val="auto"/>
              </w:rPr>
            </w:pPr>
            <w:r>
              <w:rPr>
                <w:rFonts w:ascii="Arial" w:cs="Arial" w:eastAsia="Arial" w:hAnsi="Arial"/>
                <w:sz w:val="14"/>
                <w:szCs w:val="14"/>
                <w:b w:val="1"/>
                <w:bCs w:val="1"/>
                <w:color w:val="auto"/>
              </w:rPr>
              <w:t>HEDGES - CURRENT</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716"/>
        </w:trPr>
        <w:tc>
          <w:tcPr>
            <w:tcW w:w="568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1Q</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2Q</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3Q</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4Q</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1Q</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2Q - 4Q</w:t>
            </w:r>
          </w:p>
        </w:tc>
        <w:tc>
          <w:tcPr>
            <w:tcW w:w="760" w:type="dxa"/>
            <w:vAlign w:val="bottom"/>
          </w:tcPr>
          <w:p>
            <w:pPr>
              <w:ind w:left="340"/>
              <w:spacing w:after="0"/>
              <w:rPr>
                <w:sz w:val="20"/>
                <w:szCs w:val="20"/>
                <w:color w:val="auto"/>
              </w:rPr>
            </w:pPr>
            <w:r>
              <w:rPr>
                <w:rFonts w:ascii="Arial" w:cs="Arial" w:eastAsia="Arial" w:hAnsi="Arial"/>
                <w:sz w:val="14"/>
                <w:szCs w:val="14"/>
                <w:b w:val="1"/>
                <w:bCs w:val="1"/>
                <w:color w:val="auto"/>
              </w:rPr>
              <w:t>FY</w:t>
            </w:r>
          </w:p>
        </w:tc>
      </w:tr>
      <w:tr>
        <w:trPr>
          <w:trHeight w:val="276"/>
        </w:trPr>
        <w:tc>
          <w:tcPr>
            <w:tcW w:w="5680" w:type="dxa"/>
            <w:vAlign w:val="bottom"/>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3"/>
                <w:szCs w:val="2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2020</w:t>
            </w:r>
          </w:p>
        </w:tc>
      </w:tr>
      <w:tr>
        <w:trPr>
          <w:trHeight w:val="258"/>
        </w:trPr>
        <w:tc>
          <w:tcPr>
            <w:tcW w:w="5680" w:type="dxa"/>
            <w:vAlign w:val="bottom"/>
          </w:tcPr>
          <w:p>
            <w:pPr>
              <w:spacing w:after="0"/>
              <w:rPr>
                <w:sz w:val="20"/>
                <w:szCs w:val="20"/>
                <w:color w:val="auto"/>
              </w:rPr>
            </w:pPr>
            <w:r>
              <w:rPr>
                <w:rFonts w:ascii="Arial" w:cs="Arial" w:eastAsia="Arial" w:hAnsi="Arial"/>
                <w:sz w:val="14"/>
                <w:szCs w:val="14"/>
                <w:b w:val="1"/>
                <w:bCs w:val="1"/>
                <w:color w:val="auto"/>
              </w:rPr>
              <w:t>Crude Oil</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Sold Calls:</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Barrels per day</w:t>
            </w:r>
          </w:p>
        </w:tc>
        <w:tc>
          <w:tcPr>
            <w:tcW w:w="680" w:type="dxa"/>
            <w:vAlign w:val="bottom"/>
          </w:tcPr>
          <w:p>
            <w:pPr>
              <w:jc w:val="center"/>
              <w:spacing w:after="0"/>
              <w:rPr>
                <w:sz w:val="20"/>
                <w:szCs w:val="20"/>
                <w:color w:val="auto"/>
              </w:rPr>
            </w:pPr>
            <w:r>
              <w:rPr>
                <w:rFonts w:ascii="Arial" w:cs="Arial" w:eastAsia="Arial" w:hAnsi="Arial"/>
                <w:sz w:val="14"/>
                <w:szCs w:val="14"/>
                <w:color w:val="auto"/>
              </w:rPr>
              <w:t>9,000</w:t>
            </w:r>
          </w:p>
        </w:tc>
        <w:tc>
          <w:tcPr>
            <w:tcW w:w="14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6,200</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16,100</w:t>
            </w:r>
          </w:p>
        </w:tc>
        <w:tc>
          <w:tcPr>
            <w:tcW w:w="1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16,100</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1,000</w:t>
            </w:r>
          </w:p>
        </w:tc>
        <w:tc>
          <w:tcPr>
            <w:tcW w:w="760" w:type="dxa"/>
            <w:vAlign w:val="bottom"/>
          </w:tcPr>
          <w:p>
            <w:pPr>
              <w:jc w:val="center"/>
              <w:ind w:left="8"/>
              <w:spacing w:after="0"/>
              <w:rPr>
                <w:sz w:val="20"/>
                <w:szCs w:val="20"/>
                <w:color w:val="auto"/>
              </w:rPr>
            </w:pPr>
            <w:r>
              <w:rPr>
                <w:rFonts w:ascii="Arial" w:cs="Arial" w:eastAsia="Arial" w:hAnsi="Arial"/>
                <w:sz w:val="14"/>
                <w:szCs w:val="14"/>
                <w:color w:val="auto"/>
              </w:rPr>
              <w:t>500</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Weighted-average Brent price per barrel</w:t>
            </w:r>
          </w:p>
        </w:tc>
        <w:tc>
          <w:tcPr>
            <w:tcW w:w="680" w:type="dxa"/>
            <w:vAlign w:val="bottom"/>
          </w:tcPr>
          <w:p>
            <w:pPr>
              <w:jc w:val="center"/>
              <w:spacing w:after="0"/>
              <w:rPr>
                <w:sz w:val="20"/>
                <w:szCs w:val="20"/>
                <w:color w:val="auto"/>
              </w:rPr>
            </w:pPr>
            <w:r>
              <w:rPr>
                <w:rFonts w:ascii="Arial" w:cs="Arial" w:eastAsia="Arial" w:hAnsi="Arial"/>
                <w:sz w:val="14"/>
                <w:szCs w:val="14"/>
                <w:color w:val="auto"/>
              </w:rPr>
              <w:t>$59.58</w:t>
            </w:r>
          </w:p>
        </w:tc>
        <w:tc>
          <w:tcPr>
            <w:tcW w:w="14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$60.24</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$58.91</w:t>
            </w:r>
          </w:p>
        </w:tc>
        <w:tc>
          <w:tcPr>
            <w:tcW w:w="1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$58.91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$60.00</w:t>
            </w:r>
          </w:p>
        </w:tc>
        <w:tc>
          <w:tcPr>
            <w:tcW w:w="760" w:type="dxa"/>
            <w:vAlign w:val="bottom"/>
          </w:tcPr>
          <w:p>
            <w:pPr>
              <w:jc w:val="center"/>
              <w:ind w:left="8"/>
              <w:spacing w:after="0"/>
              <w:rPr>
                <w:sz w:val="20"/>
                <w:szCs w:val="20"/>
                <w:color w:val="auto"/>
              </w:rPr>
            </w:pPr>
            <w:r>
              <w:rPr>
                <w:rFonts w:ascii="Arial" w:cs="Arial" w:eastAsia="Arial" w:hAnsi="Arial"/>
                <w:sz w:val="14"/>
                <w:szCs w:val="14"/>
                <w:color w:val="auto"/>
              </w:rPr>
              <w:t>$60.00</w:t>
            </w:r>
          </w:p>
        </w:tc>
      </w:tr>
      <w:tr>
        <w:trPr>
          <w:trHeight w:val="567"/>
        </w:trPr>
        <w:tc>
          <w:tcPr>
            <w:tcW w:w="5680" w:type="dxa"/>
            <w:vAlign w:val="bottom"/>
          </w:tcPr>
          <w:p>
            <w:pPr>
              <w:spacing w:after="0"/>
              <w:rPr>
                <w:sz w:val="20"/>
                <w:szCs w:val="20"/>
                <w:color w:val="auto"/>
              </w:rPr>
            </w:pPr>
            <w:r>
              <w:rPr>
                <w:rFonts w:ascii="Arial" w:cs="Arial" w:eastAsia="Arial" w:hAnsi="Arial"/>
                <w:sz w:val="14"/>
                <w:szCs w:val="14"/>
                <w:color w:val="auto"/>
              </w:rPr>
              <w:t>Purchased Calls: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Barrels per day</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Weighted-average Brent price per barrel</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$71.00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28"/>
              <w:spacing w:after="0"/>
              <w:rPr>
                <w:sz w:val="20"/>
                <w:szCs w:val="20"/>
                <w:color w:val="auto"/>
              </w:rPr>
            </w:pPr>
            <w:r>
              <w:rPr>
                <w:rFonts w:ascii="Arial" w:cs="Arial" w:eastAsia="Arial" w:hAnsi="Arial"/>
                <w:sz w:val="14"/>
                <w:szCs w:val="14"/>
                <w:color w:val="auto"/>
              </w:rPr>
              <w:t>$—</w:t>
            </w:r>
          </w:p>
        </w:tc>
      </w:tr>
      <w:tr>
        <w:trPr>
          <w:trHeight w:val="567"/>
        </w:trPr>
        <w:tc>
          <w:tcPr>
            <w:tcW w:w="5680" w:type="dxa"/>
            <w:vAlign w:val="bottom"/>
          </w:tcPr>
          <w:p>
            <w:pPr>
              <w:spacing w:after="0"/>
              <w:rPr>
                <w:sz w:val="20"/>
                <w:szCs w:val="20"/>
                <w:color w:val="auto"/>
              </w:rPr>
            </w:pPr>
            <w:r>
              <w:rPr>
                <w:rFonts w:ascii="Arial" w:cs="Arial" w:eastAsia="Arial" w:hAnsi="Arial"/>
                <w:sz w:val="14"/>
                <w:szCs w:val="14"/>
                <w:color w:val="auto"/>
              </w:rPr>
              <w:t>Purchased Puts: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Barrels per day</w:t>
            </w:r>
          </w:p>
        </w:tc>
        <w:tc>
          <w:tcPr>
            <w:tcW w:w="680" w:type="dxa"/>
            <w:vAlign w:val="bottom"/>
          </w:tcPr>
          <w:p>
            <w:pPr>
              <w:jc w:val="center"/>
              <w:spacing w:after="0"/>
              <w:rPr>
                <w:sz w:val="20"/>
                <w:szCs w:val="20"/>
                <w:color w:val="auto"/>
              </w:rPr>
            </w:pPr>
            <w:r>
              <w:rPr>
                <w:rFonts w:ascii="Arial" w:cs="Arial" w:eastAsia="Arial" w:hAnsi="Arial"/>
                <w:sz w:val="14"/>
                <w:szCs w:val="14"/>
                <w:color w:val="auto"/>
              </w:rPr>
              <w:t>1,200</w:t>
            </w:r>
          </w:p>
        </w:tc>
        <w:tc>
          <w:tcPr>
            <w:tcW w:w="14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6,100</w:t>
            </w:r>
          </w:p>
        </w:tc>
        <w:tc>
          <w:tcPr>
            <w:tcW w:w="1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14,100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1,000</w:t>
            </w:r>
          </w:p>
        </w:tc>
        <w:tc>
          <w:tcPr>
            <w:tcW w:w="760" w:type="dxa"/>
            <w:vAlign w:val="bottom"/>
          </w:tcPr>
          <w:p>
            <w:pPr>
              <w:jc w:val="center"/>
              <w:ind w:left="8"/>
              <w:spacing w:after="0"/>
              <w:rPr>
                <w:sz w:val="20"/>
                <w:szCs w:val="20"/>
                <w:color w:val="auto"/>
              </w:rPr>
            </w:pPr>
            <w:r>
              <w:rPr>
                <w:rFonts w:ascii="Arial" w:cs="Arial" w:eastAsia="Arial" w:hAnsi="Arial"/>
                <w:sz w:val="14"/>
                <w:szCs w:val="14"/>
                <w:color w:val="auto"/>
              </w:rPr>
              <w:t>500</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Weighted-average Brent price per barrel</w:t>
            </w:r>
          </w:p>
        </w:tc>
        <w:tc>
          <w:tcPr>
            <w:tcW w:w="680" w:type="dxa"/>
            <w:vAlign w:val="bottom"/>
          </w:tcPr>
          <w:p>
            <w:pPr>
              <w:jc w:val="center"/>
              <w:spacing w:after="0"/>
              <w:rPr>
                <w:sz w:val="20"/>
                <w:szCs w:val="20"/>
                <w:color w:val="auto"/>
              </w:rPr>
            </w:pPr>
            <w:r>
              <w:rPr>
                <w:rFonts w:ascii="Arial" w:cs="Arial" w:eastAsia="Arial" w:hAnsi="Arial"/>
                <w:sz w:val="14"/>
                <w:szCs w:val="14"/>
                <w:color w:val="auto"/>
              </w:rPr>
              <w:t>$45.82</w:t>
            </w:r>
          </w:p>
        </w:tc>
        <w:tc>
          <w:tcPr>
            <w:tcW w:w="14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$45.83</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$61.48</w:t>
            </w:r>
          </w:p>
        </w:tc>
        <w:tc>
          <w:tcPr>
            <w:tcW w:w="1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$45.85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$58.93</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$45.85</w:t>
            </w:r>
          </w:p>
        </w:tc>
        <w:tc>
          <w:tcPr>
            <w:tcW w:w="760" w:type="dxa"/>
            <w:vAlign w:val="bottom"/>
          </w:tcPr>
          <w:p>
            <w:pPr>
              <w:jc w:val="center"/>
              <w:ind w:left="8"/>
              <w:spacing w:after="0"/>
              <w:rPr>
                <w:sz w:val="20"/>
                <w:szCs w:val="20"/>
                <w:color w:val="auto"/>
              </w:rPr>
            </w:pPr>
            <w:r>
              <w:rPr>
                <w:rFonts w:ascii="Arial" w:cs="Arial" w:eastAsia="Arial" w:hAnsi="Arial"/>
                <w:sz w:val="14"/>
                <w:szCs w:val="14"/>
                <w:color w:val="auto"/>
              </w:rPr>
              <w:t>$43.91</w:t>
            </w:r>
          </w:p>
        </w:tc>
      </w:tr>
      <w:tr>
        <w:trPr>
          <w:trHeight w:val="567"/>
        </w:trPr>
        <w:tc>
          <w:tcPr>
            <w:tcW w:w="5680" w:type="dxa"/>
            <w:vAlign w:val="bottom"/>
          </w:tcPr>
          <w:p>
            <w:pPr>
              <w:spacing w:after="0"/>
              <w:rPr>
                <w:sz w:val="20"/>
                <w:szCs w:val="20"/>
                <w:color w:val="auto"/>
              </w:rPr>
            </w:pPr>
            <w:r>
              <w:rPr>
                <w:rFonts w:ascii="Arial" w:cs="Arial" w:eastAsia="Arial" w:hAnsi="Arial"/>
                <w:sz w:val="14"/>
                <w:szCs w:val="14"/>
                <w:color w:val="auto"/>
              </w:rPr>
              <w:t>Sold Puts: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Barrels per day</w:t>
            </w:r>
          </w:p>
        </w:tc>
        <w:tc>
          <w:tcPr>
            <w:tcW w:w="680" w:type="dxa"/>
            <w:vAlign w:val="bottom"/>
          </w:tcPr>
          <w:p>
            <w:pPr>
              <w:jc w:val="center"/>
              <w:spacing w:after="0"/>
              <w:rPr>
                <w:sz w:val="20"/>
                <w:szCs w:val="20"/>
                <w:color w:val="auto"/>
              </w:rPr>
            </w:pPr>
            <w:r>
              <w:rPr>
                <w:rFonts w:ascii="Arial" w:cs="Arial" w:eastAsia="Arial" w:hAnsi="Arial"/>
                <w:sz w:val="14"/>
                <w:szCs w:val="14"/>
                <w:color w:val="auto"/>
              </w:rPr>
              <w:t>29,000</w:t>
            </w:r>
          </w:p>
        </w:tc>
        <w:tc>
          <w:tcPr>
            <w:tcW w:w="14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29,000</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24,000</w:t>
            </w:r>
          </w:p>
        </w:tc>
        <w:tc>
          <w:tcPr>
            <w:tcW w:w="1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19,000</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Weighted-average Brent price per barrel</w:t>
            </w:r>
          </w:p>
        </w:tc>
        <w:tc>
          <w:tcPr>
            <w:tcW w:w="680" w:type="dxa"/>
            <w:vAlign w:val="bottom"/>
          </w:tcPr>
          <w:p>
            <w:pPr>
              <w:jc w:val="center"/>
              <w:spacing w:after="0"/>
              <w:rPr>
                <w:sz w:val="20"/>
                <w:szCs w:val="20"/>
                <w:color w:val="auto"/>
              </w:rPr>
            </w:pPr>
            <w:r>
              <w:rPr>
                <w:rFonts w:ascii="Arial" w:cs="Arial" w:eastAsia="Arial" w:hAnsi="Arial"/>
                <w:sz w:val="14"/>
                <w:szCs w:val="14"/>
                <w:color w:val="auto"/>
              </w:rPr>
              <w:t>$45.00</w:t>
            </w:r>
          </w:p>
        </w:tc>
        <w:tc>
          <w:tcPr>
            <w:tcW w:w="14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$46.04</w:t>
            </w:r>
          </w:p>
        </w:tc>
        <w:tc>
          <w:tcPr>
            <w:tcW w:w="1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$45.00</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$47.50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28"/>
              <w:spacing w:after="0"/>
              <w:rPr>
                <w:sz w:val="20"/>
                <w:szCs w:val="20"/>
                <w:color w:val="auto"/>
              </w:rPr>
            </w:pPr>
            <w:r>
              <w:rPr>
                <w:rFonts w:ascii="Arial" w:cs="Arial" w:eastAsia="Arial" w:hAnsi="Arial"/>
                <w:sz w:val="14"/>
                <w:szCs w:val="14"/>
                <w:color w:val="auto"/>
              </w:rPr>
              <w:t>$—</w:t>
            </w:r>
          </w:p>
        </w:tc>
      </w:tr>
      <w:tr>
        <w:trPr>
          <w:trHeight w:val="567"/>
        </w:trPr>
        <w:tc>
          <w:tcPr>
            <w:tcW w:w="5680" w:type="dxa"/>
            <w:vAlign w:val="bottom"/>
          </w:tcPr>
          <w:p>
            <w:pPr>
              <w:spacing w:after="0"/>
              <w:rPr>
                <w:sz w:val="20"/>
                <w:szCs w:val="20"/>
                <w:color w:val="auto"/>
              </w:rPr>
            </w:pPr>
            <w:r>
              <w:rPr>
                <w:rFonts w:ascii="Arial" w:cs="Arial" w:eastAsia="Arial" w:hAnsi="Arial"/>
                <w:sz w:val="14"/>
                <w:szCs w:val="14"/>
                <w:color w:val="auto"/>
              </w:rPr>
              <w:t>Swaps: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Barrels per day</w:t>
            </w:r>
          </w:p>
        </w:tc>
        <w:tc>
          <w:tcPr>
            <w:tcW w:w="680" w:type="dxa"/>
            <w:vAlign w:val="bottom"/>
          </w:tcPr>
          <w:p>
            <w:pPr>
              <w:jc w:val="center"/>
              <w:spacing w:after="0"/>
              <w:rPr>
                <w:sz w:val="20"/>
                <w:szCs w:val="20"/>
                <w:color w:val="auto"/>
              </w:rPr>
            </w:pPr>
            <w:r>
              <w:rPr>
                <w:rFonts w:ascii="Arial" w:cs="Arial" w:eastAsia="Arial" w:hAnsi="Arial"/>
                <w:sz w:val="14"/>
                <w:szCs w:val="14"/>
                <w:color w:val="auto"/>
              </w:rPr>
              <w:t>38,300</w:t>
            </w:r>
          </w:p>
        </w:tc>
        <w:tc>
          <w:tcPr>
            <w:tcW w:w="14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34,000</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19,000</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23"/>
                <w:szCs w:val="23"/>
                <w:color w:val="auto"/>
              </w:rPr>
            </w:pPr>
          </w:p>
        </w:tc>
        <w:tc>
          <w:tcPr>
            <w:tcW w:w="920" w:type="dxa"/>
            <w:vAlign w:val="bottom"/>
          </w:tcPr>
          <w:p>
            <w:pPr>
              <w:ind w:left="300"/>
              <w:spacing w:after="0"/>
              <w:rPr>
                <w:sz w:val="20"/>
                <w:szCs w:val="20"/>
                <w:color w:val="auto"/>
              </w:rPr>
            </w:pPr>
            <w:r>
              <w:rPr>
                <w:rFonts w:ascii="Arial" w:cs="Arial" w:eastAsia="Arial" w:hAnsi="Arial"/>
                <w:sz w:val="14"/>
                <w:szCs w:val="14"/>
                <w:color w:val="auto"/>
              </w:rPr>
              <w: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Weighted-average Brent price per barrel</w:t>
            </w:r>
          </w:p>
        </w:tc>
        <w:tc>
          <w:tcPr>
            <w:tcW w:w="680" w:type="dxa"/>
            <w:vAlign w:val="bottom"/>
          </w:tcPr>
          <w:p>
            <w:pPr>
              <w:jc w:val="center"/>
              <w:spacing w:after="0"/>
              <w:rPr>
                <w:sz w:val="20"/>
                <w:szCs w:val="20"/>
                <w:color w:val="auto"/>
              </w:rPr>
            </w:pPr>
            <w:r>
              <w:rPr>
                <w:rFonts w:ascii="Arial" w:cs="Arial" w:eastAsia="Arial" w:hAnsi="Arial"/>
                <w:sz w:val="14"/>
                <w:szCs w:val="14"/>
                <w:color w:val="auto"/>
              </w:rPr>
              <w:t>$60.03</w:t>
            </w:r>
          </w:p>
        </w:tc>
        <w:tc>
          <w:tcPr>
            <w:tcW w:w="14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$60.13</w:t>
            </w:r>
          </w:p>
        </w:tc>
        <w:tc>
          <w:tcPr>
            <w:tcW w:w="1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$60.13</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$67.71</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28"/>
              <w:spacing w:after="0"/>
              <w:rPr>
                <w:sz w:val="20"/>
                <w:szCs w:val="20"/>
                <w:color w:val="auto"/>
              </w:rPr>
            </w:pPr>
            <w:r>
              <w:rPr>
                <w:rFonts w:ascii="Arial" w:cs="Arial" w:eastAsia="Arial" w:hAnsi="Arial"/>
                <w:sz w:val="14"/>
                <w:szCs w:val="14"/>
                <w:color w:val="auto"/>
              </w:rPr>
              <w:t>$—</w:t>
            </w:r>
          </w:p>
        </w:tc>
      </w:tr>
    </w:tbl>
    <w:p>
      <w:pPr>
        <w:spacing w:after="0" w:line="341" w:lineRule="exact"/>
        <w:rPr>
          <w:sz w:val="20"/>
          <w:szCs w:val="20"/>
          <w:color w:val="auto"/>
        </w:rPr>
      </w:pPr>
    </w:p>
    <w:p>
      <w:pPr>
        <w:ind w:left="5" w:right="420"/>
        <w:spacing w:after="0" w:line="258" w:lineRule="auto"/>
        <w:rPr>
          <w:sz w:val="20"/>
          <w:szCs w:val="20"/>
          <w:color w:val="auto"/>
        </w:rPr>
      </w:pPr>
      <w:r>
        <w:rPr>
          <w:rFonts w:ascii="Arial" w:cs="Arial" w:eastAsia="Arial" w:hAnsi="Arial"/>
          <w:sz w:val="14"/>
          <w:szCs w:val="14"/>
          <w:color w:val="auto"/>
        </w:rPr>
        <w:t>A small portion of the derivatives in the table above were entered into by the BSP JV, including some of the 2019 and all of the 2020 positions. The BSP JV also entered into natural gas swaps for insignificant volumes for the period of February 2018 to July 2020.</w:t>
      </w:r>
    </w:p>
    <w:p>
      <w:pPr>
        <w:spacing w:after="0" w:line="302" w:lineRule="exact"/>
        <w:rPr>
          <w:sz w:val="20"/>
          <w:szCs w:val="20"/>
          <w:color w:val="auto"/>
        </w:rPr>
      </w:pPr>
    </w:p>
    <w:p>
      <w:pPr>
        <w:ind w:left="5"/>
        <w:spacing w:after="0"/>
        <w:rPr>
          <w:sz w:val="20"/>
          <w:szCs w:val="20"/>
          <w:color w:val="auto"/>
        </w:rPr>
      </w:pPr>
      <w:r>
        <w:rPr>
          <w:rFonts w:ascii="Arial" w:cs="Arial" w:eastAsia="Arial" w:hAnsi="Arial"/>
          <w:sz w:val="14"/>
          <w:szCs w:val="14"/>
          <w:color w:val="auto"/>
        </w:rPr>
        <w:t>Certain of our counterparties have options to increase swap volumes by up to:</w:t>
      </w:r>
    </w:p>
    <w:p>
      <w:pPr>
        <w:spacing w:after="0" w:line="163" w:lineRule="exact"/>
        <w:rPr>
          <w:sz w:val="20"/>
          <w:szCs w:val="20"/>
          <w:color w:val="auto"/>
        </w:rPr>
      </w:pPr>
    </w:p>
    <w:p>
      <w:pPr>
        <w:ind w:left="85" w:hanging="85"/>
        <w:spacing w:after="0"/>
        <w:tabs>
          <w:tab w:leader="none" w:pos="85" w:val="left"/>
        </w:tabs>
        <w:numPr>
          <w:ilvl w:val="0"/>
          <w:numId w:val="13"/>
        </w:numPr>
        <w:rPr>
          <w:rFonts w:ascii="Arial" w:cs="Arial" w:eastAsia="Arial" w:hAnsi="Arial"/>
          <w:sz w:val="14"/>
          <w:szCs w:val="14"/>
          <w:color w:val="auto"/>
        </w:rPr>
      </w:pPr>
      <w:r>
        <w:rPr>
          <w:rFonts w:ascii="Arial" w:cs="Arial" w:eastAsia="Arial" w:hAnsi="Arial"/>
          <w:sz w:val="14"/>
          <w:szCs w:val="14"/>
          <w:color w:val="auto"/>
        </w:rPr>
        <w:t>19,000 barrels per day at a weighted-average Brent price of $60.00 for the second quarter of 2018;</w:t>
      </w:r>
    </w:p>
    <w:p>
      <w:pPr>
        <w:spacing w:after="0" w:line="1" w:lineRule="exact"/>
        <w:rPr>
          <w:rFonts w:ascii="Arial" w:cs="Arial" w:eastAsia="Arial" w:hAnsi="Arial"/>
          <w:sz w:val="14"/>
          <w:szCs w:val="14"/>
          <w:color w:val="auto"/>
        </w:rPr>
      </w:pPr>
    </w:p>
    <w:p>
      <w:pPr>
        <w:ind w:left="85" w:hanging="85"/>
        <w:spacing w:after="0"/>
        <w:tabs>
          <w:tab w:leader="none" w:pos="85" w:val="left"/>
        </w:tabs>
        <w:numPr>
          <w:ilvl w:val="0"/>
          <w:numId w:val="13"/>
        </w:numPr>
        <w:rPr>
          <w:rFonts w:ascii="Arial" w:cs="Arial" w:eastAsia="Arial" w:hAnsi="Arial"/>
          <w:sz w:val="14"/>
          <w:szCs w:val="14"/>
          <w:color w:val="auto"/>
        </w:rPr>
      </w:pPr>
      <w:r>
        <w:rPr>
          <w:rFonts w:ascii="Arial" w:cs="Arial" w:eastAsia="Arial" w:hAnsi="Arial"/>
          <w:sz w:val="14"/>
          <w:szCs w:val="14"/>
          <w:color w:val="auto"/>
        </w:rPr>
        <w:t>29,000 barrels per day at a weighted-average Brent price of $60.50 for the second half of 2018 and</w:t>
      </w:r>
    </w:p>
    <w:p>
      <w:pPr>
        <w:spacing w:after="0" w:line="1" w:lineRule="exact"/>
        <w:rPr>
          <w:rFonts w:ascii="Arial" w:cs="Arial" w:eastAsia="Arial" w:hAnsi="Arial"/>
          <w:sz w:val="14"/>
          <w:szCs w:val="14"/>
          <w:color w:val="auto"/>
        </w:rPr>
      </w:pPr>
    </w:p>
    <w:p>
      <w:pPr>
        <w:ind w:left="85" w:hanging="85"/>
        <w:spacing w:after="0"/>
        <w:tabs>
          <w:tab w:leader="none" w:pos="85" w:val="left"/>
        </w:tabs>
        <w:numPr>
          <w:ilvl w:val="0"/>
          <w:numId w:val="13"/>
        </w:numPr>
        <w:rPr>
          <w:rFonts w:ascii="Arial" w:cs="Arial" w:eastAsia="Arial" w:hAnsi="Arial"/>
          <w:sz w:val="14"/>
          <w:szCs w:val="14"/>
          <w:color w:val="auto"/>
        </w:rPr>
      </w:pPr>
      <w:r>
        <w:rPr>
          <w:rFonts w:ascii="Arial" w:cs="Arial" w:eastAsia="Arial" w:hAnsi="Arial"/>
          <w:sz w:val="14"/>
          <w:szCs w:val="14"/>
          <w:color w:val="auto"/>
        </w:rPr>
        <w:t>5,000 barrels per day at a weighted-average Brent price of $70.00 for the first quarter of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385"/>
          </w:cols>
          <w:pgMar w:left="275" w:top="74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6"/>
        </w:trPr>
        <w:tc>
          <w:tcPr>
            <w:tcW w:w="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Attachment 11</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gridSpan w:val="3"/>
          </w:tcPr>
          <w:p>
            <w:pPr>
              <w:ind w:left="20"/>
              <w:spacing w:after="0"/>
              <w:rPr>
                <w:sz w:val="20"/>
                <w:szCs w:val="20"/>
                <w:color w:val="auto"/>
              </w:rPr>
            </w:pPr>
            <w:r>
              <w:rPr>
                <w:rFonts w:ascii="Arial" w:cs="Arial" w:eastAsia="Arial" w:hAnsi="Arial"/>
                <w:sz w:val="14"/>
                <w:szCs w:val="14"/>
                <w:b w:val="1"/>
                <w:bCs w:val="1"/>
                <w:color w:val="auto"/>
              </w:rPr>
              <w:t>RESERVES</w:t>
            </w:r>
          </w:p>
        </w:tc>
        <w:tc>
          <w:tcPr>
            <w:tcW w:w="1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San Joaquin</w:t>
            </w:r>
          </w:p>
        </w:tc>
        <w:tc>
          <w:tcPr>
            <w:tcW w:w="1560" w:type="dxa"/>
            <w:vAlign w:val="bottom"/>
          </w:tcPr>
          <w:p>
            <w:pPr>
              <w:jc w:val="center"/>
              <w:ind w:right="8"/>
              <w:spacing w:after="0"/>
              <w:rPr>
                <w:sz w:val="20"/>
                <w:szCs w:val="20"/>
                <w:color w:val="auto"/>
              </w:rPr>
            </w:pPr>
            <w:r>
              <w:rPr>
                <w:rFonts w:ascii="Arial" w:cs="Arial" w:eastAsia="Arial" w:hAnsi="Arial"/>
                <w:sz w:val="14"/>
                <w:szCs w:val="14"/>
                <w:b w:val="1"/>
                <w:bCs w:val="1"/>
                <w:color w:val="auto"/>
              </w:rPr>
              <w:t>Los Angeles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Ventura</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Sacramento</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2017</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Basin</w:t>
            </w:r>
          </w:p>
        </w:tc>
        <w:tc>
          <w:tcPr>
            <w:tcW w:w="1560" w:type="dxa"/>
            <w:vAlign w:val="bottom"/>
          </w:tcPr>
          <w:p>
            <w:pPr>
              <w:jc w:val="center"/>
              <w:ind w:right="8"/>
              <w:spacing w:after="0"/>
              <w:rPr>
                <w:sz w:val="20"/>
                <w:szCs w:val="20"/>
                <w:color w:val="auto"/>
              </w:rPr>
            </w:pPr>
            <w:r>
              <w:rPr>
                <w:rFonts w:ascii="Arial" w:cs="Arial" w:eastAsia="Arial" w:hAnsi="Arial"/>
                <w:sz w:val="14"/>
                <w:szCs w:val="14"/>
                <w:b w:val="1"/>
                <w:bCs w:val="1"/>
                <w:color w:val="auto"/>
              </w:rPr>
              <w:t>Basin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Basin</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tcPr>
          <w:p>
            <w:pPr>
              <w:ind w:lef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Oil Reserves (in millions of barrels)</w:t>
            </w:r>
          </w:p>
        </w:tc>
        <w:tc>
          <w:tcPr>
            <w:tcW w:w="15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840" w:type="dxa"/>
            <w:vAlign w:val="bottom"/>
            <w:gridSpan w:val="2"/>
            <w:vMerge w:val="continue"/>
          </w:tcPr>
          <w:p>
            <w:pPr>
              <w:spacing w:after="0"/>
              <w:rPr>
                <w:sz w:val="21"/>
                <w:szCs w:val="21"/>
                <w:color w:val="auto"/>
              </w:rPr>
            </w:pPr>
          </w:p>
        </w:tc>
        <w:tc>
          <w:tcPr>
            <w:tcW w:w="1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Proved Developed Reserves</w:t>
            </w:r>
          </w:p>
        </w:tc>
        <w:tc>
          <w:tcPr>
            <w:tcW w:w="1540" w:type="dxa"/>
            <w:vAlign w:val="bottom"/>
          </w:tcPr>
          <w:p>
            <w:pPr>
              <w:jc w:val="center"/>
              <w:spacing w:after="0"/>
              <w:rPr>
                <w:sz w:val="20"/>
                <w:szCs w:val="20"/>
                <w:color w:val="auto"/>
              </w:rPr>
            </w:pPr>
            <w:r>
              <w:rPr>
                <w:rFonts w:ascii="Arial" w:cs="Arial" w:eastAsia="Arial" w:hAnsi="Arial"/>
                <w:sz w:val="14"/>
                <w:szCs w:val="14"/>
                <w:color w:val="auto"/>
              </w:rPr>
              <w:t>176</w:t>
            </w:r>
          </w:p>
        </w:tc>
        <w:tc>
          <w:tcPr>
            <w:tcW w:w="1560" w:type="dxa"/>
            <w:vAlign w:val="bottom"/>
          </w:tcPr>
          <w:p>
            <w:pPr>
              <w:jc w:val="center"/>
              <w:ind w:right="8"/>
              <w:spacing w:after="0"/>
              <w:rPr>
                <w:sz w:val="20"/>
                <w:szCs w:val="20"/>
                <w:color w:val="auto"/>
              </w:rPr>
            </w:pPr>
            <w:r>
              <w:rPr>
                <w:rFonts w:ascii="Arial" w:cs="Arial" w:eastAsia="Arial" w:hAnsi="Arial"/>
                <w:sz w:val="14"/>
                <w:szCs w:val="14"/>
                <w:color w:val="auto"/>
              </w:rPr>
              <w:t>104</w:t>
            </w:r>
          </w:p>
        </w:tc>
        <w:tc>
          <w:tcPr>
            <w:tcW w:w="1360" w:type="dxa"/>
            <w:vAlign w:val="bottom"/>
          </w:tcPr>
          <w:p>
            <w:pPr>
              <w:jc w:val="center"/>
              <w:spacing w:after="0"/>
              <w:rPr>
                <w:sz w:val="20"/>
                <w:szCs w:val="20"/>
                <w:color w:val="auto"/>
              </w:rPr>
            </w:pPr>
            <w:r>
              <w:rPr>
                <w:rFonts w:ascii="Arial" w:cs="Arial" w:eastAsia="Arial" w:hAnsi="Arial"/>
                <w:sz w:val="14"/>
                <w:szCs w:val="14"/>
                <w:color w:val="auto"/>
              </w:rPr>
              <w:t>24</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2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Proved Undeveloped Reserves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89</w:t>
            </w:r>
          </w:p>
        </w:tc>
        <w:tc>
          <w:tcPr>
            <w:tcW w:w="15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39</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4"/>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540" w:type="dxa"/>
            <w:vAlign w:val="bottom"/>
          </w:tcPr>
          <w:p>
            <w:pPr>
              <w:jc w:val="center"/>
              <w:spacing w:after="0"/>
              <w:rPr>
                <w:sz w:val="20"/>
                <w:szCs w:val="20"/>
                <w:color w:val="auto"/>
              </w:rPr>
            </w:pPr>
            <w:r>
              <w:rPr>
                <w:rFonts w:ascii="Arial" w:cs="Arial" w:eastAsia="Arial" w:hAnsi="Arial"/>
                <w:sz w:val="14"/>
                <w:szCs w:val="14"/>
                <w:color w:val="auto"/>
              </w:rPr>
              <w:t>265</w:t>
            </w:r>
          </w:p>
        </w:tc>
        <w:tc>
          <w:tcPr>
            <w:tcW w:w="1560" w:type="dxa"/>
            <w:vAlign w:val="bottom"/>
          </w:tcPr>
          <w:p>
            <w:pPr>
              <w:jc w:val="center"/>
              <w:ind w:right="8"/>
              <w:spacing w:after="0"/>
              <w:rPr>
                <w:sz w:val="20"/>
                <w:szCs w:val="20"/>
                <w:color w:val="auto"/>
              </w:rPr>
            </w:pPr>
            <w:r>
              <w:rPr>
                <w:rFonts w:ascii="Arial" w:cs="Arial" w:eastAsia="Arial" w:hAnsi="Arial"/>
                <w:sz w:val="14"/>
                <w:szCs w:val="14"/>
                <w:color w:val="auto"/>
              </w:rPr>
              <w:t>143</w:t>
            </w:r>
          </w:p>
        </w:tc>
        <w:tc>
          <w:tcPr>
            <w:tcW w:w="1360" w:type="dxa"/>
            <w:vAlign w:val="bottom"/>
          </w:tcPr>
          <w:p>
            <w:pPr>
              <w:jc w:val="center"/>
              <w:spacing w:after="0"/>
              <w:rPr>
                <w:sz w:val="20"/>
                <w:szCs w:val="20"/>
                <w:color w:val="auto"/>
              </w:rPr>
            </w:pPr>
            <w:r>
              <w:rPr>
                <w:rFonts w:ascii="Arial" w:cs="Arial" w:eastAsia="Arial" w:hAnsi="Arial"/>
                <w:sz w:val="14"/>
                <w:szCs w:val="14"/>
                <w:color w:val="auto"/>
              </w:rPr>
              <w:t>34</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594"/>
        </w:trPr>
        <w:tc>
          <w:tcPr>
            <w:tcW w:w="3860" w:type="dxa"/>
            <w:vAlign w:val="bottom"/>
            <w:gridSpan w:val="3"/>
          </w:tcPr>
          <w:p>
            <w:pPr>
              <w:ind w:left="20"/>
              <w:spacing w:after="0"/>
              <w:rPr>
                <w:sz w:val="20"/>
                <w:szCs w:val="20"/>
                <w:color w:val="auto"/>
              </w:rPr>
            </w:pPr>
            <w:r>
              <w:rPr>
                <w:rFonts w:ascii="Arial" w:cs="Arial" w:eastAsia="Arial" w:hAnsi="Arial"/>
                <w:sz w:val="14"/>
                <w:szCs w:val="14"/>
                <w:b w:val="1"/>
                <w:bCs w:val="1"/>
                <w:color w:val="auto"/>
              </w:rPr>
              <w:t>NGLs Reserves (in millions of barrels)</w:t>
            </w: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Proved Developed Reserves</w:t>
            </w:r>
          </w:p>
        </w:tc>
        <w:tc>
          <w:tcPr>
            <w:tcW w:w="1540" w:type="dxa"/>
            <w:vAlign w:val="bottom"/>
          </w:tcPr>
          <w:p>
            <w:pPr>
              <w:jc w:val="center"/>
              <w:spacing w:after="0"/>
              <w:rPr>
                <w:sz w:val="20"/>
                <w:szCs w:val="20"/>
                <w:color w:val="auto"/>
              </w:rPr>
            </w:pPr>
            <w:r>
              <w:rPr>
                <w:rFonts w:ascii="Arial" w:cs="Arial" w:eastAsia="Arial" w:hAnsi="Arial"/>
                <w:sz w:val="14"/>
                <w:szCs w:val="14"/>
                <w:color w:val="auto"/>
              </w:rPr>
              <w:t>43</w:t>
            </w:r>
          </w:p>
        </w:tc>
        <w:tc>
          <w:tcPr>
            <w:tcW w:w="156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2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Proved Undeveloped Reserves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w:t>
            </w:r>
          </w:p>
        </w:tc>
        <w:tc>
          <w:tcPr>
            <w:tcW w:w="15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4"/>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540" w:type="dxa"/>
            <w:vAlign w:val="bottom"/>
          </w:tcPr>
          <w:p>
            <w:pPr>
              <w:jc w:val="center"/>
              <w:spacing w:after="0"/>
              <w:rPr>
                <w:sz w:val="20"/>
                <w:szCs w:val="20"/>
                <w:color w:val="auto"/>
              </w:rPr>
            </w:pPr>
            <w:r>
              <w:rPr>
                <w:rFonts w:ascii="Arial" w:cs="Arial" w:eastAsia="Arial" w:hAnsi="Arial"/>
                <w:sz w:val="14"/>
                <w:szCs w:val="14"/>
                <w:color w:val="auto"/>
              </w:rPr>
              <w:t>56</w:t>
            </w:r>
          </w:p>
        </w:tc>
        <w:tc>
          <w:tcPr>
            <w:tcW w:w="156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594"/>
        </w:trPr>
        <w:tc>
          <w:tcPr>
            <w:tcW w:w="3860" w:type="dxa"/>
            <w:vAlign w:val="bottom"/>
            <w:gridSpan w:val="3"/>
          </w:tcPr>
          <w:p>
            <w:pPr>
              <w:ind w:left="20"/>
              <w:spacing w:after="0"/>
              <w:rPr>
                <w:sz w:val="20"/>
                <w:szCs w:val="20"/>
                <w:color w:val="auto"/>
              </w:rPr>
            </w:pPr>
            <w:r>
              <w:rPr>
                <w:rFonts w:ascii="Arial" w:cs="Arial" w:eastAsia="Arial" w:hAnsi="Arial"/>
                <w:sz w:val="14"/>
                <w:szCs w:val="14"/>
                <w:b w:val="1"/>
                <w:bCs w:val="1"/>
                <w:color w:val="auto"/>
              </w:rPr>
              <w:t>Natural Gas Reserves (in billions of cubic feet)</w:t>
            </w: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Proved Developed Reserves</w:t>
            </w:r>
          </w:p>
        </w:tc>
        <w:tc>
          <w:tcPr>
            <w:tcW w:w="1540" w:type="dxa"/>
            <w:vAlign w:val="bottom"/>
          </w:tcPr>
          <w:p>
            <w:pPr>
              <w:jc w:val="center"/>
              <w:spacing w:after="0"/>
              <w:rPr>
                <w:sz w:val="20"/>
                <w:szCs w:val="20"/>
                <w:color w:val="auto"/>
              </w:rPr>
            </w:pPr>
            <w:r>
              <w:rPr>
                <w:rFonts w:ascii="Arial" w:cs="Arial" w:eastAsia="Arial" w:hAnsi="Arial"/>
                <w:sz w:val="14"/>
                <w:szCs w:val="14"/>
                <w:color w:val="auto"/>
              </w:rPr>
              <w:t>447</w:t>
            </w:r>
          </w:p>
        </w:tc>
        <w:tc>
          <w:tcPr>
            <w:tcW w:w="1560" w:type="dxa"/>
            <w:vAlign w:val="bottom"/>
          </w:tcPr>
          <w:p>
            <w:pPr>
              <w:jc w:val="center"/>
              <w:ind w:right="8"/>
              <w:spacing w:after="0"/>
              <w:rPr>
                <w:sz w:val="20"/>
                <w:szCs w:val="20"/>
                <w:color w:val="auto"/>
              </w:rPr>
            </w:pPr>
            <w:r>
              <w:rPr>
                <w:rFonts w:ascii="Arial" w:cs="Arial" w:eastAsia="Arial" w:hAnsi="Arial"/>
                <w:sz w:val="14"/>
                <w:szCs w:val="14"/>
                <w:color w:val="auto"/>
              </w:rPr>
              <w:t>6</w:t>
            </w:r>
          </w:p>
        </w:tc>
        <w:tc>
          <w:tcPr>
            <w:tcW w:w="1360" w:type="dxa"/>
            <w:vAlign w:val="bottom"/>
          </w:tcPr>
          <w:p>
            <w:pPr>
              <w:jc w:val="center"/>
              <w:spacing w:after="0"/>
              <w:rPr>
                <w:sz w:val="20"/>
                <w:szCs w:val="20"/>
                <w:color w:val="auto"/>
              </w:rPr>
            </w:pPr>
            <w:r>
              <w:rPr>
                <w:rFonts w:ascii="Arial" w:cs="Arial" w:eastAsia="Arial" w:hAnsi="Arial"/>
                <w:sz w:val="14"/>
                <w:szCs w:val="14"/>
                <w:color w:val="auto"/>
              </w:rPr>
              <w:t>20</w:t>
            </w:r>
          </w:p>
        </w:tc>
        <w:tc>
          <w:tcPr>
            <w:tcW w:w="1640" w:type="dxa"/>
            <w:vAlign w:val="bottom"/>
          </w:tcPr>
          <w:p>
            <w:pPr>
              <w:jc w:val="center"/>
              <w:spacing w:after="0"/>
              <w:rPr>
                <w:sz w:val="20"/>
                <w:szCs w:val="20"/>
                <w:color w:val="auto"/>
              </w:rPr>
            </w:pPr>
            <w:r>
              <w:rPr>
                <w:rFonts w:ascii="Arial" w:cs="Arial" w:eastAsia="Arial" w:hAnsi="Arial"/>
                <w:sz w:val="14"/>
                <w:szCs w:val="14"/>
                <w:color w:val="auto"/>
              </w:rPr>
              <w:t>70</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2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Proved Undeveloped Reserves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138</w:t>
            </w:r>
          </w:p>
        </w:tc>
        <w:tc>
          <w:tcPr>
            <w:tcW w:w="15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4</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15</w:t>
            </w:r>
          </w:p>
        </w:tc>
        <w:tc>
          <w:tcPr>
            <w:tcW w:w="14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4"/>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540" w:type="dxa"/>
            <w:vAlign w:val="bottom"/>
          </w:tcPr>
          <w:p>
            <w:pPr>
              <w:jc w:val="center"/>
              <w:spacing w:after="0"/>
              <w:rPr>
                <w:sz w:val="20"/>
                <w:szCs w:val="20"/>
                <w:color w:val="auto"/>
              </w:rPr>
            </w:pPr>
            <w:r>
              <w:rPr>
                <w:rFonts w:ascii="Arial" w:cs="Arial" w:eastAsia="Arial" w:hAnsi="Arial"/>
                <w:sz w:val="14"/>
                <w:szCs w:val="14"/>
                <w:color w:val="auto"/>
              </w:rPr>
              <w:t>585</w:t>
            </w:r>
          </w:p>
        </w:tc>
        <w:tc>
          <w:tcPr>
            <w:tcW w:w="1560" w:type="dxa"/>
            <w:vAlign w:val="bottom"/>
          </w:tcPr>
          <w:p>
            <w:pPr>
              <w:jc w:val="center"/>
              <w:ind w:right="8"/>
              <w:spacing w:after="0"/>
              <w:rPr>
                <w:sz w:val="20"/>
                <w:szCs w:val="20"/>
                <w:color w:val="auto"/>
              </w:rPr>
            </w:pPr>
            <w:r>
              <w:rPr>
                <w:rFonts w:ascii="Arial" w:cs="Arial" w:eastAsia="Arial" w:hAnsi="Arial"/>
                <w:sz w:val="14"/>
                <w:szCs w:val="14"/>
                <w:color w:val="auto"/>
              </w:rPr>
              <w:t>10</w:t>
            </w:r>
          </w:p>
        </w:tc>
        <w:tc>
          <w:tcPr>
            <w:tcW w:w="1360" w:type="dxa"/>
            <w:vAlign w:val="bottom"/>
          </w:tcPr>
          <w:p>
            <w:pPr>
              <w:jc w:val="center"/>
              <w:spacing w:after="0"/>
              <w:rPr>
                <w:sz w:val="20"/>
                <w:szCs w:val="20"/>
                <w:color w:val="auto"/>
              </w:rPr>
            </w:pPr>
            <w:r>
              <w:rPr>
                <w:rFonts w:ascii="Arial" w:cs="Arial" w:eastAsia="Arial" w:hAnsi="Arial"/>
                <w:sz w:val="14"/>
                <w:szCs w:val="14"/>
                <w:color w:val="auto"/>
              </w:rPr>
              <w:t>26</w:t>
            </w:r>
          </w:p>
        </w:tc>
        <w:tc>
          <w:tcPr>
            <w:tcW w:w="1640" w:type="dxa"/>
            <w:vAlign w:val="bottom"/>
          </w:tcPr>
          <w:p>
            <w:pPr>
              <w:jc w:val="center"/>
              <w:spacing w:after="0"/>
              <w:rPr>
                <w:sz w:val="20"/>
                <w:szCs w:val="20"/>
                <w:color w:val="auto"/>
              </w:rPr>
            </w:pPr>
            <w:r>
              <w:rPr>
                <w:rFonts w:ascii="Arial" w:cs="Arial" w:eastAsia="Arial" w:hAnsi="Arial"/>
                <w:sz w:val="14"/>
                <w:szCs w:val="14"/>
                <w:color w:val="auto"/>
              </w:rPr>
              <w:t>85</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594"/>
        </w:trPr>
        <w:tc>
          <w:tcPr>
            <w:tcW w:w="386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Reserves (in millions of barrels of oil equivalent)*</w:t>
            </w: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Proved Developed Reserves</w:t>
            </w:r>
          </w:p>
        </w:tc>
        <w:tc>
          <w:tcPr>
            <w:tcW w:w="1540" w:type="dxa"/>
            <w:vAlign w:val="bottom"/>
          </w:tcPr>
          <w:p>
            <w:pPr>
              <w:jc w:val="center"/>
              <w:spacing w:after="0"/>
              <w:rPr>
                <w:sz w:val="20"/>
                <w:szCs w:val="20"/>
                <w:color w:val="auto"/>
              </w:rPr>
            </w:pPr>
            <w:r>
              <w:rPr>
                <w:rFonts w:ascii="Arial" w:cs="Arial" w:eastAsia="Arial" w:hAnsi="Arial"/>
                <w:sz w:val="14"/>
                <w:szCs w:val="14"/>
                <w:color w:val="auto"/>
              </w:rPr>
              <w:t>294</w:t>
            </w:r>
          </w:p>
        </w:tc>
        <w:tc>
          <w:tcPr>
            <w:tcW w:w="1560" w:type="dxa"/>
            <w:vAlign w:val="bottom"/>
          </w:tcPr>
          <w:p>
            <w:pPr>
              <w:jc w:val="center"/>
              <w:ind w:right="8"/>
              <w:spacing w:after="0"/>
              <w:rPr>
                <w:sz w:val="20"/>
                <w:szCs w:val="20"/>
                <w:color w:val="auto"/>
              </w:rPr>
            </w:pPr>
            <w:r>
              <w:rPr>
                <w:rFonts w:ascii="Arial" w:cs="Arial" w:eastAsia="Arial" w:hAnsi="Arial"/>
                <w:sz w:val="14"/>
                <w:szCs w:val="14"/>
                <w:color w:val="auto"/>
              </w:rPr>
              <w:t>105</w:t>
            </w:r>
          </w:p>
        </w:tc>
        <w:tc>
          <w:tcPr>
            <w:tcW w:w="1360" w:type="dxa"/>
            <w:vAlign w:val="bottom"/>
          </w:tcPr>
          <w:p>
            <w:pPr>
              <w:jc w:val="center"/>
              <w:spacing w:after="0"/>
              <w:rPr>
                <w:sz w:val="20"/>
                <w:szCs w:val="20"/>
                <w:color w:val="auto"/>
              </w:rPr>
            </w:pPr>
            <w:r>
              <w:rPr>
                <w:rFonts w:ascii="Arial" w:cs="Arial" w:eastAsia="Arial" w:hAnsi="Arial"/>
                <w:sz w:val="14"/>
                <w:szCs w:val="14"/>
                <w:color w:val="auto"/>
              </w:rPr>
              <w:t>29</w:t>
            </w:r>
          </w:p>
        </w:tc>
        <w:tc>
          <w:tcPr>
            <w:tcW w:w="1640" w:type="dxa"/>
            <w:vAlign w:val="bottom"/>
          </w:tcPr>
          <w:p>
            <w:pPr>
              <w:jc w:val="center"/>
              <w:spacing w:after="0"/>
              <w:rPr>
                <w:sz w:val="20"/>
                <w:szCs w:val="20"/>
                <w:color w:val="auto"/>
              </w:rPr>
            </w:pPr>
            <w:r>
              <w:rPr>
                <w:rFonts w:ascii="Arial" w:cs="Arial" w:eastAsia="Arial" w:hAnsi="Arial"/>
                <w:sz w:val="14"/>
                <w:szCs w:val="14"/>
                <w:color w:val="auto"/>
              </w:rPr>
              <w:t>12</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2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Proved Undeveloped Reserves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125</w:t>
            </w:r>
          </w:p>
        </w:tc>
        <w:tc>
          <w:tcPr>
            <w:tcW w:w="15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40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4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4"/>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540" w:type="dxa"/>
            <w:vAlign w:val="bottom"/>
          </w:tcPr>
          <w:p>
            <w:pPr>
              <w:jc w:val="center"/>
              <w:spacing w:after="0"/>
              <w:rPr>
                <w:sz w:val="20"/>
                <w:szCs w:val="20"/>
                <w:color w:val="auto"/>
              </w:rPr>
            </w:pPr>
            <w:r>
              <w:rPr>
                <w:rFonts w:ascii="Arial" w:cs="Arial" w:eastAsia="Arial" w:hAnsi="Arial"/>
                <w:sz w:val="14"/>
                <w:szCs w:val="14"/>
                <w:color w:val="auto"/>
              </w:rPr>
              <w:t>419</w:t>
            </w:r>
          </w:p>
        </w:tc>
        <w:tc>
          <w:tcPr>
            <w:tcW w:w="1560" w:type="dxa"/>
            <w:vAlign w:val="bottom"/>
          </w:tcPr>
          <w:p>
            <w:pPr>
              <w:jc w:val="center"/>
              <w:ind w:right="8"/>
              <w:spacing w:after="0"/>
              <w:rPr>
                <w:sz w:val="20"/>
                <w:szCs w:val="20"/>
                <w:color w:val="auto"/>
              </w:rPr>
            </w:pPr>
            <w:r>
              <w:rPr>
                <w:rFonts w:ascii="Arial" w:cs="Arial" w:eastAsia="Arial" w:hAnsi="Arial"/>
                <w:sz w:val="14"/>
                <w:szCs w:val="14"/>
                <w:color w:val="auto"/>
              </w:rPr>
              <w:t>145</w:t>
            </w:r>
          </w:p>
        </w:tc>
        <w:tc>
          <w:tcPr>
            <w:tcW w:w="1360" w:type="dxa"/>
            <w:vAlign w:val="bottom"/>
          </w:tcPr>
          <w:p>
            <w:pPr>
              <w:jc w:val="center"/>
              <w:spacing w:after="0"/>
              <w:rPr>
                <w:sz w:val="20"/>
                <w:szCs w:val="20"/>
                <w:color w:val="auto"/>
              </w:rPr>
            </w:pPr>
            <w:r>
              <w:rPr>
                <w:rFonts w:ascii="Arial" w:cs="Arial" w:eastAsia="Arial" w:hAnsi="Arial"/>
                <w:sz w:val="14"/>
                <w:szCs w:val="14"/>
                <w:color w:val="auto"/>
              </w:rPr>
              <w:t>40</w:t>
            </w:r>
          </w:p>
        </w:tc>
        <w:tc>
          <w:tcPr>
            <w:tcW w:w="1640" w:type="dxa"/>
            <w:vAlign w:val="bottom"/>
          </w:tcPr>
          <w:p>
            <w:pPr>
              <w:jc w:val="center"/>
              <w:spacing w:after="0"/>
              <w:rPr>
                <w:sz w:val="20"/>
                <w:szCs w:val="20"/>
                <w:color w:val="auto"/>
              </w:rPr>
            </w:pPr>
            <w:r>
              <w:rPr>
                <w:rFonts w:ascii="Arial" w:cs="Arial" w:eastAsia="Arial" w:hAnsi="Arial"/>
                <w:sz w:val="14"/>
                <w:szCs w:val="14"/>
                <w:color w:val="auto"/>
              </w:rPr>
              <w:t>14</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right="60"/>
        <w:spacing w:after="0" w:line="258" w:lineRule="auto"/>
        <w:rPr>
          <w:sz w:val="20"/>
          <w:szCs w:val="20"/>
          <w:color w:val="auto"/>
        </w:rPr>
      </w:pPr>
      <w:r>
        <w:rPr>
          <w:rFonts w:ascii="Arial" w:cs="Arial" w:eastAsia="Arial" w:hAnsi="Arial"/>
          <w:sz w:val="14"/>
          <w:szCs w:val="14"/>
          <w:color w:val="auto"/>
        </w:rPr>
        <w:t>*Natural gas volumes have been converted to BOE based on the equivalence of energy content between six Mcf of natural gas and one Bbl of oil. Barrels of oil equivalence does not necessarily result in price equivalence.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360"/>
          </w:cols>
          <w:pgMar w:left="300" w:top="802"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4"/>
          <w:szCs w:val="14"/>
          <w:b w:val="1"/>
          <w:bCs w:val="1"/>
          <w:color w:val="auto"/>
        </w:rPr>
        <w:t>Attachment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26035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43180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6140" w:type="dxa"/>
            <w:vAlign w:val="bottom"/>
          </w:tcPr>
          <w:p>
            <w:pPr>
              <w:spacing w:after="0"/>
              <w:rPr>
                <w:sz w:val="20"/>
                <w:szCs w:val="20"/>
                <w:color w:val="auto"/>
              </w:rPr>
            </w:pPr>
            <w:r>
              <w:rPr>
                <w:rFonts w:ascii="Arial" w:cs="Arial" w:eastAsia="Arial" w:hAnsi="Arial"/>
                <w:sz w:val="14"/>
                <w:szCs w:val="14"/>
                <w:b w:val="1"/>
                <w:bCs w:val="1"/>
                <w:color w:val="auto"/>
              </w:rPr>
              <w:t>2018 FIRST QUARTER GUIDANCE</w:t>
            </w:r>
          </w:p>
        </w:tc>
        <w:tc>
          <w:tcPr>
            <w:tcW w:w="232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609"/>
        </w:trPr>
        <w:tc>
          <w:tcPr>
            <w:tcW w:w="6140" w:type="dxa"/>
            <w:vAlign w:val="bottom"/>
          </w:tcPr>
          <w:p>
            <w:pPr>
              <w:spacing w:after="0"/>
              <w:rPr>
                <w:sz w:val="20"/>
                <w:szCs w:val="20"/>
                <w:color w:val="auto"/>
              </w:rPr>
            </w:pPr>
            <w:r>
              <w:rPr>
                <w:rFonts w:ascii="Arial" w:cs="Arial" w:eastAsia="Arial" w:hAnsi="Arial"/>
                <w:sz w:val="14"/>
                <w:szCs w:val="14"/>
                <w:b w:val="1"/>
                <w:bCs w:val="1"/>
                <w:color w:val="auto"/>
              </w:rPr>
              <w:t xml:space="preserve">Anticipated Realizations Against the Prevailing Index Prices for Q1 2018 </w:t>
            </w:r>
            <w:r>
              <w:rPr>
                <w:rFonts w:ascii="Arial" w:cs="Arial" w:eastAsia="Arial" w:hAnsi="Arial"/>
                <w:sz w:val="21"/>
                <w:szCs w:val="21"/>
                <w:b w:val="1"/>
                <w:bCs w:val="1"/>
                <w:color w:val="auto"/>
                <w:vertAlign w:val="superscript"/>
              </w:rPr>
              <w:t>(a)</w:t>
            </w:r>
          </w:p>
        </w:tc>
        <w:tc>
          <w:tcPr>
            <w:tcW w:w="2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74"/>
        </w:trPr>
        <w:tc>
          <w:tcPr>
            <w:tcW w:w="6140" w:type="dxa"/>
            <w:vAlign w:val="bottom"/>
          </w:tcPr>
          <w:p>
            <w:pPr>
              <w:spacing w:after="0"/>
              <w:rPr>
                <w:sz w:val="20"/>
                <w:szCs w:val="20"/>
                <w:color w:val="auto"/>
              </w:rPr>
            </w:pPr>
            <w:r>
              <w:rPr>
                <w:rFonts w:ascii="Arial" w:cs="Arial" w:eastAsia="Arial" w:hAnsi="Arial"/>
                <w:sz w:val="14"/>
                <w:szCs w:val="14"/>
                <w:color w:val="auto"/>
              </w:rPr>
              <w:t>Oil</w:t>
            </w:r>
          </w:p>
        </w:tc>
        <w:tc>
          <w:tcPr>
            <w:tcW w:w="2320" w:type="dxa"/>
            <w:vAlign w:val="bottom"/>
          </w:tcPr>
          <w:p>
            <w:pPr>
              <w:ind w:left="20"/>
              <w:spacing w:after="0"/>
              <w:rPr>
                <w:sz w:val="20"/>
                <w:szCs w:val="20"/>
                <w:color w:val="auto"/>
              </w:rPr>
            </w:pPr>
            <w:r>
              <w:rPr>
                <w:rFonts w:ascii="Arial" w:cs="Arial" w:eastAsia="Arial" w:hAnsi="Arial"/>
                <w:sz w:val="14"/>
                <w:szCs w:val="14"/>
                <w:color w:val="auto"/>
              </w:rPr>
              <w:t>92% to 96% of Brent</w:t>
            </w:r>
          </w:p>
        </w:tc>
        <w:tc>
          <w:tcPr>
            <w:tcW w:w="2580" w:type="dxa"/>
            <w:vAlign w:val="bottom"/>
          </w:tcPr>
          <w:p>
            <w:pPr>
              <w:spacing w:after="0"/>
              <w:rPr>
                <w:sz w:val="15"/>
                <w:szCs w:val="15"/>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NGLs</w:t>
            </w:r>
          </w:p>
        </w:tc>
        <w:tc>
          <w:tcPr>
            <w:tcW w:w="2320" w:type="dxa"/>
            <w:vAlign w:val="bottom"/>
          </w:tcPr>
          <w:p>
            <w:pPr>
              <w:ind w:left="20"/>
              <w:spacing w:after="0"/>
              <w:rPr>
                <w:sz w:val="20"/>
                <w:szCs w:val="20"/>
                <w:color w:val="auto"/>
              </w:rPr>
            </w:pPr>
            <w:r>
              <w:rPr>
                <w:rFonts w:ascii="Arial" w:cs="Arial" w:eastAsia="Arial" w:hAnsi="Arial"/>
                <w:sz w:val="14"/>
                <w:szCs w:val="14"/>
                <w:color w:val="auto"/>
              </w:rPr>
              <w:t>62% to 66% of Brent</w:t>
            </w:r>
          </w:p>
        </w:tc>
        <w:tc>
          <w:tcPr>
            <w:tcW w:w="258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Natural Gas</w:t>
            </w:r>
          </w:p>
        </w:tc>
        <w:tc>
          <w:tcPr>
            <w:tcW w:w="2320" w:type="dxa"/>
            <w:vAlign w:val="bottom"/>
          </w:tcPr>
          <w:p>
            <w:pPr>
              <w:ind w:left="20"/>
              <w:spacing w:after="0"/>
              <w:rPr>
                <w:sz w:val="20"/>
                <w:szCs w:val="20"/>
                <w:color w:val="auto"/>
              </w:rPr>
            </w:pPr>
            <w:r>
              <w:rPr>
                <w:rFonts w:ascii="Arial" w:cs="Arial" w:eastAsia="Arial" w:hAnsi="Arial"/>
                <w:sz w:val="14"/>
                <w:szCs w:val="14"/>
                <w:color w:val="auto"/>
              </w:rPr>
              <w:t>88% to 92% of NYMEX</w:t>
            </w:r>
          </w:p>
        </w:tc>
        <w:tc>
          <w:tcPr>
            <w:tcW w:w="2580" w:type="dxa"/>
            <w:vAlign w:val="bottom"/>
          </w:tcPr>
          <w:p>
            <w:pPr>
              <w:spacing w:after="0"/>
              <w:rPr>
                <w:sz w:val="23"/>
                <w:szCs w:val="23"/>
                <w:color w:val="auto"/>
              </w:rPr>
            </w:pPr>
          </w:p>
        </w:tc>
      </w:tr>
      <w:tr>
        <w:trPr>
          <w:trHeight w:val="513"/>
        </w:trPr>
        <w:tc>
          <w:tcPr>
            <w:tcW w:w="6140" w:type="dxa"/>
            <w:vAlign w:val="bottom"/>
          </w:tcPr>
          <w:p>
            <w:pPr>
              <w:spacing w:after="0"/>
              <w:rPr>
                <w:sz w:val="20"/>
                <w:szCs w:val="20"/>
                <w:color w:val="auto"/>
              </w:rPr>
            </w:pPr>
            <w:r>
              <w:rPr>
                <w:rFonts w:ascii="Arial" w:cs="Arial" w:eastAsia="Arial" w:hAnsi="Arial"/>
                <w:sz w:val="14"/>
                <w:szCs w:val="14"/>
                <w:b w:val="1"/>
                <w:bCs w:val="1"/>
                <w:color w:val="auto"/>
              </w:rPr>
              <w:t>2018 First Quarter Production, Capital and Income Statement Guidance</w:t>
            </w:r>
          </w:p>
        </w:tc>
        <w:tc>
          <w:tcPr>
            <w:tcW w:w="2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Production</w:t>
            </w:r>
          </w:p>
        </w:tc>
        <w:tc>
          <w:tcPr>
            <w:tcW w:w="2320" w:type="dxa"/>
            <w:vAlign w:val="bottom"/>
          </w:tcPr>
          <w:p>
            <w:pPr>
              <w:ind w:left="20"/>
              <w:spacing w:after="0"/>
              <w:rPr>
                <w:sz w:val="20"/>
                <w:szCs w:val="20"/>
                <w:color w:val="auto"/>
              </w:rPr>
            </w:pPr>
            <w:r>
              <w:rPr>
                <w:rFonts w:ascii="Arial" w:cs="Arial" w:eastAsia="Arial" w:hAnsi="Arial"/>
                <w:sz w:val="14"/>
                <w:szCs w:val="14"/>
                <w:color w:val="auto"/>
              </w:rPr>
              <w:t>120 to 125 MBOE per day</w:t>
            </w:r>
          </w:p>
        </w:tc>
        <w:tc>
          <w:tcPr>
            <w:tcW w:w="258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Capital</w:t>
            </w:r>
          </w:p>
        </w:tc>
        <w:tc>
          <w:tcPr>
            <w:tcW w:w="2320" w:type="dxa"/>
            <w:vAlign w:val="bottom"/>
          </w:tcPr>
          <w:p>
            <w:pPr>
              <w:ind w:left="20"/>
              <w:spacing w:after="0"/>
              <w:rPr>
                <w:sz w:val="20"/>
                <w:szCs w:val="20"/>
                <w:color w:val="auto"/>
              </w:rPr>
            </w:pPr>
            <w:r>
              <w:rPr>
                <w:rFonts w:ascii="Arial" w:cs="Arial" w:eastAsia="Arial" w:hAnsi="Arial"/>
                <w:sz w:val="14"/>
                <w:szCs w:val="14"/>
                <w:color w:val="auto"/>
              </w:rPr>
              <w:t>$115 million to $135 million</w:t>
            </w:r>
          </w:p>
        </w:tc>
        <w:tc>
          <w:tcPr>
            <w:tcW w:w="258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Production costs</w:t>
            </w:r>
          </w:p>
        </w:tc>
        <w:tc>
          <w:tcPr>
            <w:tcW w:w="2320" w:type="dxa"/>
            <w:vAlign w:val="bottom"/>
          </w:tcPr>
          <w:p>
            <w:pPr>
              <w:ind w:left="20"/>
              <w:spacing w:after="0"/>
              <w:rPr>
                <w:sz w:val="20"/>
                <w:szCs w:val="20"/>
                <w:color w:val="auto"/>
              </w:rPr>
            </w:pPr>
            <w:r>
              <w:rPr>
                <w:rFonts w:ascii="Arial" w:cs="Arial" w:eastAsia="Arial" w:hAnsi="Arial"/>
                <w:sz w:val="14"/>
                <w:szCs w:val="14"/>
                <w:color w:val="auto"/>
              </w:rPr>
              <w:t>$19.25 to $20.75 per BOE</w:t>
            </w:r>
          </w:p>
        </w:tc>
        <w:tc>
          <w:tcPr>
            <w:tcW w:w="258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Adjusted general and administrative expenses</w:t>
            </w:r>
          </w:p>
        </w:tc>
        <w:tc>
          <w:tcPr>
            <w:tcW w:w="2320" w:type="dxa"/>
            <w:vAlign w:val="bottom"/>
          </w:tcPr>
          <w:p>
            <w:pPr>
              <w:ind w:left="20"/>
              <w:spacing w:after="0"/>
              <w:rPr>
                <w:sz w:val="20"/>
                <w:szCs w:val="20"/>
                <w:color w:val="auto"/>
              </w:rPr>
            </w:pPr>
            <w:r>
              <w:rPr>
                <w:rFonts w:ascii="Arial" w:cs="Arial" w:eastAsia="Arial" w:hAnsi="Arial"/>
                <w:sz w:val="14"/>
                <w:szCs w:val="14"/>
                <w:color w:val="auto"/>
              </w:rPr>
              <w:t>$6.05 to $6.35 per BOE</w:t>
            </w:r>
          </w:p>
        </w:tc>
        <w:tc>
          <w:tcPr>
            <w:tcW w:w="258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Depreciation, depletion and amortization</w:t>
            </w:r>
          </w:p>
        </w:tc>
        <w:tc>
          <w:tcPr>
            <w:tcW w:w="2320" w:type="dxa"/>
            <w:vAlign w:val="bottom"/>
          </w:tcPr>
          <w:p>
            <w:pPr>
              <w:ind w:left="20"/>
              <w:spacing w:after="0"/>
              <w:rPr>
                <w:sz w:val="20"/>
                <w:szCs w:val="20"/>
                <w:color w:val="auto"/>
              </w:rPr>
            </w:pPr>
            <w:r>
              <w:rPr>
                <w:rFonts w:ascii="Arial" w:cs="Arial" w:eastAsia="Arial" w:hAnsi="Arial"/>
                <w:sz w:val="14"/>
                <w:szCs w:val="14"/>
                <w:color w:val="auto"/>
              </w:rPr>
              <w:t>$10.50 to $10.80 per BOE</w:t>
            </w:r>
          </w:p>
        </w:tc>
        <w:tc>
          <w:tcPr>
            <w:tcW w:w="258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Taxes other than on income</w:t>
            </w:r>
          </w:p>
        </w:tc>
        <w:tc>
          <w:tcPr>
            <w:tcW w:w="2320" w:type="dxa"/>
            <w:vAlign w:val="bottom"/>
          </w:tcPr>
          <w:p>
            <w:pPr>
              <w:ind w:left="20"/>
              <w:spacing w:after="0"/>
              <w:rPr>
                <w:sz w:val="20"/>
                <w:szCs w:val="20"/>
                <w:color w:val="auto"/>
              </w:rPr>
            </w:pPr>
            <w:r>
              <w:rPr>
                <w:rFonts w:ascii="Arial" w:cs="Arial" w:eastAsia="Arial" w:hAnsi="Arial"/>
                <w:sz w:val="14"/>
                <w:szCs w:val="14"/>
                <w:color w:val="auto"/>
              </w:rPr>
              <w:t>$36 million to $40 million</w:t>
            </w:r>
          </w:p>
        </w:tc>
        <w:tc>
          <w:tcPr>
            <w:tcW w:w="258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Exploration expense</w:t>
            </w:r>
          </w:p>
        </w:tc>
        <w:tc>
          <w:tcPr>
            <w:tcW w:w="2320" w:type="dxa"/>
            <w:vAlign w:val="bottom"/>
          </w:tcPr>
          <w:p>
            <w:pPr>
              <w:ind w:left="20"/>
              <w:spacing w:after="0"/>
              <w:rPr>
                <w:sz w:val="20"/>
                <w:szCs w:val="20"/>
                <w:color w:val="auto"/>
              </w:rPr>
            </w:pPr>
            <w:r>
              <w:rPr>
                <w:rFonts w:ascii="Arial" w:cs="Arial" w:eastAsia="Arial" w:hAnsi="Arial"/>
                <w:sz w:val="14"/>
                <w:szCs w:val="14"/>
                <w:color w:val="auto"/>
              </w:rPr>
              <w:t>$6 million to $10 million</w:t>
            </w:r>
          </w:p>
        </w:tc>
        <w:tc>
          <w:tcPr>
            <w:tcW w:w="2580" w:type="dxa"/>
            <w:vAlign w:val="bottom"/>
          </w:tcPr>
          <w:p>
            <w:pPr>
              <w:spacing w:after="0"/>
              <w:rPr>
                <w:sz w:val="23"/>
                <w:szCs w:val="23"/>
                <w:color w:val="auto"/>
              </w:rPr>
            </w:pPr>
          </w:p>
        </w:tc>
      </w:tr>
      <w:tr>
        <w:trPr>
          <w:trHeight w:val="348"/>
        </w:trPr>
        <w:tc>
          <w:tcPr>
            <w:tcW w:w="6140" w:type="dxa"/>
            <w:vAlign w:val="bottom"/>
          </w:tcPr>
          <w:p>
            <w:pPr>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1"/>
                <w:szCs w:val="21"/>
                <w:b w:val="1"/>
                <w:bCs w:val="1"/>
                <w:color w:val="auto"/>
                <w:vertAlign w:val="superscript"/>
              </w:rPr>
              <w:t>(b)</w:t>
            </w:r>
          </w:p>
        </w:tc>
        <w:tc>
          <w:tcPr>
            <w:tcW w:w="2320" w:type="dxa"/>
            <w:vAlign w:val="bottom"/>
          </w:tcPr>
          <w:p>
            <w:pPr>
              <w:ind w:left="20"/>
              <w:spacing w:after="0"/>
              <w:rPr>
                <w:sz w:val="20"/>
                <w:szCs w:val="20"/>
                <w:color w:val="auto"/>
              </w:rPr>
            </w:pPr>
            <w:r>
              <w:rPr>
                <w:rFonts w:ascii="Arial" w:cs="Arial" w:eastAsia="Arial" w:hAnsi="Arial"/>
                <w:sz w:val="14"/>
                <w:szCs w:val="14"/>
                <w:color w:val="auto"/>
              </w:rPr>
              <w:t>$89 million to $93 million</w:t>
            </w:r>
          </w:p>
        </w:tc>
        <w:tc>
          <w:tcPr>
            <w:tcW w:w="2580" w:type="dxa"/>
            <w:vAlign w:val="bottom"/>
          </w:tcPr>
          <w:p>
            <w:pPr>
              <w:spacing w:after="0"/>
              <w:rPr>
                <w:sz w:val="24"/>
                <w:szCs w:val="24"/>
                <w:color w:val="auto"/>
              </w:rPr>
            </w:pPr>
          </w:p>
        </w:tc>
      </w:tr>
      <w:tr>
        <w:trPr>
          <w:trHeight w:val="288"/>
        </w:trPr>
        <w:tc>
          <w:tcPr>
            <w:tcW w:w="6140" w:type="dxa"/>
            <w:vAlign w:val="bottom"/>
          </w:tcPr>
          <w:p>
            <w:pPr>
              <w:spacing w:after="0"/>
              <w:rPr>
                <w:sz w:val="20"/>
                <w:szCs w:val="20"/>
                <w:color w:val="auto"/>
              </w:rPr>
            </w:pPr>
            <w:r>
              <w:rPr>
                <w:rFonts w:ascii="Arial" w:cs="Arial" w:eastAsia="Arial" w:hAnsi="Arial"/>
                <w:sz w:val="14"/>
                <w:szCs w:val="14"/>
                <w:color w:val="auto"/>
              </w:rPr>
              <w:t xml:space="preserve">Cash Interest </w:t>
            </w:r>
            <w:r>
              <w:rPr>
                <w:rFonts w:ascii="Arial" w:cs="Arial" w:eastAsia="Arial" w:hAnsi="Arial"/>
                <w:sz w:val="21"/>
                <w:szCs w:val="21"/>
                <w:b w:val="1"/>
                <w:bCs w:val="1"/>
                <w:color w:val="auto"/>
                <w:vertAlign w:val="superscript"/>
              </w:rPr>
              <w:t>(b)</w:t>
            </w:r>
          </w:p>
        </w:tc>
        <w:tc>
          <w:tcPr>
            <w:tcW w:w="2320" w:type="dxa"/>
            <w:vAlign w:val="bottom"/>
          </w:tcPr>
          <w:p>
            <w:pPr>
              <w:ind w:left="20"/>
              <w:spacing w:after="0"/>
              <w:rPr>
                <w:sz w:val="20"/>
                <w:szCs w:val="20"/>
                <w:color w:val="auto"/>
              </w:rPr>
            </w:pPr>
            <w:r>
              <w:rPr>
                <w:rFonts w:ascii="Arial" w:cs="Arial" w:eastAsia="Arial" w:hAnsi="Arial"/>
                <w:sz w:val="14"/>
                <w:szCs w:val="14"/>
                <w:color w:val="auto"/>
              </w:rPr>
              <w:t>$58 million to $62 million</w:t>
            </w:r>
          </w:p>
        </w:tc>
        <w:tc>
          <w:tcPr>
            <w:tcW w:w="2580" w:type="dxa"/>
            <w:vAlign w:val="bottom"/>
          </w:tcPr>
          <w:p>
            <w:pPr>
              <w:spacing w:after="0"/>
              <w:rPr>
                <w:sz w:val="24"/>
                <w:szCs w:val="24"/>
                <w:color w:val="auto"/>
              </w:rPr>
            </w:pPr>
          </w:p>
        </w:tc>
      </w:tr>
      <w:tr>
        <w:trPr>
          <w:trHeight w:val="174"/>
        </w:trPr>
        <w:tc>
          <w:tcPr>
            <w:tcW w:w="6140" w:type="dxa"/>
            <w:vAlign w:val="bottom"/>
          </w:tcPr>
          <w:p>
            <w:pPr>
              <w:spacing w:after="0"/>
              <w:rPr>
                <w:sz w:val="20"/>
                <w:szCs w:val="20"/>
                <w:color w:val="auto"/>
              </w:rPr>
            </w:pPr>
            <w:r>
              <w:rPr>
                <w:rFonts w:ascii="Arial" w:cs="Arial" w:eastAsia="Arial" w:hAnsi="Arial"/>
                <w:sz w:val="14"/>
                <w:szCs w:val="14"/>
                <w:color w:val="auto"/>
              </w:rPr>
              <w:t>Income tax expense rate</w:t>
            </w:r>
          </w:p>
        </w:tc>
        <w:tc>
          <w:tcPr>
            <w:tcW w:w="2320" w:type="dxa"/>
            <w:vAlign w:val="bottom"/>
          </w:tcPr>
          <w:p>
            <w:pPr>
              <w:ind w:left="20"/>
              <w:spacing w:after="0"/>
              <w:rPr>
                <w:sz w:val="20"/>
                <w:szCs w:val="20"/>
                <w:color w:val="auto"/>
              </w:rPr>
            </w:pPr>
            <w:r>
              <w:rPr>
                <w:rFonts w:ascii="Arial" w:cs="Arial" w:eastAsia="Arial" w:hAnsi="Arial"/>
                <w:sz w:val="14"/>
                <w:szCs w:val="14"/>
                <w:color w:val="auto"/>
              </w:rPr>
              <w:t>0%</w:t>
            </w:r>
          </w:p>
        </w:tc>
        <w:tc>
          <w:tcPr>
            <w:tcW w:w="2580" w:type="dxa"/>
            <w:vAlign w:val="bottom"/>
          </w:tcPr>
          <w:p>
            <w:pPr>
              <w:spacing w:after="0"/>
              <w:rPr>
                <w:sz w:val="15"/>
                <w:szCs w:val="15"/>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Cash tax rate</w:t>
            </w:r>
          </w:p>
        </w:tc>
        <w:tc>
          <w:tcPr>
            <w:tcW w:w="2320" w:type="dxa"/>
            <w:vAlign w:val="bottom"/>
          </w:tcPr>
          <w:p>
            <w:pPr>
              <w:ind w:left="20"/>
              <w:spacing w:after="0"/>
              <w:rPr>
                <w:sz w:val="20"/>
                <w:szCs w:val="20"/>
                <w:color w:val="auto"/>
              </w:rPr>
            </w:pPr>
            <w:r>
              <w:rPr>
                <w:rFonts w:ascii="Arial" w:cs="Arial" w:eastAsia="Arial" w:hAnsi="Arial"/>
                <w:sz w:val="14"/>
                <w:szCs w:val="14"/>
                <w:color w:val="auto"/>
              </w:rPr>
              <w:t>0%</w:t>
            </w:r>
          </w:p>
        </w:tc>
        <w:tc>
          <w:tcPr>
            <w:tcW w:w="2580" w:type="dxa"/>
            <w:vAlign w:val="bottom"/>
          </w:tcPr>
          <w:p>
            <w:pPr>
              <w:spacing w:after="0"/>
              <w:rPr>
                <w:sz w:val="23"/>
                <w:szCs w:val="23"/>
                <w:color w:val="auto"/>
              </w:rPr>
            </w:pPr>
          </w:p>
        </w:tc>
      </w:tr>
      <w:tr>
        <w:trPr>
          <w:trHeight w:val="916"/>
        </w:trPr>
        <w:tc>
          <w:tcPr>
            <w:tcW w:w="6140" w:type="dxa"/>
            <w:vAlign w:val="bottom"/>
          </w:tcPr>
          <w:p>
            <w:pPr>
              <w:spacing w:after="0"/>
              <w:rPr>
                <w:sz w:val="20"/>
                <w:szCs w:val="20"/>
                <w:color w:val="auto"/>
              </w:rPr>
            </w:pPr>
            <w:r>
              <w:rPr>
                <w:rFonts w:ascii="Arial" w:cs="Arial" w:eastAsia="Arial" w:hAnsi="Arial"/>
                <w:sz w:val="14"/>
                <w:szCs w:val="14"/>
                <w:b w:val="1"/>
                <w:bCs w:val="1"/>
                <w:color w:val="auto"/>
              </w:rPr>
              <w:t xml:space="preserve">Pre-tax 2018 First Quarter Price Sensitivities </w:t>
            </w:r>
            <w:r>
              <w:rPr>
                <w:rFonts w:ascii="Arial" w:cs="Arial" w:eastAsia="Arial" w:hAnsi="Arial"/>
                <w:sz w:val="17"/>
                <w:szCs w:val="17"/>
                <w:b w:val="1"/>
                <w:bCs w:val="1"/>
                <w:color w:val="auto"/>
                <w:vertAlign w:val="superscript"/>
              </w:rPr>
              <w:t>(c)</w:t>
            </w:r>
          </w:p>
        </w:tc>
        <w:tc>
          <w:tcPr>
            <w:tcW w:w="2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 xml:space="preserve">$1 change in Brent index - Oil </w:t>
            </w:r>
            <w:r>
              <w:rPr>
                <w:rFonts w:ascii="Arial" w:cs="Arial" w:eastAsia="Arial" w:hAnsi="Arial"/>
                <w:sz w:val="17"/>
                <w:szCs w:val="17"/>
                <w:color w:val="auto"/>
                <w:vertAlign w:val="superscript"/>
              </w:rPr>
              <w:t>(d)</w:t>
            </w:r>
          </w:p>
        </w:tc>
        <w:tc>
          <w:tcPr>
            <w:tcW w:w="2320" w:type="dxa"/>
            <w:vAlign w:val="bottom"/>
          </w:tcPr>
          <w:p>
            <w:pPr>
              <w:jc w:val="center"/>
              <w:ind w:left="128"/>
              <w:spacing w:after="0"/>
              <w:rPr>
                <w:sz w:val="20"/>
                <w:szCs w:val="20"/>
                <w:color w:val="auto"/>
              </w:rPr>
            </w:pPr>
            <w:r>
              <w:rPr>
                <w:rFonts w:ascii="Arial" w:cs="Arial" w:eastAsia="Arial" w:hAnsi="Arial"/>
                <w:sz w:val="14"/>
                <w:szCs w:val="14"/>
                <w:color w:val="auto"/>
              </w:rPr>
              <w:t>$1.7 million</w:t>
            </w:r>
          </w:p>
        </w:tc>
        <w:tc>
          <w:tcPr>
            <w:tcW w:w="2580" w:type="dxa"/>
            <w:vAlign w:val="bottom"/>
          </w:tcPr>
          <w:p>
            <w:pPr>
              <w:spacing w:after="0"/>
              <w:rPr>
                <w:sz w:val="23"/>
                <w:szCs w:val="23"/>
                <w:color w:val="auto"/>
              </w:rPr>
            </w:pPr>
          </w:p>
        </w:tc>
      </w:tr>
      <w:tr>
        <w:trPr>
          <w:trHeight w:val="218"/>
        </w:trPr>
        <w:tc>
          <w:tcPr>
            <w:tcW w:w="6140" w:type="dxa"/>
            <w:vAlign w:val="bottom"/>
          </w:tcPr>
          <w:p>
            <w:pPr>
              <w:spacing w:after="0"/>
              <w:rPr>
                <w:sz w:val="20"/>
                <w:szCs w:val="20"/>
                <w:color w:val="auto"/>
              </w:rPr>
            </w:pPr>
            <w:r>
              <w:rPr>
                <w:rFonts w:ascii="Arial" w:cs="Arial" w:eastAsia="Arial" w:hAnsi="Arial"/>
                <w:sz w:val="14"/>
                <w:szCs w:val="14"/>
                <w:color w:val="auto"/>
              </w:rPr>
              <w:t>$1 change in Brent index - NGLs</w:t>
            </w:r>
          </w:p>
        </w:tc>
        <w:tc>
          <w:tcPr>
            <w:tcW w:w="2320" w:type="dxa"/>
            <w:vAlign w:val="bottom"/>
          </w:tcPr>
          <w:p>
            <w:pPr>
              <w:jc w:val="center"/>
              <w:ind w:left="128"/>
              <w:spacing w:after="0"/>
              <w:rPr>
                <w:sz w:val="20"/>
                <w:szCs w:val="20"/>
                <w:color w:val="auto"/>
              </w:rPr>
            </w:pPr>
            <w:r>
              <w:rPr>
                <w:rFonts w:ascii="Arial" w:cs="Arial" w:eastAsia="Arial" w:hAnsi="Arial"/>
                <w:sz w:val="14"/>
                <w:szCs w:val="14"/>
                <w:color w:val="auto"/>
              </w:rPr>
              <w:t>$0.8 million</w:t>
            </w:r>
          </w:p>
        </w:tc>
        <w:tc>
          <w:tcPr>
            <w:tcW w:w="2580" w:type="dxa"/>
            <w:vAlign w:val="bottom"/>
          </w:tcPr>
          <w:p>
            <w:pPr>
              <w:spacing w:after="0"/>
              <w:rPr>
                <w:sz w:val="18"/>
                <w:szCs w:val="18"/>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$0.50 change in NYMEX - Gas</w:t>
            </w:r>
          </w:p>
        </w:tc>
        <w:tc>
          <w:tcPr>
            <w:tcW w:w="2320" w:type="dxa"/>
            <w:vAlign w:val="bottom"/>
          </w:tcPr>
          <w:p>
            <w:pPr>
              <w:jc w:val="center"/>
              <w:ind w:left="128"/>
              <w:spacing w:after="0"/>
              <w:rPr>
                <w:sz w:val="20"/>
                <w:szCs w:val="20"/>
                <w:color w:val="auto"/>
              </w:rPr>
            </w:pPr>
            <w:r>
              <w:rPr>
                <w:rFonts w:ascii="Arial" w:cs="Arial" w:eastAsia="Arial" w:hAnsi="Arial"/>
                <w:sz w:val="14"/>
                <w:szCs w:val="14"/>
                <w:color w:val="auto"/>
              </w:rPr>
              <w:t>$3.5 million</w:t>
            </w:r>
          </w:p>
        </w:tc>
        <w:tc>
          <w:tcPr>
            <w:tcW w:w="2580" w:type="dxa"/>
            <w:vAlign w:val="bottom"/>
          </w:tcPr>
          <w:p>
            <w:pPr>
              <w:spacing w:after="0"/>
              <w:rPr>
                <w:sz w:val="23"/>
                <w:szCs w:val="23"/>
                <w:color w:val="auto"/>
              </w:rPr>
            </w:pPr>
          </w:p>
        </w:tc>
      </w:tr>
      <w:tr>
        <w:trPr>
          <w:trHeight w:val="916"/>
        </w:trPr>
        <w:tc>
          <w:tcPr>
            <w:tcW w:w="6140" w:type="dxa"/>
            <w:vAlign w:val="bottom"/>
          </w:tcPr>
          <w:p>
            <w:pPr>
              <w:spacing w:after="0"/>
              <w:rPr>
                <w:sz w:val="20"/>
                <w:szCs w:val="20"/>
                <w:color w:val="auto"/>
              </w:rPr>
            </w:pPr>
            <w:r>
              <w:rPr>
                <w:rFonts w:ascii="Arial" w:cs="Arial" w:eastAsia="Arial" w:hAnsi="Arial"/>
                <w:sz w:val="14"/>
                <w:szCs w:val="14"/>
                <w:b w:val="1"/>
                <w:bCs w:val="1"/>
                <w:color w:val="auto"/>
              </w:rPr>
              <w:t xml:space="preserve">2018 First Quarter Production Sensitivities </w:t>
            </w:r>
            <w:r>
              <w:rPr>
                <w:rFonts w:ascii="Arial" w:cs="Arial" w:eastAsia="Arial" w:hAnsi="Arial"/>
                <w:sz w:val="17"/>
                <w:szCs w:val="17"/>
                <w:b w:val="1"/>
                <w:bCs w:val="1"/>
                <w:color w:val="auto"/>
                <w:vertAlign w:val="superscript"/>
              </w:rPr>
              <w:t>(e)</w:t>
            </w:r>
          </w:p>
        </w:tc>
        <w:tc>
          <w:tcPr>
            <w:tcW w:w="2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24"/>
        </w:trPr>
        <w:tc>
          <w:tcPr>
            <w:tcW w:w="6140" w:type="dxa"/>
            <w:vAlign w:val="bottom"/>
          </w:tcPr>
          <w:p>
            <w:pPr>
              <w:spacing w:after="0"/>
              <w:rPr>
                <w:sz w:val="19"/>
                <w:szCs w:val="19"/>
                <w:color w:val="auto"/>
              </w:rPr>
            </w:pPr>
          </w:p>
        </w:tc>
        <w:tc>
          <w:tcPr>
            <w:tcW w:w="23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Production</w:t>
            </w:r>
          </w:p>
        </w:tc>
        <w:tc>
          <w:tcPr>
            <w:tcW w:w="25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Production Costs</w:t>
            </w:r>
          </w:p>
        </w:tc>
      </w:tr>
      <w:tr>
        <w:trPr>
          <w:trHeight w:val="244"/>
        </w:trPr>
        <w:tc>
          <w:tcPr>
            <w:tcW w:w="6140" w:type="dxa"/>
            <w:vAlign w:val="bottom"/>
          </w:tcPr>
          <w:p>
            <w:pPr>
              <w:spacing w:after="0"/>
              <w:rPr>
                <w:sz w:val="20"/>
                <w:szCs w:val="20"/>
                <w:color w:val="auto"/>
              </w:rPr>
            </w:pPr>
            <w:r>
              <w:rPr>
                <w:rFonts w:ascii="Arial" w:cs="Arial" w:eastAsia="Arial" w:hAnsi="Arial"/>
                <w:sz w:val="14"/>
                <w:szCs w:val="14"/>
                <w:color w:val="auto"/>
              </w:rPr>
              <w:t>Brent at $75.00</w:t>
            </w:r>
          </w:p>
        </w:tc>
        <w:tc>
          <w:tcPr>
            <w:tcW w:w="2320" w:type="dxa"/>
            <w:vAlign w:val="bottom"/>
          </w:tcPr>
          <w:p>
            <w:pPr>
              <w:jc w:val="center"/>
              <w:ind w:left="108"/>
              <w:spacing w:after="0"/>
              <w:rPr>
                <w:sz w:val="20"/>
                <w:szCs w:val="20"/>
                <w:color w:val="auto"/>
              </w:rPr>
            </w:pPr>
            <w:r>
              <w:rPr>
                <w:rFonts w:ascii="Arial" w:cs="Arial" w:eastAsia="Arial" w:hAnsi="Arial"/>
                <w:sz w:val="14"/>
                <w:szCs w:val="14"/>
                <w:color w:val="auto"/>
              </w:rPr>
              <w:t>119 to 124 MBOE per day</w:t>
            </w:r>
          </w:p>
        </w:tc>
        <w:tc>
          <w:tcPr>
            <w:tcW w:w="2580" w:type="dxa"/>
            <w:vAlign w:val="bottom"/>
          </w:tcPr>
          <w:p>
            <w:pPr>
              <w:ind w:left="220"/>
              <w:spacing w:after="0"/>
              <w:rPr>
                <w:sz w:val="20"/>
                <w:szCs w:val="20"/>
                <w:color w:val="auto"/>
              </w:rPr>
            </w:pPr>
            <w:r>
              <w:rPr>
                <w:rFonts w:ascii="Arial" w:cs="Arial" w:eastAsia="Arial" w:hAnsi="Arial"/>
                <w:sz w:val="14"/>
                <w:szCs w:val="14"/>
                <w:color w:val="auto"/>
              </w:rPr>
              <w:t>$19.50 to $21.00 per BOE</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Brent at $65.00</w:t>
            </w:r>
          </w:p>
        </w:tc>
        <w:tc>
          <w:tcPr>
            <w:tcW w:w="2320" w:type="dxa"/>
            <w:vAlign w:val="bottom"/>
          </w:tcPr>
          <w:p>
            <w:pPr>
              <w:jc w:val="center"/>
              <w:ind w:left="108"/>
              <w:spacing w:after="0"/>
              <w:rPr>
                <w:sz w:val="20"/>
                <w:szCs w:val="20"/>
                <w:color w:val="auto"/>
              </w:rPr>
            </w:pPr>
            <w:r>
              <w:rPr>
                <w:rFonts w:ascii="Arial" w:cs="Arial" w:eastAsia="Arial" w:hAnsi="Arial"/>
                <w:sz w:val="14"/>
                <w:szCs w:val="14"/>
                <w:color w:val="auto"/>
              </w:rPr>
              <w:t>120 to 125 MBOE per day</w:t>
            </w:r>
          </w:p>
        </w:tc>
        <w:tc>
          <w:tcPr>
            <w:tcW w:w="2580" w:type="dxa"/>
            <w:vAlign w:val="bottom"/>
          </w:tcPr>
          <w:p>
            <w:pPr>
              <w:ind w:left="220"/>
              <w:spacing w:after="0"/>
              <w:rPr>
                <w:sz w:val="20"/>
                <w:szCs w:val="20"/>
                <w:color w:val="auto"/>
              </w:rPr>
            </w:pPr>
            <w:r>
              <w:rPr>
                <w:rFonts w:ascii="Arial" w:cs="Arial" w:eastAsia="Arial" w:hAnsi="Arial"/>
                <w:sz w:val="14"/>
                <w:szCs w:val="14"/>
                <w:color w:val="auto"/>
              </w:rPr>
              <w:t>$19.25 to $20.75 per BOE</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Brent at $55.00</w:t>
            </w:r>
          </w:p>
        </w:tc>
        <w:tc>
          <w:tcPr>
            <w:tcW w:w="2320" w:type="dxa"/>
            <w:vAlign w:val="bottom"/>
          </w:tcPr>
          <w:p>
            <w:pPr>
              <w:jc w:val="center"/>
              <w:ind w:left="108"/>
              <w:spacing w:after="0"/>
              <w:rPr>
                <w:sz w:val="20"/>
                <w:szCs w:val="20"/>
                <w:color w:val="auto"/>
              </w:rPr>
            </w:pPr>
            <w:r>
              <w:rPr>
                <w:rFonts w:ascii="Arial" w:cs="Arial" w:eastAsia="Arial" w:hAnsi="Arial"/>
                <w:sz w:val="14"/>
                <w:szCs w:val="14"/>
                <w:color w:val="auto"/>
              </w:rPr>
              <w:t>123 to 128 MBOE per day</w:t>
            </w:r>
          </w:p>
        </w:tc>
        <w:tc>
          <w:tcPr>
            <w:tcW w:w="2580" w:type="dxa"/>
            <w:vAlign w:val="bottom"/>
          </w:tcPr>
          <w:p>
            <w:pPr>
              <w:ind w:left="220"/>
              <w:spacing w:after="0"/>
              <w:rPr>
                <w:sz w:val="20"/>
                <w:szCs w:val="20"/>
                <w:color w:val="auto"/>
              </w:rPr>
            </w:pPr>
            <w:r>
              <w:rPr>
                <w:rFonts w:ascii="Arial" w:cs="Arial" w:eastAsia="Arial" w:hAnsi="Arial"/>
                <w:sz w:val="14"/>
                <w:szCs w:val="14"/>
                <w:color w:val="auto"/>
              </w:rPr>
              <w:t>$19.00 to $20.50 per BOE</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5" w:hanging="225"/>
        <w:spacing w:after="0"/>
        <w:tabs>
          <w:tab w:leader="none" w:pos="225"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Realizations exclude hedge effects.</w:t>
      </w:r>
    </w:p>
    <w:p>
      <w:pPr>
        <w:spacing w:after="0" w:line="55" w:lineRule="exact"/>
        <w:rPr>
          <w:rFonts w:ascii="Arial" w:cs="Arial" w:eastAsia="Arial" w:hAnsi="Arial"/>
          <w:sz w:val="14"/>
          <w:szCs w:val="14"/>
          <w:color w:val="auto"/>
        </w:rPr>
      </w:pPr>
    </w:p>
    <w:p>
      <w:pPr>
        <w:ind w:left="5" w:right="500" w:hanging="5"/>
        <w:spacing w:after="0" w:line="258" w:lineRule="auto"/>
        <w:tabs>
          <w:tab w:leader="none" w:pos="221"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Interest expense includes the amortization of deferred financing costs and the deferred gain that resulted from the December 2015 debt exchange. Cash interest for the quarter is lower than interest expense due to the timing of interest payments.</w:t>
      </w:r>
    </w:p>
    <w:p>
      <w:pPr>
        <w:spacing w:after="0" w:line="32" w:lineRule="exact"/>
        <w:rPr>
          <w:rFonts w:ascii="Arial" w:cs="Arial" w:eastAsia="Arial" w:hAnsi="Arial"/>
          <w:sz w:val="14"/>
          <w:szCs w:val="14"/>
          <w:color w:val="auto"/>
        </w:rPr>
      </w:pPr>
    </w:p>
    <w:p>
      <w:pPr>
        <w:ind w:left="205" w:hanging="205"/>
        <w:spacing w:after="0"/>
        <w:tabs>
          <w:tab w:leader="none" w:pos="205" w:val="left"/>
        </w:tabs>
        <w:numPr>
          <w:ilvl w:val="0"/>
          <w:numId w:val="14"/>
        </w:numPr>
        <w:rPr>
          <w:rFonts w:ascii="Arial" w:cs="Arial" w:eastAsia="Arial" w:hAnsi="Arial"/>
          <w:sz w:val="14"/>
          <w:szCs w:val="14"/>
          <w:color w:val="auto"/>
        </w:rPr>
      </w:pPr>
      <w:r>
        <w:rPr>
          <w:rFonts w:ascii="Arial" w:cs="Arial" w:eastAsia="Arial" w:hAnsi="Arial"/>
          <w:sz w:val="14"/>
          <w:szCs w:val="14"/>
          <w:color w:val="auto"/>
        </w:rPr>
        <w:t>Due to our tax position there is no difference between the impact on our income and cash flows.</w:t>
      </w:r>
    </w:p>
    <w:p>
      <w:pPr>
        <w:spacing w:after="0" w:line="55" w:lineRule="exact"/>
        <w:rPr>
          <w:rFonts w:ascii="Arial" w:cs="Arial" w:eastAsia="Arial" w:hAnsi="Arial"/>
          <w:sz w:val="14"/>
          <w:szCs w:val="14"/>
          <w:color w:val="auto"/>
        </w:rPr>
      </w:pPr>
    </w:p>
    <w:p>
      <w:pPr>
        <w:ind w:left="5" w:right="80" w:hanging="5"/>
        <w:spacing w:after="0" w:line="258" w:lineRule="auto"/>
        <w:tabs>
          <w:tab w:leader="none" w:pos="221"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 reflects the sensitivity with respect to unhedged barrels at a Brent index price exceeding $60.00 per barrel and includes the effect of production sharing type contracts at our Wilmington field operations in Long Beach.</w:t>
      </w:r>
    </w:p>
    <w:p>
      <w:pPr>
        <w:spacing w:after="0" w:line="32" w:lineRule="exact"/>
        <w:rPr>
          <w:rFonts w:ascii="Arial" w:cs="Arial" w:eastAsia="Arial" w:hAnsi="Arial"/>
          <w:sz w:val="14"/>
          <w:szCs w:val="14"/>
          <w:color w:val="auto"/>
        </w:rPr>
      </w:pPr>
    </w:p>
    <w:p>
      <w:pPr>
        <w:ind w:left="225" w:hanging="225"/>
        <w:spacing w:after="0"/>
        <w:tabs>
          <w:tab w:leader="none" w:pos="225"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the effect of price changes on our share of production for the production sharing type contracts at our Wilmington field operations in Long Beach.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Page 20</w:t>
      </w:r>
    </w:p>
    <w:sectPr>
      <w:pgSz w:w="11900" w:h="16838" w:orient="portrait"/>
      <w:cols w:equalWidth="0" w:num="1">
        <w:col w:w="11365"/>
      </w:cols>
      <w:pgMar w:left="275" w:top="74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2"/>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2019-12-29T01:54:40Z</dcterms:created>
  <dcterms:modified xsi:type="dcterms:W3CDTF">2019-12-29T01:54:40Z</dcterms:modified>
</cp:coreProperties>
</file>