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March 31, 2024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The number of shares of common stock outstanding as of March 31, 2024 was 68,530,744.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(Loss) Income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28">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34">
              <w:r>
                <w:rPr>
                  <w:rStyle w:val="InternetLink"/>
                  <w:rFonts w:ascii="Arial;sans-serif" w:hAnsi="Arial;sans-serif"/>
                  <w:b/>
                  <w:strike w:val="false"/>
                  <w:dstrike w:val="false"/>
                  <w:color w:val="000000"/>
                  <w:sz w:val="20"/>
                  <w:u w:val="none"/>
                  <w:effect w:val="none"/>
                </w:rPr>
                <w:t>8</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37">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82">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85">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Pending Aera Merger</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88">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91">
              <w:r>
                <w:rPr>
                  <w:rStyle w:val="InternetLink"/>
                  <w:rFonts w:ascii="Arial;sans-serif" w:hAnsi="Arial;sans-serif"/>
                  <w:b/>
                  <w:strike w:val="false"/>
                  <w:dstrike w:val="false"/>
                  <w:color w:val="000000"/>
                  <w:sz w:val="20"/>
                  <w:u w:val="none"/>
                  <w:effect w:val="none"/>
                </w:rPr>
                <w:t>26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94">
              <w:r>
                <w:rPr>
                  <w:rStyle w:val="InternetLink"/>
                  <w:rFonts w:ascii="Arial;sans-serif" w:hAnsi="Arial;sans-serif"/>
                  <w:b/>
                  <w:strike w:val="false"/>
                  <w:dstrike w:val="false"/>
                  <w:color w:val="000000"/>
                  <w:sz w:val="20"/>
                  <w:u w:val="none"/>
                  <w:effect w:val="none"/>
                </w:rPr>
                <w:t>26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Oil and Gas Operations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00">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06">
              <w:r>
                <w:rPr>
                  <w:rStyle w:val="InternetLink"/>
                  <w:rFonts w:ascii="Arial;sans-serif" w:hAnsi="Arial;sans-serif"/>
                  <w:b/>
                  <w:strike w:val="false"/>
                  <w:dstrike w:val="false"/>
                  <w:color w:val="000000"/>
                  <w:sz w:val="20"/>
                  <w:u w:val="none"/>
                  <w:effect w:val="none"/>
                </w:rPr>
                <w:t>30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09">
              <w:r>
                <w:rPr>
                  <w:rStyle w:val="InternetLink"/>
                  <w:rFonts w:ascii="Arial;sans-serif" w:hAnsi="Arial;sans-serif"/>
                  <w:b/>
                  <w:strike w:val="false"/>
                  <w:dstrike w:val="false"/>
                  <w:color w:val="000000"/>
                  <w:sz w:val="20"/>
                  <w:u w:val="none"/>
                  <w:effect w:val="none"/>
                </w:rPr>
                <w:t>33</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and Acquisitions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12">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15">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18">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21">
              <w:r>
                <w:rPr>
                  <w:rStyle w:val="InternetLink"/>
                  <w:rFonts w:ascii="Arial;sans-serif" w:hAnsi="Arial;sans-serif"/>
                  <w:b/>
                  <w:strike w:val="false"/>
                  <w:dstrike w:val="false"/>
                  <w:color w:val="000000"/>
                  <w:sz w:val="20"/>
                  <w:u w:val="none"/>
                  <w:effect w:val="none"/>
                </w:rPr>
                <w:t>38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24">
              <w:r>
                <w:rPr>
                  <w:rStyle w:val="InternetLink"/>
                  <w:rFonts w:ascii="Arial;sans-serif" w:hAnsi="Arial;sans-serif"/>
                  <w:b/>
                  <w:strike w:val="false"/>
                  <w:dstrike w:val="false"/>
                  <w:color w:val="000000"/>
                  <w:sz w:val="20"/>
                  <w:u w:val="none"/>
                  <w:effect w:val="none"/>
                </w:rPr>
                <w:t>40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27">
              <w:r>
                <w:rPr>
                  <w:rStyle w:val="InternetLink"/>
                  <w:rFonts w:ascii="Arial;sans-serif" w:hAnsi="Arial;sans-serif"/>
                  <w:b/>
                  <w:strike w:val="false"/>
                  <w:dstrike w:val="false"/>
                  <w:color w:val="000000"/>
                  <w:sz w:val="20"/>
                  <w:u w:val="none"/>
                  <w:effect w:val="none"/>
                </w:rPr>
                <w:t>40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33">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36">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39">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42">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02d6cda30514d7d9de321f0c35a85ec_145">
              <w:r>
                <w:rPr>
                  <w:rStyle w:val="InternetLink"/>
                  <w:rFonts w:ascii="Arial;sans-serif" w:hAnsi="Arial;sans-serif"/>
                  <w:b/>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Full-Scope Net Zero </w:t>
      </w:r>
      <w:r>
        <w:rPr>
          <w:rFonts w:ascii="Arial;sans-serif" w:hAnsi="Arial;sans-serif"/>
          <w:b w:val="false"/>
          <w:color w:val="000000"/>
          <w:sz w:val="20"/>
        </w:rPr>
        <w:t>- Achieving permanent storage of captured or removed carbon emissions in a volume equal to all of our scope 1, 2 and 3 emissions by 2045.</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LIBOR</w:t>
      </w:r>
      <w:r>
        <w:rPr>
          <w:color w:val="000000"/>
        </w:rPr>
        <w:t xml:space="preserve"> </w:t>
      </w:r>
      <w:r>
        <w:rPr>
          <w:rFonts w:ascii="Arial;sans-serif" w:hAnsi="Arial;sans-serif"/>
          <w:b w:val="false"/>
          <w:color w:val="000000"/>
          <w:sz w:val="20"/>
        </w:rPr>
        <w:t>- London Interbank Offered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MHp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March 31, 2024 and December 31,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525" w:type="dxa"/>
        <w:jc w:val="center"/>
        <w:tblInd w:w="0" w:type="dxa"/>
        <w:tblLayout w:type="fixed"/>
        <w:tblCellMar>
          <w:top w:w="28" w:type="dxa"/>
          <w:left w:w="28" w:type="dxa"/>
          <w:bottom w:w="28" w:type="dxa"/>
          <w:right w:w="28" w:type="dxa"/>
        </w:tblCellMar>
      </w:tblPr>
      <w:tblGrid>
        <w:gridCol w:w="1734"/>
        <w:gridCol w:w="1521"/>
        <w:gridCol w:w="1530"/>
        <w:gridCol w:w="219"/>
        <w:gridCol w:w="672"/>
        <w:gridCol w:w="113"/>
        <w:gridCol w:w="109"/>
        <w:gridCol w:w="109"/>
        <w:gridCol w:w="109"/>
        <w:gridCol w:w="293"/>
        <w:gridCol w:w="900"/>
        <w:gridCol w:w="21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INCOME TAXES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69"/>
        <w:gridCol w:w="2408"/>
        <w:gridCol w:w="2423"/>
        <w:gridCol w:w="211"/>
        <w:gridCol w:w="646"/>
        <w:gridCol w:w="109"/>
        <w:gridCol w:w="109"/>
        <w:gridCol w:w="109"/>
        <w:gridCol w:w="109"/>
        <w:gridCol w:w="211"/>
        <w:gridCol w:w="646"/>
        <w:gridCol w:w="155"/>
      </w:tblGrid>
      <w:tr>
        <w:trPr/>
        <w:tc>
          <w:tcPr>
            <w:tcW w:w="306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March 31, 2024 and December 31, 2023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(84,460,423 and 83,557,800 shares issued; 68,530,744 and 68,693,885 shares outstanding at March 31, 2024 and December 31, 2023)</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(15,929,679 shares held at cost at March 31, 2024 and 14,863,915 shares held at cost at December 31, 2023)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months ended March 31, 2024 and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6984" w:type="dxa"/>
        <w:jc w:val="center"/>
        <w:tblInd w:w="0" w:type="dxa"/>
        <w:tblLayout w:type="fixed"/>
        <w:tblCellMar>
          <w:top w:w="28" w:type="dxa"/>
          <w:left w:w="28" w:type="dxa"/>
          <w:bottom w:w="28" w:type="dxa"/>
          <w:right w:w="28" w:type="dxa"/>
        </w:tblCellMar>
      </w:tblPr>
      <w:tblGrid>
        <w:gridCol w:w="1609"/>
        <w:gridCol w:w="1411"/>
        <w:gridCol w:w="1419"/>
        <w:gridCol w:w="211"/>
        <w:gridCol w:w="586"/>
        <w:gridCol w:w="109"/>
        <w:gridCol w:w="109"/>
        <w:gridCol w:w="109"/>
        <w:gridCol w:w="109"/>
        <w:gridCol w:w="211"/>
        <w:gridCol w:w="511"/>
        <w:gridCol w:w="109"/>
        <w:gridCol w:w="109"/>
        <w:gridCol w:w="109"/>
        <w:gridCol w:w="109"/>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gain from commodity derivatives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 from marketing of purchased commodities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sales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and other 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Carbon management business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asset divestitures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OPERATING (LOSS) INCOME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(EXPENSES) INCOME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debt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non-operating income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(LOSS) INCOME BEFORE INCOME TAXES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benefit (provision)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(loss) income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months ended March 31, 2024 and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86"/>
        <w:gridCol w:w="2454"/>
        <w:gridCol w:w="2463"/>
        <w:gridCol w:w="225"/>
        <w:gridCol w:w="466"/>
        <w:gridCol w:w="116"/>
        <w:gridCol w:w="116"/>
        <w:gridCol w:w="116"/>
        <w:gridCol w:w="116"/>
        <w:gridCol w:w="225"/>
        <w:gridCol w:w="516"/>
        <w:gridCol w:w="116"/>
        <w:gridCol w:w="109"/>
        <w:gridCol w:w="109"/>
        <w:gridCol w:w="109"/>
        <w:gridCol w:w="163"/>
      </w:tblGrid>
      <w:tr>
        <w:trPr/>
        <w:tc>
          <w:tcPr>
            <w:tcW w:w="2786"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7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comprehensive income: </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prior service cost credit included in net periodic benefit cost, net of tax</w:t>
            </w:r>
            <w:r>
              <w:rPr>
                <w:rFonts w:ascii="Arial;sans-serif" w:hAnsi="Arial;sans-serif"/>
                <w:b w:val="false"/>
                <w:color w:val="000000"/>
                <w:sz w:val="13"/>
              </w:rPr>
              <w:t>(a)</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 income attributable to common stock</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 Tax effects of the amortization of prior service cost credit were insignificant for the three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w:t>
      </w:r>
      <w:r>
        <w:rPr>
          <w:color w:val="000000"/>
        </w:rPr>
        <w:t xml:space="preserve"> </w:t>
      </w:r>
      <w:r>
        <w:rPr>
          <w:rFonts w:ascii="Arial;sans-serif" w:hAnsi="Arial;sans-serif"/>
          <w:b/>
          <w:color w:val="000000"/>
          <w:sz w:val="20"/>
        </w:rPr>
        <w:t>months ended March 31, 2024 and 2023</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6"/>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3"/>
      </w:tblGrid>
      <w:tr>
        <w:trPr/>
        <w:tc>
          <w:tcPr>
            <w:tcW w:w="8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March 31, 2024</w:t>
            </w:r>
          </w:p>
        </w:tc>
        <w:tc>
          <w:tcPr>
            <w:tcW w:w="1242"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December 31, 2023</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($0.31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March 31, 2024</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4"/>
        <w:gridCol w:w="417"/>
        <w:gridCol w:w="420"/>
        <w:gridCol w:w="350"/>
        <w:gridCol w:w="431"/>
        <w:gridCol w:w="196"/>
        <w:gridCol w:w="109"/>
        <w:gridCol w:w="109"/>
        <w:gridCol w:w="109"/>
        <w:gridCol w:w="229"/>
        <w:gridCol w:w="576"/>
        <w:gridCol w:w="127"/>
        <w:gridCol w:w="109"/>
        <w:gridCol w:w="109"/>
        <w:gridCol w:w="109"/>
        <w:gridCol w:w="286"/>
        <w:gridCol w:w="816"/>
        <w:gridCol w:w="161"/>
        <w:gridCol w:w="109"/>
        <w:gridCol w:w="109"/>
        <w:gridCol w:w="109"/>
        <w:gridCol w:w="240"/>
        <w:gridCol w:w="681"/>
        <w:gridCol w:w="133"/>
        <w:gridCol w:w="109"/>
        <w:gridCol w:w="109"/>
        <w:gridCol w:w="109"/>
        <w:gridCol w:w="441"/>
        <w:gridCol w:w="746"/>
        <w:gridCol w:w="246"/>
        <w:gridCol w:w="109"/>
        <w:gridCol w:w="109"/>
        <w:gridCol w:w="109"/>
        <w:gridCol w:w="109"/>
        <w:gridCol w:w="109"/>
        <w:gridCol w:w="109"/>
        <w:gridCol w:w="109"/>
        <w:gridCol w:w="196"/>
        <w:gridCol w:w="556"/>
        <w:gridCol w:w="162"/>
      </w:tblGrid>
      <w:tr>
        <w:trPr/>
        <w:tc>
          <w:tcPr>
            <w:tcW w:w="72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March 31, 2023</w:t>
            </w:r>
          </w:p>
        </w:tc>
        <w:tc>
          <w:tcPr>
            <w:tcW w:w="1459" w:type="dxa"/>
            <w:gridSpan w:val="8"/>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December 31, 2022</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March 31, 2023</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months ended March 31, 2024 and 2023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98"/>
        <w:gridCol w:w="2184"/>
        <w:gridCol w:w="2196"/>
        <w:gridCol w:w="311"/>
        <w:gridCol w:w="710"/>
        <w:gridCol w:w="160"/>
        <w:gridCol w:w="160"/>
        <w:gridCol w:w="160"/>
        <w:gridCol w:w="160"/>
        <w:gridCol w:w="311"/>
        <w:gridCol w:w="710"/>
        <w:gridCol w:w="160"/>
        <w:gridCol w:w="109"/>
        <w:gridCol w:w="109"/>
        <w:gridCol w:w="109"/>
        <w:gridCol w:w="158"/>
      </w:tblGrid>
      <w:tr>
        <w:trPr/>
        <w:tc>
          <w:tcPr>
            <w:tcW w:w="249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OPERATING ACTIVITIES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to reconcile net (loss) income to net cash provided by operating activities: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(benefit) provision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settled commodity derivatives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charges to income,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INVESTING ACTIVITIES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divestitures,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FINANCING ACTIVITIES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 on equity-settled awards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 and debt amendment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(Decrease) increase in cash and cash equivalents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equivalents—beginning of period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equivalents—end of period</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March 31, 2024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permitting several carbon capture and storage (CCS) projects in California. Our carbon management business, which we refer to as Carbon TerraVault, is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capture equipment, transportation assets and storage facilities in California. In August 2022, we entered into a joint venture with </w:t>
      </w:r>
      <w:r>
        <w:rPr>
          <w:rFonts w:ascii="Arial;sans-serif" w:hAnsi="Arial;sans-serif"/>
          <w:b w:val="false"/>
          <w:color w:val="000000"/>
          <w:sz w:val="20"/>
          <w:shd w:fill="FFFFFF" w:val="clear"/>
        </w:rPr>
        <w:t>BGTF Sierra Aggregator LLC (Brookfield)</w:t>
      </w:r>
      <w:r>
        <w:rPr>
          <w:color w:val="000000"/>
        </w:rPr>
        <w:t xml:space="preserve"> </w:t>
      </w:r>
      <w:r>
        <w:rPr>
          <w:rFonts w:ascii="Arial;sans-serif" w:hAnsi="Arial;sans-serif"/>
          <w:b w:val="false"/>
          <w:color w:val="000000"/>
          <w:sz w:val="20"/>
        </w:rPr>
        <w:t xml:space="preserve">to pursue carbon management and storage activities </w:t>
      </w:r>
      <w:r>
        <w:rPr>
          <w:rFonts w:ascii="Arial;sans-serif" w:hAnsi="Arial;sans-serif"/>
          <w:b w:val="false"/>
          <w:color w:val="000000"/>
          <w:sz w:val="20"/>
          <w:shd w:fill="FFFFFF" w:val="clear"/>
        </w:rPr>
        <w:t>(Carbon TerraVault JV)</w:t>
      </w:r>
      <w:r>
        <w:rPr>
          <w:rFonts w:ascii="Arial;sans-serif" w:hAnsi="Arial;sans-serif"/>
          <w:b w:val="false"/>
          <w:color w:val="000000"/>
          <w:sz w:val="20"/>
        </w:rPr>
        <w:t xml:space="preserve">. See </w:t>
      </w:r>
      <w:r>
        <w:rPr>
          <w:rFonts w:ascii="Arial;sans-serif" w:hAnsi="Arial;sans-serif"/>
          <w:b w:val="false"/>
          <w:i/>
          <w:color w:val="000000"/>
          <w:sz w:val="20"/>
        </w:rPr>
        <w:t xml:space="preserve">Note 3 Investment in Unconsolidated Subsidiary and Related Party Transactions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 in an unconsolidated subsidiary (</w:t>
      </w:r>
      <w:r>
        <w:rPr>
          <w:rFonts w:ascii="Arial;sans-serif" w:hAnsi="Arial;sans-serif"/>
          <w:b w:val="false"/>
          <w:color w:val="000000"/>
          <w:sz w:val="20"/>
          <w:shd w:fill="FFFFFF" w:val="clear"/>
        </w:rPr>
        <w:t xml:space="preserve">Carbon TerraVault JV HoldCo, LLC) </w:t>
      </w:r>
      <w:r>
        <w:rPr>
          <w:rFonts w:ascii="Arial;sans-serif" w:hAnsi="Arial;sans-serif"/>
          <w:b w:val="false"/>
          <w:color w:val="000000"/>
          <w:sz w:val="20"/>
        </w:rPr>
        <w:t xml:space="preserve">was initially recognized at cost and then 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2023 (2023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Certain prior period balances related to natural gas liquid (NGL) marketing activities have been reclassified to conform to our 2024 presentation. For the three months ended March 31, 2023, we reclassified $3 million related to NGL storage activities from other revenue to revenue from marketing of purchased commodities on our condensed consolidated statement of operations.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PENDING 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 Upon closing, Aera's $950 million outstanding long-term debt will become due as a result of a change in control provision within their legacy debt agreement.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 Additionally, we have amended our Revolving Credit Facility as described in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in connection with the pending Aera Merger. During the three months ended March 31, 2024, we incurred $8 million related to the bridge loan commitment and amending our Revolving Credit Facility which is reported in other current assets, net on our condensed consolidated balance sheet.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Closing of the Aera Merger is subject to certain conditions, including, among others, approval of the stock issuance by our stockholders, expiration of the applicable waiting period under the Hart-Scott-Rodino Antitrust Improvements Act of 1976, as amended (HSR Act), prior authorization by the Federal Energy Regulatory Commission under Section 203 of the Federal Power Act and other customary closing conditions. The required waiting period under the HSR Act expired on March 25,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Upon completion of the transaction, we currently expect our existing stockholders to own approximately 77% of the combined company and the existing Aera owners to own approximately 23% of the combined company, on a fully diluted basis.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 IN UNCONSOLIDATED SUBSIDIARY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August 2022, our wholly-owned subsidiary Carbon TerraVault I, LLC entered into a joint venture with Brookfield for the further development of a carbon management business in California. We hold a 51% interest in the Carbon TerraVault JV and Brookfield holds a 49% interest. 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Brookfield has committed an initial $500 million to invest in CCS projects that are jointly approved through the Carbon TerraVault JV. As part of the formation of the Carbon TerraVault JV, we contributed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$137 million, </w:t>
      </w:r>
      <w:r>
        <w:rPr>
          <w:rFonts w:ascii="Arial;sans-serif" w:hAnsi="Arial;sans-serif"/>
          <w:b w:val="false"/>
          <w:color w:val="000000"/>
          <w:sz w:val="20"/>
        </w:rPr>
        <w:t xml:space="preserve">payable in three installments with the last two installments subject to the achievement of certain milestones. We achieved the milestone for the second installment in March 2024. The third installment will be sized based on permitted storage capacity.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Brookfield contributed the first $46 million installment of their initial investment to the Carbon TerraVault JV in 2022 and the second $46 million installment was recorded as a receivable from affiliate on our condensed consolidated balance sheet as of March 31, 2024. The remaining balance of the initial installment plus the second installment may, at our sole discretion, be distributed to us or used to satisfy future capital contributions, among other items. </w:t>
      </w: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first and second installment of the initial investment by Brookfield is reflected as a contingent liability included in other long-term liabilities on our condensed consolidated balance sheets. The contingent liability was $99 million and $52 million at March 31, 2024 and December 31, 2023, respectively.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present the summarized financial information related to our equity method investment in the Carbon TerraVault JV (and do not include amounts we have incurred related to development of our carbon management business, Carbon TerraVault) along with related party transactions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39"/>
        <w:gridCol w:w="2405"/>
        <w:gridCol w:w="2411"/>
        <w:gridCol w:w="290"/>
        <w:gridCol w:w="519"/>
        <w:gridCol w:w="150"/>
        <w:gridCol w:w="109"/>
        <w:gridCol w:w="109"/>
        <w:gridCol w:w="109"/>
        <w:gridCol w:w="386"/>
        <w:gridCol w:w="691"/>
        <w:gridCol w:w="287"/>
      </w:tblGrid>
      <w:tr>
        <w:trPr/>
        <w:tc>
          <w:tcPr>
            <w:tcW w:w="2739"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691" w:type="dxa"/>
            <w:gridSpan w:val="6"/>
            <w:tcBorders/>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 in unconsolidated subsidiary</w:t>
            </w:r>
            <w:r>
              <w:rPr>
                <w:rFonts w:ascii="Arial;sans-serif" w:hAnsi="Arial;sans-serif"/>
                <w:b w:val="false"/>
                <w:color w:val="000000"/>
                <w:sz w:val="13"/>
              </w:rPr>
              <w:t>(a)</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(b)</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 - Contingent liability (related to Carbon TerraVault JV put and call rights)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(a)Reflects our investment less losses allocated to us of $3 million and $9 million for the three months ended March 31, 2024 and the year ended December 31, 2023, respectively.</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(b)The amount of Brookfield's contributions available to us and amounts due to us under the MSA (described further below) are reported as receivable from affiliate. At March 31, 2024, the amount of $66 million includes the remaining $63 million of Brookfield's first and second installments of their initial investment which is available to us and $3 million related to the MSA and vendor reimbursements. At December 31, 2023, the amount of $19 million includes $17 million remaining of Brookfield's initial contribution available to us and $2 million related to the MSA and vendor reimbursements. </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1642"/>
        <w:gridCol w:w="1442"/>
        <w:gridCol w:w="1445"/>
        <w:gridCol w:w="417"/>
        <w:gridCol w:w="536"/>
        <w:gridCol w:w="215"/>
        <w:gridCol w:w="215"/>
        <w:gridCol w:w="215"/>
        <w:gridCol w:w="215"/>
        <w:gridCol w:w="417"/>
        <w:gridCol w:w="536"/>
        <w:gridCol w:w="215"/>
        <w:gridCol w:w="109"/>
        <w:gridCol w:w="109"/>
        <w:gridCol w:w="109"/>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(a)</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(a)General and administrative expenses on our condensed consolidated statements of operations have been reduced by this amount which we have invoiced to the Carbon TerraVault JV under the MSA for back-office operational and commercial services.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We are also performing well abandonment work at our Elk Hills field as part of the permitting process for injection of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at the 26R reservoir. During the three months ended </w:t>
      </w:r>
      <w:r>
        <w:rPr>
          <w:rFonts w:ascii="Arial;sans-serif" w:hAnsi="Arial;sans-serif"/>
          <w:b w:val="false"/>
          <w:color w:val="000000"/>
          <w:sz w:val="20"/>
        </w:rPr>
        <w:t xml:space="preserve">March 31, 2024 and 2023, we performed abandonment work and sought reimbursement in the amounts of </w:t>
      </w:r>
      <w:r>
        <w:rPr>
          <w:rFonts w:ascii="Arial;sans-serif" w:hAnsi="Arial;sans-serif"/>
          <w:b w:val="false"/>
          <w:color w:val="000000"/>
          <w:sz w:val="20"/>
          <w:shd w:fill="FFFFFF" w:val="clear"/>
        </w:rPr>
        <w:t>$4 million and $1 million</w:t>
      </w:r>
      <w:r>
        <w:rPr>
          <w:rFonts w:ascii="Arial;sans-serif" w:hAnsi="Arial;sans-serif"/>
          <w:b w:val="false"/>
          <w:color w:val="000000"/>
          <w:sz w:val="20"/>
        </w:rPr>
        <w:t xml:space="preserve">, respectively, from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shd w:fill="FFFFFF" w:val="clear"/>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 in an approved budget. The MSA may be terminated by mutual agreement of the parties, among other events.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2024 and December 31, 2023, our long-term debt consisted of the following:</w:t>
      </w:r>
    </w:p>
    <w:p>
      <w:pPr>
        <w:pStyle w:val="TextBody"/>
        <w:bidi w:val="0"/>
        <w:spacing w:before="0" w:after="0"/>
        <w:ind w:left="0" w:right="0" w:firstLine="360"/>
        <w:jc w:val="both"/>
        <w:rPr/>
      </w:pPr>
      <w:r>
        <w:rPr/>
      </w:r>
    </w:p>
    <w:tbl>
      <w:tblPr>
        <w:tblW w:w="9769" w:type="dxa"/>
        <w:jc w:val="left"/>
        <w:tblInd w:w="0" w:type="dxa"/>
        <w:tblLayout w:type="fixed"/>
        <w:tblCellMar>
          <w:top w:w="28" w:type="dxa"/>
          <w:left w:w="28" w:type="dxa"/>
          <w:bottom w:w="28" w:type="dxa"/>
          <w:right w:w="28" w:type="dxa"/>
        </w:tblCellMar>
      </w:tblPr>
      <w:tblGrid>
        <w:gridCol w:w="1020"/>
        <w:gridCol w:w="897"/>
        <w:gridCol w:w="903"/>
        <w:gridCol w:w="253"/>
        <w:gridCol w:w="560"/>
        <w:gridCol w:w="131"/>
        <w:gridCol w:w="109"/>
        <w:gridCol w:w="109"/>
        <w:gridCol w:w="109"/>
        <w:gridCol w:w="350"/>
        <w:gridCol w:w="773"/>
        <w:gridCol w:w="181"/>
        <w:gridCol w:w="109"/>
        <w:gridCol w:w="109"/>
        <w:gridCol w:w="109"/>
        <w:gridCol w:w="724"/>
        <w:gridCol w:w="724"/>
        <w:gridCol w:w="727"/>
        <w:gridCol w:w="109"/>
        <w:gridCol w:w="109"/>
        <w:gridCol w:w="109"/>
        <w:gridCol w:w="451"/>
        <w:gridCol w:w="451"/>
        <w:gridCol w:w="64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2.50%-3.50%</w:t>
            </w:r>
          </w:p>
          <w:p>
            <w:pPr>
              <w:pStyle w:val="TableContents"/>
              <w:bidi w:val="0"/>
              <w:spacing w:lineRule="auto" w:line="240" w:before="0" w:after="0"/>
              <w:jc w:val="center"/>
              <w:rPr/>
            </w:pPr>
            <w:r>
              <w:rPr>
                <w:rFonts w:ascii="Arial;sans-serif" w:hAnsi="Arial;sans-serif"/>
                <w:b w:val="false"/>
                <w:color w:val="000000"/>
                <w:sz w:val="18"/>
              </w:rPr>
              <w:t>ABR plus 1.50%-2.50%</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July 31, 2027</w:t>
            </w:r>
            <w:r>
              <w:rPr>
                <w:rFonts w:ascii="Arial;sans-serif" w:hAnsi="Arial;sans-serif"/>
                <w:b w:val="false"/>
                <w:color w:val="000000"/>
                <w:sz w:val="12"/>
              </w:rPr>
              <w:t>(b)</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Notes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 2026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amount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debt,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the commitment utilization percentage and will vary from (i) in the case of ABR loans, 1.50% to 2.50% and (ii) in the case of term SOFR loans, 2.50% to 3.50%.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(b)The Revolving Credit Facility is subject to a springing maturity to August 4, 2025 if any of our Senior Notes are outstanding on that date.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26, 2023, we entered into an Amended and Restated Credit Agreement (Revolving Credit Facility) with Citibank, N.A., as administrative agent, and certain other lenders, which amended and restated in its entirety the prior credit agreement dated October 27, 2020. As of March 31, 2024, our Revolving Credit Facility consisted of a senior revolving loan facility with an aggregate commitment of $630 million. Our Revolving Credit Facility also included a sub-limit of $250 million for the issuance of letters of credit. As of March 31, 2024, $153 million letters of credit were issued to support ordinary course marketing, insurance, regulatory and other matters. As of March 31, 2024, we had $477 million of availability on our Revolving Credit Facility after taking into account the $153 million letters of credit outstanding.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connection with the Merger Agreement in February 2024, </w:t>
      </w:r>
      <w:r>
        <w:rPr>
          <w:rFonts w:ascii="Arial;sans-serif" w:hAnsi="Arial;sans-serif"/>
          <w:b w:val="false"/>
          <w:color w:val="000000"/>
          <w:sz w:val="20"/>
        </w:rPr>
        <w:t>we entered into a second amendment to our Revolving Credit Facility to, among other things, permit the incurrence of indebtedness under the Bridge Loan Facility. In March 2024, we entered into the third amendment to our Revolving Credit Facility. The amendment facilitated certain matters with respect to the Aera Merger, including the postponement of the regular spring borrowing base redetermination until the fall of 2024 and certain other amendments.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March 2024, we obtained commitments from our existing lenders and certain new lenders to amend our Revolving Credit Facility upon the closing of the Aera Merger. These commitments include increasing our borrowing base from $1.2 billion to $1.5 billion, increasing the aggregate commitment amount from $630 million to $1.1 billion and other matters. These commitments are subject to certain conditions prior to becoming effective, including the closing of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borrowing base is redetermined semi-annually and was reaffirmed at $1.2 billion on October 30, 2023. The regular spring borrowing base redetermination for 2024 was postponed until the fall of 2024.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March 31, 2024, we were in compliance with all financial and other debt covenants under our Revolving Credit Facility and Senior Notes. For more information on our Senior Notes,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2023 Annual Report.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fair value of our fixed-rate debt at March 31, 2024 and December 31, 2023 was approximately $549 million and $554 million, respectively. We estimate fair value based on known prices from market transactions (using Level 1 inputs on the fair value hierarchy).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it is probable that a liability has been incurred and the liability can be reasonably estimated. Reserve balances for these items at March 31,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We estimate our ongoing share of maintenance costs for the platforms could approximate $5 million to $8 million per year. Due to the preliminary stage of the process, no cost estimates to abandon the offshore platforms have been determined.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 to maintain a commodity hedging program primarily focused on crude oil to help protect our cash flows, margins and capital program from the volatility of commodity prices. We also enter into natural gas swaps for the purpose of hedging our fuel consumption at one of our steamfloods as well as swaps for natural gas purchases and sales related to our marketing activities. We did not have any derivative instruments designated as accounting hedges as of and for the three months ended March 31, 2024 and 2023.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as of March 31, 2024:</w:t>
      </w:r>
    </w:p>
    <w:p>
      <w:pPr>
        <w:pStyle w:val="TextBody"/>
        <w:bidi w:val="0"/>
        <w:spacing w:before="0" w:after="0"/>
        <w:ind w:left="0" w:right="0" w:firstLine="360"/>
        <w:jc w:val="left"/>
        <w:rPr/>
      </w:pPr>
      <w:r>
        <w:rPr/>
      </w:r>
    </w:p>
    <w:tbl>
      <w:tblPr>
        <w:tblW w:w="9540" w:type="dxa"/>
        <w:jc w:val="left"/>
        <w:tblInd w:w="0" w:type="dxa"/>
        <w:tblLayout w:type="fixed"/>
        <w:tblCellMar>
          <w:top w:w="28" w:type="dxa"/>
          <w:left w:w="28" w:type="dxa"/>
          <w:bottom w:w="28" w:type="dxa"/>
          <w:right w:w="28" w:type="dxa"/>
        </w:tblCellMar>
      </w:tblPr>
      <w:tblGrid>
        <w:gridCol w:w="1437"/>
        <w:gridCol w:w="794"/>
        <w:gridCol w:w="79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1H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2H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Swaps – we make settlement payments for prices above the indicated weighted-average price per barrel and receive settlement payments for prices below the indicated weighted-average price per barrel.</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March 31, 2024, we also held the following swaps to hedge purchased natural gas used in our operations as shown in the table below. </w:t>
      </w:r>
    </w:p>
    <w:p>
      <w:pPr>
        <w:pStyle w:val="TextBody"/>
        <w:bidi w:val="0"/>
        <w:spacing w:before="0" w:after="0"/>
        <w:ind w:left="0" w:right="0" w:firstLine="360"/>
        <w:jc w:val="left"/>
        <w:rPr/>
      </w:pPr>
      <w:r>
        <w:rPr/>
      </w:r>
    </w:p>
    <w:tbl>
      <w:tblPr>
        <w:tblW w:w="6462" w:type="dxa"/>
        <w:jc w:val="left"/>
        <w:tblInd w:w="0" w:type="dxa"/>
        <w:tblLayout w:type="fixed"/>
        <w:tblCellMar>
          <w:top w:w="28" w:type="dxa"/>
          <w:left w:w="28" w:type="dxa"/>
          <w:bottom w:w="28" w:type="dxa"/>
          <w:right w:w="28" w:type="dxa"/>
        </w:tblCellMar>
      </w:tblPr>
      <w:tblGrid>
        <w:gridCol w:w="1167"/>
        <w:gridCol w:w="1033"/>
        <w:gridCol w:w="980"/>
        <w:gridCol w:w="211"/>
        <w:gridCol w:w="541"/>
        <w:gridCol w:w="109"/>
        <w:gridCol w:w="109"/>
        <w:gridCol w:w="109"/>
        <w:gridCol w:w="109"/>
        <w:gridCol w:w="211"/>
        <w:gridCol w:w="541"/>
        <w:gridCol w:w="109"/>
        <w:gridCol w:w="109"/>
        <w:gridCol w:w="109"/>
        <w:gridCol w:w="109"/>
        <w:gridCol w:w="211"/>
        <w:gridCol w:w="54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Q2</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Q3</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Q4</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Swaps: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have a limited number of derivative contracts related to our natural gas marketing activities are intended to lock in locational price spreads. These derivative contracts are not significant to our results of operations or financial statements taken as a whole.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which hedge commodity price risk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6882" w:type="dxa"/>
        <w:jc w:val="center"/>
        <w:tblInd w:w="0" w:type="dxa"/>
        <w:tblLayout w:type="fixed"/>
        <w:tblCellMar>
          <w:top w:w="28" w:type="dxa"/>
          <w:left w:w="28" w:type="dxa"/>
          <w:bottom w:w="28" w:type="dxa"/>
          <w:right w:w="28" w:type="dxa"/>
        </w:tblCellMar>
      </w:tblPr>
      <w:tblGrid>
        <w:gridCol w:w="1394"/>
        <w:gridCol w:w="1223"/>
        <w:gridCol w:w="1238"/>
        <w:gridCol w:w="331"/>
        <w:gridCol w:w="685"/>
        <w:gridCol w:w="171"/>
        <w:gridCol w:w="171"/>
        <w:gridCol w:w="171"/>
        <w:gridCol w:w="171"/>
        <w:gridCol w:w="331"/>
        <w:gridCol w:w="755"/>
        <w:gridCol w:w="241"/>
      </w:tblGrid>
      <w:tr>
        <w:trPr/>
        <w:tc>
          <w:tcPr>
            <w:tcW w:w="139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(loss) gain</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premiums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report gains and losses on our derivative contracts for purchased natural gas used to generate steam for our steamflood operations as a component of operating expense on our consolidated statement of operations. For the three months ended March 31, 2024, we recognized a net loss of $1 million (which includes a non-cash gain of $1 million and $2 million of settlement payments) in other operating expenses, net on our consolidated statement of operations. We did not have derivative contracts related to purchased natural gas for the three months ended March 31,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derivative contracts are measured at fair value using industry-standard models with various inputs, including quoted forward prices, and are classified as Level 2 in the required fair value hierarchy for the periods presented.</w:t>
      </w:r>
    </w:p>
    <w:p>
      <w:pPr>
        <w:pStyle w:val="TextBody"/>
        <w:bidi w:val="0"/>
        <w:spacing w:before="0" w:after="0"/>
        <w:jc w:val="center"/>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the fair values of our outstanding commodity derivatives as of March 31, 2024 and December 31, 2023:</w:t>
      </w:r>
    </w:p>
    <w:tbl>
      <w:tblPr>
        <w:tblW w:w="847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843"/>
        <w:gridCol w:w="1507"/>
        <w:gridCol w:w="439"/>
        <w:gridCol w:w="109"/>
        <w:gridCol w:w="109"/>
        <w:gridCol w:w="109"/>
        <w:gridCol w:w="222"/>
        <w:gridCol w:w="436"/>
        <w:gridCol w:w="116"/>
        <w:gridCol w:w="109"/>
        <w:gridCol w:w="109"/>
        <w:gridCol w:w="109"/>
        <w:gridCol w:w="399"/>
        <w:gridCol w:w="825"/>
        <w:gridCol w:w="29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4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47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843"/>
        <w:gridCol w:w="1507"/>
        <w:gridCol w:w="439"/>
        <w:gridCol w:w="109"/>
        <w:gridCol w:w="109"/>
        <w:gridCol w:w="109"/>
        <w:gridCol w:w="222"/>
        <w:gridCol w:w="436"/>
        <w:gridCol w:w="116"/>
        <w:gridCol w:w="109"/>
        <w:gridCol w:w="109"/>
        <w:gridCol w:w="109"/>
        <w:gridCol w:w="431"/>
        <w:gridCol w:w="769"/>
        <w:gridCol w:w="315"/>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8473" w:type="dxa"/>
            <w:gridSpan w:val="21"/>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color w:val="000000"/>
                <w:sz w:val="20"/>
              </w:rPr>
            </w:pPr>
            <w:r>
              <w:rPr>
                <w:rFonts w:ascii="Arial;sans-serif" w:hAnsi="Arial;sans-serif"/>
                <w:b/>
                <w:color w:val="000000"/>
                <w:sz w:val="20"/>
              </w:rPr>
              <w:t>December 31, 2023</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total income tax provision:</w:t>
      </w:r>
    </w:p>
    <w:p>
      <w:pPr>
        <w:pStyle w:val="TextBody"/>
        <w:bidi w:val="0"/>
        <w:spacing w:before="0" w:after="0"/>
        <w:ind w:left="0" w:right="0" w:firstLine="360"/>
        <w:jc w:val="left"/>
        <w:rPr/>
      </w:pPr>
      <w:r>
        <w:rPr/>
      </w:r>
    </w:p>
    <w:tbl>
      <w:tblPr>
        <w:tblW w:w="6100" w:type="dxa"/>
        <w:jc w:val="left"/>
        <w:tblInd w:w="0" w:type="dxa"/>
        <w:tblLayout w:type="fixed"/>
        <w:tblCellMar>
          <w:top w:w="28" w:type="dxa"/>
          <w:left w:w="28" w:type="dxa"/>
          <w:bottom w:w="28" w:type="dxa"/>
          <w:right w:w="28" w:type="dxa"/>
        </w:tblCellMar>
      </w:tblPr>
      <w:tblGrid>
        <w:gridCol w:w="1282"/>
        <w:gridCol w:w="1126"/>
        <w:gridCol w:w="1131"/>
        <w:gridCol w:w="233"/>
        <w:gridCol w:w="482"/>
        <w:gridCol w:w="120"/>
        <w:gridCol w:w="120"/>
        <w:gridCol w:w="120"/>
        <w:gridCol w:w="120"/>
        <w:gridCol w:w="233"/>
        <w:gridCol w:w="532"/>
        <w:gridCol w:w="120"/>
        <w:gridCol w:w="109"/>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provision</w:t>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Deferred income tax (benefit) provision </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income tax (benefit) provision</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income tax provision or benefit for interim periods is determined by applying an estimated annual effective tax rate to (loss) income before income taxes with the result adjusted for discrete items, if any, in the relevant period. A reconciliation of the U.S. federal statutory tax rate to effective tax rate, including discrete items, for the three months ended March 31, 2024 and 2023 is shown below: </w:t>
      </w:r>
    </w:p>
    <w:p>
      <w:pPr>
        <w:pStyle w:val="TextBody"/>
        <w:bidi w:val="0"/>
        <w:spacing w:before="0" w:after="0"/>
        <w:ind w:left="0" w:right="0" w:firstLine="360"/>
        <w:jc w:val="left"/>
        <w:rPr/>
      </w:pPr>
      <w:r>
        <w:rPr/>
      </w:r>
    </w:p>
    <w:tbl>
      <w:tblPr>
        <w:tblW w:w="5770" w:type="dxa"/>
        <w:jc w:val="left"/>
        <w:tblInd w:w="0" w:type="dxa"/>
        <w:tblLayout w:type="fixed"/>
        <w:tblCellMar>
          <w:top w:w="28" w:type="dxa"/>
          <w:left w:w="28" w:type="dxa"/>
          <w:bottom w:w="28" w:type="dxa"/>
          <w:right w:w="28" w:type="dxa"/>
        </w:tblCellMar>
      </w:tblPr>
      <w:tblGrid>
        <w:gridCol w:w="1114"/>
        <w:gridCol w:w="979"/>
        <w:gridCol w:w="982"/>
        <w:gridCol w:w="221"/>
        <w:gridCol w:w="185"/>
        <w:gridCol w:w="446"/>
        <w:gridCol w:w="170"/>
        <w:gridCol w:w="170"/>
        <w:gridCol w:w="170"/>
        <w:gridCol w:w="221"/>
        <w:gridCol w:w="185"/>
        <w:gridCol w:w="446"/>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Three months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income taxes, net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Annual effective tax rate</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Discrete items:</w:t>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 compensation and 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the valuation allowance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Effective tax rate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annual effective tax rate of 31% differed from the U.S. federal statutory tax rate of 21% for the three months ended March 31, 2024 primarily due to state taxes and disallowed executive compensation expense. During the three months ended March 31, 2024, we recognized an income tax benefit related to the settlement of certain equity-settled stock-based compensation awards, which have the effect of increasing our effective tax rate by 16%.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annual effective tax rate of 28% differed from the U.S. federal statutory tax rate of 21% for the three months ended March 31, 2023 due to state taxes. During the three months ended March 31, 2023 we recognized a tax benefit for the release of a valuation allowance which was recorded in 2022 related to a capital loss generated from the divestiture of oil and gas assets. See </w:t>
      </w:r>
      <w:r>
        <w:rPr>
          <w:rFonts w:ascii="Arial;sans-serif" w:hAnsi="Arial;sans-serif"/>
          <w:b w:val="false"/>
          <w:i/>
          <w:color w:val="000000"/>
          <w:sz w:val="20"/>
        </w:rPr>
        <w:t xml:space="preserve">Part II, Item 8 – Financial Statements and Supplementary Data, Note 7 Income Taxes </w:t>
      </w:r>
      <w:r>
        <w:rPr>
          <w:rFonts w:ascii="Arial;sans-serif" w:hAnsi="Arial;sans-serif"/>
          <w:b w:val="false"/>
          <w:color w:val="000000"/>
          <w:sz w:val="20"/>
        </w:rPr>
        <w:t xml:space="preserve">in our 2023 Annual Report 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DIVESTITURES AND ACQUISITIONS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we sold our 0.9-acre Fort Apache real estate property in Huntington Beach, California for a purchase price of $10 million and recognized a $6 million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Ventura Basin Transactions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2021 and 2022, we entered into transactions to sell our Ventura basin assets. The transaction contemplates multiple closings that are subject to customary closing conditions. The closing of the sale of our remaining assets in the Ventura basin is subject to final approval from the State Lands Commission, which we expect could occur in 2024. These remaining assets, consisting of property, plant and equipment, and associated asset retirement obligations are classified as held for sale on our condensed consolidated balance sheets at March 31, 2024 and December 31, 2023. See </w:t>
      </w:r>
      <w:r>
        <w:rPr>
          <w:rFonts w:ascii="Arial;sans-serif" w:hAnsi="Arial;sans-serif"/>
          <w:b w:val="false"/>
          <w:i/>
          <w:color w:val="000000"/>
          <w:sz w:val="20"/>
        </w:rPr>
        <w:t xml:space="preserve">Part II, Item 8 – Financial Statements and Supplementary Data, Note 8 Divestitures and Acquisitions </w:t>
      </w:r>
      <w:r>
        <w:rPr>
          <w:rFonts w:ascii="Arial;sans-serif" w:hAnsi="Arial;sans-serif"/>
          <w:b w:val="false"/>
          <w:color w:val="000000"/>
          <w:sz w:val="20"/>
        </w:rPr>
        <w:t xml:space="preserve">in our 2023 Annual Report for additional information on the Ventura basin transactions.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2023, we sold a non-producing asset in exchange for the assumption of liabilities, recognizing a $7 million gain related to the liability reduction.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we acquired properties for carbon management activities for approximately $17 million. We intend to divest a portion of these assets and recorded these assets at fair value recognizing an impairment of $3 million in the first quarter of 2023. The fair value, using Level 3 inputs in the fair value hierarchy, declined during the first quarter of 2023 due to market conditions (including inflation and rising interest rates). The assets being divested are classified as held for sale as of March 31, 2024 on our condensed consolidated balance sheet.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$1.35 billion of our common stock through December 31,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which is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03"/>
        <w:gridCol w:w="968"/>
        <w:gridCol w:w="974"/>
        <w:gridCol w:w="940"/>
        <w:gridCol w:w="743"/>
        <w:gridCol w:w="745"/>
        <w:gridCol w:w="109"/>
        <w:gridCol w:w="109"/>
        <w:gridCol w:w="109"/>
        <w:gridCol w:w="559"/>
        <w:gridCol w:w="1276"/>
        <w:gridCol w:w="291"/>
        <w:gridCol w:w="109"/>
        <w:gridCol w:w="109"/>
        <w:gridCol w:w="109"/>
        <w:gridCol w:w="406"/>
        <w:gridCol w:w="1245"/>
        <w:gridCol w:w="30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1,423,764 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Inception of Program (May 2021) through March 31, 2024</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15,929,679 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in both the three months ended March 31, 2024 and 2023 related to excise taxes on share repurchases, which was effective beginning on January 1, 2023. Commissions paid on share repurchases were not significant in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6627" w:type="dxa"/>
        <w:jc w:val="left"/>
        <w:tblInd w:w="0" w:type="dxa"/>
        <w:tblLayout w:type="fixed"/>
        <w:tblCellMar>
          <w:top w:w="28" w:type="dxa"/>
          <w:left w:w="28" w:type="dxa"/>
          <w:bottom w:w="28" w:type="dxa"/>
          <w:right w:w="28" w:type="dxa"/>
        </w:tblCellMar>
      </w:tblPr>
      <w:tblGrid>
        <w:gridCol w:w="1199"/>
        <w:gridCol w:w="1056"/>
        <w:gridCol w:w="1060"/>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on our common stock shown in the table above, we paid $4 million on equity-settled stock-based compensation awards in the three months ended March 31, 2024.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14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we reserved an aggregate 4,384,182 shares of our common stock for warrants which are exercisable at $36 per share through October 26,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March 31, 2024, we had outstanding warrants exercisable into 4,163,670 shares of our common stock (subject to adjustments pursuant to the terms of the warrants). During the three months ended March 31, 2024, we issued 18,851 shares of our common stock in exchange for warrants. During the three months ended March 31, 2023, we issued an insignificant number of shares of our common stock in exchange for warrants.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10 Stockholders' Equity </w:t>
      </w:r>
      <w:r>
        <w:rPr>
          <w:rFonts w:ascii="Arial;sans-serif" w:hAnsi="Arial;sans-serif"/>
          <w:b w:val="false"/>
          <w:color w:val="000000"/>
          <w:sz w:val="20"/>
        </w:rPr>
        <w:t>in our 2023 Annual Report for additional information on the terms of our warrants.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months ended March 31, 2024 and 2023.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months ended March 31, 2024 and 2023:</w:t>
      </w:r>
    </w:p>
    <w:p>
      <w:pPr>
        <w:pStyle w:val="TextBody"/>
        <w:bidi w:val="0"/>
        <w:spacing w:before="0" w:after="0"/>
        <w:jc w:val="left"/>
        <w:rPr/>
      </w:pPr>
      <w:r>
        <w:rPr/>
      </w:r>
    </w:p>
    <w:tbl>
      <w:tblPr>
        <w:tblW w:w="6991" w:type="dxa"/>
        <w:jc w:val="left"/>
        <w:tblInd w:w="0" w:type="dxa"/>
        <w:tblLayout w:type="fixed"/>
        <w:tblCellMar>
          <w:top w:w="28" w:type="dxa"/>
          <w:left w:w="28" w:type="dxa"/>
          <w:bottom w:w="28" w:type="dxa"/>
          <w:right w:w="28" w:type="dxa"/>
        </w:tblCellMar>
      </w:tblPr>
      <w:tblGrid>
        <w:gridCol w:w="1293"/>
        <w:gridCol w:w="1137"/>
        <w:gridCol w:w="1140"/>
        <w:gridCol w:w="294"/>
        <w:gridCol w:w="838"/>
        <w:gridCol w:w="152"/>
        <w:gridCol w:w="152"/>
        <w:gridCol w:w="152"/>
        <w:gridCol w:w="152"/>
        <w:gridCol w:w="294"/>
        <w:gridCol w:w="754"/>
        <w:gridCol w:w="152"/>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potentially dilutive weighted-average common shares which were excluded from the denominator for diluted EPS in periods of losses:</w:t>
      </w:r>
    </w:p>
    <w:tbl>
      <w:tblPr>
        <w:tblW w:w="7045" w:type="dxa"/>
        <w:jc w:val="left"/>
        <w:tblInd w:w="0" w:type="dxa"/>
        <w:tblLayout w:type="fixed"/>
        <w:tblCellMar>
          <w:top w:w="28" w:type="dxa"/>
          <w:left w:w="28" w:type="dxa"/>
          <w:bottom w:w="28" w:type="dxa"/>
          <w:right w:w="28" w:type="dxa"/>
        </w:tblCellMar>
      </w:tblPr>
      <w:tblGrid>
        <w:gridCol w:w="1299"/>
        <w:gridCol w:w="1137"/>
        <w:gridCol w:w="1149"/>
        <w:gridCol w:w="331"/>
        <w:gridCol w:w="331"/>
        <w:gridCol w:w="331"/>
        <w:gridCol w:w="331"/>
        <w:gridCol w:w="331"/>
        <w:gridCol w:w="331"/>
        <w:gridCol w:w="331"/>
        <w:gridCol w:w="331"/>
        <w:gridCol w:w="331"/>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issuable upon exercise of warrants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issuable upon settlement of RSUs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issuable upon settlement of PSUs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11    SUPPLEMENTAL ACCOUNT BALANCES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NGLs, with the remaining revenue primarily generated from sales of electricity and marketing activities related to storage and managing excess pipeline capacity.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provides disaggregated revenue for sales of produced oil, natural gas and NGLs to customers: </w:t>
      </w:r>
    </w:p>
    <w:p>
      <w:pPr>
        <w:pStyle w:val="TextBody"/>
        <w:bidi w:val="0"/>
        <w:spacing w:before="0" w:after="0"/>
        <w:ind w:left="0" w:right="0" w:firstLine="360"/>
        <w:jc w:val="left"/>
        <w:rPr/>
      </w:pPr>
      <w:r>
        <w:rPr/>
      </w:r>
    </w:p>
    <w:tbl>
      <w:tblPr>
        <w:tblW w:w="7056" w:type="dxa"/>
        <w:jc w:val="left"/>
        <w:tblInd w:w="0" w:type="dxa"/>
        <w:tblLayout w:type="fixed"/>
        <w:tblCellMar>
          <w:top w:w="28" w:type="dxa"/>
          <w:left w:w="28" w:type="dxa"/>
          <w:bottom w:w="28" w:type="dxa"/>
          <w:right w:w="28" w:type="dxa"/>
        </w:tblCellMar>
      </w:tblPr>
      <w:tblGrid>
        <w:gridCol w:w="1005"/>
        <w:gridCol w:w="887"/>
        <w:gridCol w:w="897"/>
        <w:gridCol w:w="509"/>
        <w:gridCol w:w="1161"/>
        <w:gridCol w:w="263"/>
        <w:gridCol w:w="263"/>
        <w:gridCol w:w="263"/>
        <w:gridCol w:w="263"/>
        <w:gridCol w:w="263"/>
        <w:gridCol w:w="211"/>
        <w:gridCol w:w="481"/>
        <w:gridCol w:w="109"/>
        <w:gridCol w:w="109"/>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282" w:type="dxa"/>
            <w:gridSpan w:val="7"/>
            <w:tcBorders/>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for third-party production, which we report as revenue from marketing of purchased commodities on our condensed consolidated statement of operations. Revenues from marketing of purchased commodities primarily results from the storage or transportation of natural gas to take advantage of differences in pricing or location or in the quality of other products. The following table provides disaggregated revenue for sales to customers related to our marketing activities:</w:t>
      </w:r>
    </w:p>
    <w:p>
      <w:pPr>
        <w:pStyle w:val="TextBody"/>
        <w:bidi w:val="0"/>
        <w:spacing w:before="0" w:after="0"/>
        <w:jc w:val="left"/>
        <w:rPr/>
      </w:pPr>
      <w:r>
        <w:rPr/>
      </w:r>
    </w:p>
    <w:tbl>
      <w:tblPr>
        <w:tblW w:w="8868" w:type="dxa"/>
        <w:jc w:val="left"/>
        <w:tblInd w:w="0" w:type="dxa"/>
        <w:tblLayout w:type="fixed"/>
        <w:tblCellMar>
          <w:top w:w="28" w:type="dxa"/>
          <w:left w:w="28" w:type="dxa"/>
          <w:bottom w:w="28" w:type="dxa"/>
          <w:right w:w="28" w:type="dxa"/>
        </w:tblCellMar>
      </w:tblPr>
      <w:tblGrid>
        <w:gridCol w:w="1657"/>
        <w:gridCol w:w="1462"/>
        <w:gridCol w:w="1485"/>
        <w:gridCol w:w="556"/>
        <w:gridCol w:w="991"/>
        <w:gridCol w:w="287"/>
        <w:gridCol w:w="287"/>
        <w:gridCol w:w="287"/>
        <w:gridCol w:w="287"/>
        <w:gridCol w:w="287"/>
        <w:gridCol w:w="211"/>
        <w:gridCol w:w="481"/>
        <w:gridCol w:w="109"/>
        <w:gridCol w:w="109"/>
        <w:gridCol w:w="109"/>
        <w:gridCol w:w="109"/>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282" w:type="dxa"/>
            <w:gridSpan w:val="7"/>
            <w:tcBorders/>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Inventories</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W w:w="4809" w:type="dxa"/>
        <w:jc w:val="left"/>
        <w:tblInd w:w="0" w:type="dxa"/>
        <w:tblLayout w:type="fixed"/>
        <w:tblCellMar>
          <w:top w:w="28" w:type="dxa"/>
          <w:left w:w="28" w:type="dxa"/>
          <w:bottom w:w="28" w:type="dxa"/>
          <w:right w:w="28" w:type="dxa"/>
        </w:tblCellMar>
      </w:tblPr>
      <w:tblGrid>
        <w:gridCol w:w="750"/>
        <w:gridCol w:w="657"/>
        <w:gridCol w:w="662"/>
        <w:gridCol w:w="304"/>
        <w:gridCol w:w="543"/>
        <w:gridCol w:w="157"/>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6850" w:type="dxa"/>
        <w:jc w:val="center"/>
        <w:tblInd w:w="0" w:type="dxa"/>
        <w:tblLayout w:type="fixed"/>
        <w:tblCellMar>
          <w:top w:w="28" w:type="dxa"/>
          <w:left w:w="28" w:type="dxa"/>
          <w:bottom w:w="28" w:type="dxa"/>
          <w:right w:w="28" w:type="dxa"/>
        </w:tblCellMar>
      </w:tblPr>
      <w:tblGrid>
        <w:gridCol w:w="1486"/>
        <w:gridCol w:w="1307"/>
        <w:gridCol w:w="1316"/>
        <w:gridCol w:w="304"/>
        <w:gridCol w:w="543"/>
        <w:gridCol w:w="157"/>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the March 31, 2024 and December 31, 2023 net amounts due from joint interest partners are allowances of $3 million.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272" w:type="dxa"/>
        <w:jc w:val="center"/>
        <w:tblInd w:w="0" w:type="dxa"/>
        <w:tblLayout w:type="fixed"/>
        <w:tblCellMar>
          <w:top w:w="28" w:type="dxa"/>
          <w:left w:w="28" w:type="dxa"/>
          <w:bottom w:w="28" w:type="dxa"/>
          <w:right w:w="28" w:type="dxa"/>
        </w:tblCellMar>
      </w:tblPr>
      <w:tblGrid>
        <w:gridCol w:w="1640"/>
        <w:gridCol w:w="1443"/>
        <w:gridCol w:w="1447"/>
        <w:gridCol w:w="265"/>
        <w:gridCol w:w="604"/>
        <w:gridCol w:w="136"/>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power plant maintenance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Deposits and other </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8757" w:type="dxa"/>
        <w:jc w:val="center"/>
        <w:tblInd w:w="0" w:type="dxa"/>
        <w:tblLayout w:type="fixed"/>
        <w:tblCellMar>
          <w:top w:w="28" w:type="dxa"/>
          <w:left w:w="28" w:type="dxa"/>
          <w:bottom w:w="28" w:type="dxa"/>
          <w:right w:w="28" w:type="dxa"/>
        </w:tblCellMar>
      </w:tblPr>
      <w:tblGrid>
        <w:gridCol w:w="2179"/>
        <w:gridCol w:w="1916"/>
        <w:gridCol w:w="1920"/>
        <w:gridCol w:w="265"/>
        <w:gridCol w:w="604"/>
        <w:gridCol w:w="136"/>
        <w:gridCol w:w="109"/>
        <w:gridCol w:w="109"/>
        <w:gridCol w:w="109"/>
        <w:gridCol w:w="351"/>
        <w:gridCol w:w="801"/>
        <w:gridCol w:w="258"/>
      </w:tblGrid>
      <w:tr>
        <w:trPr/>
        <w:tc>
          <w:tcPr>
            <w:tcW w:w="217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for settlement payments on commodity derivative contracts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under production-sharing contracts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Signal Hill maintenance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includes the following: </w:t>
      </w:r>
    </w:p>
    <w:p>
      <w:pPr>
        <w:pStyle w:val="TextBody"/>
        <w:bidi w:val="0"/>
        <w:spacing w:before="0" w:after="0"/>
        <w:ind w:left="0" w:right="0" w:firstLine="360"/>
        <w:jc w:val="left"/>
        <w:rPr/>
      </w:pPr>
      <w:r>
        <w:rPr/>
      </w:r>
    </w:p>
    <w:tbl>
      <w:tblPr>
        <w:tblW w:w="8982" w:type="dxa"/>
        <w:jc w:val="left"/>
        <w:tblInd w:w="0" w:type="dxa"/>
        <w:tblLayout w:type="fixed"/>
        <w:tblCellMar>
          <w:top w:w="28" w:type="dxa"/>
          <w:left w:w="28" w:type="dxa"/>
          <w:bottom w:w="28" w:type="dxa"/>
          <w:right w:w="28" w:type="dxa"/>
        </w:tblCellMar>
      </w:tblPr>
      <w:tblGrid>
        <w:gridCol w:w="2262"/>
        <w:gridCol w:w="1985"/>
        <w:gridCol w:w="1993"/>
        <w:gridCol w:w="265"/>
        <w:gridCol w:w="604"/>
        <w:gridCol w:w="136"/>
        <w:gridCol w:w="109"/>
        <w:gridCol w:w="109"/>
        <w:gridCol w:w="109"/>
        <w:gridCol w:w="351"/>
        <w:gridCol w:w="801"/>
        <w:gridCol w:w="258"/>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 plan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are net of amounts invoiced by us under the MSA with the Carbon TerraVault JV. See </w:t>
      </w:r>
      <w:r>
        <w:rPr>
          <w:rFonts w:ascii="Arial;sans-serif" w:hAnsi="Arial;sans-serif"/>
          <w:b w:val="false"/>
          <w:i/>
          <w:color w:val="000000"/>
          <w:sz w:val="20"/>
        </w:rPr>
        <w:t>Note 3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tbl>
      <w:tblPr>
        <w:tblW w:w="6733" w:type="dxa"/>
        <w:jc w:val="left"/>
        <w:tblInd w:w="0" w:type="dxa"/>
        <w:tblLayout w:type="fixed"/>
        <w:tblCellMar>
          <w:top w:w="28" w:type="dxa"/>
          <w:left w:w="28" w:type="dxa"/>
          <w:bottom w:w="28" w:type="dxa"/>
          <w:right w:w="28" w:type="dxa"/>
        </w:tblCellMar>
      </w:tblPr>
      <w:tblGrid>
        <w:gridCol w:w="1532"/>
        <w:gridCol w:w="1347"/>
        <w:gridCol w:w="1351"/>
        <w:gridCol w:w="248"/>
        <w:gridCol w:w="443"/>
        <w:gridCol w:w="128"/>
        <w:gridCol w:w="128"/>
        <w:gridCol w:w="128"/>
        <w:gridCol w:w="128"/>
        <w:gridCol w:w="248"/>
        <w:gridCol w:w="443"/>
        <w:gridCol w:w="128"/>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made U.S. federal and state income tax payments of $22 million during the three months ended March 31, 2024. We did not make U.S. federal or state income tax payments during the three months ended March 31, 2023.</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Interest paid, net of capitalized amounts, was $20 million and $21 million for the three months ended March 31, 2024 and 2023, respectively. Interest income was $6 million and $3 million for the three months ended March 31, 2024 and 2023,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Non-cash investing activities in the three months ended March 31, 2023 included $2 million related to our share of capital calls by the Carbon TerraVault JV. See </w:t>
      </w:r>
      <w:r>
        <w:rPr>
          <w:rFonts w:ascii="Arial;sans-serif" w:hAnsi="Arial;sans-serif"/>
          <w:b w:val="false"/>
          <w:i/>
          <w:color w:val="000000"/>
          <w:sz w:val="20"/>
        </w:rPr>
        <w:t>Note 3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Non-cash financing activities in the three months ended March 31, 2024 included approximately $87 million related to the issuance of shares for our stock-based compensation awards. Non-cash financing activities in the three months ended March 31, 2024 also included approximately $1 million related to dividend equivalents accrued for stock-based compensation awards and approximately $1 million related to an excise tax on share repurchases. Non-cash financing activities in the three months ended March 31, 2023 included an insignificant amount, for dividend equivalents accrued for stock-based compensation awards and approximately $1 million related to an excise tax on share repurchases.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Senior Notes (Senior Notes Indenture). Unrestricted Subsidiaries (as defined in the Senior Notes Indenture) are subject to fewer restrictions under the Senior Notes Indenture. We are required under the Senior Notes Indenture to present the financial condition and results of operations of CRC and its Restricted Subsidiaries (as defined in the Senior Notes Indenture) separate from the financial condition and results of operations of its Unrestricted Subsidiaries. The following condensed consolidating balance sheets as of March 31, 2024 and December 31, 2023 and the condensed consolidating statements of operations for the three months ended March 31, 2023 and 2024, as applicable, reflect the condensed consolidating financial information of our parent company,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March 31, 2024 and December 31,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451"/>
        <w:gridCol w:w="1028"/>
        <w:gridCol w:w="233"/>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March 31, 2024</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months ended March 31, 2024 and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9"/>
        <w:gridCol w:w="525"/>
        <w:gridCol w:w="528"/>
        <w:gridCol w:w="211"/>
        <w:gridCol w:w="397"/>
        <w:gridCol w:w="109"/>
        <w:gridCol w:w="109"/>
        <w:gridCol w:w="109"/>
        <w:gridCol w:w="109"/>
        <w:gridCol w:w="520"/>
        <w:gridCol w:w="1003"/>
        <w:gridCol w:w="271"/>
        <w:gridCol w:w="109"/>
        <w:gridCol w:w="109"/>
        <w:gridCol w:w="109"/>
        <w:gridCol w:w="460"/>
        <w:gridCol w:w="1049"/>
        <w:gridCol w:w="238"/>
        <w:gridCol w:w="109"/>
        <w:gridCol w:w="109"/>
        <w:gridCol w:w="109"/>
        <w:gridCol w:w="375"/>
        <w:gridCol w:w="721"/>
        <w:gridCol w:w="195"/>
        <w:gridCol w:w="109"/>
        <w:gridCol w:w="109"/>
        <w:gridCol w:w="109"/>
        <w:gridCol w:w="344"/>
        <w:gridCol w:w="785"/>
        <w:gridCol w:w="257"/>
      </w:tblGrid>
      <w:tr>
        <w:trPr/>
        <w:tc>
          <w:tcPr>
            <w:tcW w:w="9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SUBSEQUENT EVENTS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May 7, 2024, our Board of Directors declared a quarterly cash dividend of $0.31 per share of common stock. The dividend is payable to shareholders of record at the close of business on May 31, 2024 and is expected to be paid on June 14,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permitting several carbon capture and storage (CCS) projects in California. Our carbon management business, which we refer to as Carbon TerraVault, is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capture equipment, transportation assets and storage facilities in California. In August 2022, we entered into a joint venture with </w:t>
      </w:r>
      <w:r>
        <w:rPr>
          <w:rFonts w:ascii="Arial;sans-serif" w:hAnsi="Arial;sans-serif"/>
          <w:b w:val="false"/>
          <w:color w:val="000000"/>
          <w:sz w:val="20"/>
          <w:shd w:fill="FFFFFF" w:val="clear"/>
        </w:rPr>
        <w:t>BGTF Sierra Aggregator LLC (Brookfield)</w:t>
      </w:r>
      <w:r>
        <w:rPr>
          <w:color w:val="000000"/>
        </w:rPr>
        <w:t xml:space="preserve"> </w:t>
      </w:r>
      <w:r>
        <w:rPr>
          <w:rFonts w:ascii="Arial;sans-serif" w:hAnsi="Arial;sans-serif"/>
          <w:b w:val="false"/>
          <w:color w:val="000000"/>
          <w:sz w:val="20"/>
        </w:rPr>
        <w:t xml:space="preserve">to pursue carbon management and storage activities </w:t>
      </w:r>
      <w:r>
        <w:rPr>
          <w:rFonts w:ascii="Arial;sans-serif" w:hAnsi="Arial;sans-serif"/>
          <w:b w:val="false"/>
          <w:color w:val="000000"/>
          <w:sz w:val="20"/>
          <w:shd w:fill="FFFFFF" w:val="clear"/>
        </w:rPr>
        <w:t>(Carbon TerraVault JV)</w:t>
      </w:r>
      <w:r>
        <w:rPr>
          <w:rFonts w:ascii="Arial;sans-serif" w:hAnsi="Arial;sans-serif"/>
          <w:b w:val="false"/>
          <w:color w:val="000000"/>
          <w:sz w:val="20"/>
        </w:rPr>
        <w:t xml:space="preserve">. For more information about the risks involved in our carbon capture projects, see </w:t>
      </w:r>
      <w:r>
        <w:rPr>
          <w:rFonts w:ascii="Arial;sans-serif" w:hAnsi="Arial;sans-serif"/>
          <w:b w:val="false"/>
          <w:i/>
          <w:color w:val="000000"/>
          <w:sz w:val="20"/>
        </w:rPr>
        <w:t xml:space="preserve">Part I, Item 1A – Risk Factors </w:t>
      </w:r>
      <w:r>
        <w:rPr>
          <w:rFonts w:ascii="Arial;sans-serif" w:hAnsi="Arial;sans-serif"/>
          <w:b w:val="false"/>
          <w:color w:val="000000"/>
          <w:sz w:val="20"/>
        </w:rPr>
        <w:t xml:space="preserve">in our Annual Report on Form 10-K for the year ended December 31, 2023 (2023 Annual Report) and for more information on the Carbon TerraVault JV, see </w:t>
      </w:r>
      <w:r>
        <w:rPr>
          <w:rFonts w:ascii="Arial;sans-serif" w:hAnsi="Arial;sans-serif"/>
          <w:b w:val="false"/>
          <w:i/>
          <w:color w:val="000000"/>
          <w:sz w:val="20"/>
        </w:rPr>
        <w:t>Part I, Item 1 – Financial Statements, Note 3 Investment in Unconsolidated Subsidiary and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consolidated subsidiaries.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Pending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 Upon closing, Aera's $950 million outstanding long-term debt will become due as a result of a change in control provision within their legacy debt agreement.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Closing of the Aera Merger is subject to certain conditions, including, among others, approval of the stock issuance by our stockholders, expiration of the applicable waiting period under the Hart-Scott-Rodino Antitrust Improvements Act of 1976, as amended (HSR Act), prior authorization by the Federal Energy Regulatory Commission under Section 203 of the Federal Power Act and other customary closing conditions. The required waiting period under the HSR Act expired on March 25, 2024.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Upon completion of the transaction, we currently expect our existing stockholders to own approximately 77% of the combined company and the existing Aera owners to own approximately 23% of the combined company, on a fully diluted basis. The Aera Merger is expected to close around mid-year 2024. Post closing of the Aera Merger, and subject to Board approval, we expect to increase our quarterly dividend.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months ended March 31, 2024, we incurred $13 million of transaction and integration costs related to the Aera Merger included in other operating expenses, net on our condensed consolidated statement of operations. We also incurred $8 million in financing fees, which is included in other current assets, net on our condensed consolidated balance sheet as of March 31,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sans-serif" w:hAnsi="Arial;sans-serif"/>
          <w:b w:val="false"/>
          <w:i/>
          <w:color w:val="000000"/>
          <w:sz w:val="20"/>
        </w:rPr>
        <w:t xml:space="preserve">Prices and Realizations </w:t>
      </w:r>
      <w:r>
        <w:rPr>
          <w:rFonts w:ascii="Arial;sans-serif" w:hAnsi="Arial;sans-serif"/>
          <w:b w:val="false"/>
          <w:color w:val="000000"/>
          <w:sz w:val="20"/>
        </w:rPr>
        <w:t xml:space="preserve">below for information on our realized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9626" w:type="dxa"/>
        <w:jc w:val="left"/>
        <w:tblInd w:w="0" w:type="dxa"/>
        <w:tblLayout w:type="fixed"/>
        <w:tblCellMar>
          <w:top w:w="28" w:type="dxa"/>
          <w:left w:w="28" w:type="dxa"/>
          <w:bottom w:w="28" w:type="dxa"/>
          <w:right w:w="28" w:type="dxa"/>
        </w:tblCellMar>
      </w:tblPr>
      <w:tblGrid>
        <w:gridCol w:w="1984"/>
        <w:gridCol w:w="1749"/>
        <w:gridCol w:w="1756"/>
        <w:gridCol w:w="324"/>
        <w:gridCol w:w="993"/>
        <w:gridCol w:w="167"/>
        <w:gridCol w:w="109"/>
        <w:gridCol w:w="109"/>
        <w:gridCol w:w="109"/>
        <w:gridCol w:w="402"/>
        <w:gridCol w:w="1233"/>
        <w:gridCol w:w="210"/>
        <w:gridCol w:w="109"/>
        <w:gridCol w:w="109"/>
        <w:gridCol w:w="109"/>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Average Monthly Settled Price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Well Permits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CalGEM remains in the process of developing standard operating procedures for reviewing well permit applications that it commenced in the second half of 2023. Significant permitting delays continue pending CalGEM’s completion of this process. An increase in permits approvals for workovers has continued through the first quarter of 2024, and substantially increased in April 2024. As of May 6, 2024, we have received 73 permits for workovers since the beginning of the year. As of May 6, 2024, we have also received 8 permits for deepenings and 1 permit for a sidetrack for wells in our Wilmington field. With only a few exceptions, there continues to be no new drill permits issued in the state.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Kern County EIR Litigation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7, 2024, the California Court of Appeals, Fifth Appellate District (Court of Appeals), issued its ruling on the six challenges to Kern County’s Supplemental Recirculated Environmental Impact Report (SREIR) for Kern County Zoning Ordinance G-8992 (Ordinance). In its disposition, the Court of Appeals ordered the Trial Court to enter a modified judgement and fourth preemptory writ directing Kern County (i) to set aside approval of the Ordinance, SREIR and related findings of facts and statements of overriding considerations; and (ii) not to present a revised Ordinance for approval until Kern County has (a) prepared a revised SREIR that corrects CEQA violations relating to the (1) rejection of agricultural conservation easements as a form of partial mitigation for the conversion of agricultural land, (2) assessment of cancer risks associated with the drilling of multiple wells near sensitive receptors and (3) analysis of water supply impacts; and (b) circulated the revised SREIR for public review and comment, prepared responses to comments, and certified the revised SREIR.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22, 2024, Kern County released a notice of preparation of the Second Supplemental Revised Environmental Impact Report (SSREIR). We expect that Kern County will prepare a draft SSREIR, circulate it for public comments and thereafter certify the SSREIR and approve the Ordinance. After that, the Trial Court would then consider whether to lift the stay. If that occurs, well permitting could resume assuming no further challenges to the SSREIR.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As a result of the ruling of the Court of Appeals in the Kern County EIR litigation and current lack of permits with respect to our Kern County properties, we currently plan to operate one drilling rig within Kern County in 2024. We have sufficient permits in hand to keep that rig active through the end of 2025.</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CCS Project Permitting</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Kern County released a draft EIR prepared in connection with our application for conditional use permits for our CTV I CCS project. The project was originally scheduled to be considered by the Kern County Planning Commission on March 28th; however, based on comments received the Planning Commission required further environmental review before it can consider the project and the draft EIR. The Planning Commission recommended that the consideration of applicable changes to the zoning ordinance and certification of the EIR be continued to the August 22, 2024 Planning Commission hearing, at which the Planning Commission will decide whether to recommend the adoption of the changes to the zoning ordinance and certification of the EIR to the Board of Supervisors. The Board of Supervisors meeting is expected to occur in or around September or October.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Low Carbon Fuel Standard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February 14, 2024, the California Air Resources Board (CARB) announced that it was postponing the previously scheduled March 21, 2024, public hearing regarding the proposed amendments to the LCFS Regulation released on December 19, 2023. Due to continuous substantial public feedback on the proposed amendments, CARB intends to release revised proposed amendments for public review and comment, to be followed by a public hearing. The release of the revised proposed amendments is pending. These revisions may impact the eligibility of certain of our CCS projects for LCFS credits.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Results of Oil and Gas Operations </w:t>
      </w:r>
    </w:p>
    <w:p>
      <w:pPr>
        <w:pStyle w:val="TextBody"/>
        <w:bidi w:val="0"/>
        <w:spacing w:before="0" w:after="0"/>
        <w:jc w:val="left"/>
        <w:rPr/>
      </w:pPr>
      <w:r>
        <w:r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of oil, NGLs and natural gas per day in each of the California oil and natural gas basins in which we operated for the periods presented. </w:t>
      </w:r>
    </w:p>
    <w:tbl>
      <w:tblPr>
        <w:tblW w:w="7626" w:type="dxa"/>
        <w:jc w:val="left"/>
        <w:tblInd w:w="0" w:type="dxa"/>
        <w:tblLayout w:type="fixed"/>
        <w:tblCellMar>
          <w:top w:w="28" w:type="dxa"/>
          <w:left w:w="28" w:type="dxa"/>
          <w:bottom w:w="28" w:type="dxa"/>
          <w:right w:w="28" w:type="dxa"/>
        </w:tblCellMar>
      </w:tblPr>
      <w:tblGrid>
        <w:gridCol w:w="1059"/>
        <w:gridCol w:w="928"/>
        <w:gridCol w:w="937"/>
        <w:gridCol w:w="494"/>
        <w:gridCol w:w="494"/>
        <w:gridCol w:w="496"/>
        <w:gridCol w:w="225"/>
        <w:gridCol w:w="225"/>
        <w:gridCol w:w="225"/>
        <w:gridCol w:w="614"/>
        <w:gridCol w:w="614"/>
        <w:gridCol w:w="616"/>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Sacramento Basin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 (MBoe/d)</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daily net production for the three months ended March 31, 2024 compared to the three months ended December 31, 2023 decreased by 7 MBoe/d predominately due to scheduled plant downtime during the first quarter of 2024. The decrease in production also reflects natural production decline as well as the divestiture of our share of a non-operated field in December 2023. Our production-sharing contracts (PSCs), which are described below, did not have a significant impact on our net oil production in the three months ended March 31, 2024 compared to the three months ended December 31,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reconciles our average net production to our average gross production (which includes production from the fields we operate and our share of production from fields operated by others) for the periods presented:</w:t>
      </w:r>
    </w:p>
    <w:p>
      <w:pPr>
        <w:pStyle w:val="TextBody"/>
        <w:bidi w:val="0"/>
        <w:spacing w:before="0" w:after="0"/>
        <w:jc w:val="left"/>
        <w:rPr/>
      </w:pPr>
      <w:r>
        <w:rPr/>
      </w:r>
    </w:p>
    <w:tbl>
      <w:tblPr>
        <w:tblW w:w="8294" w:type="dxa"/>
        <w:jc w:val="left"/>
        <w:tblInd w:w="0" w:type="dxa"/>
        <w:tblLayout w:type="fixed"/>
        <w:tblCellMar>
          <w:top w:w="28" w:type="dxa"/>
          <w:left w:w="28" w:type="dxa"/>
          <w:bottom w:w="28" w:type="dxa"/>
          <w:right w:w="28" w:type="dxa"/>
        </w:tblCellMar>
      </w:tblPr>
      <w:tblGrid>
        <w:gridCol w:w="1381"/>
        <w:gridCol w:w="1213"/>
        <w:gridCol w:w="1216"/>
        <w:gridCol w:w="494"/>
        <w:gridCol w:w="494"/>
        <w:gridCol w:w="496"/>
        <w:gridCol w:w="225"/>
        <w:gridCol w:w="225"/>
        <w:gridCol w:w="225"/>
        <w:gridCol w:w="614"/>
        <w:gridCol w:w="614"/>
        <w:gridCol w:w="616"/>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(MBoe/d)</w:t>
            </w:r>
          </w:p>
        </w:tc>
        <w:tc>
          <w:tcPr>
            <w:tcW w:w="481" w:type="dxa"/>
            <w:gridSpan w:val="4"/>
            <w:tcBorders/>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under PSC-type contracts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interest and royalty holders' share</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NGL inventory and other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Gross Production</w:t>
            </w:r>
          </w:p>
        </w:tc>
        <w:tc>
          <w:tcPr>
            <w:tcW w:w="14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Production-Sharing Contracts (PSCs)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in the Los Angeles basin is subject to contractual arrangements similar to production-sharing contracts (PSCs) that are in effect through the economic life of the assets. 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67"/>
        <w:gridCol w:w="1451"/>
        <w:gridCol w:w="1456"/>
        <w:gridCol w:w="237"/>
        <w:gridCol w:w="540"/>
        <w:gridCol w:w="122"/>
        <w:gridCol w:w="109"/>
        <w:gridCol w:w="109"/>
        <w:gridCol w:w="109"/>
        <w:gridCol w:w="211"/>
        <w:gridCol w:w="646"/>
        <w:gridCol w:w="109"/>
        <w:gridCol w:w="109"/>
        <w:gridCol w:w="109"/>
        <w:gridCol w:w="109"/>
        <w:gridCol w:w="237"/>
        <w:gridCol w:w="540"/>
        <w:gridCol w:w="122"/>
        <w:gridCol w:w="109"/>
        <w:gridCol w:w="109"/>
        <w:gridCol w:w="109"/>
        <w:gridCol w:w="211"/>
        <w:gridCol w:w="646"/>
        <w:gridCol w:w="109"/>
        <w:gridCol w:w="109"/>
        <w:gridCol w:w="109"/>
        <w:gridCol w:w="109"/>
        <w:gridCol w:w="109"/>
        <w:gridCol w:w="109"/>
        <w:gridCol w:w="109"/>
        <w:gridCol w:w="109"/>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w:t>
            </w:r>
            <w:r>
              <w:rPr>
                <w:rFonts w:ascii="Arial;sans-serif" w:hAnsi="Arial;sans-serif"/>
                <w:b w:val="false"/>
                <w:color w:val="000000"/>
                <w:sz w:val="13"/>
              </w:rPr>
              <w:t>(a)</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PSC-type contracts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excluding effects of PSC-type contracts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(a)Operating costs related to our exploration and production activities and are presented before elimination entries.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2023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Prices and Realizations</w:t>
      </w:r>
      <w:r>
        <w:rPr>
          <w:color w:val="000000"/>
        </w:rPr>
        <w:t xml:space="preserve">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as a percentage of average Brent, WTI and NYMEX indexes for our oil and natural gas operations for the periods presented:</w:t>
      </w:r>
    </w:p>
    <w:tbl>
      <w:tblPr>
        <w:tblW w:w="10205" w:type="dxa"/>
        <w:jc w:val="center"/>
        <w:tblInd w:w="0" w:type="dxa"/>
        <w:tblLayout w:type="fixed"/>
        <w:tblCellMar>
          <w:top w:w="28" w:type="dxa"/>
          <w:left w:w="28" w:type="dxa"/>
          <w:bottom w:w="28" w:type="dxa"/>
          <w:right w:w="28" w:type="dxa"/>
        </w:tblCellMar>
      </w:tblPr>
      <w:tblGrid>
        <w:gridCol w:w="1620"/>
        <w:gridCol w:w="1410"/>
        <w:gridCol w:w="1367"/>
        <w:gridCol w:w="211"/>
        <w:gridCol w:w="646"/>
        <w:gridCol w:w="109"/>
        <w:gridCol w:w="109"/>
        <w:gridCol w:w="109"/>
        <w:gridCol w:w="109"/>
        <w:gridCol w:w="380"/>
        <w:gridCol w:w="380"/>
        <w:gridCol w:w="381"/>
        <w:gridCol w:w="109"/>
        <w:gridCol w:w="109"/>
        <w:gridCol w:w="109"/>
        <w:gridCol w:w="232"/>
        <w:gridCol w:w="711"/>
        <w:gridCol w:w="119"/>
        <w:gridCol w:w="119"/>
        <w:gridCol w:w="119"/>
        <w:gridCol w:w="119"/>
        <w:gridCol w:w="380"/>
        <w:gridCol w:w="380"/>
        <w:gridCol w:w="381"/>
        <w:gridCol w:w="109"/>
        <w:gridCol w:w="109"/>
        <w:gridCol w:w="109"/>
        <w:gridCol w:w="160"/>
      </w:tblGrid>
      <w:tr>
        <w:trPr/>
        <w:tc>
          <w:tcPr>
            <w:tcW w:w="162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487" w:type="dxa"/>
            <w:gridSpan w:val="4"/>
            <w:tcBorders/>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Henry Hub ($/MMBtu) - Average Monthly Settled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Realized price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Brent prices were relatively flat for the three months ended March 31, 2024 compared to the three months ended December 31, 2023. The slight decline in Brent prices is attributable to general market factors, including developing concern over the strength of China’s economy.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NGL prices for the three months ended March 31, 2024 increased compared to the three months ended December 31, 2023 due to slightly stronger butane demand and development of alternative markets for our natural gasoline. California remained a premium market compared to other North American locations.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Natural gas prices decreased for the three months ended March 31, 2024 compared to the three months ended December 31, 2023 driven by growing natural gas production nationally and a surplus of natural gas in storage both nationally as well as in California.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key operating data for our oil and gas operations, excluding certain corporate expenses and intercompany eliminations, for the three months ended March 31, 2024 and December 31, 2023. All metrics are shown on a per Boe basis except as otherwise stated.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w:t>
      </w:r>
    </w:p>
    <w:p>
      <w:pPr>
        <w:pStyle w:val="TextBody"/>
        <w:bidi w:val="0"/>
        <w:spacing w:before="0" w:after="0"/>
        <w:jc w:val="left"/>
        <w:rPr/>
      </w:pPr>
      <w:r>
        <w:rPr/>
      </w:r>
    </w:p>
    <w:tbl>
      <w:tblPr>
        <w:tblW w:w="8644" w:type="dxa"/>
        <w:jc w:val="left"/>
        <w:tblInd w:w="0" w:type="dxa"/>
        <w:tblLayout w:type="fixed"/>
        <w:tblCellMar>
          <w:top w:w="28" w:type="dxa"/>
          <w:left w:w="28" w:type="dxa"/>
          <w:bottom w:w="28" w:type="dxa"/>
          <w:right w:w="28" w:type="dxa"/>
        </w:tblCellMar>
      </w:tblPr>
      <w:tblGrid>
        <w:gridCol w:w="1554"/>
        <w:gridCol w:w="1365"/>
        <w:gridCol w:w="1370"/>
        <w:gridCol w:w="324"/>
        <w:gridCol w:w="993"/>
        <w:gridCol w:w="167"/>
        <w:gridCol w:w="109"/>
        <w:gridCol w:w="109"/>
        <w:gridCol w:w="109"/>
        <w:gridCol w:w="402"/>
        <w:gridCol w:w="1233"/>
        <w:gridCol w:w="210"/>
        <w:gridCol w:w="109"/>
        <w:gridCol w:w="109"/>
        <w:gridCol w:w="109"/>
        <w:gridCol w:w="109"/>
        <w:gridCol w:w="109"/>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net production (MBoe/d)</w:t>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oil, natural gas and NGL sales (in millions)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Energy operating costs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Gas processing costs </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Non-energy operating costs </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general and administrative expenses</w:t>
            </w:r>
            <w:r>
              <w:rPr>
                <w:rFonts w:ascii="Arial;sans-serif" w:hAnsi="Arial;sans-serif"/>
                <w:b w:val="false"/>
                <w:color w:val="000000"/>
                <w:sz w:val="13"/>
              </w:rPr>
              <w:t xml:space="preserve">(a)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depreciation, depletion and amortization</w:t>
            </w:r>
            <w:r>
              <w:rPr>
                <w:rFonts w:ascii="Arial;sans-serif" w:hAnsi="Arial;sans-serif"/>
                <w:b w:val="false"/>
                <w:color w:val="000000"/>
                <w:sz w:val="13"/>
              </w:rPr>
              <w:t xml:space="preserve">(b)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taxes other than on income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depreciation, depletion and amortization related to our corporate assets and our Elk Hills power plant.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Energy operating costs were lower on a per Boe basis during the three months ended March 31, 2024 compared to the three months ended December 31, 2023 where the benefit of lower electricity and natural gas prices was predominately offset by lower production volumes between periods. Non-energy operating costs were higher on a per Boe basis between the three months ended March 31, 2024 compared to the three months ended December 31, 2023 due to lower production volumes between periods.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Senior Notes Indenture, see </w:t>
      </w:r>
      <w:r>
        <w:rPr>
          <w:rFonts w:ascii="Arial;sans-serif" w:hAnsi="Arial;sans-serif"/>
          <w:b w:val="false"/>
          <w:i/>
          <w:color w:val="000000"/>
          <w:sz w:val="20"/>
        </w:rPr>
        <w:t xml:space="preserve">Part I, Item 1 – Financial Statements, Note 13 Condensed Consolidated Financial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Certain prior period balances related to NGL marketing activities have been reclassified to conform to our 2024 presentation. For the three months ended December 31, 2023, we reclassified $4 million related to NGL storage activities from other revenue to revenue from marketing of purchased commodities on our condensed consolidated statement of operations. We also reclassified $3 million of NGL processing fees from other operating expenses, net to costs related to marketing of purchased commodities.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Three months ended March 31, 2024 compared to December 31, 2023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consolidated operating revenues for the three months ended March 31, 2024 and December 31, 2023:</w:t>
      </w:r>
    </w:p>
    <w:tbl>
      <w:tblPr>
        <w:tblW w:w="8865" w:type="dxa"/>
        <w:jc w:val="left"/>
        <w:tblInd w:w="0" w:type="dxa"/>
        <w:tblLayout w:type="fixed"/>
        <w:tblCellMar>
          <w:top w:w="28" w:type="dxa"/>
          <w:left w:w="28" w:type="dxa"/>
          <w:bottom w:w="28" w:type="dxa"/>
          <w:right w:w="28" w:type="dxa"/>
        </w:tblCellMar>
      </w:tblPr>
      <w:tblGrid>
        <w:gridCol w:w="1666"/>
        <w:gridCol w:w="1461"/>
        <w:gridCol w:w="1477"/>
        <w:gridCol w:w="390"/>
        <w:gridCol w:w="893"/>
        <w:gridCol w:w="201"/>
        <w:gridCol w:w="114"/>
        <w:gridCol w:w="114"/>
        <w:gridCol w:w="114"/>
        <w:gridCol w:w="484"/>
        <w:gridCol w:w="1108"/>
        <w:gridCol w:w="253"/>
        <w:gridCol w:w="109"/>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effects of cash settlements on our commodity derivative contracts, were $429 million for the three months ended March 31, 2024, which is a decrease of $54 million compared to $483 million for the three months ended December 31, 2023. This decrease was primarily due to lower production volumes and lower realized prices for the first quarter of 2024 as shown in the table below. The effect of cash settlements on our commodity derivative contracts is not included in the table below. </w:t>
      </w:r>
    </w:p>
    <w:tbl>
      <w:tblPr>
        <w:tblW w:w="8499" w:type="dxa"/>
        <w:jc w:val="center"/>
        <w:tblInd w:w="0" w:type="dxa"/>
        <w:tblLayout w:type="fixed"/>
        <w:tblCellMar>
          <w:top w:w="28" w:type="dxa"/>
          <w:left w:w="28" w:type="dxa"/>
          <w:bottom w:w="28" w:type="dxa"/>
          <w:right w:w="28" w:type="dxa"/>
        </w:tblCellMar>
      </w:tblPr>
      <w:tblGrid>
        <w:gridCol w:w="1444"/>
        <w:gridCol w:w="1269"/>
        <w:gridCol w:w="1277"/>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211"/>
        <w:gridCol w:w="48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production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intercompany sales of natural gas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Net loss from commodity derivatives was $71 million for the three months ended March 31, 2024 compared to net gain of $119 million for the three months ended December 31, 2023. The net loss from commodity derivatives primarily resulted from changes in the fair value of our outstanding commodity derivatives from the positions held as well as the relationship between contract prices and the associated forward curves at the end of each measurement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Payments on commodity derivatives were $12 million for the three months ended March 31, 2024 compared to $49 million for the three months ended December 31, 2023. Including the effect of settlement payments for commodity derivatives, the realized prices received for our oil, natural gas and NGL sales decreased by $17 million compared to the three months ended December 31, 2023.</w:t>
      </w:r>
    </w:p>
    <w:tbl>
      <w:tblPr>
        <w:tblW w:w="7881" w:type="dxa"/>
        <w:jc w:val="left"/>
        <w:tblInd w:w="0" w:type="dxa"/>
        <w:tblLayout w:type="fixed"/>
        <w:tblCellMar>
          <w:top w:w="28" w:type="dxa"/>
          <w:left w:w="28" w:type="dxa"/>
          <w:bottom w:w="28" w:type="dxa"/>
          <w:right w:w="28" w:type="dxa"/>
        </w:tblCellMar>
      </w:tblPr>
      <w:tblGrid>
        <w:gridCol w:w="1503"/>
        <w:gridCol w:w="1322"/>
        <w:gridCol w:w="1330"/>
        <w:gridCol w:w="414"/>
        <w:gridCol w:w="857"/>
        <w:gridCol w:w="214"/>
        <w:gridCol w:w="117"/>
        <w:gridCol w:w="117"/>
        <w:gridCol w:w="117"/>
        <w:gridCol w:w="470"/>
        <w:gridCol w:w="1074"/>
        <w:gridCol w:w="346"/>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Non-cash commodity derivative (loss) gain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premiums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(loss) gain from commodity derivatives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sales</w:t>
      </w:r>
      <w:r>
        <w:rPr>
          <w:color w:val="000000"/>
        </w:rPr>
        <w:t xml:space="preserve"> — </w:t>
      </w:r>
      <w:r>
        <w:rPr>
          <w:rFonts w:ascii="Arial;sans-serif" w:hAnsi="Arial;sans-serif"/>
          <w:b w:val="false"/>
          <w:color w:val="000000"/>
          <w:sz w:val="20"/>
        </w:rPr>
        <w:t>Electricity sales decreased by $27 million to $15 million for the three months ended March 31, 2024 compared to $42 million for the three months ended December 31, 2023 due to downtime at our Elk Hills power plant for planned maintenance and lower electricity prices in the first quarter of 2024.</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March 31, 2024 and December 31, 2023: </w:t>
      </w:r>
    </w:p>
    <w:p>
      <w:pPr>
        <w:pStyle w:val="TextBody"/>
        <w:bidi w:val="0"/>
        <w:spacing w:before="0" w:after="0"/>
        <w:ind w:left="0" w:right="0" w:firstLine="360"/>
        <w:jc w:val="left"/>
        <w:rPr/>
      </w:pPr>
      <w:r>
        <w:rPr/>
      </w:r>
    </w:p>
    <w:tbl>
      <w:tblPr>
        <w:tblW w:w="9041" w:type="dxa"/>
        <w:jc w:val="left"/>
        <w:tblInd w:w="0" w:type="dxa"/>
        <w:tblLayout w:type="fixed"/>
        <w:tblCellMar>
          <w:top w:w="28" w:type="dxa"/>
          <w:left w:w="28" w:type="dxa"/>
          <w:bottom w:w="28" w:type="dxa"/>
          <w:right w:w="28" w:type="dxa"/>
        </w:tblCellMar>
      </w:tblPr>
      <w:tblGrid>
        <w:gridCol w:w="1728"/>
        <w:gridCol w:w="1517"/>
        <w:gridCol w:w="1525"/>
        <w:gridCol w:w="414"/>
        <w:gridCol w:w="857"/>
        <w:gridCol w:w="214"/>
        <w:gridCol w:w="117"/>
        <w:gridCol w:w="117"/>
        <w:gridCol w:w="117"/>
        <w:gridCol w:w="484"/>
        <w:gridCol w:w="1108"/>
        <w:gridCol w:w="253"/>
        <w:gridCol w:w="109"/>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(loss) income </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March 31, 2024 were $53 million, which was a decrease of $12 million from $65 million for the three months ended December 31, 2023. This decrease was primarily the result of lower electricity and natural gas prices in the first quarter of 2024. For more information on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General and administrative (G&amp;A) expenses were $57 million for the three months ended March 31, 2024, which was a decrease of $9 million from $66 million for the three months ended December 31, 2023. The decrease in G&amp;A expenses was primarily attributable to a reduction in compensation-related expenses.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8593" w:type="dxa"/>
        <w:jc w:val="left"/>
        <w:tblInd w:w="0" w:type="dxa"/>
        <w:tblLayout w:type="fixed"/>
        <w:tblCellMar>
          <w:top w:w="28" w:type="dxa"/>
          <w:left w:w="28" w:type="dxa"/>
          <w:bottom w:w="28" w:type="dxa"/>
          <w:right w:w="28" w:type="dxa"/>
        </w:tblCellMar>
      </w:tblPr>
      <w:tblGrid>
        <w:gridCol w:w="1733"/>
        <w:gridCol w:w="1522"/>
        <w:gridCol w:w="1529"/>
        <w:gridCol w:w="530"/>
        <w:gridCol w:w="681"/>
        <w:gridCol w:w="273"/>
        <w:gridCol w:w="145"/>
        <w:gridCol w:w="145"/>
        <w:gridCol w:w="145"/>
        <w:gridCol w:w="626"/>
        <w:gridCol w:w="804"/>
        <w:gridCol w:w="460"/>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 xml:space="preserve">Costs related to marketing of purchased commodities were $54 million for the three months ended March 31, 2024 compared to $42 million for the three months ended December 31, 2023. The increase of $12 million was primarily due to higher purchases of third-party crude oil.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generation expenses</w:t>
      </w:r>
      <w:r>
        <w:rPr>
          <w:color w:val="000000"/>
        </w:rPr>
        <w:t xml:space="preserve"> — </w:t>
      </w:r>
      <w:r>
        <w:rPr>
          <w:rFonts w:ascii="Arial;sans-serif" w:hAnsi="Arial;sans-serif"/>
          <w:b w:val="false"/>
          <w:color w:val="000000"/>
          <w:sz w:val="20"/>
        </w:rPr>
        <w:t>Electricity generation expenses for the three months ended March 31, 2024 were $8 million, which was a decrease of $10 million from $18 million for the three months ended December 31, 2023. This decrease was primarily due to lower variable operating costs due to downtime resulting from scheduled maintenance of our Elk Hills power plant in the first quarter of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increased $16 million to $37 million for the three months ended March 31, 2024 compared to $21 million for the three months ended December 31, 2023. The increase was predominately due to additional expenses related to electricity purchased during the scheduled maintenance at our Elk Hills power plant as well as transaction and integration costs related to the Aera Merger.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benefit for the three months ended March 31, 2024 was $9 million (representing an effective tax rate of 47%), compared to a provision of $79 million (representing an effective tax rate of 30%) for the three months ended December 31, 2023. We recognized an excess tax benefit as a discrete adjustment in the first quarter of 2024 related to the settlement of certain equity-settled stock-based compensation awards. See </w:t>
      </w:r>
      <w:r>
        <w:rPr>
          <w:rFonts w:ascii="Arial;sans-serif" w:hAnsi="Arial;sans-serif"/>
          <w:b w:val="false"/>
          <w:i/>
          <w:color w:val="000000"/>
          <w:sz w:val="20"/>
        </w:rPr>
        <w:t xml:space="preserve">Part I, Item 1 – Financial Statements, Note 7 Income Taxes </w:t>
      </w:r>
      <w:r>
        <w:rPr>
          <w:rFonts w:ascii="Arial;sans-serif" w:hAnsi="Arial;sans-serif"/>
          <w:b w:val="false"/>
          <w:color w:val="000000"/>
          <w:sz w:val="20"/>
        </w:rPr>
        <w:t xml:space="preserve">for additional information on our effective tax rate.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months ended March 31, 2024 were for capital investments, repurchases of our common stock and dividends.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4063" w:type="dxa"/>
        <w:jc w:val="left"/>
        <w:tblInd w:w="0" w:type="dxa"/>
        <w:tblLayout w:type="fixed"/>
        <w:tblCellMar>
          <w:top w:w="28" w:type="dxa"/>
          <w:left w:w="28" w:type="dxa"/>
          <w:bottom w:w="28" w:type="dxa"/>
          <w:right w:w="28" w:type="dxa"/>
        </w:tblCellMar>
      </w:tblPr>
      <w:tblGrid>
        <w:gridCol w:w="917"/>
        <w:gridCol w:w="807"/>
        <w:gridCol w:w="810"/>
        <w:gridCol w:w="381"/>
        <w:gridCol w:w="870"/>
        <w:gridCol w:w="27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amended our Revolving Credit Facility during the first quarter of 2024 as described in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and continue to evaluate refinancing options for our Senior Notes. In March 2024, we obtained commitments from our existing lenders and certain new lenders to amend our Revolving Credit Facility upon closing of the Aera Merger. These commitments include increasing our borrowing base from $1.2 billion to $1.5 billion, increasing the aggregate commitment amount from $630 million to $1.1 billion and other matters. These commitments are subject to certain conditions prior to becoming effective, including the closing of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intend to undertake certain financing transactions in connection with the Aera Merger. See </w:t>
      </w:r>
      <w:r>
        <w:rPr>
          <w:rFonts w:ascii="Arial;sans-serif" w:hAnsi="Arial;sans-serif"/>
          <w:b w:val="false"/>
          <w:i/>
          <w:color w:val="000000"/>
          <w:sz w:val="20"/>
        </w:rPr>
        <w:t>Part I, Item 1 – Financial Statements, Note 2 Pending Aera Merger.</w:t>
      </w:r>
      <w:r>
        <w:rPr>
          <w:color w:val="000000"/>
        </w:rPr>
        <w:t xml:space="preserve"> </w:t>
      </w:r>
      <w:r>
        <w:rPr>
          <w:rFonts w:ascii="Arial;sans-serif" w:hAnsi="Arial;sans-serif"/>
          <w:b w:val="false"/>
          <w:color w:val="000000"/>
          <w:sz w:val="20"/>
        </w:rPr>
        <w:t>We also intend to pursue financing options for our carbon management business that are separate from the rest of our business.</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2024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repurchase outstanding indebtedness, (iv) advance carbon management activities, or (v) maintain cash and cash equivalents on our balance sheet.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 xml:space="preserve">For the three months ended March 31, 2024, our operating cash flow decreased $223 million to $87 million from $310 million in the same period in 2023. This decrease in operating cash flow was primarily driven by lower natural gas prices in California markets during the first quarter of 2024 compared to 2023. Our average natural gas prices decreased $17.66 per Mcf from $21.56 per MMcf in the three months ended March 31, 2024 to $3.90 per Mcf during the three months ended March 31, 2024. Further, our natural gas production decreased by 31 MMcf/d from 136 MMcf/d in the three months ended March 31, 2023 to 105 MMcf/d in the three months ended March 31, 2024, also contributing to the decrease.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our realized oil price with derivative settlements increased by $14.13 per barrel to $77.17 in the three months ended March 31, 2024 from $63.04 in the same prior year period, our net oil production volumes decreased 7 MBbl/d from 55 MBbl/d in the three months ended March 31, 2023 to 48 MBbl/d in the three months ended March 31, 2024. Our total net production volumes decreased by 13 MBoe/d from 89 MBoe/d in the three months ended March 31, 2023 to 76 MBoe/d for the three months ended March 31, 2024 primarily due to scheduled plant downtime during the first quarter of 2024, natural production decline and the divestiture of our share of a non-operated field in December 2023. Our PSCs also negatively impacted our net oil production by 1 MBoe/d in the three months ended March 31, 2024 compared to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6968" w:type="dxa"/>
        <w:jc w:val="left"/>
        <w:tblInd w:w="0" w:type="dxa"/>
        <w:tblLayout w:type="fixed"/>
        <w:tblCellMar>
          <w:top w:w="28" w:type="dxa"/>
          <w:left w:w="28" w:type="dxa"/>
          <w:bottom w:w="28" w:type="dxa"/>
          <w:right w:w="28" w:type="dxa"/>
        </w:tblCellMar>
      </w:tblPr>
      <w:tblGrid>
        <w:gridCol w:w="1306"/>
        <w:gridCol w:w="1144"/>
        <w:gridCol w:w="1150"/>
        <w:gridCol w:w="109"/>
        <w:gridCol w:w="109"/>
        <w:gridCol w:w="226"/>
        <w:gridCol w:w="226"/>
        <w:gridCol w:w="438"/>
        <w:gridCol w:w="906"/>
        <w:gridCol w:w="226"/>
        <w:gridCol w:w="109"/>
        <w:gridCol w:w="109"/>
        <w:gridCol w:w="109"/>
        <w:gridCol w:w="211"/>
        <w:gridCol w:w="43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March 2024, we sold our 0.9-acre Fort Apache real estate property in Huntington Beach, California. For more information on our divestiture in the three months ended March 31, 2024, see </w:t>
      </w:r>
      <w:r>
        <w:rPr>
          <w:rFonts w:ascii="Arial;sans-serif" w:hAnsi="Arial;sans-serif"/>
          <w:b w:val="false"/>
          <w:i/>
          <w:color w:val="000000"/>
          <w:sz w:val="20"/>
        </w:rPr>
        <w:t xml:space="preserve">Part I, Item 1 – Financial Statements, Note 8 Divestitures and Acquisitions.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8033" w:type="dxa"/>
        <w:jc w:val="left"/>
        <w:tblInd w:w="0" w:type="dxa"/>
        <w:tblLayout w:type="fixed"/>
        <w:tblCellMar>
          <w:top w:w="28" w:type="dxa"/>
          <w:left w:w="28" w:type="dxa"/>
          <w:bottom w:w="28" w:type="dxa"/>
          <w:right w:w="28" w:type="dxa"/>
        </w:tblCellMar>
      </w:tblPr>
      <w:tblGrid>
        <w:gridCol w:w="1690"/>
        <w:gridCol w:w="1483"/>
        <w:gridCol w:w="1491"/>
        <w:gridCol w:w="109"/>
        <w:gridCol w:w="109"/>
        <w:gridCol w:w="204"/>
        <w:gridCol w:w="204"/>
        <w:gridCol w:w="396"/>
        <w:gridCol w:w="1015"/>
        <w:gridCol w:w="204"/>
        <w:gridCol w:w="109"/>
        <w:gridCol w:w="109"/>
        <w:gridCol w:w="109"/>
        <w:gridCol w:w="211"/>
        <w:gridCol w:w="436"/>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 and 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The total value of shares purchased includes approximately $1 million in both the three months ended March 31, 2024 and 2023 related to excise taxes on share repurchases, which was effective beginning on January 1, 2023.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A significant number of stock-based compensation awards were settled in the first quarter of 2024. These awards were primarily granted in January 2021 following our emergence from bankruptcy. We withheld shares of common stock to satisfy the tax withholding obligations (shares cancelled for taxes). In addition to the $21 million of dividends paid in the first quarter of 2024,</w:t>
      </w:r>
      <w:r>
        <w:rPr>
          <w:color w:val="000000"/>
          <w:shd w:fill="FFFFFF" w:val="clear"/>
        </w:rPr>
        <w:t xml:space="preserve"> </w:t>
      </w:r>
      <w:r>
        <w:rPr>
          <w:rFonts w:ascii="Arial;sans-serif" w:hAnsi="Arial;sans-serif"/>
          <w:b w:val="false"/>
          <w:color w:val="000000"/>
          <w:sz w:val="20"/>
          <w:shd w:fill="FFFFFF" w:val="clear"/>
        </w:rPr>
        <w:t xml:space="preserve">we paid $4 million of dividend equivalents accrued on these stock-based compensation awards.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2024 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capital program is dynamic in response to commodity price volatility while focusing on oil production and maximizing our free cash flow. Following the Court of Appeals decision in the Kern County EIR matter, we expect our 2024 capital program to range between $200 million and $240 million under current permitting conditions. Of this amount, $165 million to $185 million is related to oil and natural gas development (including $20 million to $25 million for maintenance at one of our gas processing facilities at our Elk Hills field), $20 million to $25 million is for carbon management projects and $15 million to $30 million is for corporate and other (including $10 million to $15 million related to scheduled maintenance at our Elk Hills power plant). We expect to run a one rig program for 2024 executing projects using existing permits. Refer to </w:t>
      </w:r>
      <w:r>
        <w:rPr>
          <w:rFonts w:ascii="Arial;sans-serif" w:hAnsi="Arial;sans-serif"/>
          <w:b w:val="false"/>
          <w:i/>
          <w:color w:val="000000"/>
          <w:sz w:val="20"/>
        </w:rPr>
        <w:t>Regulatory Updates</w:t>
      </w:r>
      <w:r>
        <w:rPr>
          <w:color w:val="000000"/>
        </w:rPr>
        <w:t xml:space="preserve"> </w:t>
      </w:r>
      <w:r>
        <w:rPr>
          <w:rFonts w:ascii="Arial;sans-serif" w:hAnsi="Arial;sans-serif"/>
          <w:b w:val="false"/>
          <w:color w:val="000000"/>
          <w:sz w:val="20"/>
        </w:rPr>
        <w:t xml:space="preserve">above for more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amounts in the table below reflect components of our capital investment for the periods indicated, excluding changes in capital investment accruals:</w:t>
      </w:r>
    </w:p>
    <w:p>
      <w:pPr>
        <w:pStyle w:val="TextBody"/>
        <w:bidi w:val="0"/>
        <w:spacing w:before="0" w:after="0"/>
        <w:jc w:val="left"/>
        <w:rPr/>
      </w:pPr>
      <w:r>
        <w:rPr/>
      </w:r>
    </w:p>
    <w:tbl>
      <w:tblPr>
        <w:tblW w:w="6826" w:type="dxa"/>
        <w:jc w:val="left"/>
        <w:tblInd w:w="0" w:type="dxa"/>
        <w:tblLayout w:type="fixed"/>
        <w:tblCellMar>
          <w:top w:w="28" w:type="dxa"/>
          <w:left w:w="28" w:type="dxa"/>
          <w:bottom w:w="28" w:type="dxa"/>
          <w:right w:w="28" w:type="dxa"/>
        </w:tblCellMar>
      </w:tblPr>
      <w:tblGrid>
        <w:gridCol w:w="1043"/>
        <w:gridCol w:w="916"/>
        <w:gridCol w:w="921"/>
        <w:gridCol w:w="109"/>
        <w:gridCol w:w="109"/>
        <w:gridCol w:w="109"/>
        <w:gridCol w:w="109"/>
        <w:gridCol w:w="996"/>
        <w:gridCol w:w="1780"/>
        <w:gridCol w:w="73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Oil and natural gas operations</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and other</w:t>
            </w:r>
            <w:r>
              <w:rPr>
                <w:rFonts w:ascii="Arial;sans-serif" w:hAnsi="Arial;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(a)During the three months ended March 31, 2024, we incurred an insignificant amount of costs related to planned maintenance at one of our gas processing facilities at our Elk Hills field.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(b)During the three months ended March 31, 2024, we incurred approximately $13 million related to planned maintenance at our Elk Hills power plant.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March 31, 2024. See </w:t>
      </w:r>
      <w:r>
        <w:rPr>
          <w:rFonts w:ascii="Arial;sans-serif" w:hAnsi="Arial;sans-serif"/>
          <w:b w:val="false"/>
          <w:i/>
          <w:color w:val="000000"/>
          <w:sz w:val="20"/>
        </w:rPr>
        <w:t>Part I, Item 1 – Financial Statements, Note 6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March 31, 2024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2023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in each of the periods presented. </w:t>
      </w:r>
    </w:p>
    <w:p>
      <w:pPr>
        <w:pStyle w:val="TextBody"/>
        <w:bidi w:val="0"/>
        <w:spacing w:before="0" w:after="0"/>
        <w:ind w:left="0" w:right="0" w:firstLine="360"/>
        <w:jc w:val="left"/>
        <w:rPr/>
      </w:pPr>
      <w:r>
        <w:rPr/>
      </w:r>
    </w:p>
    <w:tbl>
      <w:tblPr>
        <w:tblW w:w="6627" w:type="dxa"/>
        <w:jc w:val="left"/>
        <w:tblInd w:w="0" w:type="dxa"/>
        <w:tblLayout w:type="fixed"/>
        <w:tblCellMar>
          <w:top w:w="28" w:type="dxa"/>
          <w:left w:w="28" w:type="dxa"/>
          <w:bottom w:w="28" w:type="dxa"/>
          <w:right w:w="28" w:type="dxa"/>
        </w:tblCellMar>
      </w:tblPr>
      <w:tblGrid>
        <w:gridCol w:w="1199"/>
        <w:gridCol w:w="1056"/>
        <w:gridCol w:w="1060"/>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declared, we paid $4 million of dividend equivalents related to stock-based compensation awards which were settled in the three months ended March 31, 2024. The declaration of future cash dividends, and the establishment of record and payment dates, is subject to final determination by our Board of Directors each quarter after reviewing our financial performance and position. Since the adoption of our dividend policy in 2021, we have returned $175 million to shareholders through dividends. For information regarding past dividends paid, see </w:t>
      </w:r>
      <w:r>
        <w:rPr>
          <w:rFonts w:ascii="Arial;sans-serif" w:hAnsi="Arial;sans-serif"/>
          <w:b w:val="false"/>
          <w:i/>
          <w:color w:val="000000"/>
          <w:sz w:val="20"/>
        </w:rPr>
        <w:t xml:space="preserve">Cash Flow Analysis, </w:t>
      </w:r>
      <w:r>
        <w:rPr>
          <w:rFonts w:ascii="Arial;sans-serif" w:hAnsi="Arial;sans-serif"/>
          <w:b w:val="false"/>
          <w:i/>
          <w:color w:val="000000"/>
          <w:sz w:val="20"/>
          <w:shd w:fill="FFFFFF" w:val="clear"/>
        </w:rPr>
        <w:t>Cash Flow Used in Financing Activities</w:t>
      </w:r>
      <w:r>
        <w:rPr>
          <w:color w:val="000000"/>
          <w:shd w:fill="FFFFFF" w:val="clear"/>
        </w:rPr>
        <w:t xml:space="preserve"> </w:t>
      </w:r>
      <w:r>
        <w:rPr>
          <w:rFonts w:ascii="Arial;sans-serif" w:hAnsi="Arial;sans-serif"/>
          <w:b w:val="false"/>
          <w:color w:val="000000"/>
          <w:sz w:val="20"/>
          <w:shd w:fill="FFFFFF" w:val="clear"/>
        </w:rPr>
        <w:t xml:space="preserve">above.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$1.35 billion of our common stock through December 31, 2025. The aggregate value of shares that may yet be purchased under the Share Repurchase Program totaled $691 million, excluding commissions and excise taxes on repurchases, as of March 31,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03"/>
        <w:gridCol w:w="968"/>
        <w:gridCol w:w="974"/>
        <w:gridCol w:w="940"/>
        <w:gridCol w:w="743"/>
        <w:gridCol w:w="745"/>
        <w:gridCol w:w="109"/>
        <w:gridCol w:w="109"/>
        <w:gridCol w:w="109"/>
        <w:gridCol w:w="559"/>
        <w:gridCol w:w="1276"/>
        <w:gridCol w:w="291"/>
        <w:gridCol w:w="109"/>
        <w:gridCol w:w="109"/>
        <w:gridCol w:w="109"/>
        <w:gridCol w:w="406"/>
        <w:gridCol w:w="1245"/>
        <w:gridCol w:w="30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1,423,764 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March 31, 2024</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15,929,679 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The total value of shares purchased includes approximately $1 million in both the three months ended March 31, 2024 and 2023 related to excise taxes on share repurchases, which was effective beginning on January 1, 2023. Commissions paid on share repurchases were not significant in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and Acquisitions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7 Divestitures and Acquisitions</w:t>
      </w:r>
      <w:r>
        <w:rPr>
          <w:color w:val="000000"/>
        </w:rPr>
        <w:t xml:space="preserve"> </w:t>
      </w:r>
      <w:r>
        <w:rPr>
          <w:rFonts w:ascii="Arial;sans-serif" w:hAnsi="Arial;sans-serif"/>
          <w:b w:val="false"/>
          <w:color w:val="000000"/>
          <w:sz w:val="20"/>
        </w:rPr>
        <w:t xml:space="preserve">for information on our transactions during the three months ended March 31, 2024 and 2023.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accrue reserves for currently outstanding lawsuits, claims and proceedings when it is probable that a liability has been incurred and the liability can be reasonably estimated. Reserve balances at March 31,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5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pending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commodity prices, including supply and demand considerations for our products and services;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decisions as to production levels and/or pricing by OPEC or U.S. producers in future periods;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Ukraine and Yemen and the Red Sea;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integrate the business of Aera once the Aera merger is completed;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receipt and terms and conditions of any required governmental and regulatory approvals of the Aera merger that could reduce anticipated benefits or cause the parties to abandon the Aera merger;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occurrence of any event, change or other circumstances that could give rise to the termination of the Merger Agreement;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stockholders of CRC may not approve the issuance of new shares of common stock in the Aera merger;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ability to obtain the required debt financing pursuant to our commitment letters and, if obtained, the potential impact of additional debt on our business and the financial impacts and restrictions due to the additional debt;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transportation, marketing and sale of our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business strategy and our capital plan;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lower-than-expected production or higher-than-expected production decline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estimates of reserves and related future cash flows, including changes arising from our inability to develop such reserves in a timely manner, and any inability to replace such reserves;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ability to realize the anticipated benefits from prior or future efforts to reduce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environmental risks and liability under federal, regional, state, provincial, tribal, local and international environmental laws and regulations (including remedial actions); </w:t>
      </w:r>
    </w:p>
    <w:p>
      <w:pPr>
        <w:pStyle w:val="TextBody"/>
        <w:bidi w:val="0"/>
        <w:spacing w:lineRule="auto" w:line="268" w:before="0" w:after="0"/>
        <w:ind w:left="0" w:right="0" w:hanging="360"/>
        <w:jc w:val="left"/>
        <w:rPr/>
      </w:pPr>
      <w:r>
        <w:rPr>
          <w:color w:val="000000"/>
        </w:rPr>
        <w:t xml:space="preserve">• </w:t>
      </w:r>
      <w:r>
        <w:rPr>
          <w:rFonts w:ascii="Arial;sans-serif" w:hAnsi="Arial;sans-serif"/>
          <w:b w:val="false"/>
          <w:color w:val="000000"/>
          <w:sz w:val="20"/>
        </w:rPr>
        <w:t xml:space="preserve">the creditworthiness and performance of our counterparties, including financial institutions, operating partners, CCS project participants and other parties;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reorganization or restructuring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 and clean energy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strategies and initiatives, including CCS projects and other renewable energy efforts;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maximize the value of our carbon management business and operate it on a stand-alone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develop infrastructure projects and enter into third party contracts on contemplated terms;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uncertainty around the accounting of emissions and our ability to successfully gather and verify emissions data and other environmental impacts;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dividend policy and share repurchase program, and our ability to declare future dividends or repurchase shares under our debt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 xml:space="preserve">Part I, Item 1A – Risk Factors </w:t>
      </w:r>
      <w:r>
        <w:rPr>
          <w:rFonts w:ascii="Arial;sans-serif" w:hAnsi="Arial;sans-serif"/>
          <w:b w:val="false"/>
          <w:color w:val="000000"/>
          <w:sz w:val="20"/>
        </w:rPr>
        <w:t>in our 2023 Annual Report</w:t>
      </w:r>
      <w:r>
        <w:rPr>
          <w:rFonts w:ascii="Arial;sans-serif" w:hAnsi="Arial;sans-serif"/>
          <w:b w:val="false"/>
          <w:i/>
          <w:color w:val="000000"/>
          <w:sz w:val="20"/>
        </w:rPr>
        <w: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months ended March 31, 2024,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2023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PSC-type contracts. We maintain a commodity hedging program primarily focused on hedging crude oil sales to help protect our cash flows, margins and capital program from the volatility of crude oil prices. As of March 31, 2024, we had a net liability of $49 million for our commodity derivative positions which are carried at fair value.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March 31, 2024</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6 Derivatives. </w:t>
      </w:r>
      <w:r>
        <w:rPr>
          <w:rFonts w:ascii="Arial;sans-serif" w:hAnsi="Arial;sans-serif"/>
          <w:b w:val="false"/>
          <w:color w:val="000000"/>
          <w:sz w:val="20"/>
        </w:rPr>
        <w:t xml:space="preserve">We have price exposure for natural gas we purchase and use in our business. We used natural gas to generate electricity for our operations and higher natural gas prices will also result in an increase to our electricity costs.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March 31, 2024, the majority of our credit exposure was with investment-grade counterparties. We believe exposure to counterparty credit-related losses related to our business at March 31, 2024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 may affect the amount of interest we pay on our long-term debt. We had no variable-rate debt outstanding as of March 31, 2024</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Senior Notes bear interest at a fixed rate of 7.125% per annum.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rPr/>
      </w:pPr>
      <w:r>
        <w:rPr/>
      </w:r>
    </w:p>
    <w:p>
      <w:pPr>
        <w:pStyle w:val="TextBody"/>
        <w:bidi w:val="0"/>
        <w:spacing w:lineRule="auto" w:line="288" w:before="0" w:after="200"/>
        <w:ind w:left="0" w:right="0" w:firstLine="360"/>
        <w:jc w:val="left"/>
        <w:rPr>
          <w:rFonts w:ascii="Arial;sans-serif" w:hAnsi="Arial;sans-serif"/>
          <w:b w:val="false"/>
          <w:color w:val="000000"/>
          <w:sz w:val="20"/>
        </w:rPr>
      </w:pPr>
      <w:r>
        <w:rPr>
          <w:rFonts w:ascii="Arial;sans-serif" w:hAnsi="Arial;sans-serif"/>
          <w:b w:val="false"/>
          <w:color w:val="000000"/>
          <w:sz w:val="20"/>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March 31, 2024.</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March 31, 2024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5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2023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2023 Annual Report. There were no material changes to those risk factors during the three months ended March 31,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has authorized a Share Repurchase Program to acquire up to $1.35 billion of our common stock through December 31, 2025.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March 31, 2024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540"/>
        <w:gridCol w:w="419"/>
        <w:gridCol w:w="426"/>
        <w:gridCol w:w="731"/>
        <w:gridCol w:w="487"/>
        <w:gridCol w:w="488"/>
        <w:gridCol w:w="109"/>
        <w:gridCol w:w="109"/>
        <w:gridCol w:w="109"/>
        <w:gridCol w:w="277"/>
        <w:gridCol w:w="849"/>
        <w:gridCol w:w="143"/>
        <w:gridCol w:w="109"/>
        <w:gridCol w:w="109"/>
        <w:gridCol w:w="109"/>
        <w:gridCol w:w="965"/>
        <w:gridCol w:w="763"/>
        <w:gridCol w:w="765"/>
        <w:gridCol w:w="109"/>
        <w:gridCol w:w="109"/>
        <w:gridCol w:w="109"/>
        <w:gridCol w:w="647"/>
        <w:gridCol w:w="1244"/>
        <w:gridCol w:w="480"/>
      </w:tblGrid>
      <w:tr>
        <w:trPr/>
        <w:tc>
          <w:tcPr>
            <w:tcW w:w="5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January 1, 2024 - January 31, 2024</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1, 2024 - February 29, 2024</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 2024 - March 31, 2024</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2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$691 million as of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March 31, 2024, none of our directors or officers adopted or terminated a “Rule 10b5-1 trading arrangement” or “non-Rule 10b5-1 trading arrangement,” as each term is defined in Item 408 of Regulation S-K.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16"/>
        <w:gridCol w:w="166"/>
        <w:gridCol w:w="170"/>
        <w:gridCol w:w="3000"/>
        <w:gridCol w:w="2746"/>
        <w:gridCol w:w="3907"/>
      </w:tblGrid>
      <w:tr>
        <w:trPr/>
        <w:tc>
          <w:tcPr>
            <w:tcW w:w="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6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6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6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6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80"/>
                  <w:sz w:val="20"/>
                  <w:u w:val="single"/>
                </w:rPr>
                <w:t xml:space="preserve">Agreement and Plan of Merger, dated February 7, 2024, </w:t>
              </w:r>
            </w:hyperlink>
            <w:hyperlink r:id="rId7">
              <w:r>
                <w:rPr>
                  <w:rStyle w:val="InternetLink"/>
                  <w:rFonts w:ascii="Arial;sans-serif" w:hAnsi="Arial;sans-serif"/>
                  <w:b w:val="false"/>
                  <w:color w:val="000080"/>
                  <w:sz w:val="20"/>
                  <w:u w:val="single"/>
                </w:rPr>
                <w:t>among</w:t>
              </w:r>
            </w:hyperlink>
            <w:hyperlink r:id="rId8">
              <w:r>
                <w:rPr>
                  <w:rStyle w:val="InternetLink"/>
                  <w:rFonts w:ascii="Arial;sans-serif" w:hAnsi="Arial;sans-serif"/>
                  <w:b w:val="false"/>
                  <w:color w:val="000080"/>
                  <w:sz w:val="20"/>
                  <w:u w:val="single"/>
                </w:rPr>
                <w:t xml:space="preserve"> California Resources Corporation and Petra Merger Sub I, LLC, Petra Merger Sub C, LLC, Petra Merger Sub O, LLC, Petra Merger Sub O2, LLC, Petra Merger Sub O3, LLC, each a Delaware limited liability company and a wholly-owned direct subsidiary of the Company, Petra Merger Sub S, LLC, a Delaware limited liability company and a wholly-owned direct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and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 (filed as Exhibit 10.1 to the Registrant's Current Report on Form 8-K filed February 9, 2024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10.2</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Second Amendment to the Amended and Restated Credit Agreement, entered into effective as of February 2, 2024, by and among California Resources Corporation, as the Borrower, the several lenders from time to time parties thereto and Citibank, N.A., as Administrative Agent (filed as Exhibit 10.1 to the Registrant's Current Report on Form 8-K filed February 14, 2024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10.3</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80"/>
                  <w:sz w:val="20"/>
                  <w:u w:val="single"/>
                </w:rPr>
                <w:t>T</w:t>
              </w:r>
            </w:hyperlink>
            <w:hyperlink r:id="rId11">
              <w:r>
                <w:rPr>
                  <w:rStyle w:val="InternetLink"/>
                  <w:rFonts w:ascii="Arial;sans-serif" w:hAnsi="Arial;sans-serif"/>
                  <w:b w:val="false"/>
                  <w:color w:val="000080"/>
                  <w:sz w:val="20"/>
                  <w:u w:val="single"/>
                </w:rPr>
                <w:t xml:space="preserve">hird Amendment to </w:t>
              </w:r>
            </w:hyperlink>
            <w:hyperlink r:id="rId12">
              <w:r>
                <w:rPr>
                  <w:rStyle w:val="InternetLink"/>
                  <w:rFonts w:ascii="Arial;sans-serif" w:hAnsi="Arial;sans-serif"/>
                  <w:b w:val="false"/>
                  <w:color w:val="000080"/>
                  <w:sz w:val="20"/>
                  <w:u w:val="single"/>
                </w:rPr>
                <w:t>the Amended and Restated Credit Agreement, entered into effective as of Ma</w:t>
              </w:r>
            </w:hyperlink>
            <w:hyperlink r:id="rId13">
              <w:r>
                <w:rPr>
                  <w:rStyle w:val="InternetLink"/>
                  <w:rFonts w:ascii="Arial;sans-serif" w:hAnsi="Arial;sans-serif"/>
                  <w:b w:val="false"/>
                  <w:color w:val="000080"/>
                  <w:sz w:val="20"/>
                  <w:u w:val="single"/>
                </w:rPr>
                <w:t xml:space="preserve">rch </w:t>
              </w:r>
            </w:hyperlink>
            <w:hyperlink r:id="rId14">
              <w:r>
                <w:rPr>
                  <w:rStyle w:val="InternetLink"/>
                  <w:rFonts w:ascii="Arial;sans-serif" w:hAnsi="Arial;sans-serif"/>
                  <w:b w:val="false"/>
                  <w:color w:val="000080"/>
                  <w:sz w:val="20"/>
                  <w:u w:val="single"/>
                </w:rPr>
                <w:t>8</w:t>
              </w:r>
            </w:hyperlink>
            <w:hyperlink r:id="rId15">
              <w:r>
                <w:rPr>
                  <w:rStyle w:val="InternetLink"/>
                  <w:rFonts w:ascii="Arial;sans-serif" w:hAnsi="Arial;sans-serif"/>
                  <w:b w:val="false"/>
                  <w:color w:val="000080"/>
                  <w:sz w:val="20"/>
                  <w:u w:val="single"/>
                </w:rPr>
                <w:t>, 2024</w:t>
              </w:r>
            </w:hyperlink>
            <w:hyperlink r:id="rId16">
              <w:r>
                <w:rPr>
                  <w:rStyle w:val="InternetLink"/>
                  <w:rFonts w:ascii="Arial;sans-serif" w:hAnsi="Arial;sans-serif"/>
                  <w:b w:val="false"/>
                  <w:color w:val="000080"/>
                  <w:sz w:val="20"/>
                  <w:u w:val="single"/>
                </w:rPr>
                <w:t>, by and among California Resources Corporation, as the Borrower</w:t>
              </w:r>
            </w:hyperlink>
            <w:hyperlink r:id="rId17">
              <w:r>
                <w:rPr>
                  <w:rStyle w:val="InternetLink"/>
                  <w:rFonts w:ascii="Arial;sans-serif" w:hAnsi="Arial;sans-serif"/>
                  <w:b w:val="false"/>
                  <w:color w:val="000080"/>
                  <w:sz w:val="20"/>
                  <w:u w:val="single"/>
                </w:rPr>
                <w:t>, the several lenders from time to time parties thereto and Citibank, N.A., as A</w:t>
              </w:r>
            </w:hyperlink>
            <w:hyperlink r:id="rId18">
              <w:r>
                <w:rPr>
                  <w:rStyle w:val="InternetLink"/>
                  <w:rFonts w:ascii="Arial;sans-serif" w:hAnsi="Arial;sans-serif"/>
                  <w:b w:val="false"/>
                  <w:color w:val="000080"/>
                  <w:sz w:val="20"/>
                  <w:u w:val="single"/>
                </w:rPr>
                <w:t xml:space="preserve">dministrative </w:t>
              </w:r>
            </w:hyperlink>
            <w:hyperlink r:id="rId19">
              <w:r>
                <w:rPr>
                  <w:rStyle w:val="InternetLink"/>
                  <w:rFonts w:ascii="Arial;sans-serif" w:hAnsi="Arial;sans-serif"/>
                  <w:b w:val="false"/>
                  <w:color w:val="000080"/>
                  <w:sz w:val="20"/>
                  <w:u w:val="single"/>
                </w:rPr>
                <w:t>Agent (filed as Exh</w:t>
              </w:r>
            </w:hyperlink>
            <w:hyperlink r:id="rId20">
              <w:r>
                <w:rPr>
                  <w:rStyle w:val="InternetLink"/>
                  <w:rFonts w:ascii="Arial;sans-serif" w:hAnsi="Arial;sans-serif"/>
                  <w:b w:val="false"/>
                  <w:color w:val="000080"/>
                  <w:sz w:val="20"/>
                  <w:u w:val="single"/>
                </w:rPr>
                <w:t xml:space="preserve">ibit </w:t>
              </w:r>
            </w:hyperlink>
            <w:hyperlink r:id="rId21">
              <w:r>
                <w:rPr>
                  <w:rStyle w:val="InternetLink"/>
                  <w:rFonts w:ascii="Arial;sans-serif" w:hAnsi="Arial;sans-serif"/>
                  <w:b w:val="false"/>
                  <w:color w:val="000080"/>
                  <w:sz w:val="20"/>
                  <w:u w:val="single"/>
                </w:rPr>
                <w:t>10.1 to the R</w:t>
              </w:r>
            </w:hyperlink>
            <w:hyperlink r:id="rId22">
              <w:r>
                <w:rPr>
                  <w:rStyle w:val="InternetLink"/>
                  <w:rFonts w:ascii="Arial;sans-serif" w:hAnsi="Arial;sans-serif"/>
                  <w:b w:val="false"/>
                  <w:color w:val="000080"/>
                  <w:sz w:val="20"/>
                  <w:u w:val="single"/>
                </w:rPr>
                <w:t>egistrant's Current Report on Form 8-K filed March 11, 2024 and incorporated herein by reference</w:t>
              </w:r>
            </w:hyperlink>
            <w:hyperlink r:id="rId23">
              <w:r>
                <w:rPr>
                  <w:rStyle w:val="InternetLink"/>
                  <w:rFonts w:ascii="Arial;sans-serif" w:hAnsi="Arial;sans-serif"/>
                  <w:b w:val="false"/>
                  <w:color w:val="000080"/>
                  <w:sz w:val="20"/>
                  <w:u w:val="single"/>
                </w:rPr>
                <w:t xml:space="preserve">). </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2024 Form of California Resources Corporation 2021 Long Term Incentive Restricted Stock Unit Award Term and Conditions (filed as Exhibit 10.29 to the Registrant’s Annual Report on Form 10-K filed on February 28, 2024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10.5</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2024 Form of California Resources Corporation 2021 Long Term Incentive Plan Performance Stock Unit Award Term and Conditions (filed as Exhibit 10.30 to the Registrant’s Annual Report on Form 10-K filed on February 28, 2024 and incorporated herein by reference).</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**Certain portions of this exhibit (indicated by "[*****]") have been omitted pursuant to Item 601(b)(10)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5515" w:type="dxa"/>
        <w:jc w:val="left"/>
        <w:tblInd w:w="0" w:type="dxa"/>
        <w:tblLayout w:type="fixed"/>
        <w:tblCellMar>
          <w:top w:w="28" w:type="dxa"/>
          <w:left w:w="28" w:type="dxa"/>
          <w:bottom w:w="28" w:type="dxa"/>
          <w:right w:w="28" w:type="dxa"/>
        </w:tblCellMar>
      </w:tblPr>
      <w:tblGrid>
        <w:gridCol w:w="255"/>
        <w:gridCol w:w="224"/>
        <w:gridCol w:w="226"/>
        <w:gridCol w:w="394"/>
        <w:gridCol w:w="394"/>
        <w:gridCol w:w="39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8, 2024</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May 8, 2024 </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Manuela (Nelly) Molina,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May 8, 2024 </w:t>
      </w:r>
    </w:p>
    <w:tbl>
      <w:tblPr>
        <w:tblW w:w="4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813"/>
        <w:gridCol w:w="813"/>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March 31, 2024, as filed with the Securities and Exchange Commission on May 8, 2024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980" w:type="dxa"/>
        <w:jc w:val="center"/>
        <w:tblInd w:w="0" w:type="dxa"/>
        <w:tblLayout w:type="fixed"/>
        <w:tblCellMar>
          <w:top w:w="28" w:type="dxa"/>
          <w:left w:w="28" w:type="dxa"/>
          <w:bottom w:w="28" w:type="dxa"/>
          <w:right w:w="28" w:type="dxa"/>
        </w:tblCellMar>
      </w:tblPr>
      <w:tblGrid>
        <w:gridCol w:w="297"/>
        <w:gridCol w:w="261"/>
        <w:gridCol w:w="261"/>
        <w:gridCol w:w="261"/>
        <w:gridCol w:w="261"/>
        <w:gridCol w:w="261"/>
        <w:gridCol w:w="1558"/>
        <w:gridCol w:w="1558"/>
        <w:gridCol w:w="1563"/>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0000137/a8aex31.htm" TargetMode="External"/><Relationship Id="rId3" Type="http://schemas.openxmlformats.org/officeDocument/2006/relationships/hyperlink" Target="https://www.sec.gov/Archives/edgar/data/1609253/000160925322000036/a20220504ex31.htm" TargetMode="External"/><Relationship Id="rId4" Type="http://schemas.openxmlformats.org/officeDocument/2006/relationships/hyperlink" Target="https://www.sec.gov/Archives/edgar/data/1609253/000160925323000034/a20230428exhibit31.htm" TargetMode="External"/><Relationship Id="rId5" Type="http://schemas.openxmlformats.org/officeDocument/2006/relationships/hyperlink" Target="https://www.sec.gov/Archives/edgar/data/1609253/000160925320000137/a8aex32.htm" TargetMode="External"/><Relationship Id="rId6" Type="http://schemas.openxmlformats.org/officeDocument/2006/relationships/hyperlink" Target="https://www.sec.gov/Archives/edgar/data/1609253/000160925324000020/a20240207exhibit101.htm" TargetMode="External"/><Relationship Id="rId7" Type="http://schemas.openxmlformats.org/officeDocument/2006/relationships/hyperlink" Target="https://www.sec.gov/Archives/edgar/data/1609253/000160925324000020/a20240207exhibit101.htm" TargetMode="External"/><Relationship Id="rId8" Type="http://schemas.openxmlformats.org/officeDocument/2006/relationships/hyperlink" Target="https://www.sec.gov/Archives/edgar/data/1609253/000160925324000020/a20240207exhibit101.htm" TargetMode="External"/><Relationship Id="rId9" Type="http://schemas.openxmlformats.org/officeDocument/2006/relationships/hyperlink" Target="https://www.sec.gov/Archives/edgar/data/1609253/000160925324000022/a20240209exhibit101.htm" TargetMode="External"/><Relationship Id="rId10" Type="http://schemas.openxmlformats.org/officeDocument/2006/relationships/hyperlink" Target="https://www.sec.gov/Archives/edgar/data/1609253/000160925324000048/a20240308exhibit101.htm" TargetMode="External"/><Relationship Id="rId11" Type="http://schemas.openxmlformats.org/officeDocument/2006/relationships/hyperlink" Target="https://www.sec.gov/Archives/edgar/data/1609253/000160925324000048/a20240308exhibit101.htm" TargetMode="External"/><Relationship Id="rId12" Type="http://schemas.openxmlformats.org/officeDocument/2006/relationships/hyperlink" Target="https://www.sec.gov/Archives/edgar/data/1609253/000160925324000048/a20240308exhibit101.htm" TargetMode="External"/><Relationship Id="rId13" Type="http://schemas.openxmlformats.org/officeDocument/2006/relationships/hyperlink" Target="https://www.sec.gov/Archives/edgar/data/1609253/000160925324000048/a20240308exhibit101.htm" TargetMode="External"/><Relationship Id="rId14" Type="http://schemas.openxmlformats.org/officeDocument/2006/relationships/hyperlink" Target="https://www.sec.gov/Archives/edgar/data/1609253/000160925324000048/a20240308exhibit101.htm" TargetMode="External"/><Relationship Id="rId15" Type="http://schemas.openxmlformats.org/officeDocument/2006/relationships/hyperlink" Target="https://www.sec.gov/Archives/edgar/data/1609253/000160925324000048/a20240308exhibit101.htm" TargetMode="External"/><Relationship Id="rId16" Type="http://schemas.openxmlformats.org/officeDocument/2006/relationships/hyperlink" Target="https://www.sec.gov/Archives/edgar/data/1609253/000160925324000048/a20240308exhibit101.htm" TargetMode="External"/><Relationship Id="rId17" Type="http://schemas.openxmlformats.org/officeDocument/2006/relationships/hyperlink" Target="https://www.sec.gov/Archives/edgar/data/1609253/000160925324000048/a20240308exhibit101.htm" TargetMode="External"/><Relationship Id="rId18" Type="http://schemas.openxmlformats.org/officeDocument/2006/relationships/hyperlink" Target="https://www.sec.gov/Archives/edgar/data/1609253/000160925324000048/a20240308exhibit101.htm" TargetMode="External"/><Relationship Id="rId19" Type="http://schemas.openxmlformats.org/officeDocument/2006/relationships/hyperlink" Target="https://www.sec.gov/Archives/edgar/data/1609253/000160925324000048/a20240308exhibit101.htm" TargetMode="External"/><Relationship Id="rId20" Type="http://schemas.openxmlformats.org/officeDocument/2006/relationships/hyperlink" Target="https://www.sec.gov/Archives/edgar/data/1609253/000160925324000048/a20240308exhibit101.htm" TargetMode="External"/><Relationship Id="rId21" Type="http://schemas.openxmlformats.org/officeDocument/2006/relationships/hyperlink" Target="https://www.sec.gov/Archives/edgar/data/1609253/000160925324000048/a20240308exhibit101.htm" TargetMode="External"/><Relationship Id="rId22" Type="http://schemas.openxmlformats.org/officeDocument/2006/relationships/hyperlink" Target="https://www.sec.gov/Archives/edgar/data/1609253/000160925324000048/a20240308exhibit101.htm" TargetMode="External"/><Relationship Id="rId23" Type="http://schemas.openxmlformats.org/officeDocument/2006/relationships/hyperlink" Target="https://www.sec.gov/Archives/edgar/data/1609253/000160925324000048/a20240308exhibit101.htm" TargetMode="External"/><Relationship Id="rId24" Type="http://schemas.openxmlformats.org/officeDocument/2006/relationships/hyperlink" Target="https://www.sec.gov/Archives/edgar/data/1609253/000160925324000043/a1029formofrestrictedstock.htm" TargetMode="External"/><Relationship Id="rId25" Type="http://schemas.openxmlformats.org/officeDocument/2006/relationships/hyperlink" Target="https://www.sec.gov/Archives/edgar/data/1609253/000160925324000043/a1030formofperformancestoc.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19051</Words>
  <Characters>103271</Characters>
  <CharactersWithSpaces>121174</CharactersWithSpaces>
  <Paragraphs>2614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