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Stevens Todd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9200 OAKDALE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03/03/2016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LOS ANGELES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91311</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rPr>
              <w:t>03/03/2016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2"/>
              </w:rPr>
              <w:t>11,500</w:t>
            </w:r>
            <w:r>
              <w:rPr>
                <w:rFonts w:ascii="Arial" w:cs="Arial" w:eastAsia="Arial" w:hAnsi="Arial"/>
                <w:sz w:val="22"/>
                <w:szCs w:val="22"/>
                <w:color w:val="008000"/>
                <w:w w:val="82"/>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9"/>
              </w:rPr>
              <w:t>A</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0.8489</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527,097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$0.8469 to $0.89 inclusive. The reporting person undertakes to provide CRC, any security holder of CRC or the staff of the Securities and Exchange Commission, upon request, with full information regarding the number of shares purchased at each separate price within the range set forth.</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a total of 4,015 shares acquired under CRC's 2014 Employee Stock Purchase Plan on September 30, 2015 and December 31, 2015.</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/s/Kendrick F. Royer, Attorney- </w:t>
      </w:r>
      <w:r>
        <w:rPr>
          <w:rFonts w:ascii="Arial" w:cs="Arial" w:eastAsia="Arial" w:hAnsi="Arial"/>
          <w:sz w:val="35"/>
          <w:szCs w:val="35"/>
          <w:color w:val="0000FF"/>
          <w:vertAlign w:val="subscript"/>
        </w:rPr>
        <w:t>03/03/2016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14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Todd A. Stevens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40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015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2066"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2019-12-09T01:06:06Z</dcterms:created>
  <dcterms:modified xsi:type="dcterms:W3CDTF">2019-12-09T01:06:06Z</dcterms:modified>
</cp:coreProperties>
</file>