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June 12,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On June 12, 2020, California Resources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certain of its subsidiaries entered into amendments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Amendments</w:t>
      </w:r>
      <w:r>
        <w:rPr>
          <w:rFonts w:ascii="Arial" w:cs="Arial" w:eastAsia="Arial" w:hAnsi="Arial"/>
          <w:sz w:val="16"/>
          <w:szCs w:val="16"/>
          <w:color w:val="auto"/>
        </w:rPr>
        <w:t>”) with respect to those certain forbearance agreements, dated June 2, 2020 (collectively, as amended, the “</w:t>
      </w:r>
      <w:r>
        <w:rPr>
          <w:rFonts w:ascii="Arial" w:cs="Arial" w:eastAsia="Arial" w:hAnsi="Arial"/>
          <w:sz w:val="16"/>
          <w:szCs w:val="16"/>
          <w:b w:val="1"/>
          <w:bCs w:val="1"/>
          <w:i w:val="1"/>
          <w:iCs w:val="1"/>
          <w:color w:val="auto"/>
        </w:rPr>
        <w:t>Forbearance Agreements</w:t>
      </w:r>
      <w:r>
        <w:rPr>
          <w:rFonts w:ascii="Arial" w:cs="Arial" w:eastAsia="Arial" w:hAnsi="Arial"/>
          <w:sz w:val="16"/>
          <w:szCs w:val="16"/>
          <w:color w:val="auto"/>
        </w:rPr>
        <w:t>”) with:</w:t>
      </w:r>
    </w:p>
    <w:p>
      <w:pPr>
        <w:spacing w:after="0" w:line="180" w:lineRule="exact"/>
        <w:rPr>
          <w:sz w:val="20"/>
          <w:szCs w:val="20"/>
          <w:color w:val="auto"/>
        </w:rPr>
      </w:pPr>
    </w:p>
    <w:p>
      <w:pPr>
        <w:ind w:left="980" w:right="22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2014 Lenders</w:t>
      </w:r>
      <w:r>
        <w:rPr>
          <w:rFonts w:ascii="Arial" w:cs="Arial" w:eastAsia="Arial" w:hAnsi="Arial"/>
          <w:sz w:val="17"/>
          <w:szCs w:val="17"/>
          <w:color w:val="auto"/>
        </w:rPr>
        <w:t>”) representing a majority of the outstanding principal amount of the loans under its Credit Agreement, dated as of September 24, 2014 (as amended, the “</w:t>
      </w:r>
      <w:r>
        <w:rPr>
          <w:rFonts w:ascii="Arial" w:cs="Arial" w:eastAsia="Arial" w:hAnsi="Arial"/>
          <w:sz w:val="17"/>
          <w:szCs w:val="17"/>
          <w:b w:val="1"/>
          <w:bCs w:val="1"/>
          <w:i w:val="1"/>
          <w:iCs w:val="1"/>
          <w:color w:val="auto"/>
        </w:rPr>
        <w:t>2014 Credit Agreement</w:t>
      </w:r>
      <w:r>
        <w:rPr>
          <w:rFonts w:ascii="Arial" w:cs="Arial" w:eastAsia="Arial" w:hAnsi="Arial"/>
          <w:sz w:val="17"/>
          <w:szCs w:val="17"/>
          <w:color w:val="auto"/>
        </w:rPr>
        <w:t>”), by and among the Company, as the Borrower, the subsidiary guarantors party thereto, the various Lenders identified therein, JPMorgan Chase Bank, N.A., as Administrative Agent, a Lender and a Letter of Credit Issuer, and Bank of America, N.A., as a Lender and a Letter of Credit Issuer;</w:t>
      </w:r>
    </w:p>
    <w:p>
      <w:pPr>
        <w:spacing w:after="0" w:line="117" w:lineRule="exact"/>
        <w:rPr>
          <w:rFonts w:ascii="Arial" w:cs="Arial" w:eastAsia="Arial" w:hAnsi="Arial"/>
          <w:sz w:val="17"/>
          <w:szCs w:val="17"/>
          <w:color w:val="auto"/>
        </w:rPr>
      </w:pPr>
    </w:p>
    <w:p>
      <w:pPr>
        <w:ind w:left="980" w:right="10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2016 Lenders</w:t>
      </w:r>
      <w:r>
        <w:rPr>
          <w:rFonts w:ascii="Arial" w:cs="Arial" w:eastAsia="Arial" w:hAnsi="Arial"/>
          <w:sz w:val="17"/>
          <w:szCs w:val="17"/>
          <w:color w:val="auto"/>
        </w:rPr>
        <w:t>”) representing a majority of the outstanding principal amount of the term loans under its Credit Agreement, dated August 12, 2016 (the “</w:t>
      </w:r>
      <w:r>
        <w:rPr>
          <w:rFonts w:ascii="Arial" w:cs="Arial" w:eastAsia="Arial" w:hAnsi="Arial"/>
          <w:sz w:val="17"/>
          <w:szCs w:val="17"/>
          <w:b w:val="1"/>
          <w:bCs w:val="1"/>
          <w:i w:val="1"/>
          <w:iCs w:val="1"/>
          <w:color w:val="auto"/>
        </w:rPr>
        <w:t>2016 Credit Agreement</w:t>
      </w:r>
      <w:r>
        <w:rPr>
          <w:rFonts w:ascii="Arial" w:cs="Arial" w:eastAsia="Arial" w:hAnsi="Arial"/>
          <w:sz w:val="17"/>
          <w:szCs w:val="17"/>
          <w:color w:val="auto"/>
        </w:rPr>
        <w:t>”), by and among the Company, as the Borrower, the various Lenders identified therein and The Bank of New York Mellon Trust Company, N.A., as Administrative Agent; and</w:t>
      </w:r>
    </w:p>
    <w:p>
      <w:pPr>
        <w:spacing w:after="0" w:line="111" w:lineRule="exact"/>
        <w:rPr>
          <w:rFonts w:ascii="Arial" w:cs="Arial" w:eastAsia="Arial" w:hAnsi="Arial"/>
          <w:sz w:val="17"/>
          <w:szCs w:val="17"/>
          <w:color w:val="auto"/>
        </w:rPr>
      </w:pPr>
    </w:p>
    <w:p>
      <w:pPr>
        <w:ind w:left="980" w:right="100" w:hanging="324"/>
        <w:spacing w:after="0" w:line="25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lenders (collectively, the “</w:t>
      </w:r>
      <w:r>
        <w:rPr>
          <w:rFonts w:ascii="Arial" w:cs="Arial" w:eastAsia="Arial" w:hAnsi="Arial"/>
          <w:sz w:val="18"/>
          <w:szCs w:val="18"/>
          <w:b w:val="1"/>
          <w:bCs w:val="1"/>
          <w:i w:val="1"/>
          <w:iCs w:val="1"/>
          <w:color w:val="auto"/>
        </w:rPr>
        <w:t>2017 Lenders</w:t>
      </w:r>
      <w:r>
        <w:rPr>
          <w:rFonts w:ascii="Arial" w:cs="Arial" w:eastAsia="Arial" w:hAnsi="Arial"/>
          <w:sz w:val="18"/>
          <w:szCs w:val="18"/>
          <w:color w:val="auto"/>
        </w:rPr>
        <w:t>”, and together with the 2014 Lenders and the 2016 Lenders, the “</w:t>
      </w:r>
      <w:r>
        <w:rPr>
          <w:rFonts w:ascii="Arial" w:cs="Arial" w:eastAsia="Arial" w:hAnsi="Arial"/>
          <w:sz w:val="18"/>
          <w:szCs w:val="18"/>
          <w:b w:val="1"/>
          <w:bCs w:val="1"/>
          <w:i w:val="1"/>
          <w:iCs w:val="1"/>
          <w:color w:val="auto"/>
        </w:rPr>
        <w:t>Forbearing Parties</w:t>
      </w:r>
      <w:r>
        <w:rPr>
          <w:rFonts w:ascii="Arial" w:cs="Arial" w:eastAsia="Arial" w:hAnsi="Arial"/>
          <w:sz w:val="18"/>
          <w:szCs w:val="18"/>
          <w:color w:val="auto"/>
        </w:rPr>
        <w:t>”) representing a majority of the outstanding principal amount of the term loans under its Credit Agreement, dated as of November 17, 2017 (as amended, the “</w:t>
      </w:r>
      <w:r>
        <w:rPr>
          <w:rFonts w:ascii="Arial" w:cs="Arial" w:eastAsia="Arial" w:hAnsi="Arial"/>
          <w:sz w:val="18"/>
          <w:szCs w:val="18"/>
          <w:b w:val="1"/>
          <w:bCs w:val="1"/>
          <w:i w:val="1"/>
          <w:iCs w:val="1"/>
          <w:color w:val="auto"/>
        </w:rPr>
        <w:t>2017 Credit Agreement</w:t>
      </w:r>
      <w:r>
        <w:rPr>
          <w:rFonts w:ascii="Arial" w:cs="Arial" w:eastAsia="Arial" w:hAnsi="Arial"/>
          <w:sz w:val="18"/>
          <w:szCs w:val="18"/>
          <w:color w:val="auto"/>
        </w:rPr>
        <w:t>”, and together with the 2014 Credit Agreement and the 2016 Credit Agreement,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by and among the Company, as the Borrower, the subsidiary guarantors party thereto, the various Lenders identified therein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of New York Mellon Trust, N.A., as Administrative Agent.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Amendments, the Forbearing Parties agreed to extend the period in which they will forbear from exercising any remedies under the Credit Agreements with respect to the failure to make certain interest payments due on May 29, 2020 until the earlier of (a) 11:59 p.m. (New York time) on June 30, 2020 and (b) the date the Forbearance Agreements otherwise terminate in accordance with their terms. The Amendments also modified certain of the covenants with which the Company must comply during the forbearance period. The failure to comply with such covenants, among other things, would result in the early termination of the forbearance period.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descriptions of the Amendments are summaries only and are qualified in their entirety by reference to the complete text of the Amendments which are attached hereto as Exhibits 10.1, 10.2 and 10.3, and each of them are incorporated by reference into this Item 1.01.</w:t>
      </w:r>
    </w:p>
    <w:p>
      <w:pPr>
        <w:sectPr>
          <w:pgSz w:w="11900" w:h="16838" w:orient="portrait"/>
          <w:cols w:equalWidth="0" w:num="1">
            <w:col w:w="11240"/>
          </w:cols>
          <w:pgMar w:left="320" w:top="553"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940" w:type="dxa"/>
            <w:vAlign w:val="bottom"/>
            <w:gridSpan w:val="5"/>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center"/>
              <w:spacing w:after="0" w:line="196" w:lineRule="exact"/>
              <w:rPr>
                <w:rFonts w:ascii="Arial" w:cs="Arial" w:eastAsia="Arial" w:hAnsi="Arial"/>
                <w:sz w:val="18"/>
                <w:szCs w:val="18"/>
                <w:u w:val="single" w:color="auto"/>
                <w:color w:val="0000FF"/>
                <w:w w:val="91"/>
              </w:rPr>
            </w:pPr>
            <w:hyperlink w:anchor="page5">
              <w:r>
                <w:rPr>
                  <w:rFonts w:ascii="Arial" w:cs="Arial" w:eastAsia="Arial" w:hAnsi="Arial"/>
                  <w:sz w:val="18"/>
                  <w:szCs w:val="18"/>
                  <w:u w:val="single" w:color="auto"/>
                  <w:color w:val="0000FF"/>
                  <w:w w:val="91"/>
                </w:rPr>
                <w:t>10.1</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6"/>
          </w:tcPr>
          <w:p>
            <w:pPr>
              <w:spacing w:after="0" w:line="196"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First Amendment to Forbearance Agreement, dated as of June 12, 2020, by and among the Company, the subsidiary</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guarantors party thereto, certain Lenders identified therein, JPMorgan Chase Bank, N.A., as Administrative Agent, a Lender</w:t>
              </w:r>
            </w:hyperlink>
          </w:p>
        </w:tc>
        <w:tc>
          <w:tcPr>
            <w:tcW w:w="1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6"/>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and a Letter of Credit Issuer, and Bank of America, N.A., a Lender and a Letter of Credit Issuer.*</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14">
              <w:r>
                <w:rPr>
                  <w:rFonts w:ascii="Arial" w:cs="Arial" w:eastAsia="Arial" w:hAnsi="Arial"/>
                  <w:sz w:val="18"/>
                  <w:szCs w:val="18"/>
                  <w:u w:val="single" w:color="auto"/>
                  <w:color w:val="0000FF"/>
                  <w:w w:val="91"/>
                </w:rPr>
                <w:t>10.2</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First Amendment to Forbearance Agreement, dated as of June 12, 2020, by and among the Company, as the Borrower, the</w:t>
              </w:r>
            </w:hyperlink>
          </w:p>
        </w:tc>
        <w:tc>
          <w:tcPr>
            <w:tcW w:w="260" w:type="dxa"/>
            <w:vAlign w:val="bottom"/>
            <w:gridSpan w:val="2"/>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6"/>
          </w:tcPr>
          <w:p>
            <w:pPr>
              <w:spacing w:after="0" w:line="196" w:lineRule="exact"/>
              <w:rPr>
                <w:rFonts w:ascii="Arial" w:cs="Arial" w:eastAsia="Arial" w:hAnsi="Arial"/>
                <w:sz w:val="18"/>
                <w:szCs w:val="18"/>
                <w:color w:val="0000FF"/>
                <w:w w:val="99"/>
              </w:rPr>
            </w:pPr>
            <w:hyperlink w:anchor="page14">
              <w:r>
                <w:rPr>
                  <w:rFonts w:ascii="Arial" w:cs="Arial" w:eastAsia="Arial" w:hAnsi="Arial"/>
                  <w:sz w:val="18"/>
                  <w:szCs w:val="18"/>
                  <w:color w:val="0000FF"/>
                  <w:w w:val="99"/>
                </w:rPr>
                <w:t>subsidiary guarantors party thereto, the various Lenders identified therein and The Bank of New York Mellon Trust</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4">
              <w:r>
                <w:rPr>
                  <w:rFonts w:ascii="Arial" w:cs="Arial" w:eastAsia="Arial" w:hAnsi="Arial"/>
                  <w:sz w:val="18"/>
                  <w:szCs w:val="18"/>
                  <w:color w:val="0000FF"/>
                  <w:w w:val="93"/>
                </w:rPr>
                <w:t>Company, N.A., as Administrative Agent.*</w:t>
              </w:r>
            </w:hyperlink>
          </w:p>
        </w:tc>
        <w:tc>
          <w:tcPr>
            <w:tcW w:w="5220" w:type="dxa"/>
            <w:vAlign w:val="bottom"/>
            <w:tcBorders>
              <w:top w:val="single" w:sz="8" w:color="0000FF"/>
            </w:tcBorders>
            <w:gridSpan w:val="2"/>
          </w:tcPr>
          <w:p>
            <w:pPr>
              <w:spacing w:after="0"/>
              <w:rPr>
                <w:sz w:val="17"/>
                <w:szCs w:val="17"/>
                <w:color w:val="auto"/>
              </w:rPr>
            </w:pPr>
          </w:p>
        </w:tc>
        <w:tc>
          <w:tcPr>
            <w:tcW w:w="720" w:type="dxa"/>
            <w:vAlign w:val="bottom"/>
            <w:gridSpan w:val="3"/>
          </w:tcPr>
          <w:p>
            <w:pPr>
              <w:spacing w:after="0"/>
              <w:rPr>
                <w:sz w:val="17"/>
                <w:szCs w:val="17"/>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24">
              <w:r>
                <w:rPr>
                  <w:rFonts w:ascii="Arial" w:cs="Arial" w:eastAsia="Arial" w:hAnsi="Arial"/>
                  <w:sz w:val="18"/>
                  <w:szCs w:val="18"/>
                  <w:u w:val="single" w:color="auto"/>
                  <w:color w:val="0000FF"/>
                  <w:w w:val="91"/>
                </w:rPr>
                <w:t>10.3</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First Amendment to Forbearance Agreement, dated as of June 12, 2020, by and among the Company, as the Borrower, the</w:t>
              </w:r>
            </w:hyperlink>
          </w:p>
        </w:tc>
        <w:tc>
          <w:tcPr>
            <w:tcW w:w="260" w:type="dxa"/>
            <w:vAlign w:val="bottom"/>
            <w:gridSpan w:val="2"/>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6"/>
          </w:tcPr>
          <w:p>
            <w:pPr>
              <w:spacing w:after="0" w:line="196" w:lineRule="exact"/>
              <w:rPr>
                <w:rFonts w:ascii="Arial" w:cs="Arial" w:eastAsia="Arial" w:hAnsi="Arial"/>
                <w:sz w:val="18"/>
                <w:szCs w:val="18"/>
                <w:color w:val="0000FF"/>
                <w:w w:val="99"/>
              </w:rPr>
            </w:pPr>
            <w:hyperlink w:anchor="page24">
              <w:r>
                <w:rPr>
                  <w:rFonts w:ascii="Arial" w:cs="Arial" w:eastAsia="Arial" w:hAnsi="Arial"/>
                  <w:sz w:val="18"/>
                  <w:szCs w:val="18"/>
                  <w:color w:val="0000FF"/>
                  <w:w w:val="99"/>
                </w:rPr>
                <w:t>subsidiary guarantors party thereto, the various Lenders identified therein and The Bank of New York Mellon Trust</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24">
              <w:r>
                <w:rPr>
                  <w:rFonts w:ascii="Arial" w:cs="Arial" w:eastAsia="Arial" w:hAnsi="Arial"/>
                  <w:sz w:val="18"/>
                  <w:szCs w:val="18"/>
                  <w:color w:val="0000FF"/>
                  <w:w w:val="93"/>
                </w:rPr>
                <w:t>Company, N.A., as Administrative Agent.*</w:t>
              </w:r>
            </w:hyperlink>
          </w:p>
        </w:tc>
        <w:tc>
          <w:tcPr>
            <w:tcW w:w="5220" w:type="dxa"/>
            <w:vAlign w:val="bottom"/>
            <w:tcBorders>
              <w:top w:val="single" w:sz="8" w:color="0000FF"/>
            </w:tcBorders>
            <w:gridSpan w:val="2"/>
          </w:tcPr>
          <w:p>
            <w:pPr>
              <w:spacing w:after="0"/>
              <w:rPr>
                <w:sz w:val="17"/>
                <w:szCs w:val="17"/>
                <w:color w:val="auto"/>
              </w:rPr>
            </w:pPr>
          </w:p>
        </w:tc>
        <w:tc>
          <w:tcPr>
            <w:tcW w:w="720" w:type="dxa"/>
            <w:vAlign w:val="bottom"/>
            <w:gridSpan w:val="3"/>
          </w:tcPr>
          <w:p>
            <w:pPr>
              <w:spacing w:after="0"/>
              <w:rPr>
                <w:sz w:val="17"/>
                <w:szCs w:val="17"/>
                <w:color w:val="auto"/>
              </w:rPr>
            </w:pPr>
          </w:p>
        </w:tc>
      </w:tr>
      <w:tr>
        <w:trPr>
          <w:trHeight w:val="588"/>
        </w:trPr>
        <w:tc>
          <w:tcPr>
            <w:tcW w:w="19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Item 601(b)(10) of Regulation S-K.</w:t>
      </w:r>
    </w:p>
    <w:p>
      <w:pPr>
        <w:sectPr>
          <w:pgSz w:w="11900" w:h="16838" w:orient="portrait"/>
          <w:cols w:equalWidth="0" w:num="1">
            <w:col w:w="11240"/>
          </w:cols>
          <w:pgMar w:left="320" w:top="877"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June 15, 2020</w:t>
      </w:r>
    </w:p>
    <w:p>
      <w:pPr>
        <w:sectPr>
          <w:pgSz w:w="11900" w:h="16838" w:orient="portrait"/>
          <w:cols w:equalWidth="0" w:num="1">
            <w:col w:w="10920"/>
          </w:cols>
          <w:pgMar w:left="320" w:top="553" w:right="659" w:bottom="1440" w:gutter="0" w:footer="0" w:header="0"/>
          <w:type w:val="continuous"/>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10.1</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FORBEARANCE AGREEMENT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FORBEARANCE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June 12, 2020, by and among </w:t>
      </w:r>
      <w:r>
        <w:rPr>
          <w:rFonts w:ascii="Arial" w:cs="Arial" w:eastAsia="Arial" w:hAnsi="Arial"/>
          <w:sz w:val="20"/>
          <w:szCs w:val="20"/>
          <w:b w:val="1"/>
          <w:bCs w:val="1"/>
          <w:color w:val="auto"/>
        </w:rPr>
        <w:t>CALIFORNIA RESOURCES CORPORATION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other Guarantors party hereto (the “</w:t>
      </w:r>
      <w:r>
        <w:rPr>
          <w:rFonts w:ascii="Arial" w:cs="Arial" w:eastAsia="Arial" w:hAnsi="Arial"/>
          <w:sz w:val="20"/>
          <w:szCs w:val="20"/>
          <w:b w:val="1"/>
          <w:bCs w:val="1"/>
          <w:color w:val="auto"/>
        </w:rPr>
        <w:t>Guarantors</w:t>
      </w:r>
      <w:r>
        <w:rPr>
          <w:rFonts w:ascii="Arial" w:cs="Arial" w:eastAsia="Arial" w:hAnsi="Arial"/>
          <w:sz w:val="20"/>
          <w:szCs w:val="20"/>
          <w:color w:val="auto"/>
        </w:rPr>
        <w:t xml:space="preserve">”), </w:t>
      </w:r>
      <w:r>
        <w:rPr>
          <w:rFonts w:ascii="Arial" w:cs="Arial" w:eastAsia="Arial" w:hAnsi="Arial"/>
          <w:sz w:val="20"/>
          <w:szCs w:val="20"/>
          <w:b w:val="1"/>
          <w:bCs w:val="1"/>
          <w:color w:val="auto"/>
        </w:rPr>
        <w:t>JPMORGAN CHASE BANK, N.A.</w:t>
      </w:r>
      <w:r>
        <w:rPr>
          <w:rFonts w:ascii="Arial" w:cs="Arial" w:eastAsia="Arial" w:hAnsi="Arial"/>
          <w:sz w:val="20"/>
          <w:szCs w:val="20"/>
          <w:color w:val="auto"/>
        </w:rPr>
        <w:t>, as administrative agent for the Lenders (in such capacity, the “</w:t>
      </w:r>
      <w:r>
        <w:rPr>
          <w:rFonts w:ascii="Arial" w:cs="Arial" w:eastAsia="Arial" w:hAnsi="Arial"/>
          <w:sz w:val="20"/>
          <w:szCs w:val="20"/>
          <w:b w:val="1"/>
          <w:bCs w:val="1"/>
          <w:color w:val="auto"/>
        </w:rPr>
        <w:t>Administrative</w:t>
      </w:r>
      <w:r>
        <w:rPr>
          <w:rFonts w:ascii="Arial" w:cs="Arial" w:eastAsia="Arial" w:hAnsi="Arial"/>
          <w:sz w:val="20"/>
          <w:szCs w:val="20"/>
          <w:color w:val="auto"/>
        </w:rPr>
        <w:t xml:space="preserve"> </w:t>
      </w:r>
      <w:r>
        <w:rPr>
          <w:rFonts w:ascii="Arial" w:cs="Arial" w:eastAsia="Arial" w:hAnsi="Arial"/>
          <w:sz w:val="20"/>
          <w:szCs w:val="20"/>
          <w:b w:val="1"/>
          <w:bCs w:val="1"/>
          <w:color w:val="auto"/>
        </w:rPr>
        <w:t>Agent</w:t>
      </w:r>
      <w:r>
        <w:rPr>
          <w:rFonts w:ascii="Arial" w:cs="Arial" w:eastAsia="Arial" w:hAnsi="Arial"/>
          <w:sz w:val="20"/>
          <w:szCs w:val="20"/>
          <w:color w:val="auto"/>
        </w:rPr>
        <w:t>”) and the Lenders party hereto (the “</w:t>
      </w:r>
      <w:r>
        <w:rPr>
          <w:rFonts w:ascii="Arial" w:cs="Arial" w:eastAsia="Arial" w:hAnsi="Arial"/>
          <w:sz w:val="20"/>
          <w:szCs w:val="20"/>
          <w:b w:val="1"/>
          <w:bCs w:val="1"/>
          <w:color w:val="auto"/>
        </w:rPr>
        <w:t>Forbearing Lenders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September 24, 2014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 and</w:t>
      </w:r>
    </w:p>
    <w:p>
      <w:pPr>
        <w:spacing w:after="0" w:line="14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WHEREAS, subject to the terms and conditions set forth herein, the parties hereto wish to amend the Forbearance Agreement to, among other things, extend the Forbearance Termination Date.</w:t>
      </w:r>
    </w:p>
    <w:p>
      <w:pPr>
        <w:spacing w:after="0" w:line="136"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6" w:lineRule="auto"/>
        <w:tabs>
          <w:tab w:leader="none" w:pos="1803"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Credit Party acknowledges and agrees that (i) each Acknowledged Event of Default is material in nature and constitutes an Event of Default under the Credit Agreement, and (ii) as a result of the occurrence of such Events of Default, the Forbearing Lenders will, subject to the Forbearance Agreement, be entitled to accelerate all Loans and the First Out Obligations owing under the Credit Agreement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27" w:lineRule="exact"/>
        <w:rPr>
          <w:rFonts w:ascii="Arial" w:cs="Arial" w:eastAsia="Arial" w:hAnsi="Arial"/>
          <w:sz w:val="18"/>
          <w:szCs w:val="18"/>
          <w:color w:val="auto"/>
        </w:rPr>
      </w:pPr>
    </w:p>
    <w:p>
      <w:pPr>
        <w:ind w:firstLine="1304"/>
        <w:spacing w:after="0" w:line="246" w:lineRule="auto"/>
        <w:tabs>
          <w:tab w:leader="none" w:pos="1779" w:val="left"/>
        </w:tabs>
        <w:numPr>
          <w:ilvl w:val="1"/>
          <w:numId w:val="4"/>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14, 2020 at 11:59 p.m. New York time” therein with the phrase “June 30, 2020 at 11:59 p.m. New York time”.</w:t>
      </w:r>
    </w:p>
    <w:p>
      <w:pPr>
        <w:spacing w:after="0" w:line="136" w:lineRule="exact"/>
        <w:rPr>
          <w:rFonts w:ascii="Arial" w:cs="Arial" w:eastAsia="Arial" w:hAnsi="Arial"/>
          <w:sz w:val="20"/>
          <w:szCs w:val="20"/>
          <w:color w:val="auto"/>
        </w:rPr>
      </w:pPr>
    </w:p>
    <w:p>
      <w:pPr>
        <w:ind w:firstLine="1304"/>
        <w:spacing w:after="0" w:line="368" w:lineRule="auto"/>
        <w:tabs>
          <w:tab w:leader="none" w:pos="1724" w:val="left"/>
        </w:tabs>
        <w:numPr>
          <w:ilvl w:val="1"/>
          <w:numId w:val="4"/>
        </w:numPr>
        <w:rPr>
          <w:rFonts w:ascii="Arial" w:cs="Arial" w:eastAsia="Arial" w:hAnsi="Arial"/>
          <w:sz w:val="16"/>
          <w:szCs w:val="16"/>
          <w:color w:val="auto"/>
        </w:rPr>
      </w:pPr>
      <w:r>
        <w:rPr>
          <w:rFonts w:ascii="Arial" w:cs="Arial" w:eastAsia="Arial" w:hAnsi="Arial"/>
          <w:sz w:val="16"/>
          <w:szCs w:val="16"/>
          <w:color w:val="auto"/>
        </w:rPr>
        <w:t>Section 2(d)(vi) of the Forbearance Agreement is hereby amended by inserting the phrase “other than the cash payment in full of overdue interest on the Senior Notes in an amount not more than $4,400,000 on or before June 15, 2020” at the beginning thereof.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5" w:name="page6"/>
    <w:bookmarkEnd w:id="5"/>
    <w:p>
      <w:pPr>
        <w:ind w:firstLine="1304"/>
        <w:spacing w:after="0" w:line="246" w:lineRule="auto"/>
        <w:tabs>
          <w:tab w:leader="none" w:pos="1768" w:val="left"/>
        </w:tabs>
        <w:numPr>
          <w:ilvl w:val="1"/>
          <w:numId w:val="5"/>
        </w:numPr>
        <w:rPr>
          <w:rFonts w:ascii="Arial" w:cs="Arial" w:eastAsia="Arial" w:hAnsi="Arial"/>
          <w:sz w:val="20"/>
          <w:szCs w:val="20"/>
          <w:color w:val="auto"/>
        </w:rPr>
      </w:pPr>
      <w:r>
        <w:rPr>
          <w:rFonts w:ascii="Arial" w:cs="Arial" w:eastAsia="Arial" w:hAnsi="Arial"/>
          <w:sz w:val="20"/>
          <w:szCs w:val="20"/>
          <w:color w:val="auto"/>
        </w:rPr>
        <w:t>Section 2(d)(ix) of the Forbearance Agreement is hereby amended by replacing the phrase “$48 million” therein with the phrase “$40 million”.</w:t>
      </w:r>
    </w:p>
    <w:p>
      <w:pPr>
        <w:spacing w:after="0" w:line="136" w:lineRule="exact"/>
        <w:rPr>
          <w:rFonts w:ascii="Arial" w:cs="Arial" w:eastAsia="Arial" w:hAnsi="Arial"/>
          <w:sz w:val="20"/>
          <w:szCs w:val="20"/>
          <w:color w:val="auto"/>
        </w:rPr>
      </w:pPr>
    </w:p>
    <w:p>
      <w:pPr>
        <w:ind w:firstLine="656"/>
        <w:spacing w:after="0" w:line="246" w:lineRule="auto"/>
        <w:tabs>
          <w:tab w:leader="none" w:pos="1021"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46" w:lineRule="auto"/>
        <w:tabs>
          <w:tab w:leader="none" w:pos="1833"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Lenders constituting at least the Majority Lenders;</w:t>
      </w:r>
    </w:p>
    <w:p>
      <w:pPr>
        <w:spacing w:after="0" w:line="136" w:lineRule="exact"/>
        <w:rPr>
          <w:rFonts w:ascii="Arial" w:cs="Arial" w:eastAsia="Arial" w:hAnsi="Arial"/>
          <w:sz w:val="20"/>
          <w:szCs w:val="20"/>
          <w:color w:val="auto"/>
        </w:rPr>
      </w:pPr>
    </w:p>
    <w:p>
      <w:pPr>
        <w:ind w:firstLine="1304"/>
        <w:spacing w:after="0" w:line="246" w:lineRule="auto"/>
        <w:tabs>
          <w:tab w:leader="none" w:pos="1758"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 and</w:t>
      </w:r>
    </w:p>
    <w:p>
      <w:pPr>
        <w:spacing w:after="0" w:line="142" w:lineRule="exact"/>
        <w:rPr>
          <w:rFonts w:ascii="Arial" w:cs="Arial" w:eastAsia="Arial" w:hAnsi="Arial"/>
          <w:sz w:val="20"/>
          <w:szCs w:val="20"/>
          <w:color w:val="auto"/>
        </w:rPr>
      </w:pPr>
    </w:p>
    <w:p>
      <w:pPr>
        <w:jc w:val="both"/>
        <w:ind w:firstLine="1304"/>
        <w:spacing w:after="0" w:line="232" w:lineRule="auto"/>
        <w:tabs>
          <w:tab w:leader="none" w:pos="1727"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shall have received executed amendments to the Other First Lien Forbearance Agreements, in each case, in form and substance reasonably acceptable to the Administrative Agent and the Forbearing Lenders, which amendment shall provide for an extension of the “Forbearance Termination Date” under the Other First Lien Forbearance Agreements to a date coterminous with the Forbearance Termination Date (as extended by this Agreement) and a reduction of the minimum aggregate book cash balances to $40 million.</w:t>
      </w:r>
    </w:p>
    <w:p>
      <w:pPr>
        <w:spacing w:after="0" w:line="143" w:lineRule="exact"/>
        <w:rPr>
          <w:rFonts w:ascii="Arial" w:cs="Arial" w:eastAsia="Arial" w:hAnsi="Arial"/>
          <w:sz w:val="20"/>
          <w:szCs w:val="20"/>
          <w:color w:val="auto"/>
        </w:rPr>
      </w:pPr>
    </w:p>
    <w:p>
      <w:pPr>
        <w:ind w:firstLine="656"/>
        <w:spacing w:after="0" w:line="246" w:lineRule="auto"/>
        <w:tabs>
          <w:tab w:leader="none" w:pos="1143"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38" w:lineRule="exact"/>
        <w:rPr>
          <w:rFonts w:ascii="Arial" w:cs="Arial" w:eastAsia="Arial" w:hAnsi="Arial"/>
          <w:sz w:val="19"/>
          <w:szCs w:val="19"/>
          <w:color w:val="auto"/>
        </w:rPr>
      </w:pPr>
    </w:p>
    <w:p>
      <w:pPr>
        <w:jc w:val="both"/>
        <w:ind w:firstLine="1304"/>
        <w:spacing w:after="0" w:line="234" w:lineRule="auto"/>
        <w:tabs>
          <w:tab w:leader="none" w:pos="1732" w:val="left"/>
        </w:tabs>
        <w:numPr>
          <w:ilvl w:val="1"/>
          <w:numId w:val="6"/>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42" w:lineRule="exact"/>
        <w:rPr>
          <w:rFonts w:ascii="Arial" w:cs="Arial" w:eastAsia="Arial" w:hAnsi="Arial"/>
          <w:sz w:val="20"/>
          <w:szCs w:val="20"/>
          <w:color w:val="auto"/>
        </w:rPr>
      </w:pPr>
    </w:p>
    <w:p>
      <w:pPr>
        <w:jc w:val="both"/>
        <w:ind w:firstLine="1304"/>
        <w:spacing w:after="0" w:line="246" w:lineRule="auto"/>
        <w:tabs>
          <w:tab w:leader="none" w:pos="1740" w:val="left"/>
        </w:tabs>
        <w:numPr>
          <w:ilvl w:val="1"/>
          <w:numId w:val="6"/>
        </w:numPr>
        <w:rPr>
          <w:rFonts w:ascii="Arial" w:cs="Arial" w:eastAsia="Arial" w:hAnsi="Arial"/>
          <w:sz w:val="19"/>
          <w:szCs w:val="19"/>
          <w:color w:val="auto"/>
        </w:rPr>
      </w:pPr>
      <w:r>
        <w:rPr>
          <w:rFonts w:ascii="Arial" w:cs="Arial" w:eastAsia="Arial" w:hAnsi="Arial"/>
          <w:sz w:val="19"/>
          <w:szCs w:val="19"/>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30" w:right="339" w:bottom="1440" w:gutter="0" w:footer="0" w:header="0"/>
        </w:sectPr>
      </w:pPr>
    </w:p>
    <w:bookmarkStart w:id="6" w:name="page7"/>
    <w:bookmarkEnd w:id="6"/>
    <w:p>
      <w:pPr>
        <w:jc w:val="both"/>
        <w:spacing w:after="0" w:line="231" w:lineRule="auto"/>
        <w:rPr>
          <w:sz w:val="20"/>
          <w:szCs w:val="20"/>
          <w:color w:val="auto"/>
        </w:rPr>
      </w:pPr>
      <w:r>
        <w:rPr>
          <w:rFonts w:ascii="Arial" w:cs="Arial" w:eastAsia="Arial" w:hAnsi="Arial"/>
          <w:sz w:val="20"/>
          <w:szCs w:val="20"/>
          <w:color w:val="auto"/>
        </w:rPr>
        <w:t>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43" w:lineRule="exact"/>
        <w:rPr>
          <w:sz w:val="20"/>
          <w:szCs w:val="20"/>
          <w:color w:val="auto"/>
        </w:rPr>
      </w:pPr>
    </w:p>
    <w:p>
      <w:pPr>
        <w:ind w:firstLine="1304"/>
        <w:spacing w:after="0" w:line="246" w:lineRule="auto"/>
        <w:tabs>
          <w:tab w:leader="none" w:pos="1803" w:val="left"/>
        </w:tabs>
        <w:numPr>
          <w:ilvl w:val="1"/>
          <w:numId w:val="7"/>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46" w:lineRule="auto"/>
        <w:tabs>
          <w:tab w:leader="none" w:pos="17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as of the date hereof, other than the Other First Lien Forbearance Agreements, no Third Party Forbearance Agreement (as defined below) exists between any Credit Party and any party;</w:t>
      </w:r>
    </w:p>
    <w:p>
      <w:pPr>
        <w:spacing w:after="0" w:line="136" w:lineRule="exact"/>
        <w:rPr>
          <w:rFonts w:ascii="Arial" w:cs="Arial" w:eastAsia="Arial" w:hAnsi="Arial"/>
          <w:sz w:val="20"/>
          <w:szCs w:val="20"/>
          <w:color w:val="auto"/>
        </w:rPr>
      </w:pPr>
    </w:p>
    <w:p>
      <w:pPr>
        <w:jc w:val="both"/>
        <w:ind w:firstLine="1304"/>
        <w:spacing w:after="0" w:line="267" w:lineRule="auto"/>
        <w:tabs>
          <w:tab w:leader="none" w:pos="1698"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13" w:lineRule="exact"/>
        <w:rPr>
          <w:rFonts w:ascii="Arial" w:cs="Arial" w:eastAsia="Arial" w:hAnsi="Arial"/>
          <w:sz w:val="18"/>
          <w:szCs w:val="18"/>
          <w:color w:val="auto"/>
        </w:rPr>
      </w:pPr>
    </w:p>
    <w:p>
      <w:pPr>
        <w:ind w:left="1740" w:hanging="436"/>
        <w:spacing w:after="0"/>
        <w:tabs>
          <w:tab w:leader="none" w:pos="1740" w:val="left"/>
        </w:tabs>
        <w:numPr>
          <w:ilvl w:val="1"/>
          <w:numId w:val="7"/>
        </w:numPr>
        <w:rPr>
          <w:rFonts w:ascii="Arial" w:cs="Arial" w:eastAsia="Arial" w:hAnsi="Arial"/>
          <w:sz w:val="20"/>
          <w:szCs w:val="20"/>
          <w:color w:val="auto"/>
        </w:rPr>
      </w:pPr>
      <w:r>
        <w:rPr>
          <w:rFonts w:ascii="Arial" w:cs="Arial" w:eastAsia="Arial" w:hAnsi="Arial"/>
          <w:sz w:val="22"/>
          <w:szCs w:val="22"/>
          <w:color w:val="auto"/>
        </w:rPr>
        <w:t>since the Forbearance Effective Date, no Forbearance Termination Event has occurred.</w:t>
      </w:r>
    </w:p>
    <w:p>
      <w:pPr>
        <w:spacing w:after="0" w:line="170" w:lineRule="exact"/>
        <w:rPr>
          <w:rFonts w:ascii="Arial" w:cs="Arial" w:eastAsia="Arial" w:hAnsi="Arial"/>
          <w:sz w:val="20"/>
          <w:szCs w:val="20"/>
          <w:color w:val="auto"/>
        </w:rPr>
      </w:pPr>
    </w:p>
    <w:p>
      <w:pPr>
        <w:jc w:val="both"/>
        <w:ind w:firstLine="656"/>
        <w:spacing w:after="0"/>
        <w:tabs>
          <w:tab w:leader="none" w:pos="107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8" w:lineRule="exact"/>
        <w:rPr>
          <w:rFonts w:ascii="Arial" w:cs="Arial" w:eastAsia="Arial" w:hAnsi="Arial"/>
          <w:sz w:val="19"/>
          <w:szCs w:val="19"/>
          <w:color w:val="auto"/>
        </w:rPr>
      </w:pPr>
    </w:p>
    <w:p>
      <w:pPr>
        <w:jc w:val="both"/>
        <w:ind w:firstLine="656"/>
        <w:spacing w:after="0" w:line="244" w:lineRule="auto"/>
        <w:tabs>
          <w:tab w:leader="none" w:pos="1021"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 Unless otherwise specified, each Lender’s executed signature page to this Agreement constitutes such Lender’s signature in all its capacities under the Credit Agreement.</w:t>
      </w:r>
    </w:p>
    <w:p>
      <w:pPr>
        <w:spacing w:after="0" w:line="132" w:lineRule="exact"/>
        <w:rPr>
          <w:rFonts w:ascii="Arial" w:cs="Arial" w:eastAsia="Arial" w:hAnsi="Arial"/>
          <w:sz w:val="19"/>
          <w:szCs w:val="19"/>
          <w:color w:val="auto"/>
        </w:rPr>
      </w:pPr>
    </w:p>
    <w:p>
      <w:pPr>
        <w:ind w:firstLine="656"/>
        <w:spacing w:after="0" w:line="252" w:lineRule="auto"/>
        <w:tabs>
          <w:tab w:leader="none" w:pos="1089" w:val="left"/>
        </w:tabs>
        <w:numPr>
          <w:ilvl w:val="0"/>
          <w:numId w:val="8"/>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AGREEMENT IS SUBJECT TO THE PROVISIONS OF SECTIONS 14.12, 14.13 AND 14.15 OF THE CREDIT AGREEMENT RELATING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7" w:name="page8"/>
    <w:bookmarkEnd w:id="7"/>
    <w:p>
      <w:pPr>
        <w:spacing w:after="0" w:line="252" w:lineRule="auto"/>
        <w:rPr>
          <w:sz w:val="20"/>
          <w:szCs w:val="20"/>
          <w:color w:val="auto"/>
        </w:rPr>
      </w:pPr>
      <w:r>
        <w:rPr>
          <w:rFonts w:ascii="Arial" w:cs="Arial" w:eastAsia="Arial" w:hAnsi="Arial"/>
          <w:sz w:val="20"/>
          <w:szCs w:val="20"/>
          <w:b w:val="1"/>
          <w:bCs w:val="1"/>
          <w:color w:val="auto"/>
        </w:rPr>
        <w:t>GOVERNING LAW, SUBMISSION TO JURISDICTION AND WAIVERS OF JURY TRIAL, THE PROVISIONS OF WHICH ARE BY THIS REFERENCE INCORPORATED HEREIN IN FULL.</w:t>
      </w:r>
    </w:p>
    <w:p>
      <w:pPr>
        <w:spacing w:after="0" w:line="131" w:lineRule="exact"/>
        <w:rPr>
          <w:sz w:val="20"/>
          <w:szCs w:val="20"/>
          <w:color w:val="auto"/>
        </w:rPr>
      </w:pPr>
    </w:p>
    <w:p>
      <w:pPr>
        <w:jc w:val="both"/>
        <w:ind w:firstLine="656"/>
        <w:spacing w:after="0" w:line="234" w:lineRule="auto"/>
        <w:tabs>
          <w:tab w:leader="none" w:pos="1035"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17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56" w:lineRule="auto"/>
        <w:tabs>
          <w:tab w:leader="none" w:pos="10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32" w:lineRule="exact"/>
        <w:rPr>
          <w:rFonts w:ascii="Arial" w:cs="Arial" w:eastAsia="Arial" w:hAnsi="Arial"/>
          <w:sz w:val="18"/>
          <w:szCs w:val="18"/>
          <w:color w:val="auto"/>
        </w:rPr>
      </w:pPr>
    </w:p>
    <w:p>
      <w:pPr>
        <w:jc w:val="both"/>
        <w:ind w:firstLine="656"/>
        <w:spacing w:after="0" w:line="26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This Agreement shall be binding upon and inure to the benefit of the parties hereto and thereto and their respective successors and assigns. No Person other than the Credit Parties, the Administrative Agent, the Forbearing Lenders and, in the case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the Released Parties, shall have any rights hereunder or be entitled to rely on this Agreement and all third-party beneficiary rights (other than the rights of the Released Parties under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or the Required Revolving Lenders, as applicable, under the provisions of Article XIII of the Credit Agreement and (y) all sections of Article XIII of the Credit Agreement shall apply to any and all actions (and inactions) taken by the Administrative Agent in accordance with such direction.</w:t>
      </w:r>
    </w:p>
    <w:p>
      <w:pPr>
        <w:spacing w:after="0" w:line="121" w:lineRule="exact"/>
        <w:rPr>
          <w:rFonts w:ascii="Arial" w:cs="Arial" w:eastAsia="Arial" w:hAnsi="Arial"/>
          <w:sz w:val="18"/>
          <w:szCs w:val="18"/>
          <w:color w:val="auto"/>
        </w:rPr>
      </w:pPr>
    </w:p>
    <w:p>
      <w:pPr>
        <w:jc w:val="both"/>
        <w:ind w:firstLine="656"/>
        <w:spacing w:after="0" w:line="241" w:lineRule="auto"/>
        <w:tabs>
          <w:tab w:leader="none" w:pos="1107"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color w:val="auto"/>
        </w:rPr>
        <w:t>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Security Documents to secure the Obligations and agrees that such security interests and Liens remain in full force and effect and are hereby ratified, reaffirmed and confirmed in all respects.</w:t>
      </w:r>
    </w:p>
    <w:p>
      <w:pPr>
        <w:spacing w:after="0" w:line="132" w:lineRule="exact"/>
        <w:rPr>
          <w:sz w:val="20"/>
          <w:szCs w:val="20"/>
          <w:color w:val="auto"/>
        </w:rPr>
      </w:pPr>
    </w:p>
    <w:p>
      <w:pPr>
        <w:jc w:val="both"/>
        <w:ind w:firstLine="656"/>
        <w:spacing w:after="0" w:line="253" w:lineRule="auto"/>
        <w:tabs>
          <w:tab w:leader="none" w:pos="116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xml:space="preserve">”)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5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[Signature Page to First Amendment to Forbearance Agreement (RBL)]</w:t>
      </w:r>
    </w:p>
    <w:p>
      <w:pPr>
        <w:sectPr>
          <w:pgSz w:w="11900" w:h="16838" w:orient="portrait"/>
          <w:cols w:equalWidth="0" w:num="1">
            <w:col w:w="9479"/>
          </w:cols>
          <w:pgMar w:left="980" w:top="555" w:right="1440" w:bottom="1440" w:gutter="0" w:footer="0" w:header="0"/>
          <w:type w:val="continuous"/>
        </w:sectPr>
      </w:pPr>
    </w:p>
    <w:bookmarkStart w:id="10" w:name="page11"/>
    <w:bookmarkEnd w:id="10"/>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Forbearance Agreement (RBL)]</w:t>
      </w:r>
    </w:p>
    <w:p>
      <w:pPr>
        <w:sectPr>
          <w:pgSz w:w="11900" w:h="16838" w:orient="portrait"/>
          <w:cols w:equalWidth="0" w:num="1">
            <w:col w:w="9019"/>
          </w:cols>
          <w:pgMar w:left="1440" w:top="711" w:right="1440" w:bottom="1440" w:gutter="0" w:footer="0" w:header="0"/>
        </w:sectPr>
      </w:pPr>
    </w:p>
    <w:bookmarkStart w:id="11" w:name="page12"/>
    <w:bookmarkEnd w:id="11"/>
    <w:p>
      <w:pPr>
        <w:ind w:left="3860"/>
        <w:spacing w:after="0"/>
        <w:rPr>
          <w:sz w:val="20"/>
          <w:szCs w:val="20"/>
          <w:color w:val="auto"/>
        </w:rPr>
      </w:pPr>
      <w:r>
        <w:rPr>
          <w:rFonts w:ascii="Arial" w:cs="Arial" w:eastAsia="Arial" w:hAnsi="Arial"/>
          <w:sz w:val="20"/>
          <w:szCs w:val="20"/>
          <w:b w:val="1"/>
          <w:bCs w:val="1"/>
          <w:u w:val="single" w:color="auto"/>
          <w:color w:val="auto"/>
        </w:rPr>
        <w:t>ADMINISTRATIVE AGENT AND LENDER</w:t>
      </w:r>
      <w:r>
        <w:rPr>
          <w:rFonts w:ascii="Arial" w:cs="Arial" w:eastAsia="Arial" w:hAnsi="Arial"/>
          <w:sz w:val="20"/>
          <w:szCs w:val="20"/>
          <w:b w:val="1"/>
          <w:bCs w:val="1"/>
          <w:color w:val="auto"/>
        </w:rPr>
        <w:t>:</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JPMORGAN CHASE BANK,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Sandeep Parihar</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Sandeep Parihar</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First Amendment to Forbearance Agreement (RBL)]</w:t>
      </w:r>
    </w:p>
    <w:p>
      <w:pPr>
        <w:sectPr>
          <w:pgSz w:w="11900" w:h="16838" w:orient="portrait"/>
          <w:cols w:equalWidth="0" w:num="1">
            <w:col w:w="9460"/>
          </w:cols>
          <w:pgMar w:left="1440" w:top="711" w:right="9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u w:val="single" w:color="auto"/>
          <w:color w:val="auto"/>
        </w:rPr>
        <w:t>LENDER AND LETTER OF CREDIT ISSUER: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Forbearance Agreement (RBL)]</w:t>
      </w:r>
    </w:p>
    <w:p>
      <w:pPr>
        <w:sectPr>
          <w:pgSz w:w="11900" w:h="16838" w:orient="portrait"/>
          <w:cols w:equalWidth="0" w:num="1">
            <w:col w:w="9019"/>
          </w:cols>
          <w:pgMar w:left="1440" w:top="549" w:right="1440" w:bottom="1440" w:gutter="0" w:footer="0" w:header="0"/>
        </w:sectPr>
      </w:pPr>
    </w:p>
    <w:bookmarkStart w:id="13" w:name="page14"/>
    <w:bookmarkEnd w:id="13"/>
    <w:p>
      <w:pPr>
        <w:ind w:left="10120"/>
        <w:spacing w:after="0"/>
        <w:rPr>
          <w:sz w:val="20"/>
          <w:szCs w:val="20"/>
          <w:color w:val="auto"/>
        </w:rPr>
      </w:pPr>
      <w:r>
        <w:rPr>
          <w:rFonts w:ascii="Arial" w:cs="Arial" w:eastAsia="Arial" w:hAnsi="Arial"/>
          <w:sz w:val="18"/>
          <w:szCs w:val="18"/>
          <w:b w:val="1"/>
          <w:bCs w:val="1"/>
          <w:color w:val="auto"/>
        </w:rPr>
        <w:t>EXHIBIT 10.2</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FORBEARANCE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color w:val="auto"/>
        </w:rPr>
        <w:t xml:space="preserve">THIS FIRST AMENDMENT TO </w:t>
      </w:r>
      <w:r>
        <w:rPr>
          <w:rFonts w:ascii="Arial" w:cs="Arial" w:eastAsia="Arial" w:hAnsi="Arial"/>
          <w:sz w:val="19"/>
          <w:szCs w:val="19"/>
          <w:b w:val="1"/>
          <w:bCs w:val="1"/>
          <w:color w:val="auto"/>
        </w:rPr>
        <w:t>FORBEARANCE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entered into as of June 12, 2020, by and among </w:t>
      </w: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other Guarantors party hereto (the “</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w:t>
      </w:r>
      <w:r>
        <w:rPr>
          <w:rFonts w:ascii="Arial" w:cs="Arial" w:eastAsia="Arial" w:hAnsi="Arial"/>
          <w:sz w:val="19"/>
          <w:szCs w:val="19"/>
          <w:b w:val="1"/>
          <w:bCs w:val="1"/>
          <w:color w:val="auto"/>
        </w:rPr>
        <w:t>THE BANK OF NEW YORK MELLON TRUST COMPANY, N.A.</w:t>
      </w:r>
      <w:r>
        <w:rPr>
          <w:rFonts w:ascii="Arial" w:cs="Arial" w:eastAsia="Arial" w:hAnsi="Arial"/>
          <w:sz w:val="19"/>
          <w:szCs w:val="19"/>
          <w:color w:val="auto"/>
        </w:rPr>
        <w:t>, as administrative agent for the Lenders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the Lenders party hereto (the “</w:t>
      </w:r>
      <w:r>
        <w:rPr>
          <w:rFonts w:ascii="Arial" w:cs="Arial" w:eastAsia="Arial" w:hAnsi="Arial"/>
          <w:sz w:val="19"/>
          <w:szCs w:val="19"/>
          <w:b w:val="1"/>
          <w:bCs w:val="1"/>
          <w:color w:val="auto"/>
        </w:rPr>
        <w:t>Forbearing Lenders</w:t>
      </w:r>
      <w:r>
        <w:rPr>
          <w:rFonts w:ascii="Arial" w:cs="Arial" w:eastAsia="Arial" w:hAnsi="Arial"/>
          <w:sz w:val="19"/>
          <w:szCs w:val="19"/>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August 12, 2016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 ; and</w:t>
      </w:r>
    </w:p>
    <w:p>
      <w:pPr>
        <w:spacing w:after="0" w:line="14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WHEREAS, subject to the terms and conditions set forth herein, the parties hereto wish to amend the Forbearance Agreement to, among other things, extend the Forbearance Termination Date.</w:t>
      </w:r>
    </w:p>
    <w:p>
      <w:pPr>
        <w:spacing w:after="0" w:line="136"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41" w:lineRule="auto"/>
        <w:tabs>
          <w:tab w:leader="none" w:pos="1803" w:val="left"/>
        </w:tabs>
        <w:numPr>
          <w:ilvl w:val="1"/>
          <w:numId w:val="11"/>
        </w:numPr>
        <w:rPr>
          <w:rFonts w:ascii="Arial" w:cs="Arial" w:eastAsia="Arial" w:hAnsi="Arial"/>
          <w:sz w:val="19"/>
          <w:szCs w:val="19"/>
          <w:color w:val="auto"/>
        </w:rPr>
      </w:pPr>
      <w:r>
        <w:rPr>
          <w:rFonts w:ascii="Arial" w:cs="Arial" w:eastAsia="Arial" w:hAnsi="Arial"/>
          <w:sz w:val="19"/>
          <w:szCs w:val="19"/>
          <w:color w:val="auto"/>
        </w:rPr>
        <w:t>Each Credit Party acknowledges and agrees that (i) each Acknowledged Event of Default is material in nature and constitutes an Event of Default under the Credit Agreement, and (ii) as a result of the occurrence of such Events of Default, the Forbearing Lenders will, subject to the Forbearance Agreement,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41" w:lineRule="exact"/>
        <w:rPr>
          <w:rFonts w:ascii="Arial" w:cs="Arial" w:eastAsia="Arial" w:hAnsi="Arial"/>
          <w:sz w:val="19"/>
          <w:szCs w:val="19"/>
          <w:color w:val="auto"/>
        </w:rPr>
      </w:pPr>
    </w:p>
    <w:p>
      <w:pPr>
        <w:ind w:firstLine="1304"/>
        <w:spacing w:after="0" w:line="246" w:lineRule="auto"/>
        <w:tabs>
          <w:tab w:leader="none" w:pos="1779" w:val="left"/>
        </w:tabs>
        <w:numPr>
          <w:ilvl w:val="1"/>
          <w:numId w:val="11"/>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14, 2020 at 11:59 p.m. New York time” therein with the phrase “June 30, 2020 at 11:59 p.m. New York time”.</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24" w:val="left"/>
        </w:tabs>
        <w:numPr>
          <w:ilvl w:val="1"/>
          <w:numId w:val="11"/>
        </w:numPr>
        <w:rPr>
          <w:rFonts w:ascii="Arial" w:cs="Arial" w:eastAsia="Arial" w:hAnsi="Arial"/>
          <w:sz w:val="20"/>
          <w:szCs w:val="20"/>
          <w:color w:val="auto"/>
        </w:rPr>
      </w:pPr>
      <w:r>
        <w:rPr>
          <w:rFonts w:ascii="Arial" w:cs="Arial" w:eastAsia="Arial" w:hAnsi="Arial"/>
          <w:sz w:val="20"/>
          <w:szCs w:val="20"/>
          <w:color w:val="auto"/>
        </w:rPr>
        <w:t>Section 2(d)(vi) of the Forbearance Agreement is hereby amended by inserting the phrase “other than the cash payment in full of overdue interest on the Existing Senior Notes in an amount not more than $4,400,000 on or before June 15, 2020” at the beginning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14" w:name="page15"/>
    <w:bookmarkEnd w:id="14"/>
    <w:p>
      <w:pPr>
        <w:ind w:firstLine="1304"/>
        <w:spacing w:after="0" w:line="246" w:lineRule="auto"/>
        <w:tabs>
          <w:tab w:leader="none" w:pos="1756" w:val="left"/>
        </w:tabs>
        <w:numPr>
          <w:ilvl w:val="1"/>
          <w:numId w:val="12"/>
        </w:numPr>
        <w:rPr>
          <w:rFonts w:ascii="Arial" w:cs="Arial" w:eastAsia="Arial" w:hAnsi="Arial"/>
          <w:sz w:val="20"/>
          <w:szCs w:val="20"/>
          <w:color w:val="auto"/>
        </w:rPr>
      </w:pPr>
      <w:r>
        <w:rPr>
          <w:rFonts w:ascii="Arial" w:cs="Arial" w:eastAsia="Arial" w:hAnsi="Arial"/>
          <w:sz w:val="20"/>
          <w:szCs w:val="20"/>
          <w:color w:val="auto"/>
        </w:rPr>
        <w:t>Section 2(d)(ix) of the Forbearance Agreement is hereby amended by replacing the phrase “$48,000,000” therein with the phrase “$40,000,000”.</w:t>
      </w:r>
    </w:p>
    <w:p>
      <w:pPr>
        <w:spacing w:after="0" w:line="136" w:lineRule="exact"/>
        <w:rPr>
          <w:rFonts w:ascii="Arial" w:cs="Arial" w:eastAsia="Arial" w:hAnsi="Arial"/>
          <w:sz w:val="20"/>
          <w:szCs w:val="20"/>
          <w:color w:val="auto"/>
        </w:rPr>
      </w:pPr>
    </w:p>
    <w:p>
      <w:pPr>
        <w:jc w:val="both"/>
        <w:ind w:firstLine="1304"/>
        <w:spacing w:after="0" w:line="230" w:lineRule="auto"/>
        <w:tabs>
          <w:tab w:leader="none" w:pos="1756" w:val="left"/>
        </w:tabs>
        <w:numPr>
          <w:ilvl w:val="1"/>
          <w:numId w:val="12"/>
        </w:numPr>
        <w:rPr>
          <w:rFonts w:ascii="Arial" w:cs="Arial" w:eastAsia="Arial" w:hAnsi="Arial"/>
          <w:sz w:val="20"/>
          <w:szCs w:val="20"/>
          <w:color w:val="auto"/>
        </w:rPr>
      </w:pPr>
      <w:r>
        <w:rPr>
          <w:rFonts w:ascii="Arial" w:cs="Arial" w:eastAsia="Arial" w:hAnsi="Arial"/>
          <w:sz w:val="20"/>
          <w:szCs w:val="20"/>
          <w:color w:val="auto"/>
        </w:rPr>
        <w:t>Section 2(d)(xi) of the Forbearance Agreement is hereby amended by replacing the phrase “and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(collectively, with Davis Polk, Evercore, Haynes and Boone, Cox Castle, Trimeric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Group</w:t>
      </w:r>
      <w:r>
        <w:rPr>
          <w:rFonts w:ascii="Arial" w:cs="Arial" w:eastAsia="Arial" w:hAnsi="Arial"/>
          <w:sz w:val="20"/>
          <w:szCs w:val="20"/>
          <w:color w:val="auto"/>
        </w:rPr>
        <w:t xml:space="preserve"> </w:t>
      </w:r>
      <w:r>
        <w:rPr>
          <w:rFonts w:ascii="Arial" w:cs="Arial" w:eastAsia="Arial" w:hAnsi="Arial"/>
          <w:sz w:val="20"/>
          <w:szCs w:val="20"/>
          <w:b w:val="1"/>
          <w:bCs w:val="1"/>
          <w:color w:val="auto"/>
        </w:rPr>
        <w:t>Advisors</w:t>
      </w:r>
      <w:r>
        <w:rPr>
          <w:rFonts w:ascii="Arial" w:cs="Arial" w:eastAsia="Arial" w:hAnsi="Arial"/>
          <w:sz w:val="20"/>
          <w:szCs w:val="20"/>
          <w:color w:val="auto"/>
        </w:rPr>
        <w:t>”)” with the phrase “,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Cornerstone Engineering, Inc. (“</w:t>
      </w:r>
      <w:r>
        <w:rPr>
          <w:rFonts w:ascii="Arial" w:cs="Arial" w:eastAsia="Arial" w:hAnsi="Arial"/>
          <w:sz w:val="20"/>
          <w:szCs w:val="20"/>
          <w:b w:val="1"/>
          <w:bCs w:val="1"/>
          <w:color w:val="auto"/>
        </w:rPr>
        <w:t>Cornerstone</w:t>
      </w:r>
      <w:r>
        <w:rPr>
          <w:rFonts w:ascii="Arial" w:cs="Arial" w:eastAsia="Arial" w:hAnsi="Arial"/>
          <w:sz w:val="20"/>
          <w:szCs w:val="20"/>
          <w:color w:val="auto"/>
        </w:rPr>
        <w:t>”), Rapp &amp; Krock, PC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Rapp &amp; Krock</w:t>
      </w:r>
      <w:r>
        <w:rPr>
          <w:rFonts w:ascii="Arial" w:cs="Arial" w:eastAsia="Arial" w:hAnsi="Arial"/>
          <w:sz w:val="20"/>
          <w:szCs w:val="20"/>
          <w:color w:val="auto"/>
        </w:rPr>
        <w:t>” and, collectively with Davis Polk, Evercore, Haynes and Boone, Cox Castle, Trimeric, Cornerstone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Group Advisors</w:t>
      </w:r>
      <w:r>
        <w:rPr>
          <w:rFonts w:ascii="Arial" w:cs="Arial" w:eastAsia="Arial" w:hAnsi="Arial"/>
          <w:sz w:val="20"/>
          <w:szCs w:val="20"/>
          <w:color w:val="auto"/>
        </w:rPr>
        <w:t>”)”.</w:t>
      </w:r>
    </w:p>
    <w:p>
      <w:pPr>
        <w:spacing w:after="0" w:line="144" w:lineRule="exact"/>
        <w:rPr>
          <w:rFonts w:ascii="Arial" w:cs="Arial" w:eastAsia="Arial" w:hAnsi="Arial"/>
          <w:sz w:val="20"/>
          <w:szCs w:val="20"/>
          <w:color w:val="auto"/>
        </w:rPr>
      </w:pPr>
    </w:p>
    <w:p>
      <w:pPr>
        <w:ind w:firstLine="656"/>
        <w:spacing w:after="0" w:line="246" w:lineRule="auto"/>
        <w:tabs>
          <w:tab w:leader="none" w:pos="1021"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46" w:lineRule="auto"/>
        <w:tabs>
          <w:tab w:leader="none" w:pos="1833"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46" w:lineRule="auto"/>
        <w:tabs>
          <w:tab w:leader="none" w:pos="1758"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w:t>
      </w:r>
    </w:p>
    <w:p>
      <w:pPr>
        <w:spacing w:after="0" w:line="142" w:lineRule="exact"/>
        <w:rPr>
          <w:rFonts w:ascii="Arial" w:cs="Arial" w:eastAsia="Arial" w:hAnsi="Arial"/>
          <w:sz w:val="20"/>
          <w:szCs w:val="20"/>
          <w:color w:val="auto"/>
        </w:rPr>
      </w:pPr>
    </w:p>
    <w:p>
      <w:pPr>
        <w:jc w:val="both"/>
        <w:ind w:firstLine="1304"/>
        <w:spacing w:after="0" w:line="246" w:lineRule="auto"/>
        <w:tabs>
          <w:tab w:leader="none" w:pos="174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Administrative Agent shall have received executed amendments to the First Lien First Out Forbearance Agreement and the 2017 Term Loan Forbearance Agreement, in each case, in form and substance reasonably acceptable to the Administrative Agent and the Forbearing Lenders (and their respective advisors), which respective amendments shall provide for an extension of the “Forbearance Termination Date” thereunder to a date coterminous with the Forbearance Termination Date (as extended by this Agreement) and a reduction of the minimum aggregate book cash balances to $40,000,000.</w:t>
      </w:r>
    </w:p>
    <w:p>
      <w:pPr>
        <w:spacing w:after="0" w:line="135" w:lineRule="exact"/>
        <w:rPr>
          <w:rFonts w:ascii="Arial" w:cs="Arial" w:eastAsia="Arial" w:hAnsi="Arial"/>
          <w:sz w:val="19"/>
          <w:szCs w:val="19"/>
          <w:color w:val="auto"/>
        </w:rPr>
      </w:pPr>
    </w:p>
    <w:p>
      <w:pPr>
        <w:ind w:firstLine="656"/>
        <w:spacing w:after="0" w:line="246" w:lineRule="auto"/>
        <w:tabs>
          <w:tab w:leader="none" w:pos="114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38" w:lineRule="exact"/>
        <w:rPr>
          <w:rFonts w:ascii="Arial" w:cs="Arial" w:eastAsia="Arial" w:hAnsi="Arial"/>
          <w:sz w:val="19"/>
          <w:szCs w:val="19"/>
          <w:color w:val="auto"/>
        </w:rPr>
      </w:pPr>
    </w:p>
    <w:p>
      <w:pPr>
        <w:ind w:firstLine="1304"/>
        <w:spacing w:after="0" w:line="246" w:lineRule="auto"/>
        <w:tabs>
          <w:tab w:leader="none" w:pos="1807"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30" w:right="3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9"/>
          <w:szCs w:val="19"/>
          <w:color w:val="auto"/>
        </w:rPr>
        <w:t>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12" w:lineRule="exact"/>
        <w:rPr>
          <w:sz w:val="20"/>
          <w:szCs w:val="20"/>
          <w:color w:val="auto"/>
        </w:rPr>
      </w:pPr>
    </w:p>
    <w:p>
      <w:pPr>
        <w:jc w:val="both"/>
        <w:ind w:firstLine="1304"/>
        <w:spacing w:after="0" w:line="256" w:lineRule="auto"/>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7" w:lineRule="exact"/>
        <w:rPr>
          <w:rFonts w:ascii="Arial" w:cs="Arial" w:eastAsia="Arial" w:hAnsi="Arial"/>
          <w:sz w:val="18"/>
          <w:szCs w:val="18"/>
          <w:color w:val="auto"/>
        </w:rPr>
      </w:pPr>
    </w:p>
    <w:p>
      <w:pPr>
        <w:ind w:firstLine="1304"/>
        <w:spacing w:after="0" w:line="246" w:lineRule="auto"/>
        <w:tabs>
          <w:tab w:leader="none" w:pos="1803" w:val="left"/>
        </w:tabs>
        <w:numPr>
          <w:ilvl w:val="1"/>
          <w:numId w:val="14"/>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72" w:lineRule="auto"/>
        <w:tabs>
          <w:tab w:leader="none" w:pos="1742" w:val="left"/>
        </w:tabs>
        <w:numPr>
          <w:ilvl w:val="1"/>
          <w:numId w:val="14"/>
        </w:numPr>
        <w:rPr>
          <w:rFonts w:ascii="Arial" w:cs="Arial" w:eastAsia="Arial" w:hAnsi="Arial"/>
          <w:sz w:val="19"/>
          <w:szCs w:val="19"/>
          <w:color w:val="auto"/>
        </w:rPr>
      </w:pPr>
      <w:r>
        <w:rPr>
          <w:rFonts w:ascii="Arial" w:cs="Arial" w:eastAsia="Arial" w:hAnsi="Arial"/>
          <w:sz w:val="19"/>
          <w:szCs w:val="19"/>
          <w:color w:val="auto"/>
        </w:rPr>
        <w:t>as of the date hereof, other than the First Lien First Out Forbearance Agreement and the 2017 Term Loan Forbearance Agreement, no Third Party Forbearance Agreement (as defined below) exists between any Credit Party and any party;</w:t>
      </w:r>
    </w:p>
    <w:p>
      <w:pPr>
        <w:spacing w:after="0" w:line="112" w:lineRule="exact"/>
        <w:rPr>
          <w:rFonts w:ascii="Arial" w:cs="Arial" w:eastAsia="Arial" w:hAnsi="Arial"/>
          <w:sz w:val="19"/>
          <w:szCs w:val="19"/>
          <w:color w:val="auto"/>
        </w:rPr>
      </w:pPr>
    </w:p>
    <w:p>
      <w:pPr>
        <w:jc w:val="both"/>
        <w:ind w:firstLine="1304"/>
        <w:spacing w:after="0" w:line="267" w:lineRule="auto"/>
        <w:tabs>
          <w:tab w:leader="none" w:pos="16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18" w:lineRule="exact"/>
        <w:rPr>
          <w:rFonts w:ascii="Arial" w:cs="Arial" w:eastAsia="Arial" w:hAnsi="Arial"/>
          <w:sz w:val="18"/>
          <w:szCs w:val="18"/>
          <w:color w:val="auto"/>
        </w:rPr>
      </w:pPr>
    </w:p>
    <w:p>
      <w:pPr>
        <w:ind w:left="1740" w:hanging="436"/>
        <w:spacing w:after="0"/>
        <w:tabs>
          <w:tab w:leader="none" w:pos="174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since the Forbearance Effective Date, no Forbearance Termination Event has occurred.</w:t>
      </w:r>
    </w:p>
    <w:p>
      <w:pPr>
        <w:spacing w:after="0" w:line="161" w:lineRule="exact"/>
        <w:rPr>
          <w:rFonts w:ascii="Arial" w:cs="Arial" w:eastAsia="Arial" w:hAnsi="Arial"/>
          <w:sz w:val="20"/>
          <w:szCs w:val="20"/>
          <w:color w:val="auto"/>
        </w:rPr>
      </w:pPr>
    </w:p>
    <w:p>
      <w:pPr>
        <w:jc w:val="both"/>
        <w:ind w:firstLine="656"/>
        <w:spacing w:after="0"/>
        <w:tabs>
          <w:tab w:leader="none" w:pos="107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30" w:right="339" w:bottom="1440" w:gutter="0" w:footer="0" w:header="0"/>
        </w:sectPr>
      </w:pPr>
    </w:p>
    <w:bookmarkStart w:id="16" w:name="page17"/>
    <w:bookmarkEnd w:id="16"/>
    <w:p>
      <w:pPr>
        <w:jc w:val="both"/>
        <w:ind w:firstLine="656"/>
        <w:spacing w:after="0" w:line="232" w:lineRule="auto"/>
        <w:tabs>
          <w:tab w:leader="none" w:pos="1021"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37" w:lineRule="exact"/>
        <w:rPr>
          <w:rFonts w:ascii="Arial" w:cs="Arial" w:eastAsia="Arial" w:hAnsi="Arial"/>
          <w:sz w:val="20"/>
          <w:szCs w:val="20"/>
          <w:color w:val="auto"/>
        </w:rPr>
      </w:pPr>
    </w:p>
    <w:p>
      <w:pPr>
        <w:jc w:val="both"/>
        <w:ind w:firstLine="656"/>
        <w:spacing w:after="0" w:line="258" w:lineRule="auto"/>
        <w:tabs>
          <w:tab w:leader="none" w:pos="1089"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4" w:lineRule="exact"/>
        <w:rPr>
          <w:rFonts w:ascii="Arial" w:cs="Arial" w:eastAsia="Arial" w:hAnsi="Arial"/>
          <w:sz w:val="19"/>
          <w:szCs w:val="19"/>
          <w:color w:val="auto"/>
        </w:rPr>
      </w:pPr>
    </w:p>
    <w:p>
      <w:pPr>
        <w:jc w:val="both"/>
        <w:ind w:firstLine="656"/>
        <w:spacing w:after="0" w:line="234" w:lineRule="auto"/>
        <w:tabs>
          <w:tab w:leader="none" w:pos="1035"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17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56" w:lineRule="auto"/>
        <w:tabs>
          <w:tab w:leader="none" w:pos="10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32" w:lineRule="exact"/>
        <w:rPr>
          <w:rFonts w:ascii="Arial" w:cs="Arial" w:eastAsia="Arial" w:hAnsi="Arial"/>
          <w:sz w:val="18"/>
          <w:szCs w:val="18"/>
          <w:color w:val="auto"/>
        </w:rPr>
      </w:pPr>
    </w:p>
    <w:p>
      <w:pPr>
        <w:jc w:val="both"/>
        <w:ind w:firstLine="656"/>
        <w:spacing w:after="0" w:line="26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13 hereof, the Released Parties, shall have any rights hereunder or be entitled to rely on this Agreement and all third-party beneficiary rights (other than the rights of the Released Parties under Section 13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30" w:right="339" w:bottom="1440" w:gutter="0" w:footer="0" w:header="0"/>
        </w:sectPr>
      </w:pPr>
    </w:p>
    <w:bookmarkStart w:id="17" w:name="page18"/>
    <w:bookmarkEnd w:id="17"/>
    <w:p>
      <w:pPr>
        <w:jc w:val="both"/>
        <w:ind w:firstLine="656"/>
        <w:spacing w:after="0" w:line="253" w:lineRule="auto"/>
        <w:tabs>
          <w:tab w:leader="none" w:pos="110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Collateral Documents to secure the Obligations and agrees that such security interests and Liens remain in full force and effect and are hereby ratified, reaffirmed and confirmed in all respects.</w:t>
      </w:r>
    </w:p>
    <w:p>
      <w:pPr>
        <w:spacing w:after="0" w:line="138" w:lineRule="exact"/>
        <w:rPr>
          <w:rFonts w:ascii="Arial" w:cs="Arial" w:eastAsia="Arial" w:hAnsi="Arial"/>
          <w:sz w:val="18"/>
          <w:szCs w:val="18"/>
          <w:color w:val="auto"/>
        </w:rPr>
      </w:pPr>
    </w:p>
    <w:p>
      <w:pPr>
        <w:jc w:val="both"/>
        <w:ind w:firstLine="656"/>
        <w:spacing w:after="0" w:line="253"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13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13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3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Reminder of page intentionally left blank</w:t>
      </w:r>
      <w:r>
        <w:rPr>
          <w:rFonts w:ascii="Arial" w:cs="Arial" w:eastAsia="Arial" w:hAnsi="Arial"/>
          <w:sz w:val="18"/>
          <w:szCs w:val="18"/>
          <w:color w:val="auto"/>
        </w:rPr>
        <w:t>]</w:t>
      </w:r>
    </w:p>
    <w:p>
      <w:pPr>
        <w:sectPr>
          <w:pgSz w:w="11900" w:h="16838" w:orient="portrait"/>
          <w:cols w:equalWidth="0" w:num="1">
            <w:col w:w="9019"/>
          </w:cols>
          <w:pgMar w:left="1440" w:top="7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019"/>
          </w:cols>
          <w:pgMar w:left="1440" w:top="73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[Signature Page to First Amendment to Forbearance Agreement (1.5L)]</w:t>
      </w:r>
    </w:p>
    <w:p>
      <w:pPr>
        <w:sectPr>
          <w:pgSz w:w="11900" w:h="16838" w:orient="portrait"/>
          <w:cols w:equalWidth="0" w:num="1">
            <w:col w:w="9479"/>
          </w:cols>
          <w:pgMar w:left="980" w:top="555" w:right="1440" w:bottom="1440" w:gutter="0" w:footer="0" w:header="0"/>
          <w:type w:val="continuous"/>
        </w:sectPr>
      </w:pPr>
    </w:p>
    <w:bookmarkStart w:id="20" w:name="page21"/>
    <w:bookmarkEnd w:id="20"/>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Forbearance Agreement (1.5L)]</w:t>
      </w:r>
    </w:p>
    <w:p>
      <w:pPr>
        <w:sectPr>
          <w:pgSz w:w="11900" w:h="16838" w:orient="portrait"/>
          <w:cols w:equalWidth="0" w:num="1">
            <w:col w:w="9019"/>
          </w:cols>
          <w:pgMar w:left="1440" w:top="711" w:right="1440" w:bottom="1440" w:gutter="0" w:footer="0" w:header="0"/>
        </w:sectPr>
      </w:pPr>
    </w:p>
    <w:bookmarkStart w:id="21" w:name="page22"/>
    <w:bookmarkEnd w:id="21"/>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First Amendment to Forbearance Agreement (1.5L)]</w:t>
      </w:r>
    </w:p>
    <w:p>
      <w:pPr>
        <w:sectPr>
          <w:pgSz w:w="11900" w:h="16838" w:orient="portrait"/>
          <w:cols w:equalWidth="0" w:num="1">
            <w:col w:w="9560"/>
          </w:cols>
          <w:pgMar w:left="1440" w:top="711" w:right="899" w:bottom="1440" w:gutter="0" w:footer="0" w:header="0"/>
        </w:sectPr>
      </w:pPr>
    </w:p>
    <w:bookmarkStart w:id="22" w:name="page23"/>
    <w:bookmarkEnd w:id="22"/>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 to Forbearance Agreement (1.5L)]</w:t>
      </w:r>
    </w:p>
    <w:p>
      <w:pPr>
        <w:sectPr>
          <w:pgSz w:w="11900" w:h="16838" w:orient="portrait"/>
          <w:cols w:equalWidth="0" w:num="1">
            <w:col w:w="9019"/>
          </w:cols>
          <w:pgMar w:left="1440" w:top="549" w:right="1440" w:bottom="1440" w:gutter="0" w:footer="0" w:header="0"/>
        </w:sectPr>
      </w:pPr>
    </w:p>
    <w:bookmarkStart w:id="23" w:name="page24"/>
    <w:bookmarkEnd w:id="23"/>
    <w:p>
      <w:pPr>
        <w:ind w:left="10120"/>
        <w:spacing w:after="0"/>
        <w:rPr>
          <w:sz w:val="20"/>
          <w:szCs w:val="20"/>
          <w:color w:val="auto"/>
        </w:rPr>
      </w:pPr>
      <w:r>
        <w:rPr>
          <w:rFonts w:ascii="Arial" w:cs="Arial" w:eastAsia="Arial" w:hAnsi="Arial"/>
          <w:sz w:val="18"/>
          <w:szCs w:val="18"/>
          <w:b w:val="1"/>
          <w:bCs w:val="1"/>
          <w:color w:val="auto"/>
        </w:rPr>
        <w:t>EXHIBIT 10.3</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FORBEARANCE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color w:val="auto"/>
        </w:rPr>
        <w:t xml:space="preserve">THIS FIRST AMENDMENT TO </w:t>
      </w:r>
      <w:r>
        <w:rPr>
          <w:rFonts w:ascii="Arial" w:cs="Arial" w:eastAsia="Arial" w:hAnsi="Arial"/>
          <w:sz w:val="19"/>
          <w:szCs w:val="19"/>
          <w:b w:val="1"/>
          <w:bCs w:val="1"/>
          <w:color w:val="auto"/>
        </w:rPr>
        <w:t>FORBEARANCE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entered into as of June 12, 2020, by and among </w:t>
      </w: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other Guarantors party hereto (the “</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w:t>
      </w:r>
      <w:r>
        <w:rPr>
          <w:rFonts w:ascii="Arial" w:cs="Arial" w:eastAsia="Arial" w:hAnsi="Arial"/>
          <w:sz w:val="19"/>
          <w:szCs w:val="19"/>
          <w:b w:val="1"/>
          <w:bCs w:val="1"/>
          <w:color w:val="auto"/>
        </w:rPr>
        <w:t>THE BANK OF NEW YORK MELLON TRUST COMPANY, N.A.</w:t>
      </w:r>
      <w:r>
        <w:rPr>
          <w:rFonts w:ascii="Arial" w:cs="Arial" w:eastAsia="Arial" w:hAnsi="Arial"/>
          <w:sz w:val="19"/>
          <w:szCs w:val="19"/>
          <w:color w:val="auto"/>
        </w:rPr>
        <w:t>, as administrative agent for the Lenders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the Lenders party hereto (the “</w:t>
      </w:r>
      <w:r>
        <w:rPr>
          <w:rFonts w:ascii="Arial" w:cs="Arial" w:eastAsia="Arial" w:hAnsi="Arial"/>
          <w:sz w:val="19"/>
          <w:szCs w:val="19"/>
          <w:b w:val="1"/>
          <w:bCs w:val="1"/>
          <w:color w:val="auto"/>
        </w:rPr>
        <w:t>Forbearing Lenders</w:t>
      </w:r>
      <w:r>
        <w:rPr>
          <w:rFonts w:ascii="Arial" w:cs="Arial" w:eastAsia="Arial" w:hAnsi="Arial"/>
          <w:sz w:val="19"/>
          <w:szCs w:val="19"/>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November 17, 2017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 and</w:t>
      </w:r>
    </w:p>
    <w:p>
      <w:pPr>
        <w:spacing w:after="0" w:line="14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WHEREAS, subject to the terms and conditions set forth herein, the parties hereto wish to amend the Forbearance Agreement to, among other things, extend the Forbearance Termination Date.</w:t>
      </w:r>
    </w:p>
    <w:p>
      <w:pPr>
        <w:spacing w:after="0" w:line="136"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41" w:lineRule="auto"/>
        <w:tabs>
          <w:tab w:leader="none" w:pos="1803" w:val="left"/>
        </w:tabs>
        <w:numPr>
          <w:ilvl w:val="1"/>
          <w:numId w:val="18"/>
        </w:numPr>
        <w:rPr>
          <w:rFonts w:ascii="Arial" w:cs="Arial" w:eastAsia="Arial" w:hAnsi="Arial"/>
          <w:sz w:val="19"/>
          <w:szCs w:val="19"/>
          <w:color w:val="auto"/>
        </w:rPr>
      </w:pPr>
      <w:r>
        <w:rPr>
          <w:rFonts w:ascii="Arial" w:cs="Arial" w:eastAsia="Arial" w:hAnsi="Arial"/>
          <w:sz w:val="19"/>
          <w:szCs w:val="19"/>
          <w:color w:val="auto"/>
        </w:rPr>
        <w:t>Each Credit Party acknowledges and agrees that (i) each Acknowledged Event of Default is material in nature and constitutes an Event of Default under the Credit Agreement, and (ii) as a result of the occurrence of such Events of Default, the Forbearing Lenders will, subject to the Forbearance Agreement,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41" w:lineRule="exact"/>
        <w:rPr>
          <w:rFonts w:ascii="Arial" w:cs="Arial" w:eastAsia="Arial" w:hAnsi="Arial"/>
          <w:sz w:val="19"/>
          <w:szCs w:val="19"/>
          <w:color w:val="auto"/>
        </w:rPr>
      </w:pPr>
    </w:p>
    <w:p>
      <w:pPr>
        <w:ind w:firstLine="1304"/>
        <w:spacing w:after="0" w:line="246" w:lineRule="auto"/>
        <w:tabs>
          <w:tab w:leader="none" w:pos="1779" w:val="left"/>
        </w:tabs>
        <w:numPr>
          <w:ilvl w:val="1"/>
          <w:numId w:val="18"/>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14, 2020 at 11:59 p.m. New York time” therein with the phrase “June 30, 2020 at 11:59 p.m. New York time”.</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24" w:val="left"/>
        </w:tabs>
        <w:numPr>
          <w:ilvl w:val="1"/>
          <w:numId w:val="18"/>
        </w:numPr>
        <w:rPr>
          <w:rFonts w:ascii="Arial" w:cs="Arial" w:eastAsia="Arial" w:hAnsi="Arial"/>
          <w:sz w:val="20"/>
          <w:szCs w:val="20"/>
          <w:color w:val="auto"/>
        </w:rPr>
      </w:pPr>
      <w:r>
        <w:rPr>
          <w:rFonts w:ascii="Arial" w:cs="Arial" w:eastAsia="Arial" w:hAnsi="Arial"/>
          <w:sz w:val="20"/>
          <w:szCs w:val="20"/>
          <w:color w:val="auto"/>
        </w:rPr>
        <w:t>Section 2(d)(vi) of the Forbearance Agreement is hereby amended by inserting the phrase “other than the cash payment in full of overdue interest on the Existing Senior Notes in an amount not more than $4,400,000 on or before June 15, 2020” at the beginning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24" w:name="page25"/>
    <w:bookmarkEnd w:id="24"/>
    <w:p>
      <w:pPr>
        <w:ind w:firstLine="1304"/>
        <w:spacing w:after="0" w:line="246" w:lineRule="auto"/>
        <w:tabs>
          <w:tab w:leader="none" w:pos="1756" w:val="left"/>
        </w:tabs>
        <w:numPr>
          <w:ilvl w:val="1"/>
          <w:numId w:val="19"/>
        </w:numPr>
        <w:rPr>
          <w:rFonts w:ascii="Arial" w:cs="Arial" w:eastAsia="Arial" w:hAnsi="Arial"/>
          <w:sz w:val="20"/>
          <w:szCs w:val="20"/>
          <w:color w:val="auto"/>
        </w:rPr>
      </w:pPr>
      <w:r>
        <w:rPr>
          <w:rFonts w:ascii="Arial" w:cs="Arial" w:eastAsia="Arial" w:hAnsi="Arial"/>
          <w:sz w:val="20"/>
          <w:szCs w:val="20"/>
          <w:color w:val="auto"/>
        </w:rPr>
        <w:t>Section 2(d)(ix) of the Forbearance Agreement is hereby amended by replacing the phrase “$48,000,000” therein with the phrase “$40,000,000”.</w:t>
      </w:r>
    </w:p>
    <w:p>
      <w:pPr>
        <w:spacing w:after="0" w:line="136" w:lineRule="exact"/>
        <w:rPr>
          <w:rFonts w:ascii="Arial" w:cs="Arial" w:eastAsia="Arial" w:hAnsi="Arial"/>
          <w:sz w:val="20"/>
          <w:szCs w:val="20"/>
          <w:color w:val="auto"/>
        </w:rPr>
      </w:pPr>
    </w:p>
    <w:p>
      <w:pPr>
        <w:jc w:val="both"/>
        <w:ind w:firstLine="1304"/>
        <w:spacing w:after="0" w:line="230" w:lineRule="auto"/>
        <w:tabs>
          <w:tab w:leader="none" w:pos="1756" w:val="left"/>
        </w:tabs>
        <w:numPr>
          <w:ilvl w:val="1"/>
          <w:numId w:val="19"/>
        </w:numPr>
        <w:rPr>
          <w:rFonts w:ascii="Arial" w:cs="Arial" w:eastAsia="Arial" w:hAnsi="Arial"/>
          <w:sz w:val="20"/>
          <w:szCs w:val="20"/>
          <w:color w:val="auto"/>
        </w:rPr>
      </w:pPr>
      <w:r>
        <w:rPr>
          <w:rFonts w:ascii="Arial" w:cs="Arial" w:eastAsia="Arial" w:hAnsi="Arial"/>
          <w:sz w:val="20"/>
          <w:szCs w:val="20"/>
          <w:color w:val="auto"/>
        </w:rPr>
        <w:t>Section 2(d)(xi) of the Forbearance Agreement is hereby amended by replacing the phrase “and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(collectively, with Davis Polk, Evercore, Haynes and Boone, Cox Castle, Trimeric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Group</w:t>
      </w:r>
      <w:r>
        <w:rPr>
          <w:rFonts w:ascii="Arial" w:cs="Arial" w:eastAsia="Arial" w:hAnsi="Arial"/>
          <w:sz w:val="20"/>
          <w:szCs w:val="20"/>
          <w:color w:val="auto"/>
        </w:rPr>
        <w:t xml:space="preserve"> </w:t>
      </w:r>
      <w:r>
        <w:rPr>
          <w:rFonts w:ascii="Arial" w:cs="Arial" w:eastAsia="Arial" w:hAnsi="Arial"/>
          <w:sz w:val="20"/>
          <w:szCs w:val="20"/>
          <w:b w:val="1"/>
          <w:bCs w:val="1"/>
          <w:color w:val="auto"/>
        </w:rPr>
        <w:t>Advisors</w:t>
      </w:r>
      <w:r>
        <w:rPr>
          <w:rFonts w:ascii="Arial" w:cs="Arial" w:eastAsia="Arial" w:hAnsi="Arial"/>
          <w:sz w:val="20"/>
          <w:szCs w:val="20"/>
          <w:color w:val="auto"/>
        </w:rPr>
        <w:t>”)” with the phrase “,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Cornerstone Engineering, Inc. (“</w:t>
      </w:r>
      <w:r>
        <w:rPr>
          <w:rFonts w:ascii="Arial" w:cs="Arial" w:eastAsia="Arial" w:hAnsi="Arial"/>
          <w:sz w:val="20"/>
          <w:szCs w:val="20"/>
          <w:b w:val="1"/>
          <w:bCs w:val="1"/>
          <w:color w:val="auto"/>
        </w:rPr>
        <w:t>Cornerstone</w:t>
      </w:r>
      <w:r>
        <w:rPr>
          <w:rFonts w:ascii="Arial" w:cs="Arial" w:eastAsia="Arial" w:hAnsi="Arial"/>
          <w:sz w:val="20"/>
          <w:szCs w:val="20"/>
          <w:color w:val="auto"/>
        </w:rPr>
        <w:t>”), Rapp &amp; Krock, PC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Rapp &amp; Krock</w:t>
      </w:r>
      <w:r>
        <w:rPr>
          <w:rFonts w:ascii="Arial" w:cs="Arial" w:eastAsia="Arial" w:hAnsi="Arial"/>
          <w:sz w:val="20"/>
          <w:szCs w:val="20"/>
          <w:color w:val="auto"/>
        </w:rPr>
        <w:t>” and, collectively with Davis Polk, Evercore, Haynes and Boone, Cox Castle, Trimeric, Cornerstone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Group Advisors</w:t>
      </w:r>
      <w:r>
        <w:rPr>
          <w:rFonts w:ascii="Arial" w:cs="Arial" w:eastAsia="Arial" w:hAnsi="Arial"/>
          <w:sz w:val="20"/>
          <w:szCs w:val="20"/>
          <w:color w:val="auto"/>
        </w:rPr>
        <w:t>”)”.</w:t>
      </w:r>
    </w:p>
    <w:p>
      <w:pPr>
        <w:spacing w:after="0" w:line="144" w:lineRule="exact"/>
        <w:rPr>
          <w:rFonts w:ascii="Arial" w:cs="Arial" w:eastAsia="Arial" w:hAnsi="Arial"/>
          <w:sz w:val="20"/>
          <w:szCs w:val="20"/>
          <w:color w:val="auto"/>
        </w:rPr>
      </w:pPr>
    </w:p>
    <w:p>
      <w:pPr>
        <w:ind w:firstLine="656"/>
        <w:spacing w:after="0" w:line="246" w:lineRule="auto"/>
        <w:tabs>
          <w:tab w:leader="none" w:pos="1021"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46" w:lineRule="auto"/>
        <w:tabs>
          <w:tab w:leader="none" w:pos="1833"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46" w:lineRule="auto"/>
        <w:tabs>
          <w:tab w:leader="none" w:pos="1758"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w:t>
      </w:r>
    </w:p>
    <w:p>
      <w:pPr>
        <w:spacing w:after="0" w:line="142" w:lineRule="exact"/>
        <w:rPr>
          <w:rFonts w:ascii="Arial" w:cs="Arial" w:eastAsia="Arial" w:hAnsi="Arial"/>
          <w:sz w:val="20"/>
          <w:szCs w:val="20"/>
          <w:color w:val="auto"/>
        </w:rPr>
      </w:pPr>
    </w:p>
    <w:p>
      <w:pPr>
        <w:jc w:val="both"/>
        <w:ind w:firstLine="1304"/>
        <w:spacing w:after="0" w:line="246" w:lineRule="auto"/>
        <w:tabs>
          <w:tab w:leader="none" w:pos="1744"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Administrative Agent shall have received executed amendments to the First Lien First Out Forbearance Agreement and the 2016 Term Loan Forbearance Agreement, in each case in form and substance reasonably acceptable to the Administrative Agent and the Forbearing Lenders (and their respective advisors), which respective amendments shall provide for an extension of the “Forbearance Termination Date” thereunder to a date coterminous with the Forbearance Termination Date (as extended by this Agreement) and a reduction of the minimum aggregate book cash balances to $40,000,000.</w:t>
      </w:r>
    </w:p>
    <w:p>
      <w:pPr>
        <w:spacing w:after="0" w:line="135" w:lineRule="exact"/>
        <w:rPr>
          <w:rFonts w:ascii="Arial" w:cs="Arial" w:eastAsia="Arial" w:hAnsi="Arial"/>
          <w:sz w:val="19"/>
          <w:szCs w:val="19"/>
          <w:color w:val="auto"/>
        </w:rPr>
      </w:pPr>
    </w:p>
    <w:p>
      <w:pPr>
        <w:ind w:firstLine="656"/>
        <w:spacing w:after="0" w:line="246" w:lineRule="auto"/>
        <w:tabs>
          <w:tab w:leader="none" w:pos="1143"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38" w:lineRule="exact"/>
        <w:rPr>
          <w:rFonts w:ascii="Arial" w:cs="Arial" w:eastAsia="Arial" w:hAnsi="Arial"/>
          <w:sz w:val="19"/>
          <w:szCs w:val="19"/>
          <w:color w:val="auto"/>
        </w:rPr>
      </w:pPr>
    </w:p>
    <w:p>
      <w:pPr>
        <w:jc w:val="both"/>
        <w:ind w:firstLine="1304"/>
        <w:spacing w:after="0" w:line="237" w:lineRule="auto"/>
        <w:tabs>
          <w:tab w:leader="none" w:pos="1807"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 in accordance with its respective terms, except as enforceability may be limited by applicable bankruptcy,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30" w:right="339" w:bottom="1440" w:gutter="0" w:footer="0" w:header="0"/>
        </w:sectPr>
      </w:pPr>
    </w:p>
    <w:bookmarkStart w:id="25" w:name="page26"/>
    <w:bookmarkEnd w:id="25"/>
    <w:p>
      <w:pPr>
        <w:spacing w:after="0" w:line="246" w:lineRule="auto"/>
        <w:rPr>
          <w:sz w:val="20"/>
          <w:szCs w:val="20"/>
          <w:color w:val="auto"/>
        </w:rPr>
      </w:pPr>
      <w:r>
        <w:rPr>
          <w:rFonts w:ascii="Arial" w:cs="Arial" w:eastAsia="Arial" w:hAnsi="Arial"/>
          <w:sz w:val="20"/>
          <w:szCs w:val="20"/>
          <w:color w:val="auto"/>
        </w:rPr>
        <w:t>insolvency, fraudulent conveyance or similar Laws affecting the enforcement of creditors’ rights generally or by equitable principles relating to enforceability;</w:t>
      </w:r>
    </w:p>
    <w:p>
      <w:pPr>
        <w:spacing w:after="0" w:line="136" w:lineRule="exact"/>
        <w:rPr>
          <w:sz w:val="20"/>
          <w:szCs w:val="20"/>
          <w:color w:val="auto"/>
        </w:rPr>
      </w:pPr>
    </w:p>
    <w:p>
      <w:pPr>
        <w:jc w:val="both"/>
        <w:ind w:firstLine="1304"/>
        <w:spacing w:after="0" w:line="256"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7" w:lineRule="exact"/>
        <w:rPr>
          <w:rFonts w:ascii="Arial" w:cs="Arial" w:eastAsia="Arial" w:hAnsi="Arial"/>
          <w:sz w:val="18"/>
          <w:szCs w:val="18"/>
          <w:color w:val="auto"/>
        </w:rPr>
      </w:pPr>
    </w:p>
    <w:p>
      <w:pPr>
        <w:ind w:firstLine="1304"/>
        <w:spacing w:after="0" w:line="246" w:lineRule="auto"/>
        <w:tabs>
          <w:tab w:leader="none" w:pos="1803"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72" w:lineRule="auto"/>
        <w:tabs>
          <w:tab w:leader="none" w:pos="1742"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of the date hereof, other than the First Lien First Out Forbearance Agreement and the 2016 Term Loan Forbearance Agreement, no Third Party Forbearance Agreement (as defined below) exists between any Credit Party and any party;</w:t>
      </w:r>
    </w:p>
    <w:p>
      <w:pPr>
        <w:spacing w:after="0" w:line="112" w:lineRule="exact"/>
        <w:rPr>
          <w:rFonts w:ascii="Arial" w:cs="Arial" w:eastAsia="Arial" w:hAnsi="Arial"/>
          <w:sz w:val="19"/>
          <w:szCs w:val="19"/>
          <w:color w:val="auto"/>
        </w:rPr>
      </w:pPr>
    </w:p>
    <w:p>
      <w:pPr>
        <w:jc w:val="both"/>
        <w:ind w:firstLine="1304"/>
        <w:spacing w:after="0" w:line="267" w:lineRule="auto"/>
        <w:tabs>
          <w:tab w:leader="none" w:pos="16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18" w:lineRule="exact"/>
        <w:rPr>
          <w:rFonts w:ascii="Arial" w:cs="Arial" w:eastAsia="Arial" w:hAnsi="Arial"/>
          <w:sz w:val="18"/>
          <w:szCs w:val="18"/>
          <w:color w:val="auto"/>
        </w:rPr>
      </w:pPr>
    </w:p>
    <w:p>
      <w:pPr>
        <w:ind w:left="1740" w:hanging="436"/>
        <w:spacing w:after="0"/>
        <w:tabs>
          <w:tab w:leader="none" w:pos="1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since the Forbearance Effective Date, no Forbearance Termination Event has occurred.</w:t>
      </w:r>
    </w:p>
    <w:p>
      <w:pPr>
        <w:spacing w:after="0" w:line="161" w:lineRule="exact"/>
        <w:rPr>
          <w:rFonts w:ascii="Arial" w:cs="Arial" w:eastAsia="Arial" w:hAnsi="Arial"/>
          <w:sz w:val="20"/>
          <w:szCs w:val="20"/>
          <w:color w:val="auto"/>
        </w:rPr>
      </w:pPr>
    </w:p>
    <w:p>
      <w:pPr>
        <w:jc w:val="both"/>
        <w:ind w:firstLine="656"/>
        <w:spacing w:after="0"/>
        <w:tabs>
          <w:tab w:leader="none" w:pos="107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8" w:lineRule="exact"/>
        <w:rPr>
          <w:rFonts w:ascii="Arial" w:cs="Arial" w:eastAsia="Arial" w:hAnsi="Arial"/>
          <w:sz w:val="19"/>
          <w:szCs w:val="19"/>
          <w:color w:val="auto"/>
        </w:rPr>
      </w:pPr>
    </w:p>
    <w:p>
      <w:pPr>
        <w:ind w:right="20" w:firstLine="656"/>
        <w:spacing w:after="0" w:line="246" w:lineRule="auto"/>
        <w:tabs>
          <w:tab w:leader="none" w:pos="1021"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in separate counterparts, each of which when so executed shall be deemed to be an original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30" w:right="339" w:bottom="1440" w:gutter="0" w:footer="0" w:header="0"/>
        </w:sectPr>
      </w:pPr>
    </w:p>
    <w:bookmarkStart w:id="26" w:name="page27"/>
    <w:bookmarkEnd w:id="26"/>
    <w:p>
      <w:pPr>
        <w:jc w:val="both"/>
        <w:spacing w:after="0" w:line="237" w:lineRule="auto"/>
        <w:rPr>
          <w:sz w:val="20"/>
          <w:szCs w:val="20"/>
          <w:color w:val="auto"/>
        </w:rPr>
      </w:pPr>
      <w:r>
        <w:rPr>
          <w:rFonts w:ascii="Arial" w:cs="Arial" w:eastAsia="Arial" w:hAnsi="Arial"/>
          <w:sz w:val="20"/>
          <w:szCs w:val="20"/>
          <w:color w:val="auto"/>
        </w:rPr>
        <w:t>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36" w:lineRule="exact"/>
        <w:rPr>
          <w:sz w:val="20"/>
          <w:szCs w:val="20"/>
          <w:color w:val="auto"/>
        </w:rPr>
      </w:pPr>
    </w:p>
    <w:p>
      <w:pPr>
        <w:jc w:val="both"/>
        <w:ind w:firstLine="656"/>
        <w:spacing w:after="0" w:line="258" w:lineRule="auto"/>
        <w:tabs>
          <w:tab w:leader="none" w:pos="1089"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4" w:lineRule="exact"/>
        <w:rPr>
          <w:rFonts w:ascii="Arial" w:cs="Arial" w:eastAsia="Arial" w:hAnsi="Arial"/>
          <w:sz w:val="19"/>
          <w:szCs w:val="19"/>
          <w:color w:val="auto"/>
        </w:rPr>
      </w:pPr>
    </w:p>
    <w:p>
      <w:pPr>
        <w:jc w:val="both"/>
        <w:ind w:firstLine="656"/>
        <w:spacing w:after="0" w:line="234" w:lineRule="auto"/>
        <w:tabs>
          <w:tab w:leader="none" w:pos="103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17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56" w:lineRule="auto"/>
        <w:tabs>
          <w:tab w:leader="none" w:pos="103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32" w:lineRule="exact"/>
        <w:rPr>
          <w:rFonts w:ascii="Arial" w:cs="Arial" w:eastAsia="Arial" w:hAnsi="Arial"/>
          <w:sz w:val="18"/>
          <w:szCs w:val="18"/>
          <w:color w:val="auto"/>
        </w:rPr>
      </w:pPr>
    </w:p>
    <w:p>
      <w:pPr>
        <w:jc w:val="both"/>
        <w:ind w:firstLine="656"/>
        <w:spacing w:after="0" w:line="26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13 hereof, the Released Parties, shall have any rights hereunder or be entitled to rely on this Agreement and all third-party beneficiary rights (other than the rights of the Released Parties under Section 13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21" w:lineRule="exact"/>
        <w:rPr>
          <w:rFonts w:ascii="Arial" w:cs="Arial" w:eastAsia="Arial" w:hAnsi="Arial"/>
          <w:sz w:val="18"/>
          <w:szCs w:val="18"/>
          <w:color w:val="auto"/>
        </w:rPr>
      </w:pPr>
    </w:p>
    <w:p>
      <w:pPr>
        <w:jc w:val="both"/>
        <w:ind w:firstLine="656"/>
        <w:spacing w:after="0" w:line="275" w:lineRule="auto"/>
        <w:tabs>
          <w:tab w:leader="none" w:pos="110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30"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Collateral Documents to secure the Obligations and agrees that such security interests and Liens remain in full force and effect and are hereby ratified, reaffirmed and confirmed in all respects.</w:t>
      </w:r>
    </w:p>
    <w:p>
      <w:pPr>
        <w:spacing w:after="0" w:line="133" w:lineRule="exact"/>
        <w:rPr>
          <w:sz w:val="20"/>
          <w:szCs w:val="20"/>
          <w:color w:val="auto"/>
        </w:rPr>
      </w:pPr>
    </w:p>
    <w:p>
      <w:pPr>
        <w:jc w:val="both"/>
        <w:ind w:firstLine="656"/>
        <w:spacing w:after="0" w:line="253" w:lineRule="auto"/>
        <w:tabs>
          <w:tab w:leader="none" w:pos="116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13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13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[Signature Page to First Amendment to Forbearance Amendment (1.25L)]</w:t>
      </w:r>
    </w:p>
    <w:p>
      <w:pPr>
        <w:sectPr>
          <w:pgSz w:w="11900" w:h="16838" w:orient="portrait"/>
          <w:cols w:equalWidth="0" w:num="1">
            <w:col w:w="9479"/>
          </w:cols>
          <w:pgMar w:left="980" w:top="339" w:right="1440" w:bottom="1440" w:gutter="0" w:footer="0" w:header="0"/>
          <w:type w:val="continuous"/>
        </w:sectPr>
      </w:pPr>
    </w:p>
    <w:bookmarkStart w:id="29" w:name="page30"/>
    <w:bookmarkEnd w:id="29"/>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Forbearance Amendment (1.25L)]</w:t>
      </w:r>
    </w:p>
    <w:p>
      <w:pPr>
        <w:sectPr>
          <w:pgSz w:w="11900" w:h="16838" w:orient="portrait"/>
          <w:cols w:equalWidth="0" w:num="1">
            <w:col w:w="9019"/>
          </w:cols>
          <w:pgMar w:left="1440" w:top="495" w:right="1440" w:bottom="1440" w:gutter="0" w:footer="0" w:header="0"/>
        </w:sectPr>
      </w:pPr>
    </w:p>
    <w:bookmarkStart w:id="30" w:name="page31"/>
    <w:bookmarkEnd w:id="30"/>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First Amendment to Forbearance Amendment (1.25L)]</w:t>
      </w:r>
    </w:p>
    <w:p>
      <w:pPr>
        <w:sectPr>
          <w:pgSz w:w="11900" w:h="16838" w:orient="portrait"/>
          <w:cols w:equalWidth="0" w:num="1">
            <w:col w:w="9560"/>
          </w:cols>
          <w:pgMar w:left="1440" w:top="495" w:right="899" w:bottom="1440" w:gutter="0" w:footer="0" w:header="0"/>
        </w:sectPr>
      </w:pPr>
    </w:p>
    <w:bookmarkStart w:id="31" w:name="page32"/>
    <w:bookmarkEnd w:id="31"/>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Forbearance Amendment (1.25L)]</w:t>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lvl w:ilvl="1">
      <w:lvlJc w:val="left"/>
      <w:lvlText w:val="(%2)"/>
      <w:numFmt w:val="lowerLetter"/>
      <w:start w:val="1"/>
    </w:lvl>
  </w:abstractNum>
  <w:abstractNum w:abstractNumId="4">
    <w:nsid w:val="7FDCC233"/>
    <w:multiLevelType w:val="hybridMultilevel"/>
    <w:lvl w:ilvl="0">
      <w:lvlJc w:val="left"/>
      <w:lvlText w:val="%1"/>
      <w:numFmt w:val="decimal"/>
      <w:start w:val="1"/>
    </w:lvl>
    <w:lvl w:ilvl="1">
      <w:lvlJc w:val="left"/>
      <w:lvlText w:val="(%2)"/>
      <w:numFmt w:val="lowerLetter"/>
      <w:start w:val="4"/>
    </w:lvl>
  </w:abstractNum>
  <w:abstractNum w:abstractNumId="5">
    <w:nsid w:val="1BEFD79F"/>
    <w:multiLevelType w:val="hybridMultilevel"/>
    <w:lvl w:ilvl="0">
      <w:lvlJc w:val="left"/>
      <w:lvlText w:val="%1."/>
      <w:numFmt w:val="decimal"/>
      <w:start w:val="2"/>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4"/>
    </w:lvl>
  </w:abstractNum>
  <w:abstractNum w:abstractNumId="7">
    <w:nsid w:val="6B68079A"/>
    <w:multiLevelType w:val="hybridMultilevel"/>
    <w:lvl w:ilvl="0">
      <w:lvlJc w:val="left"/>
      <w:lvlText w:val="%1."/>
      <w:numFmt w:val="decimal"/>
      <w:start w:val="4"/>
    </w:lvl>
    <w:lvl w:ilvl="1">
      <w:lvlJc w:val="left"/>
      <w:lvlText w:val="%2"/>
      <w:numFmt w:val="lowerLetter"/>
      <w:start w:val="1"/>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13"/>
    </w:lvl>
  </w:abstractNum>
  <w:abstractNum w:abstractNumId="10">
    <w:nsid w:val="519B500D"/>
    <w:multiLevelType w:val="hybridMultilevel"/>
    <w:lvl w:ilvl="0">
      <w:lvlJc w:val="left"/>
      <w:lvlText w:val="%1."/>
      <w:numFmt w:val="decimal"/>
      <w:start w:val="1"/>
    </w:lvl>
    <w:lvl w:ilvl="1">
      <w:lvlJc w:val="left"/>
      <w:lvlText w:val="(%2)"/>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Letter"/>
      <w:start w:val="4"/>
    </w:lvl>
  </w:abstractNum>
  <w:abstractNum w:abstractNumId="12">
    <w:nsid w:val="3F2DBA31"/>
    <w:multiLevelType w:val="hybridMultilevel"/>
    <w:lvl w:ilvl="0">
      <w:lvlJc w:val="left"/>
      <w:lvlText w:val="%1."/>
      <w:numFmt w:val="decimal"/>
      <w:start w:val="2"/>
    </w:lvl>
    <w:lvl w:ilvl="1">
      <w:lvlJc w:val="left"/>
      <w:lvlText w:val="(%2)"/>
      <w:numFmt w:val="lowerLetter"/>
      <w:start w:val="1"/>
    </w:lvl>
  </w:abstractNum>
  <w:abstractNum w:abstractNumId="13">
    <w:nsid w:val="7C83E458"/>
    <w:multiLevelType w:val="hybridMultilevel"/>
    <w:lvl w:ilvl="0">
      <w:lvlJc w:val="left"/>
      <w:lvlText w:val="%1"/>
      <w:numFmt w:val="decimal"/>
      <w:start w:val="1"/>
    </w:lvl>
    <w:lvl w:ilvl="1">
      <w:lvlJc w:val="left"/>
      <w:lvlText w:val="(%2)"/>
      <w:numFmt w:val="lowerLetter"/>
      <w:start w:val="3"/>
    </w:lvl>
  </w:abstractNum>
  <w:abstractNum w:abstractNumId="14">
    <w:nsid w:val="257130A3"/>
    <w:multiLevelType w:val="hybridMultilevel"/>
    <w:lvl w:ilvl="0">
      <w:lvlJc w:val="left"/>
      <w:lvlText w:val="%1."/>
      <w:numFmt w:val="decimal"/>
      <w:start w:val="4"/>
    </w:lvl>
    <w:lvl w:ilvl="1">
      <w:lvlJc w:val="left"/>
      <w:lvlText w:val="%2"/>
      <w:numFmt w:val="lowerLetter"/>
      <w:start w:val="1"/>
    </w:lvl>
  </w:abstractNum>
  <w:abstractNum w:abstractNumId="15">
    <w:nsid w:val="62BBD95A"/>
    <w:multiLevelType w:val="hybridMultilevel"/>
    <w:lvl w:ilvl="0">
      <w:lvlJc w:val="left"/>
      <w:lvlText w:val="%1."/>
      <w:numFmt w:val="decimal"/>
      <w:start w:val="5"/>
    </w:lvl>
  </w:abstractNum>
  <w:abstractNum w:abstractNumId="16">
    <w:nsid w:val="436C6125"/>
    <w:multiLevelType w:val="hybridMultilevel"/>
    <w:lvl w:ilvl="0">
      <w:lvlJc w:val="left"/>
      <w:lvlText w:val="%1."/>
      <w:numFmt w:val="decimal"/>
      <w:start w:val="12"/>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4"/>
    </w:lvl>
  </w:abstractNum>
  <w:abstractNum w:abstractNumId="19">
    <w:nsid w:val="721DA317"/>
    <w:multiLevelType w:val="hybridMultilevel"/>
    <w:lvl w:ilvl="0">
      <w:lvlJc w:val="left"/>
      <w:lvlText w:val="%1."/>
      <w:numFmt w:val="decimal"/>
      <w:start w:val="2"/>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3"/>
    </w:lvl>
  </w:abstractNum>
  <w:abstractNum w:abstractNumId="21">
    <w:nsid w:val="2D1D5AE9"/>
    <w:multiLevelType w:val="hybridMultilevel"/>
    <w:lvl w:ilvl="0">
      <w:lvlJc w:val="left"/>
      <w:lvlText w:val="%1."/>
      <w:numFmt w:val="decimal"/>
      <w:start w:val="4"/>
    </w:lvl>
    <w:lvl w:ilvl="1">
      <w:lvlJc w:val="left"/>
      <w:lvlText w:val="%2"/>
      <w:numFmt w:val="lowerLetter"/>
      <w:start w:val="1"/>
    </w:lvl>
  </w:abstractNum>
  <w:abstractNum w:abstractNumId="22">
    <w:nsid w:val="6763845E"/>
    <w:multiLevelType w:val="hybridMultilevel"/>
    <w:lvl w:ilvl="0">
      <w:lvlJc w:val="left"/>
      <w:lvlText w:val="%1."/>
      <w:numFmt w:val="decimal"/>
      <w:start w:val="6"/>
    </w:lvl>
  </w:abstractNum>
  <w:abstractNum w:abstractNumId="23">
    <w:nsid w:val="75A2A8D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2020-06-15T07:08:57Z</dcterms:created>
  <dcterms:modified xsi:type="dcterms:W3CDTF">2020-06-15T07:08:57Z</dcterms:modified>
</cp:coreProperties>
</file>