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9"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71"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February 24, 2023</w:t>
      </w:r>
    </w:p>
    <w:p>
      <w:pPr>
        <w:spacing w:after="0" w:line="187"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California Resources Corporation</w:t>
      </w:r>
    </w:p>
    <w:p>
      <w:pPr>
        <w:spacing w:after="0" w:line="4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00"/>
          </w:cols>
          <w:pgMar w:left="320" w:top="1413" w:right="479" w:bottom="1440" w:gutter="0" w:footer="0" w:header="0"/>
        </w:sectPr>
      </w:pPr>
    </w:p>
    <w:p>
      <w:pPr>
        <w:spacing w:after="0" w:line="115"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9"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001-36478</w:t>
      </w:r>
    </w:p>
    <w:p>
      <w:pPr>
        <w:spacing w:after="0" w:line="2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(Commission</w:t>
      </w:r>
    </w:p>
    <w:p>
      <w:pPr>
        <w:jc w:val="center"/>
        <w:ind w:right="188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46-5670947</w:t>
      </w:r>
    </w:p>
    <w:p>
      <w:pPr>
        <w:spacing w:after="0" w:line="29"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04" w:lineRule="exact"/>
        <w:rPr>
          <w:sz w:val="24"/>
          <w:szCs w:val="24"/>
          <w:color w:val="auto"/>
        </w:rPr>
      </w:pPr>
    </w:p>
    <w:p>
      <w:pPr>
        <w:sectPr>
          <w:pgSz w:w="11900" w:h="16838" w:orient="portrait"/>
          <w:cols w:equalWidth="0" w:num="3">
            <w:col w:w="4380" w:space="720"/>
            <w:col w:w="2860" w:space="720"/>
            <w:col w:w="2420"/>
          </w:cols>
          <w:pgMar w:left="320" w:top="1413" w:right="479" w:bottom="1440" w:gutter="0" w:footer="0" w:header="0"/>
          <w:type w:val="continuous"/>
        </w:sect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1 World Trade Center</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Suite 1500</w:t>
      </w:r>
    </w:p>
    <w:p>
      <w:pPr>
        <w:spacing w:after="0" w:line="2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Long Beach</w:t>
      </w:r>
    </w:p>
    <w:p>
      <w:pPr>
        <w:spacing w:after="0" w:line="2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8"/>
          <w:szCs w:val="18"/>
          <w:b w:val="1"/>
          <w:bCs w:val="1"/>
          <w:color w:val="auto"/>
        </w:rPr>
        <w:t>90831</w:t>
      </w:r>
    </w:p>
    <w:p>
      <w:pPr>
        <w:spacing w:after="0" w:line="31"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color w:val="auto"/>
        </w:rPr>
        <w:t>(Zip Code)</w:t>
      </w:r>
    </w:p>
    <w:p>
      <w:pPr>
        <w:spacing w:after="0" w:line="173" w:lineRule="exact"/>
        <w:rPr>
          <w:sz w:val="24"/>
          <w:szCs w:val="24"/>
          <w:color w:val="auto"/>
        </w:rPr>
      </w:pPr>
    </w:p>
    <w:p>
      <w:pPr>
        <w:sectPr>
          <w:pgSz w:w="11900" w:h="16838" w:orient="portrait"/>
          <w:cols w:equalWidth="0" w:num="2">
            <w:col w:w="7300" w:space="720"/>
            <w:col w:w="3080"/>
          </w:cols>
          <w:pgMar w:left="320" w:top="1413" w:right="47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7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27200 Tourney Road, Suite 200, Santa Clarita, California 91355</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53"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0"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26"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0"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00"/>
          </w:cols>
          <w:pgMar w:left="320" w:top="1413" w:right="479" w:bottom="1440" w:gutter="0" w:footer="0" w:header="0"/>
          <w:type w:val="continuous"/>
        </w:sectPr>
      </w:pPr>
    </w:p>
    <w:p>
      <w:pPr>
        <w:spacing w:after="0" w:line="12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CRC</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66" w:lineRule="exact"/>
        <w:rPr>
          <w:sz w:val="24"/>
          <w:szCs w:val="24"/>
          <w:color w:val="auto"/>
        </w:rPr>
      </w:pPr>
    </w:p>
    <w:p>
      <w:pPr>
        <w:sectPr>
          <w:pgSz w:w="11900" w:h="16838" w:orient="portrait"/>
          <w:cols w:equalWidth="0" w:num="3">
            <w:col w:w="3480" w:space="720"/>
            <w:col w:w="2260" w:space="720"/>
            <w:col w:w="3920"/>
          </w:cols>
          <w:pgMar w:left="320" w:top="1413" w:right="47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2"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22" w:lineRule="exact"/>
        <w:rPr>
          <w:sz w:val="24"/>
          <w:szCs w:val="24"/>
          <w:color w:val="auto"/>
        </w:rPr>
      </w:pPr>
    </w:p>
    <w:p>
      <w:pPr>
        <w:ind w:right="20"/>
        <w:spacing w:after="0" w:line="24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777240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413" w:right="479" w:bottom="1440" w:gutter="0" w:footer="0" w:header="0"/>
          <w:type w:val="continuous"/>
        </w:sectPr>
      </w:pPr>
    </w:p>
    <w:bookmarkStart w:id="1" w:name="page2"/>
    <w:bookmarkEnd w:id="1"/>
    <w:p>
      <w:pPr>
        <w:spacing w:after="0" w:line="3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February 24, 2023, California Resources Corporation (the “Company”) issued a press release announcing its financial condition and results of operations for the three and twelve months ended December 31, 2022. A copy of the press release is furnished as Exhibit 99.1 to this report on Form 8-K, and is incorporated herein by reference.</w:t>
      </w:r>
    </w:p>
    <w:p>
      <w:pPr>
        <w:spacing w:after="0" w:line="30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February 24, 2023, the Company issued a press release announcing changes to its management team and certain other information. A copy of the press release is furnished as Exhibit 99.2 to this report on Form 8-K, and is incorporated herein by reference.</w:t>
      </w:r>
    </w:p>
    <w:p>
      <w:pPr>
        <w:spacing w:after="0" w:line="29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18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report and the exhibits hereto shall not be deemed to be “filed” for purposes of Section 18 of the Securities Exchange Act of 1934, as amended, (the “Exchange Act”), and shall not be incorporated by reference into any filings made by the Company under the Securities Act of 1933, as amended (the “Securities Act”), or the Exchange Act, except as may be expressly set forth by specific reference in such filing.</w:t>
      </w:r>
    </w:p>
    <w:p>
      <w:pPr>
        <w:spacing w:after="0" w:line="14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Statements contained in the exhibits to this report that state the Company’s or its management’s expectations or predictions of the future are forward-looking statements intended to be covered by the safe harbor provisions of the Securities Act and the Exchange Act. It is important to note that the Company’s actual results could differ materially from those projected in such forward-looking statements. Factors that could affect these results include those mentioned in the documents that the Company has filed with the Securities and Exchange Commission (the “SEC”).</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undertakes no duty or obligation to publicly update or revise the information contained in this report, although the Company may do so from time to time as management believes is warranted. Any such updating may be made through the filing of other reports or documents with the SEC, through press releases or through other public disclosure including disclosure in the Investor Relations portion of the Company’s website.</w:t>
      </w:r>
    </w:p>
    <w:p>
      <w:pPr>
        <w:spacing w:after="0" w:line="32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78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378"/>
        </w:trPr>
        <w:tc>
          <w:tcPr>
            <w:tcW w:w="2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780" w:type="dxa"/>
            <w:vAlign w:val="bottom"/>
          </w:tcPr>
          <w:p>
            <w:pPr>
              <w:spacing w:after="0"/>
              <w:rPr>
                <w:sz w:val="24"/>
                <w:szCs w:val="24"/>
                <w:color w:val="auto"/>
              </w:rPr>
            </w:pPr>
          </w:p>
        </w:tc>
        <w:tc>
          <w:tcPr>
            <w:tcW w:w="218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r>
      <w:tr>
        <w:trPr>
          <w:trHeight w:val="229"/>
        </w:trPr>
        <w:tc>
          <w:tcPr>
            <w:tcW w:w="21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99.1</w:t>
            </w:r>
          </w:p>
        </w:tc>
        <w:tc>
          <w:tcPr>
            <w:tcW w:w="27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February 24, 2023.</w:t>
            </w:r>
          </w:p>
        </w:tc>
        <w:tc>
          <w:tcPr>
            <w:tcW w:w="2180" w:type="dxa"/>
            <w:vAlign w:val="bottom"/>
          </w:tcPr>
          <w:p>
            <w:pPr>
              <w:spacing w:after="0"/>
              <w:rPr>
                <w:sz w:val="19"/>
                <w:szCs w:val="19"/>
                <w:color w:val="auto"/>
              </w:rPr>
            </w:pPr>
          </w:p>
        </w:tc>
      </w:tr>
      <w:tr>
        <w:trPr>
          <w:trHeight w:val="250"/>
        </w:trPr>
        <w:tc>
          <w:tcPr>
            <w:tcW w:w="21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99.2</w:t>
            </w:r>
          </w:p>
        </w:tc>
        <w:tc>
          <w:tcPr>
            <w:tcW w:w="27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February 24, 2023.</w:t>
            </w:r>
          </w:p>
        </w:tc>
        <w:tc>
          <w:tcPr>
            <w:tcW w:w="2180" w:type="dxa"/>
            <w:vAlign w:val="bottom"/>
          </w:tcPr>
          <w:p>
            <w:pPr>
              <w:spacing w:after="0"/>
              <w:rPr>
                <w:sz w:val="21"/>
                <w:szCs w:val="21"/>
                <w:color w:val="auto"/>
              </w:rPr>
            </w:pPr>
          </w:p>
        </w:tc>
      </w:tr>
    </w:tbl>
    <w:p>
      <w:pPr>
        <w:spacing w:after="0" w:line="63" w:lineRule="exact"/>
        <w:rPr>
          <w:sz w:val="20"/>
          <w:szCs w:val="20"/>
          <w:color w:val="auto"/>
        </w:rPr>
      </w:pPr>
    </w:p>
    <w:p>
      <w:pPr>
        <w:ind w:left="2180" w:hanging="1349"/>
        <w:spacing w:after="0"/>
        <w:tabs>
          <w:tab w:leader="none" w:pos="2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0"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 Michael L. Preston</w:t>
      </w:r>
    </w:p>
    <w:p>
      <w:pPr>
        <w:spacing w:after="0" w:line="27" w:lineRule="exact"/>
        <w:rPr>
          <w:sz w:val="20"/>
          <w:szCs w:val="20"/>
          <w:color w:val="auto"/>
        </w:rPr>
      </w:pPr>
    </w:p>
    <w:tbl>
      <w:tblPr>
        <w:tblLayout w:type="fixed"/>
        <w:tblInd w:w="4800" w:type="dxa"/>
        <w:tblCellMar>
          <w:top w:w="0" w:type="dxa"/>
          <w:left w:w="0" w:type="dxa"/>
          <w:bottom w:w="0" w:type="dxa"/>
          <w:right w:w="0" w:type="dxa"/>
        </w:tblCellMar>
      </w:tblPr>
      <w:tr>
        <w:trPr>
          <w:trHeight w:val="218"/>
        </w:trPr>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Michael L. Preston</w:t>
            </w:r>
          </w:p>
        </w:tc>
      </w:tr>
      <w:tr>
        <w:trPr>
          <w:trHeight w:val="248"/>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Chief Strategy Officer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24, 2023</w:t>
      </w:r>
    </w:p>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523240</wp:posOffset>
            </wp:positionV>
            <wp:extent cx="1645920" cy="4800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592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NEWS RELEASE</w:t>
      </w:r>
    </w:p>
    <w:p>
      <w:pPr>
        <w:spacing w:after="0" w:line="247" w:lineRule="exact"/>
        <w:rPr>
          <w:sz w:val="20"/>
          <w:szCs w:val="20"/>
          <w:color w:val="auto"/>
        </w:rPr>
      </w:pPr>
    </w:p>
    <w:p>
      <w:pPr>
        <w:jc w:val="center"/>
        <w:spacing w:after="0" w:line="264" w:lineRule="auto"/>
        <w:rPr>
          <w:sz w:val="20"/>
          <w:szCs w:val="20"/>
          <w:color w:val="auto"/>
        </w:rPr>
      </w:pPr>
      <w:r>
        <w:rPr>
          <w:rFonts w:ascii="Arial" w:cs="Arial" w:eastAsia="Arial" w:hAnsi="Arial"/>
          <w:sz w:val="22"/>
          <w:szCs w:val="22"/>
          <w:b w:val="1"/>
          <w:bCs w:val="1"/>
          <w:u w:val="single" w:color="auto"/>
          <w:color w:val="auto"/>
        </w:rPr>
        <w:t>California Resources Corporation Generates Record $690 Million of Operating Cash Flow and $311 Million of Free Cash Flow in 2022, Raises its Share Repurchase Program by Nearly 30% to $1.1 Billion and Meaningfully Advances its Carbon Management Business</w:t>
      </w:r>
    </w:p>
    <w:p>
      <w:pPr>
        <w:spacing w:after="0" w:line="200" w:lineRule="exact"/>
        <w:rPr>
          <w:sz w:val="20"/>
          <w:szCs w:val="20"/>
          <w:color w:val="auto"/>
        </w:rPr>
      </w:pPr>
    </w:p>
    <w:p>
      <w:pPr>
        <w:spacing w:after="0" w:line="209"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2"/>
          <w:szCs w:val="22"/>
          <w:color w:val="auto"/>
        </w:rPr>
        <w:t>Long Beach, February 24, 2023 - California Resources Corporation (NYSE: CRC), an independent oil and natural gas company committed to energy transition in the sector, today reported fourth quarter and full year 2022 operational and financial results.</w:t>
      </w:r>
    </w:p>
    <w:p>
      <w:pPr>
        <w:spacing w:after="0" w:line="197"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"CRC continued to deliver as we closed out 2022 with record operating cash flow which allowed us to return $372 million to shareholders. Given our positive outlook on 2023 free cash flow generation, we are increasing our Share Repurchase Program to $1.1 billion, a $250 million or nearly 30% increase, with approximately $640 million remaining on our authorization as of December 31, 2022 after taking into account this increase. Our 2023 development plans will utilize current permits in-hand and focus on workovers and maintenance opportunities to maximize cash flow per share," said Mac McFarland, CRC’s President and Chief Executive Officer.</w:t>
      </w:r>
    </w:p>
    <w:p>
      <w:pPr>
        <w:spacing w:after="0" w:line="209"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21"/>
          <w:szCs w:val="21"/>
          <w:color w:val="auto"/>
        </w:rPr>
        <w:t>"We continued to build off the momentum we generated throughout the year. In late 2022 and the start of 2023, our Carbon Management Business signed two carbon dioxide management agreements (CDMAs) to sequester 470,000 metric tons (MT) of carbon dioxide (CO</w:t>
      </w:r>
      <w:r>
        <w:rPr>
          <w:rFonts w:ascii="Arial" w:cs="Arial" w:eastAsia="Arial" w:hAnsi="Arial"/>
          <w:sz w:val="27"/>
          <w:szCs w:val="27"/>
          <w:color w:val="auto"/>
          <w:vertAlign w:val="subscript"/>
        </w:rPr>
        <w:t>2</w:t>
      </w:r>
      <w:r>
        <w:rPr>
          <w:rFonts w:ascii="Arial" w:cs="Arial" w:eastAsia="Arial" w:hAnsi="Arial"/>
          <w:sz w:val="21"/>
          <w:szCs w:val="21"/>
          <w:color w:val="auto"/>
        </w:rPr>
        <w:t>). Further, we announced the formation of a consortium of organizations across industry, technology, academia, national labs, community, government, and labor to create the California Direct Air Capture (DAC) Hub, reinforcing our dedication and commitment to California’s energy transition. For the balance of 2023, we will continue developing our Carbon Management Business, while making strides in our CalCapture project, filing additional Class VI permits with the EPA and advancing numerous additional CDMAs."</w:t>
      </w:r>
    </w:p>
    <w:p>
      <w:pPr>
        <w:spacing w:after="0" w:line="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Annual Highlights</w:t>
      </w:r>
    </w:p>
    <w:p>
      <w:pPr>
        <w:spacing w:after="0" w:line="227" w:lineRule="exact"/>
        <w:rPr>
          <w:sz w:val="20"/>
          <w:szCs w:val="20"/>
          <w:color w:val="auto"/>
        </w:rPr>
      </w:pPr>
    </w:p>
    <w:p>
      <w:pPr>
        <w:jc w:val="both"/>
        <w:ind w:left="340" w:hanging="211"/>
        <w:spacing w:after="0" w:line="232"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22"/>
          <w:szCs w:val="22"/>
          <w:color w:val="auto"/>
        </w:rPr>
        <w:t>Reported net income attributable to common stock of $524 million, or $6.75 per diluted share. When adjusted for items analysts typically exclude from estimates including noncash mark to market gains and gains on asset divestitures, the Company’s adjusted net income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was $384 million, or $4.95 per diluted share</w:t>
      </w:r>
    </w:p>
    <w:p>
      <w:pPr>
        <w:spacing w:after="0" w:line="2" w:lineRule="exact"/>
        <w:rPr>
          <w:rFonts w:ascii="Arial" w:cs="Arial" w:eastAsia="Arial" w:hAnsi="Arial"/>
          <w:sz w:val="22"/>
          <w:szCs w:val="22"/>
          <w:color w:val="auto"/>
        </w:rPr>
      </w:pPr>
    </w:p>
    <w:p>
      <w:pPr>
        <w:ind w:left="340" w:right="20" w:hanging="211"/>
        <w:spacing w:after="0" w:line="191"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22"/>
          <w:szCs w:val="22"/>
          <w:color w:val="auto"/>
        </w:rPr>
        <w:t>Generated operating cash flow of $690 million, adjusted EBITDAX</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$852 million, free cash flow</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$311 million, and E&amp;P, Corporate and Other Free Cash Flow</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$362 million in 2022</w:t>
      </w:r>
    </w:p>
    <w:p>
      <w:pPr>
        <w:ind w:left="340" w:hanging="211"/>
        <w:spacing w:after="0" w:line="246"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22"/>
          <w:szCs w:val="22"/>
          <w:color w:val="auto"/>
        </w:rPr>
        <w:t>Returned $372 million to shareholders in 2022, $59 million in dividends and $313 million through the Share Repurchase Program, while maintaining a strong cash balance of $307 million</w:t>
      </w:r>
    </w:p>
    <w:p>
      <w:pPr>
        <w:spacing w:after="0" w:line="1" w:lineRule="exact"/>
        <w:rPr>
          <w:rFonts w:ascii="Arial" w:cs="Arial" w:eastAsia="Arial" w:hAnsi="Arial"/>
          <w:sz w:val="22"/>
          <w:szCs w:val="22"/>
          <w:color w:val="auto"/>
        </w:rPr>
      </w:pPr>
    </w:p>
    <w:p>
      <w:pPr>
        <w:ind w:left="340" w:hanging="211"/>
        <w:spacing w:after="0" w:line="246"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22"/>
          <w:szCs w:val="22"/>
          <w:color w:val="auto"/>
        </w:rPr>
        <w:t>Produced an average of 55,000 barrels of oil per day throughout the year, with total drilling and completions and workover capital expenditures of $278 million in 2022</w:t>
      </w:r>
    </w:p>
    <w:p>
      <w:pPr>
        <w:ind w:left="340" w:hanging="211"/>
        <w:spacing w:after="0" w:line="243"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22"/>
          <w:szCs w:val="22"/>
          <w:color w:val="auto"/>
        </w:rPr>
        <w:t>Increased the Share Repurchase Program by $250 million to $1.1 billion, extended the program term through June 30, 2024, and repurchased ~14% of the Company's common stock since program inception</w:t>
      </w:r>
    </w:p>
    <w:p>
      <w:pPr>
        <w:ind w:left="320" w:hanging="191"/>
        <w:spacing w:after="0"/>
        <w:tabs>
          <w:tab w:leader="none" w:pos="320" w:val="left"/>
        </w:tabs>
        <w:numPr>
          <w:ilvl w:val="0"/>
          <w:numId w:val="3"/>
        </w:numPr>
        <w:rPr>
          <w:rFonts w:ascii="Arial" w:cs="Arial" w:eastAsia="Arial" w:hAnsi="Arial"/>
          <w:sz w:val="22"/>
          <w:szCs w:val="22"/>
          <w:color w:val="auto"/>
        </w:rPr>
      </w:pPr>
      <w:r>
        <w:rPr>
          <w:rFonts w:ascii="Arial" w:cs="Arial" w:eastAsia="Arial" w:hAnsi="Arial"/>
          <w:sz w:val="22"/>
          <w:szCs w:val="22"/>
          <w:color w:val="auto"/>
        </w:rPr>
        <w:t>Advanced the Carbon Management Business in California on several fronts: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240"/>
          </w:cols>
          <w:pgMar w:left="320" w:top="122" w:right="339" w:bottom="1440" w:gutter="0" w:footer="0" w:header="0"/>
        </w:sectPr>
      </w:pPr>
    </w:p>
    <w:bookmarkStart w:id="4" w:name="page5"/>
    <w:bookmarkEnd w:id="4"/>
    <w:p>
      <w:pPr>
        <w:ind w:left="980" w:hanging="203"/>
        <w:spacing w:after="0"/>
        <w:tabs>
          <w:tab w:leader="none" w:pos="980" w:val="left"/>
        </w:tabs>
        <w:numPr>
          <w:ilvl w:val="1"/>
          <w:numId w:val="4"/>
        </w:numPr>
        <w:rPr>
          <w:rFonts w:ascii="Arial" w:cs="Arial" w:eastAsia="Arial" w:hAnsi="Arial"/>
          <w:sz w:val="22"/>
          <w:szCs w:val="22"/>
          <w:color w:val="auto"/>
        </w:rPr>
      </w:pPr>
      <w:r>
        <w:rPr>
          <w:rFonts w:ascii="Arial" w:cs="Arial" w:eastAsia="Arial" w:hAnsi="Arial"/>
          <w:sz w:val="22"/>
          <w:szCs w:val="22"/>
          <w:color w:val="auto"/>
        </w:rPr>
        <w:t>Formed a joint venture with Brookfield Renewables,</w:t>
      </w:r>
    </w:p>
    <w:p>
      <w:pPr>
        <w:spacing w:after="0" w:line="10" w:lineRule="exact"/>
        <w:rPr>
          <w:rFonts w:ascii="Arial" w:cs="Arial" w:eastAsia="Arial" w:hAnsi="Arial"/>
          <w:sz w:val="22"/>
          <w:szCs w:val="22"/>
          <w:color w:val="auto"/>
        </w:rPr>
      </w:pPr>
    </w:p>
    <w:p>
      <w:pPr>
        <w:ind w:left="980" w:hanging="203"/>
        <w:spacing w:after="0" w:line="181" w:lineRule="auto"/>
        <w:tabs>
          <w:tab w:leader="none" w:pos="980" w:val="left"/>
        </w:tabs>
        <w:numPr>
          <w:ilvl w:val="1"/>
          <w:numId w:val="4"/>
        </w:numPr>
        <w:rPr>
          <w:rFonts w:ascii="Arial" w:cs="Arial" w:eastAsia="Arial" w:hAnsi="Arial"/>
          <w:sz w:val="22"/>
          <w:szCs w:val="22"/>
          <w:color w:val="auto"/>
        </w:rPr>
      </w:pPr>
      <w:r>
        <w:rPr>
          <w:rFonts w:ascii="Arial" w:cs="Arial" w:eastAsia="Arial" w:hAnsi="Arial"/>
          <w:sz w:val="22"/>
          <w:szCs w:val="22"/>
          <w:color w:val="auto"/>
        </w:rPr>
        <w:t>Submitted Class VI permits to EPA for an additional 94 MMT of CO</w:t>
      </w:r>
      <w:r>
        <w:rPr>
          <w:rFonts w:ascii="Arial" w:cs="Arial" w:eastAsia="Arial" w:hAnsi="Arial"/>
          <w:sz w:val="28"/>
          <w:szCs w:val="28"/>
          <w:color w:val="auto"/>
          <w:vertAlign w:val="subscript"/>
        </w:rPr>
        <w:t>2</w:t>
      </w:r>
      <w:r>
        <w:rPr>
          <w:rFonts w:ascii="Arial" w:cs="Arial" w:eastAsia="Arial" w:hAnsi="Arial"/>
          <w:sz w:val="22"/>
          <w:szCs w:val="22"/>
          <w:color w:val="auto"/>
        </w:rPr>
        <w:t xml:space="preserve"> reservoirs,</w:t>
      </w:r>
    </w:p>
    <w:p>
      <w:pPr>
        <w:ind w:left="980" w:hanging="203"/>
        <w:spacing w:after="0" w:line="230" w:lineRule="auto"/>
        <w:tabs>
          <w:tab w:leader="none" w:pos="980" w:val="left"/>
        </w:tabs>
        <w:numPr>
          <w:ilvl w:val="1"/>
          <w:numId w:val="4"/>
        </w:numPr>
        <w:rPr>
          <w:rFonts w:ascii="Arial" w:cs="Arial" w:eastAsia="Arial" w:hAnsi="Arial"/>
          <w:sz w:val="22"/>
          <w:szCs w:val="22"/>
          <w:color w:val="auto"/>
        </w:rPr>
      </w:pPr>
      <w:r>
        <w:rPr>
          <w:rFonts w:ascii="Arial" w:cs="Arial" w:eastAsia="Arial" w:hAnsi="Arial"/>
          <w:sz w:val="22"/>
          <w:szCs w:val="22"/>
          <w:color w:val="auto"/>
        </w:rPr>
        <w:t>Executed two CDMAs to sequester 470,000 MT of CO</w:t>
      </w:r>
      <w:r>
        <w:rPr>
          <w:rFonts w:ascii="Arial" w:cs="Arial" w:eastAsia="Arial" w:hAnsi="Arial"/>
          <w:sz w:val="22"/>
          <w:szCs w:val="22"/>
          <w:color w:val="auto"/>
          <w:vertAlign w:val="subscript"/>
        </w:rPr>
        <w:t>2</w:t>
      </w:r>
      <w:r>
        <w:rPr>
          <w:rFonts w:ascii="Arial" w:cs="Arial" w:eastAsia="Arial" w:hAnsi="Arial"/>
          <w:sz w:val="22"/>
          <w:szCs w:val="22"/>
          <w:color w:val="auto"/>
        </w:rPr>
        <w:t xml:space="preserve"> per annum at CTV I and CTV III reservoirs, and</w:t>
      </w:r>
    </w:p>
    <w:p>
      <w:pPr>
        <w:ind w:left="980" w:hanging="203"/>
        <w:spacing w:after="0" w:line="236" w:lineRule="auto"/>
        <w:tabs>
          <w:tab w:leader="none" w:pos="1003" w:val="left"/>
        </w:tabs>
        <w:numPr>
          <w:ilvl w:val="1"/>
          <w:numId w:val="4"/>
        </w:numPr>
        <w:rPr>
          <w:rFonts w:ascii="Arial" w:cs="Arial" w:eastAsia="Arial" w:hAnsi="Arial"/>
          <w:sz w:val="22"/>
          <w:szCs w:val="22"/>
          <w:color w:val="auto"/>
        </w:rPr>
      </w:pPr>
      <w:r>
        <w:rPr>
          <w:rFonts w:ascii="Arial" w:cs="Arial" w:eastAsia="Arial" w:hAnsi="Arial"/>
          <w:sz w:val="22"/>
          <w:szCs w:val="22"/>
          <w:color w:val="auto"/>
        </w:rPr>
        <w:t>Made substantial progress on CalCapture Project with targeted Final Investment Decision (FID) in early 2024</w:t>
      </w:r>
    </w:p>
    <w:p>
      <w:pPr>
        <w:spacing w:after="0" w:line="2" w:lineRule="exact"/>
        <w:rPr>
          <w:rFonts w:ascii="Arial" w:cs="Arial" w:eastAsia="Arial" w:hAnsi="Arial"/>
          <w:sz w:val="22"/>
          <w:szCs w:val="22"/>
          <w:color w:val="auto"/>
        </w:rPr>
      </w:pPr>
    </w:p>
    <w:p>
      <w:pPr>
        <w:jc w:val="both"/>
        <w:ind w:left="340" w:hanging="211"/>
        <w:spacing w:after="0" w:line="248"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22"/>
          <w:szCs w:val="22"/>
          <w:color w:val="auto"/>
        </w:rPr>
        <w:t>Through its subsidiary CTV Direct, formed in February 2023 a consortium of organizations across industry, technology, academia, national labs, community, government, and labor that is intended to create California's first DAC Hub</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Fourth Quarter 2022 Highlights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Financial</w:t>
      </w:r>
    </w:p>
    <w:p>
      <w:pPr>
        <w:spacing w:after="0" w:line="39" w:lineRule="exact"/>
        <w:rPr>
          <w:sz w:val="20"/>
          <w:szCs w:val="20"/>
          <w:color w:val="auto"/>
        </w:rPr>
      </w:pPr>
    </w:p>
    <w:p>
      <w:pPr>
        <w:jc w:val="both"/>
        <w:ind w:left="340" w:hanging="211"/>
        <w:spacing w:after="0" w:line="223"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2"/>
          <w:szCs w:val="22"/>
          <w:color w:val="auto"/>
        </w:rPr>
        <w:t>Reported net income of $83 million, or $1.11 per diluted share. When adjusted for items analysts typically exclude from estimates including mark-to-market adjustments and gains on asset divestitures, the Company’s adjusted net income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was $93 million, or $1.24 per diluted share</w:t>
      </w:r>
    </w:p>
    <w:p>
      <w:pPr>
        <w:ind w:left="340" w:hanging="211"/>
        <w:spacing w:after="0" w:line="196"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2"/>
          <w:szCs w:val="22"/>
          <w:color w:val="auto"/>
        </w:rPr>
        <w:t>Generated net cash provided by operating activities of $114 million, adjusted EBITDAX</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$208 million and free cash flow</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$39 million</w:t>
      </w:r>
    </w:p>
    <w:p>
      <w:pPr>
        <w:ind w:left="340" w:right="20" w:hanging="211"/>
        <w:spacing w:after="0" w:line="214"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2"/>
          <w:szCs w:val="22"/>
          <w:color w:val="auto"/>
        </w:rPr>
        <w:t>Ended the quarter with $307 million of cash on hand and an undrawn RBL credit facility representing $765 million of total liquidity</w:t>
      </w:r>
      <w:r>
        <w:rPr>
          <w:rFonts w:ascii="Arial" w:cs="Arial" w:eastAsia="Arial" w:hAnsi="Arial"/>
          <w:sz w:val="28"/>
          <w:szCs w:val="28"/>
          <w:color w:val="auto"/>
          <w:vertAlign w:val="superscript"/>
        </w:rPr>
        <w:t>2</w:t>
      </w:r>
    </w:p>
    <w:p>
      <w:pPr>
        <w:jc w:val="both"/>
        <w:ind w:left="340" w:hanging="211"/>
        <w:spacing w:after="0" w:line="247"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2"/>
          <w:szCs w:val="22"/>
          <w:color w:val="auto"/>
        </w:rPr>
        <w:t>Declared a quarterly dividend of $0.2825 per share of common stock, totaling ~$20 million payable on March 16, 2023 to shareholders of record on March 6, 2023, with subsequent quarterly dividends subject to final determination and Board approval</w:t>
      </w:r>
    </w:p>
    <w:p>
      <w:pPr>
        <w:spacing w:after="0" w:line="1" w:lineRule="exact"/>
        <w:rPr>
          <w:rFonts w:ascii="Arial" w:cs="Arial" w:eastAsia="Arial" w:hAnsi="Arial"/>
          <w:sz w:val="22"/>
          <w:szCs w:val="22"/>
          <w:color w:val="auto"/>
        </w:rPr>
      </w:pPr>
    </w:p>
    <w:p>
      <w:pPr>
        <w:jc w:val="both"/>
        <w:ind w:left="340" w:hanging="211"/>
        <w:spacing w:after="0" w:line="248"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2"/>
          <w:szCs w:val="22"/>
          <w:color w:val="auto"/>
        </w:rPr>
        <w:t>Repurchased 1,521,190 common shares for $66 million during the fourth quarter of 2022; repurchased an aggregate 11,456,260 shares for $461 million since the inception of the Share Repurchase Program through December 31, 2022</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Operations</w:t>
      </w:r>
    </w:p>
    <w:p>
      <w:pPr>
        <w:spacing w:after="0" w:line="39" w:lineRule="exact"/>
        <w:rPr>
          <w:sz w:val="20"/>
          <w:szCs w:val="20"/>
          <w:color w:val="auto"/>
        </w:rPr>
      </w:pPr>
    </w:p>
    <w:p>
      <w:pPr>
        <w:ind w:left="340" w:hanging="211"/>
        <w:spacing w:after="0" w:line="243"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Produced an average of 91,000 net barrels of oil equivalent per day (Boe/d), including 55,000 barrels of oil per day (Bo/d), with E&amp;P capital expenditures of $81 million during the quarter</w:t>
      </w:r>
    </w:p>
    <w:p>
      <w:pPr>
        <w:ind w:left="340" w:hanging="211"/>
        <w:spacing w:after="0" w:line="243"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Operated one drilling rig in the San Joaquin Basin and two drilling rigs in the Los Angeles Basin; drilled 23 wells (23 online in 4Q22)</w:t>
      </w:r>
    </w:p>
    <w:p>
      <w:pPr>
        <w:ind w:left="320" w:hanging="191"/>
        <w:spacing w:after="0"/>
        <w:tabs>
          <w:tab w:leader="none" w:pos="320" w:val="left"/>
        </w:tabs>
        <w:numPr>
          <w:ilvl w:val="0"/>
          <w:numId w:val="6"/>
        </w:numPr>
        <w:rPr>
          <w:rFonts w:ascii="Arial" w:cs="Arial" w:eastAsia="Arial" w:hAnsi="Arial"/>
          <w:sz w:val="22"/>
          <w:szCs w:val="22"/>
          <w:color w:val="auto"/>
        </w:rPr>
      </w:pPr>
      <w:r>
        <w:rPr>
          <w:rFonts w:ascii="Arial" w:cs="Arial" w:eastAsia="Arial" w:hAnsi="Arial"/>
          <w:sz w:val="22"/>
          <w:szCs w:val="22"/>
          <w:color w:val="auto"/>
        </w:rPr>
        <w:t>Operated 36 maintenance rigs in the fourth quarter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2023 Guidance and Capital Program</w:t>
      </w:r>
      <w:r>
        <w:rPr>
          <w:rFonts w:ascii="Arial" w:cs="Arial" w:eastAsia="Arial" w:hAnsi="Arial"/>
          <w:sz w:val="28"/>
          <w:szCs w:val="28"/>
          <w:b w:val="1"/>
          <w:bCs w:val="1"/>
          <w:color w:val="auto"/>
          <w:vertAlign w:val="superscript"/>
        </w:rPr>
        <w:t>3</w:t>
      </w:r>
    </w:p>
    <w:p>
      <w:pPr>
        <w:spacing w:after="0" w:line="171" w:lineRule="exact"/>
        <w:rPr>
          <w:sz w:val="20"/>
          <w:szCs w:val="20"/>
          <w:color w:val="auto"/>
        </w:rPr>
      </w:pPr>
    </w:p>
    <w:p>
      <w:pPr>
        <w:jc w:val="both"/>
        <w:ind w:firstLine="324"/>
        <w:spacing w:after="0" w:line="220" w:lineRule="auto"/>
        <w:rPr>
          <w:sz w:val="20"/>
          <w:szCs w:val="20"/>
          <w:color w:val="auto"/>
        </w:rPr>
      </w:pPr>
      <w:r>
        <w:rPr>
          <w:rFonts w:ascii="Arial" w:cs="Arial" w:eastAsia="Arial" w:hAnsi="Arial"/>
          <w:sz w:val="22"/>
          <w:szCs w:val="22"/>
          <w:color w:val="auto"/>
        </w:rPr>
        <w:t>CRC expects its 2023 capital program to range between $200 and $245 million. The program includes $154 to $184 million of adjusted capital for oil and natural gas development</w:t>
      </w:r>
      <w:r>
        <w:rPr>
          <w:rFonts w:ascii="Arial" w:cs="Arial" w:eastAsia="Arial" w:hAnsi="Arial"/>
          <w:sz w:val="28"/>
          <w:szCs w:val="28"/>
          <w:color w:val="auto"/>
          <w:vertAlign w:val="superscript"/>
        </w:rPr>
        <w:t>4</w:t>
      </w:r>
      <w:r>
        <w:rPr>
          <w:rFonts w:ascii="Arial" w:cs="Arial" w:eastAsia="Arial" w:hAnsi="Arial"/>
          <w:sz w:val="22"/>
          <w:szCs w:val="22"/>
          <w:color w:val="auto"/>
        </w:rPr>
        <w:t>, $15 to $25 million of adjusted capital for carbon management projects</w:t>
      </w:r>
      <w:r>
        <w:rPr>
          <w:rFonts w:ascii="Arial" w:cs="Arial" w:eastAsia="Arial" w:hAnsi="Arial"/>
          <w:sz w:val="28"/>
          <w:szCs w:val="28"/>
          <w:color w:val="auto"/>
          <w:vertAlign w:val="superscript"/>
        </w:rPr>
        <w:t>4</w:t>
      </w:r>
      <w:r>
        <w:rPr>
          <w:rFonts w:ascii="Arial" w:cs="Arial" w:eastAsia="Arial" w:hAnsi="Arial"/>
          <w:sz w:val="22"/>
          <w:szCs w:val="22"/>
          <w:color w:val="auto"/>
        </w:rPr>
        <w:t xml:space="preserve"> and $31 to $36 million for corporate and other activities, including procuring long-lead time items for planned maintenance at CRC's Elk Hills power plant in 2024. The foregoing amounts related to carbon management projects does not include amounts funded by Brookfield through the Carbon TerraVault JV. See Part II, Item 8 – Financial Statements and Supplementary Data, Note 8 Investment in Unconsolidated Subsidiary and Related Party Transactions for more information on CRC's joint venture with Brookfield. The actual amount of spending under CRC's 2023 capital program will depend on a variety of factors including regulatory and permitting status.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240"/>
          </w:cols>
          <w:pgMar w:left="320" w:top="883" w:right="339" w:bottom="1440" w:gutter="0" w:footer="0" w:header="0"/>
        </w:sectPr>
      </w:pPr>
    </w:p>
    <w:bookmarkStart w:id="5" w:name="page6"/>
    <w:bookmarkEnd w:id="5"/>
    <w:p>
      <w:pPr>
        <w:jc w:val="both"/>
        <w:ind w:firstLine="324"/>
        <w:spacing w:after="0"/>
        <w:rPr>
          <w:sz w:val="20"/>
          <w:szCs w:val="20"/>
          <w:color w:val="auto"/>
        </w:rPr>
      </w:pPr>
      <w:r>
        <w:rPr>
          <w:rFonts w:ascii="Arial" w:cs="Arial" w:eastAsia="Arial" w:hAnsi="Arial"/>
          <w:sz w:val="22"/>
          <w:szCs w:val="22"/>
          <w:color w:val="auto"/>
        </w:rPr>
        <w:t>CRC expects to produce between 85,000 and 91,000 Boe/d</w:t>
      </w:r>
      <w:r>
        <w:rPr>
          <w:rFonts w:ascii="Arial" w:cs="Arial" w:eastAsia="Arial" w:hAnsi="Arial"/>
          <w:sz w:val="11"/>
          <w:szCs w:val="11"/>
          <w:color w:val="auto"/>
        </w:rPr>
        <w:t>3</w:t>
      </w:r>
      <w:r>
        <w:rPr>
          <w:rFonts w:ascii="Arial" w:cs="Arial" w:eastAsia="Arial" w:hAnsi="Arial"/>
          <w:sz w:val="22"/>
          <w:szCs w:val="22"/>
          <w:color w:val="auto"/>
        </w:rPr>
        <w:t xml:space="preserve"> (~60% oil) in 2023. CRC plans to run a development program averaging 1.5 rigs in 2023 for drilling locations for which we already have permits and will otherwise focus on workover and maintenance activity to offset base decline following the ongoing impact of the Kern County EIR litigation.</w:t>
      </w:r>
    </w:p>
    <w:p>
      <w:pPr>
        <w:spacing w:after="0" w:line="203"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22"/>
          <w:szCs w:val="22"/>
          <w:color w:val="auto"/>
        </w:rPr>
        <w:t>On a go-forward basis utilizing a 1.5 rig program, CRC would expect to spend ~$155 million in E&amp;P drilling and completions and workover capital. This level of spending excludes one-time items and CMB capital which is expected to be funded by projected CTV JV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0637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20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CRC GUIDANCE</w:t>
            </w:r>
            <w:r>
              <w:rPr>
                <w:rFonts w:ascii="Arial" w:cs="Arial" w:eastAsia="Arial" w:hAnsi="Arial"/>
                <w:sz w:val="9"/>
                <w:szCs w:val="9"/>
                <w:b w:val="1"/>
                <w:bCs w:val="1"/>
                <w:color w:val="auto"/>
              </w:rPr>
              <w:t>3</w:t>
            </w:r>
          </w:p>
        </w:tc>
        <w:tc>
          <w:tcPr>
            <w:tcW w:w="2480" w:type="dxa"/>
            <w:vAlign w:val="bottom"/>
            <w:tcBorders>
              <w:top w:val="single" w:sz="8" w:color="auto"/>
            </w:tcBorders>
            <w:gridSpan w:val="2"/>
          </w:tcPr>
          <w:p>
            <w:pPr>
              <w:ind w:left="150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ind w:left="620"/>
              <w:spacing w:after="0"/>
              <w:rPr>
                <w:sz w:val="20"/>
                <w:szCs w:val="20"/>
                <w:color w:val="auto"/>
              </w:rPr>
            </w:pPr>
            <w:r>
              <w:rPr>
                <w:rFonts w:ascii="Arial" w:cs="Arial" w:eastAsia="Arial" w:hAnsi="Arial"/>
                <w:sz w:val="14"/>
                <w:szCs w:val="14"/>
                <w:b w:val="1"/>
                <w:bCs w:val="1"/>
                <w:color w:val="auto"/>
              </w:rPr>
              <w:t>CMB</w:t>
            </w:r>
          </w:p>
        </w:tc>
        <w:tc>
          <w:tcPr>
            <w:tcW w:w="12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E&amp;P, Corp. &amp; Other</w:t>
            </w:r>
          </w:p>
        </w:tc>
        <w:tc>
          <w:tcPr>
            <w:tcW w:w="0" w:type="dxa"/>
            <w:vAlign w:val="bottom"/>
          </w:tcPr>
          <w:p>
            <w:pPr>
              <w:spacing w:after="0"/>
              <w:rPr>
                <w:sz w:val="1"/>
                <w:szCs w:val="1"/>
                <w:color w:val="auto"/>
              </w:rPr>
            </w:pPr>
          </w:p>
        </w:tc>
      </w:tr>
      <w:tr>
        <w:trPr>
          <w:trHeight w:val="185"/>
        </w:trPr>
        <w:tc>
          <w:tcPr>
            <w:tcW w:w="5200" w:type="dxa"/>
            <w:vAlign w:val="bottom"/>
            <w:tcBorders>
              <w:bottom w:val="single" w:sz="8" w:color="auto"/>
            </w:tcBorders>
            <w:vMerge w:val="continue"/>
          </w:tcPr>
          <w:p>
            <w:pPr>
              <w:spacing w:after="0"/>
              <w:rPr>
                <w:sz w:val="16"/>
                <w:szCs w:val="16"/>
                <w:color w:val="auto"/>
              </w:rPr>
            </w:pPr>
          </w:p>
        </w:tc>
        <w:tc>
          <w:tcPr>
            <w:tcW w:w="2480" w:type="dxa"/>
            <w:vAlign w:val="bottom"/>
            <w:tcBorders>
              <w:bottom w:val="single" w:sz="8" w:color="auto"/>
            </w:tcBorders>
            <w:gridSpan w:val="2"/>
          </w:tcPr>
          <w:p>
            <w:pPr>
              <w:jc w:val="center"/>
              <w:ind w:left="828"/>
              <w:spacing w:after="0"/>
              <w:rPr>
                <w:sz w:val="20"/>
                <w:szCs w:val="20"/>
                <w:color w:val="auto"/>
              </w:rPr>
            </w:pPr>
            <w:r>
              <w:rPr>
                <w:rFonts w:ascii="Arial" w:cs="Arial" w:eastAsia="Arial" w:hAnsi="Arial"/>
                <w:sz w:val="14"/>
                <w:szCs w:val="14"/>
                <w:b w:val="1"/>
                <w:bCs w:val="1"/>
                <w:color w:val="auto"/>
              </w:rPr>
              <w:t>2023E</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2023E</w:t>
            </w:r>
          </w:p>
        </w:tc>
        <w:tc>
          <w:tcPr>
            <w:tcW w:w="120" w:type="dxa"/>
            <w:vAlign w:val="bottom"/>
          </w:tcPr>
          <w:p>
            <w:pPr>
              <w:spacing w:after="0"/>
              <w:rPr>
                <w:sz w:val="16"/>
                <w:szCs w:val="16"/>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2023E</w:t>
            </w:r>
          </w:p>
        </w:tc>
        <w:tc>
          <w:tcPr>
            <w:tcW w:w="0" w:type="dxa"/>
            <w:vAlign w:val="bottom"/>
          </w:tcPr>
          <w:p>
            <w:pPr>
              <w:spacing w:after="0"/>
              <w:rPr>
                <w:sz w:val="1"/>
                <w:szCs w:val="1"/>
                <w:color w:val="auto"/>
              </w:rPr>
            </w:pPr>
          </w:p>
        </w:tc>
      </w:tr>
      <w:tr>
        <w:trPr>
          <w:trHeight w:val="192"/>
        </w:trPr>
        <w:tc>
          <w:tcPr>
            <w:tcW w:w="5200" w:type="dxa"/>
            <w:vAlign w:val="bottom"/>
          </w:tcPr>
          <w:p>
            <w:pPr>
              <w:ind w:left="140"/>
              <w:spacing w:after="0"/>
              <w:rPr>
                <w:sz w:val="20"/>
                <w:szCs w:val="20"/>
                <w:color w:val="auto"/>
              </w:rPr>
            </w:pPr>
            <w:r>
              <w:rPr>
                <w:rFonts w:ascii="Arial" w:cs="Arial" w:eastAsia="Arial" w:hAnsi="Arial"/>
                <w:sz w:val="14"/>
                <w:szCs w:val="14"/>
                <w:color w:val="auto"/>
              </w:rPr>
              <w:t>Net Total Production (MBoe/d)</w:t>
            </w:r>
          </w:p>
        </w:tc>
        <w:tc>
          <w:tcPr>
            <w:tcW w:w="1640" w:type="dxa"/>
            <w:vAlign w:val="bottom"/>
          </w:tcPr>
          <w:p>
            <w:pPr>
              <w:jc w:val="right"/>
              <w:spacing w:after="0"/>
              <w:rPr>
                <w:sz w:val="20"/>
                <w:szCs w:val="20"/>
                <w:color w:val="auto"/>
              </w:rPr>
            </w:pPr>
            <w:r>
              <w:rPr>
                <w:rFonts w:ascii="Arial" w:cs="Arial" w:eastAsia="Arial" w:hAnsi="Arial"/>
                <w:sz w:val="14"/>
                <w:szCs w:val="14"/>
                <w:color w:val="auto"/>
              </w:rPr>
              <w:t>85</w:t>
            </w:r>
          </w:p>
        </w:tc>
        <w:tc>
          <w:tcPr>
            <w:tcW w:w="840" w:type="dxa"/>
            <w:vAlign w:val="bottom"/>
          </w:tcPr>
          <w:p>
            <w:pPr>
              <w:ind w:left="20"/>
              <w:spacing w:after="0"/>
              <w:rPr>
                <w:sz w:val="20"/>
                <w:szCs w:val="20"/>
                <w:color w:val="auto"/>
              </w:rPr>
            </w:pPr>
            <w:r>
              <w:rPr>
                <w:rFonts w:ascii="Arial" w:cs="Arial" w:eastAsia="Arial" w:hAnsi="Arial"/>
                <w:sz w:val="14"/>
                <w:szCs w:val="14"/>
                <w:color w:val="auto"/>
              </w:rPr>
              <w:t>- 91</w:t>
            </w: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85</w:t>
            </w:r>
          </w:p>
        </w:tc>
        <w:tc>
          <w:tcPr>
            <w:tcW w:w="860" w:type="dxa"/>
            <w:vAlign w:val="bottom"/>
          </w:tcPr>
          <w:p>
            <w:pPr>
              <w:ind w:left="20"/>
              <w:spacing w:after="0"/>
              <w:rPr>
                <w:sz w:val="20"/>
                <w:szCs w:val="20"/>
                <w:color w:val="auto"/>
              </w:rPr>
            </w:pPr>
            <w:r>
              <w:rPr>
                <w:rFonts w:ascii="Arial" w:cs="Arial" w:eastAsia="Arial" w:hAnsi="Arial"/>
                <w:sz w:val="14"/>
                <w:szCs w:val="14"/>
                <w:color w:val="auto"/>
              </w:rPr>
              <w:t>- 91</w:t>
            </w:r>
          </w:p>
        </w:tc>
        <w:tc>
          <w:tcPr>
            <w:tcW w:w="0" w:type="dxa"/>
            <w:vAlign w:val="bottom"/>
          </w:tcPr>
          <w:p>
            <w:pPr>
              <w:spacing w:after="0"/>
              <w:rPr>
                <w:sz w:val="1"/>
                <w:szCs w:val="1"/>
                <w:color w:val="auto"/>
              </w:rPr>
            </w:pPr>
          </w:p>
        </w:tc>
      </w:tr>
      <w:tr>
        <w:trPr>
          <w:trHeight w:val="207"/>
        </w:trPr>
        <w:tc>
          <w:tcPr>
            <w:tcW w:w="5200" w:type="dxa"/>
            <w:vAlign w:val="bottom"/>
            <w:shd w:val="clear" w:color="auto" w:fill="DBDBDB"/>
          </w:tcPr>
          <w:p>
            <w:pPr>
              <w:ind w:left="140"/>
              <w:spacing w:after="0"/>
              <w:rPr>
                <w:sz w:val="20"/>
                <w:szCs w:val="20"/>
                <w:color w:val="auto"/>
              </w:rPr>
            </w:pPr>
            <w:r>
              <w:rPr>
                <w:rFonts w:ascii="Arial" w:cs="Arial" w:eastAsia="Arial" w:hAnsi="Arial"/>
                <w:sz w:val="14"/>
                <w:szCs w:val="14"/>
                <w:color w:val="auto"/>
              </w:rPr>
              <w:t>Net Oil Production (MBbl/d)</w:t>
            </w:r>
          </w:p>
        </w:tc>
        <w:tc>
          <w:tcPr>
            <w:tcW w:w="1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51</w:t>
            </w:r>
          </w:p>
        </w:tc>
        <w:tc>
          <w:tcPr>
            <w:tcW w:w="8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- 55</w:t>
            </w:r>
          </w:p>
        </w:tc>
        <w:tc>
          <w:tcPr>
            <w:tcW w:w="120" w:type="dxa"/>
            <w:vAlign w:val="bottom"/>
          </w:tcPr>
          <w:p>
            <w:pPr>
              <w:spacing w:after="0"/>
              <w:rPr>
                <w:sz w:val="17"/>
                <w:szCs w:val="17"/>
                <w:color w:val="auto"/>
              </w:rPr>
            </w:pPr>
          </w:p>
        </w:tc>
        <w:tc>
          <w:tcPr>
            <w:tcW w:w="160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51</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- 55</w:t>
            </w:r>
          </w:p>
        </w:tc>
        <w:tc>
          <w:tcPr>
            <w:tcW w:w="0" w:type="dxa"/>
            <w:vAlign w:val="bottom"/>
          </w:tcPr>
          <w:p>
            <w:pPr>
              <w:spacing w:after="0"/>
              <w:rPr>
                <w:sz w:val="1"/>
                <w:szCs w:val="1"/>
                <w:color w:val="auto"/>
              </w:rPr>
            </w:pPr>
          </w:p>
        </w:tc>
      </w:tr>
      <w:tr>
        <w:trPr>
          <w:trHeight w:val="198"/>
        </w:trPr>
        <w:tc>
          <w:tcPr>
            <w:tcW w:w="5200" w:type="dxa"/>
            <w:vAlign w:val="bottom"/>
          </w:tcPr>
          <w:p>
            <w:pPr>
              <w:ind w:left="140"/>
              <w:spacing w:after="0"/>
              <w:rPr>
                <w:sz w:val="20"/>
                <w:szCs w:val="20"/>
                <w:color w:val="auto"/>
              </w:rPr>
            </w:pPr>
            <w:r>
              <w:rPr>
                <w:rFonts w:ascii="Arial" w:cs="Arial" w:eastAsia="Arial" w:hAnsi="Arial"/>
                <w:sz w:val="14"/>
                <w:szCs w:val="14"/>
                <w:color w:val="auto"/>
              </w:rPr>
              <w:t>Operating Costs ($ millions)</w:t>
            </w:r>
          </w:p>
        </w:tc>
        <w:tc>
          <w:tcPr>
            <w:tcW w:w="1640" w:type="dxa"/>
            <w:vAlign w:val="bottom"/>
          </w:tcPr>
          <w:p>
            <w:pPr>
              <w:jc w:val="right"/>
              <w:spacing w:after="0"/>
              <w:rPr>
                <w:sz w:val="20"/>
                <w:szCs w:val="20"/>
                <w:color w:val="auto"/>
              </w:rPr>
            </w:pPr>
            <w:r>
              <w:rPr>
                <w:rFonts w:ascii="Arial" w:cs="Arial" w:eastAsia="Arial" w:hAnsi="Arial"/>
                <w:sz w:val="14"/>
                <w:szCs w:val="14"/>
                <w:color w:val="auto"/>
              </w:rPr>
              <w:t>$845</w:t>
            </w:r>
          </w:p>
        </w:tc>
        <w:tc>
          <w:tcPr>
            <w:tcW w:w="840" w:type="dxa"/>
            <w:vAlign w:val="bottom"/>
          </w:tcPr>
          <w:p>
            <w:pPr>
              <w:ind w:left="20"/>
              <w:spacing w:after="0"/>
              <w:rPr>
                <w:sz w:val="20"/>
                <w:szCs w:val="20"/>
                <w:color w:val="auto"/>
              </w:rPr>
            </w:pPr>
            <w:r>
              <w:rPr>
                <w:rFonts w:ascii="Arial" w:cs="Arial" w:eastAsia="Arial" w:hAnsi="Arial"/>
                <w:sz w:val="14"/>
                <w:szCs w:val="14"/>
                <w:color w:val="auto"/>
              </w:rPr>
              <w:t>- $895</w:t>
            </w: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$845</w:t>
            </w:r>
          </w:p>
        </w:tc>
        <w:tc>
          <w:tcPr>
            <w:tcW w:w="860" w:type="dxa"/>
            <w:vAlign w:val="bottom"/>
          </w:tcPr>
          <w:p>
            <w:pPr>
              <w:ind w:left="20"/>
              <w:spacing w:after="0"/>
              <w:rPr>
                <w:sz w:val="20"/>
                <w:szCs w:val="20"/>
                <w:color w:val="auto"/>
              </w:rPr>
            </w:pPr>
            <w:r>
              <w:rPr>
                <w:rFonts w:ascii="Arial" w:cs="Arial" w:eastAsia="Arial" w:hAnsi="Arial"/>
                <w:sz w:val="14"/>
                <w:szCs w:val="14"/>
                <w:color w:val="auto"/>
              </w:rPr>
              <w:t>- $895</w:t>
            </w:r>
          </w:p>
        </w:tc>
        <w:tc>
          <w:tcPr>
            <w:tcW w:w="0" w:type="dxa"/>
            <w:vAlign w:val="bottom"/>
          </w:tcPr>
          <w:p>
            <w:pPr>
              <w:spacing w:after="0"/>
              <w:rPr>
                <w:sz w:val="1"/>
                <w:szCs w:val="1"/>
                <w:color w:val="auto"/>
              </w:rPr>
            </w:pPr>
          </w:p>
        </w:tc>
      </w:tr>
      <w:tr>
        <w:trPr>
          <w:trHeight w:val="207"/>
        </w:trPr>
        <w:tc>
          <w:tcPr>
            <w:tcW w:w="5200" w:type="dxa"/>
            <w:vAlign w:val="bottom"/>
            <w:shd w:val="clear" w:color="auto" w:fill="DBDBDB"/>
          </w:tcPr>
          <w:p>
            <w:pPr>
              <w:ind w:left="140"/>
              <w:spacing w:after="0"/>
              <w:rPr>
                <w:sz w:val="20"/>
                <w:szCs w:val="20"/>
                <w:color w:val="auto"/>
              </w:rPr>
            </w:pPr>
            <w:r>
              <w:rPr>
                <w:rFonts w:ascii="Arial" w:cs="Arial" w:eastAsia="Arial" w:hAnsi="Arial"/>
                <w:sz w:val="14"/>
                <w:szCs w:val="14"/>
                <w:color w:val="auto"/>
              </w:rPr>
              <w:t>CMB Expenses</w:t>
            </w:r>
            <w:r>
              <w:rPr>
                <w:rFonts w:ascii="Arial" w:cs="Arial" w:eastAsia="Arial" w:hAnsi="Arial"/>
                <w:sz w:val="9"/>
                <w:szCs w:val="9"/>
                <w:color w:val="auto"/>
              </w:rPr>
              <w:t>5</w:t>
            </w:r>
            <w:r>
              <w:rPr>
                <w:rFonts w:ascii="Arial" w:cs="Arial" w:eastAsia="Arial" w:hAnsi="Arial"/>
                <w:sz w:val="14"/>
                <w:szCs w:val="14"/>
                <w:color w:val="auto"/>
              </w:rPr>
              <w:t xml:space="preserve"> ($ millions)</w:t>
            </w:r>
          </w:p>
        </w:tc>
        <w:tc>
          <w:tcPr>
            <w:tcW w:w="1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w:t>
            </w:r>
          </w:p>
        </w:tc>
        <w:tc>
          <w:tcPr>
            <w:tcW w:w="8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$35</w:t>
            </w:r>
          </w:p>
        </w:tc>
        <w:tc>
          <w:tcPr>
            <w:tcW w:w="120" w:type="dxa"/>
            <w:vAlign w:val="bottom"/>
          </w:tcPr>
          <w:p>
            <w:pPr>
              <w:spacing w:after="0"/>
              <w:rPr>
                <w:sz w:val="17"/>
                <w:szCs w:val="17"/>
                <w:color w:val="auto"/>
              </w:rPr>
            </w:pPr>
          </w:p>
        </w:tc>
        <w:tc>
          <w:tcPr>
            <w:tcW w:w="16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$25 - $35</w:t>
            </w:r>
          </w:p>
        </w:tc>
        <w:tc>
          <w:tcPr>
            <w:tcW w:w="120" w:type="dxa"/>
            <w:vAlign w:val="bottom"/>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00" w:type="dxa"/>
            <w:vAlign w:val="bottom"/>
          </w:tcPr>
          <w:p>
            <w:pPr>
              <w:ind w:left="140"/>
              <w:spacing w:after="0"/>
              <w:rPr>
                <w:sz w:val="20"/>
                <w:szCs w:val="20"/>
                <w:color w:val="auto"/>
              </w:rPr>
            </w:pPr>
            <w:r>
              <w:rPr>
                <w:rFonts w:ascii="Arial" w:cs="Arial" w:eastAsia="Arial" w:hAnsi="Arial"/>
                <w:sz w:val="14"/>
                <w:szCs w:val="14"/>
                <w:color w:val="auto"/>
              </w:rPr>
              <w:t>Adjusted General and Administrative Expenses</w:t>
            </w:r>
            <w:r>
              <w:rPr>
                <w:rFonts w:ascii="Arial" w:cs="Arial" w:eastAsia="Arial" w:hAnsi="Arial"/>
                <w:sz w:val="9"/>
                <w:szCs w:val="9"/>
                <w:color w:val="auto"/>
              </w:rPr>
              <w:t>1</w:t>
            </w:r>
            <w:r>
              <w:rPr>
                <w:rFonts w:ascii="Arial" w:cs="Arial" w:eastAsia="Arial" w:hAnsi="Arial"/>
                <w:sz w:val="14"/>
                <w:szCs w:val="14"/>
                <w:color w:val="auto"/>
              </w:rPr>
              <w:t xml:space="preserve"> ($ millions)</w:t>
            </w:r>
          </w:p>
        </w:tc>
        <w:tc>
          <w:tcPr>
            <w:tcW w:w="1640" w:type="dxa"/>
            <w:vAlign w:val="bottom"/>
          </w:tcPr>
          <w:p>
            <w:pPr>
              <w:jc w:val="right"/>
              <w:spacing w:after="0"/>
              <w:rPr>
                <w:sz w:val="20"/>
                <w:szCs w:val="20"/>
                <w:color w:val="auto"/>
              </w:rPr>
            </w:pPr>
            <w:r>
              <w:rPr>
                <w:rFonts w:ascii="Arial" w:cs="Arial" w:eastAsia="Arial" w:hAnsi="Arial"/>
                <w:sz w:val="14"/>
                <w:szCs w:val="14"/>
                <w:color w:val="auto"/>
              </w:rPr>
              <w:t>$195</w:t>
            </w:r>
          </w:p>
        </w:tc>
        <w:tc>
          <w:tcPr>
            <w:tcW w:w="840" w:type="dxa"/>
            <w:vAlign w:val="bottom"/>
          </w:tcPr>
          <w:p>
            <w:pPr>
              <w:ind w:left="20"/>
              <w:spacing w:after="0"/>
              <w:rPr>
                <w:sz w:val="20"/>
                <w:szCs w:val="20"/>
                <w:color w:val="auto"/>
              </w:rPr>
            </w:pPr>
            <w:r>
              <w:rPr>
                <w:rFonts w:ascii="Arial" w:cs="Arial" w:eastAsia="Arial" w:hAnsi="Arial"/>
                <w:sz w:val="14"/>
                <w:szCs w:val="14"/>
                <w:color w:val="auto"/>
              </w:rPr>
              <w:t>- $225</w:t>
            </w:r>
          </w:p>
        </w:tc>
        <w:tc>
          <w:tcPr>
            <w:tcW w:w="1720" w:type="dxa"/>
            <w:vAlign w:val="bottom"/>
            <w:gridSpan w:val="2"/>
          </w:tcPr>
          <w:p>
            <w:pPr>
              <w:jc w:val="center"/>
              <w:ind w:left="48"/>
              <w:spacing w:after="0"/>
              <w:rPr>
                <w:sz w:val="20"/>
                <w:szCs w:val="20"/>
                <w:color w:val="auto"/>
              </w:rPr>
            </w:pPr>
            <w:r>
              <w:rPr>
                <w:rFonts w:ascii="Arial" w:cs="Arial" w:eastAsia="Arial" w:hAnsi="Arial"/>
                <w:sz w:val="14"/>
                <w:szCs w:val="14"/>
                <w:color w:val="auto"/>
              </w:rPr>
              <w:t>$10 - $15</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$185</w:t>
            </w:r>
          </w:p>
        </w:tc>
        <w:tc>
          <w:tcPr>
            <w:tcW w:w="860" w:type="dxa"/>
            <w:vAlign w:val="bottom"/>
          </w:tcPr>
          <w:p>
            <w:pPr>
              <w:ind w:left="20"/>
              <w:spacing w:after="0"/>
              <w:rPr>
                <w:sz w:val="20"/>
                <w:szCs w:val="20"/>
                <w:color w:val="auto"/>
              </w:rPr>
            </w:pPr>
            <w:r>
              <w:rPr>
                <w:rFonts w:ascii="Arial" w:cs="Arial" w:eastAsia="Arial" w:hAnsi="Arial"/>
                <w:sz w:val="14"/>
                <w:szCs w:val="14"/>
                <w:color w:val="auto"/>
              </w:rPr>
              <w:t>- $210</w:t>
            </w:r>
          </w:p>
        </w:tc>
        <w:tc>
          <w:tcPr>
            <w:tcW w:w="0" w:type="dxa"/>
            <w:vAlign w:val="bottom"/>
          </w:tcPr>
          <w:p>
            <w:pPr>
              <w:spacing w:after="0"/>
              <w:rPr>
                <w:sz w:val="1"/>
                <w:szCs w:val="1"/>
                <w:color w:val="auto"/>
              </w:rPr>
            </w:pPr>
          </w:p>
        </w:tc>
      </w:tr>
      <w:tr>
        <w:trPr>
          <w:trHeight w:val="207"/>
        </w:trPr>
        <w:tc>
          <w:tcPr>
            <w:tcW w:w="5200" w:type="dxa"/>
            <w:vAlign w:val="bottom"/>
            <w:shd w:val="clear" w:color="auto" w:fill="DBDBDB"/>
          </w:tcPr>
          <w:p>
            <w:pPr>
              <w:ind w:left="140"/>
              <w:spacing w:after="0"/>
              <w:rPr>
                <w:sz w:val="20"/>
                <w:szCs w:val="20"/>
                <w:color w:val="auto"/>
              </w:rPr>
            </w:pPr>
            <w:r>
              <w:rPr>
                <w:rFonts w:ascii="Arial" w:cs="Arial" w:eastAsia="Arial" w:hAnsi="Arial"/>
                <w:sz w:val="14"/>
                <w:szCs w:val="14"/>
                <w:color w:val="auto"/>
              </w:rPr>
              <w:t>Total Capital ($ millions)</w:t>
            </w:r>
          </w:p>
        </w:tc>
        <w:tc>
          <w:tcPr>
            <w:tcW w:w="1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$200</w:t>
            </w:r>
          </w:p>
        </w:tc>
        <w:tc>
          <w:tcPr>
            <w:tcW w:w="8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$245</w:t>
            </w:r>
          </w:p>
        </w:tc>
        <w:tc>
          <w:tcPr>
            <w:tcW w:w="120" w:type="dxa"/>
            <w:vAlign w:val="bottom"/>
          </w:tcPr>
          <w:p>
            <w:pPr>
              <w:spacing w:after="0"/>
              <w:rPr>
                <w:sz w:val="17"/>
                <w:szCs w:val="17"/>
                <w:color w:val="auto"/>
              </w:rPr>
            </w:pPr>
          </w:p>
        </w:tc>
        <w:tc>
          <w:tcPr>
            <w:tcW w:w="16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$5 - $15</w:t>
            </w:r>
          </w:p>
        </w:tc>
        <w:tc>
          <w:tcPr>
            <w:tcW w:w="120" w:type="dxa"/>
            <w:vAlign w:val="bottom"/>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$195</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$230</w:t>
            </w:r>
          </w:p>
        </w:tc>
        <w:tc>
          <w:tcPr>
            <w:tcW w:w="0" w:type="dxa"/>
            <w:vAlign w:val="bottom"/>
          </w:tcPr>
          <w:p>
            <w:pPr>
              <w:spacing w:after="0"/>
              <w:rPr>
                <w:sz w:val="1"/>
                <w:szCs w:val="1"/>
                <w:color w:val="auto"/>
              </w:rPr>
            </w:pPr>
          </w:p>
        </w:tc>
      </w:tr>
      <w:tr>
        <w:trPr>
          <w:trHeight w:val="198"/>
        </w:trPr>
        <w:tc>
          <w:tcPr>
            <w:tcW w:w="5200" w:type="dxa"/>
            <w:vAlign w:val="bottom"/>
          </w:tcPr>
          <w:p>
            <w:pPr>
              <w:ind w:left="140"/>
              <w:spacing w:after="0"/>
              <w:rPr>
                <w:sz w:val="20"/>
                <w:szCs w:val="20"/>
                <w:color w:val="auto"/>
              </w:rPr>
            </w:pPr>
            <w:r>
              <w:rPr>
                <w:rFonts w:ascii="Arial" w:cs="Arial" w:eastAsia="Arial" w:hAnsi="Arial"/>
                <w:sz w:val="14"/>
                <w:szCs w:val="14"/>
                <w:color w:val="auto"/>
              </w:rPr>
              <w:t>Adjusted Total Capital</w:t>
            </w:r>
            <w:r>
              <w:rPr>
                <w:rFonts w:ascii="Arial" w:cs="Arial" w:eastAsia="Arial" w:hAnsi="Arial"/>
                <w:sz w:val="9"/>
                <w:szCs w:val="9"/>
                <w:color w:val="auto"/>
              </w:rPr>
              <w:t>4</w:t>
            </w:r>
            <w:r>
              <w:rPr>
                <w:rFonts w:ascii="Arial" w:cs="Arial" w:eastAsia="Arial" w:hAnsi="Arial"/>
                <w:sz w:val="14"/>
                <w:szCs w:val="14"/>
                <w:color w:val="auto"/>
              </w:rPr>
              <w:t xml:space="preserve"> ($ millions)</w:t>
            </w:r>
          </w:p>
        </w:tc>
        <w:tc>
          <w:tcPr>
            <w:tcW w:w="1640" w:type="dxa"/>
            <w:vAlign w:val="bottom"/>
          </w:tcPr>
          <w:p>
            <w:pPr>
              <w:jc w:val="right"/>
              <w:spacing w:after="0"/>
              <w:rPr>
                <w:sz w:val="20"/>
                <w:szCs w:val="20"/>
                <w:color w:val="auto"/>
              </w:rPr>
            </w:pPr>
            <w:r>
              <w:rPr>
                <w:rFonts w:ascii="Arial" w:cs="Arial" w:eastAsia="Arial" w:hAnsi="Arial"/>
                <w:sz w:val="14"/>
                <w:szCs w:val="14"/>
                <w:color w:val="auto"/>
              </w:rPr>
              <w:t>$200</w:t>
            </w:r>
          </w:p>
        </w:tc>
        <w:tc>
          <w:tcPr>
            <w:tcW w:w="840" w:type="dxa"/>
            <w:vAlign w:val="bottom"/>
          </w:tcPr>
          <w:p>
            <w:pPr>
              <w:ind w:left="20"/>
              <w:spacing w:after="0"/>
              <w:rPr>
                <w:sz w:val="20"/>
                <w:szCs w:val="20"/>
                <w:color w:val="auto"/>
              </w:rPr>
            </w:pPr>
            <w:r>
              <w:rPr>
                <w:rFonts w:ascii="Arial" w:cs="Arial" w:eastAsia="Arial" w:hAnsi="Arial"/>
                <w:sz w:val="14"/>
                <w:szCs w:val="14"/>
                <w:color w:val="auto"/>
              </w:rPr>
              <w:t>- $245</w:t>
            </w:r>
          </w:p>
        </w:tc>
        <w:tc>
          <w:tcPr>
            <w:tcW w:w="1720" w:type="dxa"/>
            <w:vAlign w:val="bottom"/>
            <w:gridSpan w:val="2"/>
          </w:tcPr>
          <w:p>
            <w:pPr>
              <w:jc w:val="center"/>
              <w:ind w:left="48"/>
              <w:spacing w:after="0"/>
              <w:rPr>
                <w:sz w:val="20"/>
                <w:szCs w:val="20"/>
                <w:color w:val="auto"/>
              </w:rPr>
            </w:pPr>
            <w:r>
              <w:rPr>
                <w:rFonts w:ascii="Arial" w:cs="Arial" w:eastAsia="Arial" w:hAnsi="Arial"/>
                <w:sz w:val="14"/>
                <w:szCs w:val="14"/>
                <w:color w:val="auto"/>
              </w:rPr>
              <w:t>$15 - $25</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$185</w:t>
            </w:r>
          </w:p>
        </w:tc>
        <w:tc>
          <w:tcPr>
            <w:tcW w:w="860" w:type="dxa"/>
            <w:vAlign w:val="bottom"/>
          </w:tcPr>
          <w:p>
            <w:pPr>
              <w:ind w:left="20"/>
              <w:spacing w:after="0"/>
              <w:rPr>
                <w:sz w:val="20"/>
                <w:szCs w:val="20"/>
                <w:color w:val="auto"/>
              </w:rPr>
            </w:pPr>
            <w:r>
              <w:rPr>
                <w:rFonts w:ascii="Arial" w:cs="Arial" w:eastAsia="Arial" w:hAnsi="Arial"/>
                <w:sz w:val="14"/>
                <w:szCs w:val="14"/>
                <w:color w:val="auto"/>
              </w:rPr>
              <w:t>- $220</w:t>
            </w:r>
          </w:p>
        </w:tc>
        <w:tc>
          <w:tcPr>
            <w:tcW w:w="0" w:type="dxa"/>
            <w:vAlign w:val="bottom"/>
          </w:tcPr>
          <w:p>
            <w:pPr>
              <w:spacing w:after="0"/>
              <w:rPr>
                <w:sz w:val="1"/>
                <w:szCs w:val="1"/>
                <w:color w:val="auto"/>
              </w:rPr>
            </w:pPr>
          </w:p>
        </w:tc>
      </w:tr>
      <w:tr>
        <w:trPr>
          <w:trHeight w:val="207"/>
        </w:trPr>
        <w:tc>
          <w:tcPr>
            <w:tcW w:w="5200" w:type="dxa"/>
            <w:vAlign w:val="bottom"/>
            <w:shd w:val="clear" w:color="auto" w:fill="DBDBDB"/>
          </w:tcPr>
          <w:p>
            <w:pPr>
              <w:ind w:left="260"/>
              <w:spacing w:after="0"/>
              <w:rPr>
                <w:sz w:val="20"/>
                <w:szCs w:val="20"/>
                <w:color w:val="auto"/>
              </w:rPr>
            </w:pPr>
            <w:r>
              <w:rPr>
                <w:rFonts w:ascii="Arial" w:cs="Arial" w:eastAsia="Arial" w:hAnsi="Arial"/>
                <w:sz w:val="14"/>
                <w:szCs w:val="14"/>
                <w:i w:val="1"/>
                <w:iCs w:val="1"/>
                <w:color w:val="auto"/>
              </w:rPr>
              <w:t>Drilling &amp; Completions</w:t>
            </w:r>
          </w:p>
        </w:tc>
        <w:tc>
          <w:tcPr>
            <w:tcW w:w="1640" w:type="dxa"/>
            <w:vAlign w:val="bottom"/>
            <w:shd w:val="clear" w:color="auto" w:fill="DBDBDB"/>
          </w:tcPr>
          <w:p>
            <w:pPr>
              <w:jc w:val="right"/>
              <w:spacing w:after="0"/>
              <w:rPr>
                <w:sz w:val="20"/>
                <w:szCs w:val="20"/>
                <w:color w:val="auto"/>
              </w:rPr>
            </w:pPr>
            <w:r>
              <w:rPr>
                <w:rFonts w:ascii="Arial" w:cs="Arial" w:eastAsia="Arial" w:hAnsi="Arial"/>
                <w:sz w:val="14"/>
                <w:szCs w:val="14"/>
                <w:i w:val="1"/>
                <w:iCs w:val="1"/>
                <w:color w:val="auto"/>
              </w:rPr>
              <w:t>$66</w:t>
            </w:r>
          </w:p>
        </w:tc>
        <w:tc>
          <w:tcPr>
            <w:tcW w:w="840" w:type="dxa"/>
            <w:vAlign w:val="bottom"/>
            <w:shd w:val="clear" w:color="auto" w:fill="DBDBDB"/>
          </w:tcPr>
          <w:p>
            <w:pPr>
              <w:ind w:left="20"/>
              <w:spacing w:after="0"/>
              <w:rPr>
                <w:sz w:val="20"/>
                <w:szCs w:val="20"/>
                <w:color w:val="auto"/>
              </w:rPr>
            </w:pPr>
            <w:r>
              <w:rPr>
                <w:rFonts w:ascii="Arial" w:cs="Arial" w:eastAsia="Arial" w:hAnsi="Arial"/>
                <w:sz w:val="14"/>
                <w:szCs w:val="14"/>
                <w:i w:val="1"/>
                <w:iCs w:val="1"/>
                <w:color w:val="auto"/>
              </w:rPr>
              <w:t>- $76</w:t>
            </w:r>
          </w:p>
        </w:tc>
        <w:tc>
          <w:tcPr>
            <w:tcW w:w="120" w:type="dxa"/>
            <w:vAlign w:val="bottom"/>
          </w:tcPr>
          <w:p>
            <w:pPr>
              <w:spacing w:after="0"/>
              <w:rPr>
                <w:sz w:val="17"/>
                <w:szCs w:val="17"/>
                <w:color w:val="auto"/>
              </w:rPr>
            </w:pPr>
          </w:p>
        </w:tc>
        <w:tc>
          <w:tcPr>
            <w:tcW w:w="160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i w:val="1"/>
                <w:iCs w:val="1"/>
                <w:color w:val="auto"/>
              </w:rPr>
              <w:t>$66</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i w:val="1"/>
                <w:iCs w:val="1"/>
                <w:color w:val="auto"/>
              </w:rPr>
              <w:t>- $76</w:t>
            </w:r>
          </w:p>
        </w:tc>
        <w:tc>
          <w:tcPr>
            <w:tcW w:w="0" w:type="dxa"/>
            <w:vAlign w:val="bottom"/>
          </w:tcPr>
          <w:p>
            <w:pPr>
              <w:spacing w:after="0"/>
              <w:rPr>
                <w:sz w:val="1"/>
                <w:szCs w:val="1"/>
                <w:color w:val="auto"/>
              </w:rPr>
            </w:pPr>
          </w:p>
        </w:tc>
      </w:tr>
      <w:tr>
        <w:trPr>
          <w:trHeight w:val="198"/>
        </w:trPr>
        <w:tc>
          <w:tcPr>
            <w:tcW w:w="5200" w:type="dxa"/>
            <w:vAlign w:val="bottom"/>
          </w:tcPr>
          <w:p>
            <w:pPr>
              <w:ind w:left="260"/>
              <w:spacing w:after="0"/>
              <w:rPr>
                <w:sz w:val="20"/>
                <w:szCs w:val="20"/>
                <w:color w:val="auto"/>
              </w:rPr>
            </w:pPr>
            <w:r>
              <w:rPr>
                <w:rFonts w:ascii="Arial" w:cs="Arial" w:eastAsia="Arial" w:hAnsi="Arial"/>
                <w:sz w:val="14"/>
                <w:szCs w:val="14"/>
                <w:i w:val="1"/>
                <w:iCs w:val="1"/>
                <w:color w:val="auto"/>
              </w:rPr>
              <w:t>Workovers</w:t>
            </w:r>
          </w:p>
        </w:tc>
        <w:tc>
          <w:tcPr>
            <w:tcW w:w="1640" w:type="dxa"/>
            <w:vAlign w:val="bottom"/>
          </w:tcPr>
          <w:p>
            <w:pPr>
              <w:jc w:val="right"/>
              <w:spacing w:after="0"/>
              <w:rPr>
                <w:sz w:val="20"/>
                <w:szCs w:val="20"/>
                <w:color w:val="auto"/>
              </w:rPr>
            </w:pPr>
            <w:r>
              <w:rPr>
                <w:rFonts w:ascii="Arial" w:cs="Arial" w:eastAsia="Arial" w:hAnsi="Arial"/>
                <w:sz w:val="14"/>
                <w:szCs w:val="14"/>
                <w:i w:val="1"/>
                <w:iCs w:val="1"/>
                <w:color w:val="auto"/>
              </w:rPr>
              <w:t>$44</w:t>
            </w:r>
          </w:p>
        </w:tc>
        <w:tc>
          <w:tcPr>
            <w:tcW w:w="840" w:type="dxa"/>
            <w:vAlign w:val="bottom"/>
          </w:tcPr>
          <w:p>
            <w:pPr>
              <w:ind w:left="20"/>
              <w:spacing w:after="0"/>
              <w:rPr>
                <w:sz w:val="20"/>
                <w:szCs w:val="20"/>
                <w:color w:val="auto"/>
              </w:rPr>
            </w:pPr>
            <w:r>
              <w:rPr>
                <w:rFonts w:ascii="Arial" w:cs="Arial" w:eastAsia="Arial" w:hAnsi="Arial"/>
                <w:sz w:val="14"/>
                <w:szCs w:val="14"/>
                <w:i w:val="1"/>
                <w:iCs w:val="1"/>
                <w:color w:val="auto"/>
              </w:rPr>
              <w:t>- $54</w:t>
            </w: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i w:val="1"/>
                <w:iCs w:val="1"/>
                <w:color w:val="auto"/>
              </w:rPr>
              <w:t>$44</w:t>
            </w:r>
          </w:p>
        </w:tc>
        <w:tc>
          <w:tcPr>
            <w:tcW w:w="860" w:type="dxa"/>
            <w:vAlign w:val="bottom"/>
          </w:tcPr>
          <w:p>
            <w:pPr>
              <w:ind w:left="20"/>
              <w:spacing w:after="0"/>
              <w:rPr>
                <w:sz w:val="20"/>
                <w:szCs w:val="20"/>
                <w:color w:val="auto"/>
              </w:rPr>
            </w:pPr>
            <w:r>
              <w:rPr>
                <w:rFonts w:ascii="Arial" w:cs="Arial" w:eastAsia="Arial" w:hAnsi="Arial"/>
                <w:sz w:val="14"/>
                <w:szCs w:val="14"/>
                <w:i w:val="1"/>
                <w:iCs w:val="1"/>
                <w:color w:val="auto"/>
              </w:rPr>
              <w:t>- $54</w:t>
            </w:r>
          </w:p>
        </w:tc>
        <w:tc>
          <w:tcPr>
            <w:tcW w:w="0" w:type="dxa"/>
            <w:vAlign w:val="bottom"/>
          </w:tcPr>
          <w:p>
            <w:pPr>
              <w:spacing w:after="0"/>
              <w:rPr>
                <w:sz w:val="1"/>
                <w:szCs w:val="1"/>
                <w:color w:val="auto"/>
              </w:rPr>
            </w:pPr>
          </w:p>
        </w:tc>
      </w:tr>
      <w:tr>
        <w:trPr>
          <w:trHeight w:val="207"/>
        </w:trPr>
        <w:tc>
          <w:tcPr>
            <w:tcW w:w="5200" w:type="dxa"/>
            <w:vAlign w:val="bottom"/>
            <w:shd w:val="clear" w:color="auto" w:fill="DBDBDB"/>
          </w:tcPr>
          <w:p>
            <w:pPr>
              <w:ind w:left="260"/>
              <w:spacing w:after="0"/>
              <w:rPr>
                <w:sz w:val="20"/>
                <w:szCs w:val="20"/>
                <w:color w:val="auto"/>
              </w:rPr>
            </w:pPr>
            <w:r>
              <w:rPr>
                <w:rFonts w:ascii="Arial" w:cs="Arial" w:eastAsia="Arial" w:hAnsi="Arial"/>
                <w:sz w:val="14"/>
                <w:szCs w:val="14"/>
                <w:i w:val="1"/>
                <w:iCs w:val="1"/>
                <w:color w:val="auto"/>
              </w:rPr>
              <w:t>Adjusted Facilities</w:t>
            </w:r>
          </w:p>
        </w:tc>
        <w:tc>
          <w:tcPr>
            <w:tcW w:w="1640" w:type="dxa"/>
            <w:vAlign w:val="bottom"/>
            <w:shd w:val="clear" w:color="auto" w:fill="DBDBDB"/>
          </w:tcPr>
          <w:p>
            <w:pPr>
              <w:jc w:val="right"/>
              <w:spacing w:after="0"/>
              <w:rPr>
                <w:sz w:val="20"/>
                <w:szCs w:val="20"/>
                <w:color w:val="auto"/>
              </w:rPr>
            </w:pPr>
            <w:r>
              <w:rPr>
                <w:rFonts w:ascii="Arial" w:cs="Arial" w:eastAsia="Arial" w:hAnsi="Arial"/>
                <w:sz w:val="14"/>
                <w:szCs w:val="14"/>
                <w:i w:val="1"/>
                <w:iCs w:val="1"/>
                <w:color w:val="auto"/>
              </w:rPr>
              <w:t>$44</w:t>
            </w:r>
          </w:p>
        </w:tc>
        <w:tc>
          <w:tcPr>
            <w:tcW w:w="840" w:type="dxa"/>
            <w:vAlign w:val="bottom"/>
            <w:shd w:val="clear" w:color="auto" w:fill="DBDBDB"/>
          </w:tcPr>
          <w:p>
            <w:pPr>
              <w:ind w:left="20"/>
              <w:spacing w:after="0"/>
              <w:rPr>
                <w:sz w:val="20"/>
                <w:szCs w:val="20"/>
                <w:color w:val="auto"/>
              </w:rPr>
            </w:pPr>
            <w:r>
              <w:rPr>
                <w:rFonts w:ascii="Arial" w:cs="Arial" w:eastAsia="Arial" w:hAnsi="Arial"/>
                <w:sz w:val="14"/>
                <w:szCs w:val="14"/>
                <w:i w:val="1"/>
                <w:iCs w:val="1"/>
                <w:color w:val="auto"/>
              </w:rPr>
              <w:t>- $54</w:t>
            </w:r>
          </w:p>
        </w:tc>
        <w:tc>
          <w:tcPr>
            <w:tcW w:w="120" w:type="dxa"/>
            <w:vAlign w:val="bottom"/>
          </w:tcPr>
          <w:p>
            <w:pPr>
              <w:spacing w:after="0"/>
              <w:rPr>
                <w:sz w:val="17"/>
                <w:szCs w:val="17"/>
                <w:color w:val="auto"/>
              </w:rPr>
            </w:pPr>
          </w:p>
        </w:tc>
        <w:tc>
          <w:tcPr>
            <w:tcW w:w="160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i w:val="1"/>
                <w:iCs w:val="1"/>
                <w:color w:val="auto"/>
              </w:rPr>
              <w:t>$44</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i w:val="1"/>
                <w:iCs w:val="1"/>
                <w:color w:val="auto"/>
              </w:rPr>
              <w:t>- $54</w:t>
            </w:r>
          </w:p>
        </w:tc>
        <w:tc>
          <w:tcPr>
            <w:tcW w:w="0" w:type="dxa"/>
            <w:vAlign w:val="bottom"/>
          </w:tcPr>
          <w:p>
            <w:pPr>
              <w:spacing w:after="0"/>
              <w:rPr>
                <w:sz w:val="1"/>
                <w:szCs w:val="1"/>
                <w:color w:val="auto"/>
              </w:rPr>
            </w:pPr>
          </w:p>
        </w:tc>
      </w:tr>
      <w:tr>
        <w:trPr>
          <w:trHeight w:val="198"/>
        </w:trPr>
        <w:tc>
          <w:tcPr>
            <w:tcW w:w="5200" w:type="dxa"/>
            <w:vAlign w:val="bottom"/>
          </w:tcPr>
          <w:p>
            <w:pPr>
              <w:ind w:left="260"/>
              <w:spacing w:after="0"/>
              <w:rPr>
                <w:sz w:val="20"/>
                <w:szCs w:val="20"/>
                <w:color w:val="auto"/>
              </w:rPr>
            </w:pPr>
            <w:r>
              <w:rPr>
                <w:rFonts w:ascii="Arial" w:cs="Arial" w:eastAsia="Arial" w:hAnsi="Arial"/>
                <w:sz w:val="14"/>
                <w:szCs w:val="14"/>
                <w:i w:val="1"/>
                <w:iCs w:val="1"/>
                <w:color w:val="auto"/>
              </w:rPr>
              <w:t>Corporate &amp; Other</w:t>
            </w:r>
          </w:p>
        </w:tc>
        <w:tc>
          <w:tcPr>
            <w:tcW w:w="1640" w:type="dxa"/>
            <w:vAlign w:val="bottom"/>
          </w:tcPr>
          <w:p>
            <w:pPr>
              <w:jc w:val="right"/>
              <w:spacing w:after="0"/>
              <w:rPr>
                <w:sz w:val="20"/>
                <w:szCs w:val="20"/>
                <w:color w:val="auto"/>
              </w:rPr>
            </w:pPr>
            <w:r>
              <w:rPr>
                <w:rFonts w:ascii="Arial" w:cs="Arial" w:eastAsia="Arial" w:hAnsi="Arial"/>
                <w:sz w:val="14"/>
                <w:szCs w:val="14"/>
                <w:i w:val="1"/>
                <w:iCs w:val="1"/>
                <w:color w:val="auto"/>
              </w:rPr>
              <w:t>$31</w:t>
            </w:r>
          </w:p>
        </w:tc>
        <w:tc>
          <w:tcPr>
            <w:tcW w:w="840" w:type="dxa"/>
            <w:vAlign w:val="bottom"/>
          </w:tcPr>
          <w:p>
            <w:pPr>
              <w:ind w:left="20"/>
              <w:spacing w:after="0"/>
              <w:rPr>
                <w:sz w:val="20"/>
                <w:szCs w:val="20"/>
                <w:color w:val="auto"/>
              </w:rPr>
            </w:pPr>
            <w:r>
              <w:rPr>
                <w:rFonts w:ascii="Arial" w:cs="Arial" w:eastAsia="Arial" w:hAnsi="Arial"/>
                <w:sz w:val="14"/>
                <w:szCs w:val="14"/>
                <w:i w:val="1"/>
                <w:iCs w:val="1"/>
                <w:color w:val="auto"/>
              </w:rPr>
              <w:t>- $36</w:t>
            </w: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i w:val="1"/>
                <w:iCs w:val="1"/>
                <w:color w:val="auto"/>
              </w:rPr>
              <w:t>$31</w:t>
            </w:r>
          </w:p>
        </w:tc>
        <w:tc>
          <w:tcPr>
            <w:tcW w:w="860" w:type="dxa"/>
            <w:vAlign w:val="bottom"/>
          </w:tcPr>
          <w:p>
            <w:pPr>
              <w:ind w:left="20"/>
              <w:spacing w:after="0"/>
              <w:rPr>
                <w:sz w:val="20"/>
                <w:szCs w:val="20"/>
                <w:color w:val="auto"/>
              </w:rPr>
            </w:pPr>
            <w:r>
              <w:rPr>
                <w:rFonts w:ascii="Arial" w:cs="Arial" w:eastAsia="Arial" w:hAnsi="Arial"/>
                <w:sz w:val="14"/>
                <w:szCs w:val="14"/>
                <w:i w:val="1"/>
                <w:iCs w:val="1"/>
                <w:color w:val="auto"/>
              </w:rPr>
              <w:t>- $36</w:t>
            </w:r>
          </w:p>
        </w:tc>
        <w:tc>
          <w:tcPr>
            <w:tcW w:w="0" w:type="dxa"/>
            <w:vAlign w:val="bottom"/>
          </w:tcPr>
          <w:p>
            <w:pPr>
              <w:spacing w:after="0"/>
              <w:rPr>
                <w:sz w:val="1"/>
                <w:szCs w:val="1"/>
                <w:color w:val="auto"/>
              </w:rPr>
            </w:pPr>
          </w:p>
        </w:tc>
      </w:tr>
      <w:tr>
        <w:trPr>
          <w:trHeight w:val="207"/>
        </w:trPr>
        <w:tc>
          <w:tcPr>
            <w:tcW w:w="5200" w:type="dxa"/>
            <w:vAlign w:val="bottom"/>
            <w:shd w:val="clear" w:color="auto" w:fill="DBDBDB"/>
          </w:tcPr>
          <w:p>
            <w:pPr>
              <w:ind w:left="260"/>
              <w:spacing w:after="0"/>
              <w:rPr>
                <w:sz w:val="20"/>
                <w:szCs w:val="20"/>
                <w:color w:val="auto"/>
              </w:rPr>
            </w:pPr>
            <w:r>
              <w:rPr>
                <w:rFonts w:ascii="Arial" w:cs="Arial" w:eastAsia="Arial" w:hAnsi="Arial"/>
                <w:sz w:val="14"/>
                <w:szCs w:val="14"/>
                <w:i w:val="1"/>
                <w:iCs w:val="1"/>
                <w:color w:val="auto"/>
              </w:rPr>
              <w:t>Adjusted CMB</w:t>
            </w:r>
          </w:p>
        </w:tc>
        <w:tc>
          <w:tcPr>
            <w:tcW w:w="1640" w:type="dxa"/>
            <w:vAlign w:val="bottom"/>
            <w:shd w:val="clear" w:color="auto" w:fill="DBDBDB"/>
          </w:tcPr>
          <w:p>
            <w:pPr>
              <w:jc w:val="right"/>
              <w:spacing w:after="0"/>
              <w:rPr>
                <w:sz w:val="20"/>
                <w:szCs w:val="20"/>
                <w:color w:val="auto"/>
              </w:rPr>
            </w:pPr>
            <w:r>
              <w:rPr>
                <w:rFonts w:ascii="Arial" w:cs="Arial" w:eastAsia="Arial" w:hAnsi="Arial"/>
                <w:sz w:val="14"/>
                <w:szCs w:val="14"/>
                <w:i w:val="1"/>
                <w:iCs w:val="1"/>
                <w:color w:val="auto"/>
              </w:rPr>
              <w:t>$15</w:t>
            </w:r>
          </w:p>
        </w:tc>
        <w:tc>
          <w:tcPr>
            <w:tcW w:w="840" w:type="dxa"/>
            <w:vAlign w:val="bottom"/>
            <w:shd w:val="clear" w:color="auto" w:fill="DBDBDB"/>
          </w:tcPr>
          <w:p>
            <w:pPr>
              <w:ind w:left="20"/>
              <w:spacing w:after="0"/>
              <w:rPr>
                <w:sz w:val="20"/>
                <w:szCs w:val="20"/>
                <w:color w:val="auto"/>
              </w:rPr>
            </w:pPr>
            <w:r>
              <w:rPr>
                <w:rFonts w:ascii="Arial" w:cs="Arial" w:eastAsia="Arial" w:hAnsi="Arial"/>
                <w:sz w:val="14"/>
                <w:szCs w:val="14"/>
                <w:i w:val="1"/>
                <w:iCs w:val="1"/>
                <w:color w:val="auto"/>
              </w:rPr>
              <w:t>- $25</w:t>
            </w:r>
          </w:p>
        </w:tc>
        <w:tc>
          <w:tcPr>
            <w:tcW w:w="120" w:type="dxa"/>
            <w:vAlign w:val="bottom"/>
          </w:tcPr>
          <w:p>
            <w:pPr>
              <w:spacing w:after="0"/>
              <w:rPr>
                <w:sz w:val="17"/>
                <w:szCs w:val="17"/>
                <w:color w:val="auto"/>
              </w:rPr>
            </w:pPr>
          </w:p>
        </w:tc>
        <w:tc>
          <w:tcPr>
            <w:tcW w:w="1600" w:type="dxa"/>
            <w:vAlign w:val="bottom"/>
            <w:shd w:val="clear" w:color="auto" w:fill="DBDBDB"/>
          </w:tcPr>
          <w:p>
            <w:pPr>
              <w:jc w:val="center"/>
              <w:spacing w:after="0"/>
              <w:rPr>
                <w:sz w:val="20"/>
                <w:szCs w:val="20"/>
                <w:color w:val="auto"/>
              </w:rPr>
            </w:pPr>
            <w:r>
              <w:rPr>
                <w:rFonts w:ascii="Arial" w:cs="Arial" w:eastAsia="Arial" w:hAnsi="Arial"/>
                <w:sz w:val="14"/>
                <w:szCs w:val="14"/>
                <w:i w:val="1"/>
                <w:iCs w:val="1"/>
                <w:color w:val="auto"/>
              </w:rPr>
              <w:t>$15 - $25</w:t>
            </w:r>
          </w:p>
        </w:tc>
        <w:tc>
          <w:tcPr>
            <w:tcW w:w="120" w:type="dxa"/>
            <w:vAlign w:val="bottom"/>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00" w:type="dxa"/>
            <w:vAlign w:val="bottom"/>
          </w:tcPr>
          <w:p>
            <w:pPr>
              <w:ind w:left="140"/>
              <w:spacing w:after="0"/>
              <w:rPr>
                <w:sz w:val="20"/>
                <w:szCs w:val="20"/>
                <w:color w:val="auto"/>
              </w:rPr>
            </w:pPr>
            <w:r>
              <w:rPr>
                <w:rFonts w:ascii="Arial" w:cs="Arial" w:eastAsia="Arial" w:hAnsi="Arial"/>
                <w:sz w:val="14"/>
                <w:szCs w:val="14"/>
                <w:color w:val="auto"/>
              </w:rPr>
              <w:t>Free Cash Flow</w:t>
            </w:r>
            <w:r>
              <w:rPr>
                <w:rFonts w:ascii="Arial" w:cs="Arial" w:eastAsia="Arial" w:hAnsi="Arial"/>
                <w:sz w:val="9"/>
                <w:szCs w:val="9"/>
                <w:color w:val="auto"/>
              </w:rPr>
              <w:t>1</w:t>
            </w:r>
            <w:r>
              <w:rPr>
                <w:rFonts w:ascii="Arial" w:cs="Arial" w:eastAsia="Arial" w:hAnsi="Arial"/>
                <w:sz w:val="14"/>
                <w:szCs w:val="14"/>
                <w:color w:val="auto"/>
              </w:rPr>
              <w:t xml:space="preserve"> ($ millions)</w:t>
            </w:r>
          </w:p>
        </w:tc>
        <w:tc>
          <w:tcPr>
            <w:tcW w:w="1640" w:type="dxa"/>
            <w:vAlign w:val="bottom"/>
          </w:tcPr>
          <w:p>
            <w:pPr>
              <w:jc w:val="right"/>
              <w:spacing w:after="0"/>
              <w:rPr>
                <w:sz w:val="20"/>
                <w:szCs w:val="20"/>
                <w:color w:val="auto"/>
              </w:rPr>
            </w:pPr>
            <w:r>
              <w:rPr>
                <w:rFonts w:ascii="Arial" w:cs="Arial" w:eastAsia="Arial" w:hAnsi="Arial"/>
                <w:sz w:val="14"/>
                <w:szCs w:val="14"/>
                <w:color w:val="auto"/>
              </w:rPr>
              <w:t>$330</w:t>
            </w:r>
          </w:p>
        </w:tc>
        <w:tc>
          <w:tcPr>
            <w:tcW w:w="840" w:type="dxa"/>
            <w:vAlign w:val="bottom"/>
          </w:tcPr>
          <w:p>
            <w:pPr>
              <w:ind w:left="20"/>
              <w:spacing w:after="0"/>
              <w:rPr>
                <w:sz w:val="20"/>
                <w:szCs w:val="20"/>
                <w:color w:val="auto"/>
              </w:rPr>
            </w:pPr>
            <w:r>
              <w:rPr>
                <w:rFonts w:ascii="Arial" w:cs="Arial" w:eastAsia="Arial" w:hAnsi="Arial"/>
                <w:sz w:val="14"/>
                <w:szCs w:val="14"/>
                <w:color w:val="auto"/>
              </w:rPr>
              <w:t>- $440</w:t>
            </w:r>
          </w:p>
        </w:tc>
        <w:tc>
          <w:tcPr>
            <w:tcW w:w="1720" w:type="dxa"/>
            <w:vAlign w:val="bottom"/>
            <w:gridSpan w:val="2"/>
          </w:tcPr>
          <w:p>
            <w:pPr>
              <w:jc w:val="center"/>
              <w:ind w:left="48"/>
              <w:spacing w:after="0"/>
              <w:rPr>
                <w:sz w:val="20"/>
                <w:szCs w:val="20"/>
                <w:color w:val="auto"/>
              </w:rPr>
            </w:pPr>
            <w:r>
              <w:rPr>
                <w:rFonts w:ascii="Arial" w:cs="Arial" w:eastAsia="Arial" w:hAnsi="Arial"/>
                <w:sz w:val="14"/>
                <w:szCs w:val="14"/>
                <w:color w:val="auto"/>
              </w:rPr>
              <w:t>($60) - ($80)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$410</w:t>
            </w:r>
          </w:p>
        </w:tc>
        <w:tc>
          <w:tcPr>
            <w:tcW w:w="860" w:type="dxa"/>
            <w:vAlign w:val="bottom"/>
          </w:tcPr>
          <w:p>
            <w:pPr>
              <w:ind w:left="20"/>
              <w:spacing w:after="0"/>
              <w:rPr>
                <w:sz w:val="20"/>
                <w:szCs w:val="20"/>
                <w:color w:val="auto"/>
              </w:rPr>
            </w:pPr>
            <w:r>
              <w:rPr>
                <w:rFonts w:ascii="Arial" w:cs="Arial" w:eastAsia="Arial" w:hAnsi="Arial"/>
                <w:sz w:val="14"/>
                <w:szCs w:val="14"/>
                <w:color w:val="auto"/>
              </w:rPr>
              <w:t>- $500</w:t>
            </w:r>
          </w:p>
        </w:tc>
        <w:tc>
          <w:tcPr>
            <w:tcW w:w="0" w:type="dxa"/>
            <w:vAlign w:val="bottom"/>
          </w:tcPr>
          <w:p>
            <w:pPr>
              <w:spacing w:after="0"/>
              <w:rPr>
                <w:sz w:val="1"/>
                <w:szCs w:val="1"/>
                <w:color w:val="auto"/>
              </w:rPr>
            </w:pPr>
          </w:p>
        </w:tc>
      </w:tr>
      <w:tr>
        <w:trPr>
          <w:trHeight w:val="260"/>
        </w:trPr>
        <w:tc>
          <w:tcPr>
            <w:tcW w:w="5200" w:type="dxa"/>
            <w:vAlign w:val="bottom"/>
            <w:shd w:val="clear" w:color="auto" w:fill="DBDBDB"/>
          </w:tcPr>
          <w:p>
            <w:pPr>
              <w:spacing w:after="0"/>
              <w:rPr>
                <w:sz w:val="22"/>
                <w:szCs w:val="22"/>
                <w:color w:val="auto"/>
              </w:rPr>
            </w:pPr>
          </w:p>
        </w:tc>
        <w:tc>
          <w:tcPr>
            <w:tcW w:w="1640" w:type="dxa"/>
            <w:vAlign w:val="bottom"/>
            <w:shd w:val="clear" w:color="auto" w:fill="DBDBDB"/>
          </w:tcPr>
          <w:p>
            <w:pPr>
              <w:spacing w:after="0"/>
              <w:rPr>
                <w:sz w:val="22"/>
                <w:szCs w:val="22"/>
                <w:color w:val="auto"/>
              </w:rPr>
            </w:pPr>
          </w:p>
        </w:tc>
        <w:tc>
          <w:tcPr>
            <w:tcW w:w="840" w:type="dxa"/>
            <w:vAlign w:val="bottom"/>
            <w:shd w:val="clear" w:color="auto" w:fill="DBDBDB"/>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shd w:val="clear" w:color="auto" w:fill="DBDBDB"/>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shd w:val="clear" w:color="auto" w:fill="DBDBDB"/>
          </w:tcPr>
          <w:p>
            <w:pPr>
              <w:spacing w:after="0"/>
              <w:rPr>
                <w:sz w:val="22"/>
                <w:szCs w:val="22"/>
                <w:color w:val="auto"/>
              </w:rPr>
            </w:pPr>
          </w:p>
        </w:tc>
        <w:tc>
          <w:tcPr>
            <w:tcW w:w="8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5200" w:type="dxa"/>
            <w:vAlign w:val="bottom"/>
          </w:tcPr>
          <w:p>
            <w:pPr>
              <w:ind w:left="140"/>
              <w:spacing w:after="0"/>
              <w:rPr>
                <w:sz w:val="20"/>
                <w:szCs w:val="20"/>
                <w:color w:val="auto"/>
              </w:rPr>
            </w:pPr>
            <w:r>
              <w:rPr>
                <w:rFonts w:ascii="Arial" w:cs="Arial" w:eastAsia="Arial" w:hAnsi="Arial"/>
                <w:sz w:val="14"/>
                <w:szCs w:val="14"/>
                <w:color w:val="auto"/>
              </w:rPr>
              <w:t>Natural Gas Trading, Net ($ millions)</w:t>
            </w:r>
          </w:p>
        </w:tc>
        <w:tc>
          <w:tcPr>
            <w:tcW w:w="1640" w:type="dxa"/>
            <w:vAlign w:val="bottom"/>
          </w:tcPr>
          <w:p>
            <w:pPr>
              <w:jc w:val="right"/>
              <w:spacing w:after="0"/>
              <w:rPr>
                <w:sz w:val="20"/>
                <w:szCs w:val="20"/>
                <w:color w:val="auto"/>
              </w:rPr>
            </w:pPr>
            <w:r>
              <w:rPr>
                <w:rFonts w:ascii="Arial" w:cs="Arial" w:eastAsia="Arial" w:hAnsi="Arial"/>
                <w:sz w:val="14"/>
                <w:szCs w:val="14"/>
                <w:color w:val="auto"/>
              </w:rPr>
              <w:t>$60</w:t>
            </w:r>
          </w:p>
        </w:tc>
        <w:tc>
          <w:tcPr>
            <w:tcW w:w="840" w:type="dxa"/>
            <w:vAlign w:val="bottom"/>
          </w:tcPr>
          <w:p>
            <w:pPr>
              <w:ind w:left="20"/>
              <w:spacing w:after="0"/>
              <w:rPr>
                <w:sz w:val="20"/>
                <w:szCs w:val="20"/>
                <w:color w:val="auto"/>
              </w:rPr>
            </w:pPr>
            <w:r>
              <w:rPr>
                <w:rFonts w:ascii="Arial" w:cs="Arial" w:eastAsia="Arial" w:hAnsi="Arial"/>
                <w:sz w:val="14"/>
                <w:szCs w:val="14"/>
                <w:color w:val="auto"/>
              </w:rPr>
              <w:t>- $70</w:t>
            </w: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$60</w:t>
            </w:r>
          </w:p>
        </w:tc>
        <w:tc>
          <w:tcPr>
            <w:tcW w:w="860" w:type="dxa"/>
            <w:vAlign w:val="bottom"/>
          </w:tcPr>
          <w:p>
            <w:pPr>
              <w:ind w:left="20"/>
              <w:spacing w:after="0"/>
              <w:rPr>
                <w:sz w:val="20"/>
                <w:szCs w:val="20"/>
                <w:color w:val="auto"/>
              </w:rPr>
            </w:pPr>
            <w:r>
              <w:rPr>
                <w:rFonts w:ascii="Arial" w:cs="Arial" w:eastAsia="Arial" w:hAnsi="Arial"/>
                <w:sz w:val="14"/>
                <w:szCs w:val="14"/>
                <w:color w:val="auto"/>
              </w:rPr>
              <w:t>- $70</w:t>
            </w:r>
          </w:p>
        </w:tc>
        <w:tc>
          <w:tcPr>
            <w:tcW w:w="0" w:type="dxa"/>
            <w:vAlign w:val="bottom"/>
          </w:tcPr>
          <w:p>
            <w:pPr>
              <w:spacing w:after="0"/>
              <w:rPr>
                <w:sz w:val="1"/>
                <w:szCs w:val="1"/>
                <w:color w:val="auto"/>
              </w:rPr>
            </w:pPr>
          </w:p>
        </w:tc>
      </w:tr>
      <w:tr>
        <w:trPr>
          <w:trHeight w:val="206"/>
        </w:trPr>
        <w:tc>
          <w:tcPr>
            <w:tcW w:w="5200" w:type="dxa"/>
            <w:vAlign w:val="bottom"/>
            <w:shd w:val="clear" w:color="auto" w:fill="DBDBDB"/>
          </w:tcPr>
          <w:p>
            <w:pPr>
              <w:ind w:left="140"/>
              <w:spacing w:after="0"/>
              <w:rPr>
                <w:sz w:val="20"/>
                <w:szCs w:val="20"/>
                <w:color w:val="auto"/>
              </w:rPr>
            </w:pPr>
            <w:r>
              <w:rPr>
                <w:rFonts w:ascii="Arial" w:cs="Arial" w:eastAsia="Arial" w:hAnsi="Arial"/>
                <w:sz w:val="14"/>
                <w:szCs w:val="14"/>
                <w:color w:val="auto"/>
              </w:rPr>
              <w:t>Net Electricity ($ millions)</w:t>
            </w:r>
          </w:p>
        </w:tc>
        <w:tc>
          <w:tcPr>
            <w:tcW w:w="2480" w:type="dxa"/>
            <w:vAlign w:val="bottom"/>
            <w:gridSpan w:val="2"/>
            <w:shd w:val="clear" w:color="auto" w:fill="DBDBDB"/>
          </w:tcPr>
          <w:p>
            <w:pPr>
              <w:jc w:val="center"/>
              <w:ind w:left="828"/>
              <w:spacing w:after="0"/>
              <w:rPr>
                <w:sz w:val="20"/>
                <w:szCs w:val="20"/>
                <w:color w:val="auto"/>
              </w:rPr>
            </w:pPr>
            <w:r>
              <w:rPr>
                <w:rFonts w:ascii="Arial" w:cs="Arial" w:eastAsia="Arial" w:hAnsi="Arial"/>
                <w:sz w:val="14"/>
                <w:szCs w:val="14"/>
                <w:color w:val="auto"/>
              </w:rPr>
              <w:t>$80 - $120</w:t>
            </w:r>
          </w:p>
        </w:tc>
        <w:tc>
          <w:tcPr>
            <w:tcW w:w="120" w:type="dxa"/>
            <w:vAlign w:val="bottom"/>
          </w:tcPr>
          <w:p>
            <w:pPr>
              <w:spacing w:after="0"/>
              <w:rPr>
                <w:sz w:val="17"/>
                <w:szCs w:val="17"/>
                <w:color w:val="auto"/>
              </w:rPr>
            </w:pPr>
          </w:p>
        </w:tc>
        <w:tc>
          <w:tcPr>
            <w:tcW w:w="160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shd w:val="clear" w:color="auto" w:fill="DBDBDB"/>
          </w:tcPr>
          <w:p>
            <w:pPr>
              <w:jc w:val="center"/>
              <w:spacing w:after="0"/>
              <w:rPr>
                <w:sz w:val="20"/>
                <w:szCs w:val="20"/>
                <w:color w:val="auto"/>
              </w:rPr>
            </w:pPr>
            <w:r>
              <w:rPr>
                <w:rFonts w:ascii="Arial" w:cs="Arial" w:eastAsia="Arial" w:hAnsi="Arial"/>
                <w:sz w:val="14"/>
                <w:szCs w:val="14"/>
                <w:color w:val="auto"/>
              </w:rPr>
              <w:t>$80 - $120</w:t>
            </w:r>
          </w:p>
        </w:tc>
        <w:tc>
          <w:tcPr>
            <w:tcW w:w="0" w:type="dxa"/>
            <w:vAlign w:val="bottom"/>
          </w:tcPr>
          <w:p>
            <w:pPr>
              <w:spacing w:after="0"/>
              <w:rPr>
                <w:sz w:val="1"/>
                <w:szCs w:val="1"/>
                <w:color w:val="auto"/>
              </w:rPr>
            </w:pPr>
          </w:p>
        </w:tc>
      </w:tr>
      <w:tr>
        <w:trPr>
          <w:trHeight w:val="199"/>
        </w:trPr>
        <w:tc>
          <w:tcPr>
            <w:tcW w:w="5200" w:type="dxa"/>
            <w:vAlign w:val="bottom"/>
          </w:tcPr>
          <w:p>
            <w:pPr>
              <w:ind w:left="140"/>
              <w:spacing w:after="0"/>
              <w:rPr>
                <w:sz w:val="20"/>
                <w:szCs w:val="20"/>
                <w:color w:val="auto"/>
              </w:rPr>
            </w:pPr>
            <w:r>
              <w:rPr>
                <w:rFonts w:ascii="Arial" w:cs="Arial" w:eastAsia="Arial" w:hAnsi="Arial"/>
                <w:sz w:val="14"/>
                <w:szCs w:val="14"/>
                <w:color w:val="auto"/>
              </w:rPr>
              <w:t>Transportation Expense ($ millions)</w:t>
            </w:r>
          </w:p>
        </w:tc>
        <w:tc>
          <w:tcPr>
            <w:tcW w:w="1640" w:type="dxa"/>
            <w:vAlign w:val="bottom"/>
          </w:tcPr>
          <w:p>
            <w:pPr>
              <w:jc w:val="right"/>
              <w:spacing w:after="0"/>
              <w:rPr>
                <w:sz w:val="20"/>
                <w:szCs w:val="20"/>
                <w:color w:val="auto"/>
              </w:rPr>
            </w:pPr>
            <w:r>
              <w:rPr>
                <w:rFonts w:ascii="Arial" w:cs="Arial" w:eastAsia="Arial" w:hAnsi="Arial"/>
                <w:sz w:val="14"/>
                <w:szCs w:val="14"/>
                <w:color w:val="auto"/>
              </w:rPr>
              <w:t>$50</w:t>
            </w:r>
          </w:p>
        </w:tc>
        <w:tc>
          <w:tcPr>
            <w:tcW w:w="840" w:type="dxa"/>
            <w:vAlign w:val="bottom"/>
          </w:tcPr>
          <w:p>
            <w:pPr>
              <w:ind w:left="20"/>
              <w:spacing w:after="0"/>
              <w:rPr>
                <w:sz w:val="20"/>
                <w:szCs w:val="20"/>
                <w:color w:val="auto"/>
              </w:rPr>
            </w:pPr>
            <w:r>
              <w:rPr>
                <w:rFonts w:ascii="Arial" w:cs="Arial" w:eastAsia="Arial" w:hAnsi="Arial"/>
                <w:sz w:val="14"/>
                <w:szCs w:val="14"/>
                <w:color w:val="auto"/>
              </w:rPr>
              <w:t>- $70</w:t>
            </w: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$50</w:t>
            </w:r>
          </w:p>
        </w:tc>
        <w:tc>
          <w:tcPr>
            <w:tcW w:w="860" w:type="dxa"/>
            <w:vAlign w:val="bottom"/>
          </w:tcPr>
          <w:p>
            <w:pPr>
              <w:ind w:left="20"/>
              <w:spacing w:after="0"/>
              <w:rPr>
                <w:sz w:val="20"/>
                <w:szCs w:val="20"/>
                <w:color w:val="auto"/>
              </w:rPr>
            </w:pPr>
            <w:r>
              <w:rPr>
                <w:rFonts w:ascii="Arial" w:cs="Arial" w:eastAsia="Arial" w:hAnsi="Arial"/>
                <w:sz w:val="14"/>
                <w:szCs w:val="14"/>
                <w:color w:val="auto"/>
              </w:rPr>
              <w:t>- $70</w:t>
            </w:r>
          </w:p>
        </w:tc>
        <w:tc>
          <w:tcPr>
            <w:tcW w:w="0" w:type="dxa"/>
            <w:vAlign w:val="bottom"/>
          </w:tcPr>
          <w:p>
            <w:pPr>
              <w:spacing w:after="0"/>
              <w:rPr>
                <w:sz w:val="1"/>
                <w:szCs w:val="1"/>
                <w:color w:val="auto"/>
              </w:rPr>
            </w:pPr>
          </w:p>
        </w:tc>
      </w:tr>
      <w:tr>
        <w:trPr>
          <w:trHeight w:val="206"/>
        </w:trPr>
        <w:tc>
          <w:tcPr>
            <w:tcW w:w="5200" w:type="dxa"/>
            <w:vAlign w:val="bottom"/>
            <w:shd w:val="clear" w:color="auto" w:fill="DBDBDB"/>
          </w:tcPr>
          <w:p>
            <w:pPr>
              <w:ind w:left="140"/>
              <w:spacing w:after="0"/>
              <w:rPr>
                <w:sz w:val="20"/>
                <w:szCs w:val="20"/>
                <w:color w:val="auto"/>
              </w:rPr>
            </w:pPr>
            <w:r>
              <w:rPr>
                <w:rFonts w:ascii="Arial" w:cs="Arial" w:eastAsia="Arial" w:hAnsi="Arial"/>
                <w:sz w:val="14"/>
                <w:szCs w:val="14"/>
                <w:color w:val="auto"/>
              </w:rPr>
              <w:t>ARO Settlement Payments* ($ millions)</w:t>
            </w:r>
          </w:p>
        </w:tc>
        <w:tc>
          <w:tcPr>
            <w:tcW w:w="1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$55</w:t>
            </w:r>
          </w:p>
        </w:tc>
        <w:tc>
          <w:tcPr>
            <w:tcW w:w="8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$60</w:t>
            </w:r>
          </w:p>
        </w:tc>
        <w:tc>
          <w:tcPr>
            <w:tcW w:w="120" w:type="dxa"/>
            <w:vAlign w:val="bottom"/>
          </w:tcPr>
          <w:p>
            <w:pPr>
              <w:spacing w:after="0"/>
              <w:rPr>
                <w:sz w:val="17"/>
                <w:szCs w:val="17"/>
                <w:color w:val="auto"/>
              </w:rPr>
            </w:pPr>
          </w:p>
        </w:tc>
        <w:tc>
          <w:tcPr>
            <w:tcW w:w="160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$55</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$60</w:t>
            </w:r>
          </w:p>
        </w:tc>
        <w:tc>
          <w:tcPr>
            <w:tcW w:w="0" w:type="dxa"/>
            <w:vAlign w:val="bottom"/>
          </w:tcPr>
          <w:p>
            <w:pPr>
              <w:spacing w:after="0"/>
              <w:rPr>
                <w:sz w:val="1"/>
                <w:szCs w:val="1"/>
                <w:color w:val="auto"/>
              </w:rPr>
            </w:pPr>
          </w:p>
        </w:tc>
      </w:tr>
      <w:tr>
        <w:trPr>
          <w:trHeight w:val="198"/>
        </w:trPr>
        <w:tc>
          <w:tcPr>
            <w:tcW w:w="5200" w:type="dxa"/>
            <w:vAlign w:val="bottom"/>
          </w:tcPr>
          <w:p>
            <w:pPr>
              <w:ind w:left="140"/>
              <w:spacing w:after="0"/>
              <w:rPr>
                <w:sz w:val="20"/>
                <w:szCs w:val="20"/>
                <w:color w:val="auto"/>
              </w:rPr>
            </w:pPr>
            <w:r>
              <w:rPr>
                <w:rFonts w:ascii="Arial" w:cs="Arial" w:eastAsia="Arial" w:hAnsi="Arial"/>
                <w:sz w:val="14"/>
                <w:szCs w:val="14"/>
                <w:color w:val="auto"/>
              </w:rPr>
              <w:t>Taxes Other Than on Income* ($ millions)</w:t>
            </w:r>
          </w:p>
        </w:tc>
        <w:tc>
          <w:tcPr>
            <w:tcW w:w="1640" w:type="dxa"/>
            <w:vAlign w:val="bottom"/>
          </w:tcPr>
          <w:p>
            <w:pPr>
              <w:jc w:val="right"/>
              <w:spacing w:after="0"/>
              <w:rPr>
                <w:sz w:val="20"/>
                <w:szCs w:val="20"/>
                <w:color w:val="auto"/>
              </w:rPr>
            </w:pPr>
            <w:r>
              <w:rPr>
                <w:rFonts w:ascii="Arial" w:cs="Arial" w:eastAsia="Arial" w:hAnsi="Arial"/>
                <w:sz w:val="14"/>
                <w:szCs w:val="14"/>
                <w:color w:val="auto"/>
              </w:rPr>
              <w:t>$175</w:t>
            </w:r>
          </w:p>
        </w:tc>
        <w:tc>
          <w:tcPr>
            <w:tcW w:w="840" w:type="dxa"/>
            <w:vAlign w:val="bottom"/>
          </w:tcPr>
          <w:p>
            <w:pPr>
              <w:ind w:left="20"/>
              <w:spacing w:after="0"/>
              <w:rPr>
                <w:sz w:val="20"/>
                <w:szCs w:val="20"/>
                <w:color w:val="auto"/>
              </w:rPr>
            </w:pPr>
            <w:r>
              <w:rPr>
                <w:rFonts w:ascii="Arial" w:cs="Arial" w:eastAsia="Arial" w:hAnsi="Arial"/>
                <w:sz w:val="14"/>
                <w:szCs w:val="14"/>
                <w:color w:val="auto"/>
              </w:rPr>
              <w:t>- $185</w:t>
            </w: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$175</w:t>
            </w:r>
          </w:p>
        </w:tc>
        <w:tc>
          <w:tcPr>
            <w:tcW w:w="860" w:type="dxa"/>
            <w:vAlign w:val="bottom"/>
          </w:tcPr>
          <w:p>
            <w:pPr>
              <w:ind w:left="20"/>
              <w:spacing w:after="0"/>
              <w:rPr>
                <w:sz w:val="20"/>
                <w:szCs w:val="20"/>
                <w:color w:val="auto"/>
              </w:rPr>
            </w:pPr>
            <w:r>
              <w:rPr>
                <w:rFonts w:ascii="Arial" w:cs="Arial" w:eastAsia="Arial" w:hAnsi="Arial"/>
                <w:sz w:val="14"/>
                <w:szCs w:val="14"/>
                <w:color w:val="auto"/>
              </w:rPr>
              <w:t>- $185</w:t>
            </w:r>
          </w:p>
        </w:tc>
        <w:tc>
          <w:tcPr>
            <w:tcW w:w="0" w:type="dxa"/>
            <w:vAlign w:val="bottom"/>
          </w:tcPr>
          <w:p>
            <w:pPr>
              <w:spacing w:after="0"/>
              <w:rPr>
                <w:sz w:val="1"/>
                <w:szCs w:val="1"/>
                <w:color w:val="auto"/>
              </w:rPr>
            </w:pPr>
          </w:p>
        </w:tc>
      </w:tr>
      <w:tr>
        <w:trPr>
          <w:trHeight w:val="207"/>
        </w:trPr>
        <w:tc>
          <w:tcPr>
            <w:tcW w:w="5200" w:type="dxa"/>
            <w:vAlign w:val="bottom"/>
            <w:shd w:val="clear" w:color="auto" w:fill="DBDBDB"/>
          </w:tcPr>
          <w:p>
            <w:pPr>
              <w:ind w:left="140"/>
              <w:spacing w:after="0"/>
              <w:rPr>
                <w:sz w:val="20"/>
                <w:szCs w:val="20"/>
                <w:color w:val="auto"/>
              </w:rPr>
            </w:pPr>
            <w:r>
              <w:rPr>
                <w:rFonts w:ascii="Arial" w:cs="Arial" w:eastAsia="Arial" w:hAnsi="Arial"/>
                <w:sz w:val="14"/>
                <w:szCs w:val="14"/>
                <w:color w:val="auto"/>
              </w:rPr>
              <w:t>Interest and Debt Expense* ($ millions)</w:t>
            </w:r>
          </w:p>
        </w:tc>
        <w:tc>
          <w:tcPr>
            <w:tcW w:w="1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$55</w:t>
            </w:r>
          </w:p>
        </w:tc>
        <w:tc>
          <w:tcPr>
            <w:tcW w:w="8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$60</w:t>
            </w:r>
          </w:p>
        </w:tc>
        <w:tc>
          <w:tcPr>
            <w:tcW w:w="120" w:type="dxa"/>
            <w:vAlign w:val="bottom"/>
          </w:tcPr>
          <w:p>
            <w:pPr>
              <w:spacing w:after="0"/>
              <w:rPr>
                <w:sz w:val="17"/>
                <w:szCs w:val="17"/>
                <w:color w:val="auto"/>
              </w:rPr>
            </w:pPr>
          </w:p>
        </w:tc>
        <w:tc>
          <w:tcPr>
            <w:tcW w:w="160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$55</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$60</w:t>
            </w:r>
          </w:p>
        </w:tc>
        <w:tc>
          <w:tcPr>
            <w:tcW w:w="0" w:type="dxa"/>
            <w:vAlign w:val="bottom"/>
          </w:tcPr>
          <w:p>
            <w:pPr>
              <w:spacing w:after="0"/>
              <w:rPr>
                <w:sz w:val="1"/>
                <w:szCs w:val="1"/>
                <w:color w:val="auto"/>
              </w:rPr>
            </w:pPr>
          </w:p>
        </w:tc>
      </w:tr>
      <w:tr>
        <w:trPr>
          <w:trHeight w:val="198"/>
        </w:trPr>
        <w:tc>
          <w:tcPr>
            <w:tcW w:w="5200" w:type="dxa"/>
            <w:vAlign w:val="bottom"/>
          </w:tcPr>
          <w:p>
            <w:pPr>
              <w:ind w:left="140"/>
              <w:spacing w:after="0"/>
              <w:rPr>
                <w:sz w:val="20"/>
                <w:szCs w:val="20"/>
                <w:color w:val="auto"/>
              </w:rPr>
            </w:pPr>
            <w:r>
              <w:rPr>
                <w:rFonts w:ascii="Arial" w:cs="Arial" w:eastAsia="Arial" w:hAnsi="Arial"/>
                <w:sz w:val="14"/>
                <w:szCs w:val="14"/>
                <w:color w:val="auto"/>
              </w:rPr>
              <w:t>Cash Income Taxes* ($ millions)</w:t>
            </w:r>
          </w:p>
        </w:tc>
        <w:tc>
          <w:tcPr>
            <w:tcW w:w="2480" w:type="dxa"/>
            <w:vAlign w:val="bottom"/>
            <w:gridSpan w:val="2"/>
          </w:tcPr>
          <w:p>
            <w:pPr>
              <w:jc w:val="center"/>
              <w:ind w:left="828"/>
              <w:spacing w:after="0"/>
              <w:rPr>
                <w:sz w:val="20"/>
                <w:szCs w:val="20"/>
                <w:color w:val="auto"/>
              </w:rPr>
            </w:pPr>
            <w:r>
              <w:rPr>
                <w:rFonts w:ascii="Arial" w:cs="Arial" w:eastAsia="Arial" w:hAnsi="Arial"/>
                <w:sz w:val="14"/>
                <w:szCs w:val="14"/>
                <w:color w:val="auto"/>
              </w:rPr>
              <w:t>$80 - $100</w:t>
            </w: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740" w:type="dxa"/>
            <w:vAlign w:val="bottom"/>
            <w:gridSpan w:val="3"/>
          </w:tcPr>
          <w:p>
            <w:pPr>
              <w:jc w:val="center"/>
              <w:ind w:left="28"/>
              <w:spacing w:after="0"/>
              <w:rPr>
                <w:sz w:val="20"/>
                <w:szCs w:val="20"/>
                <w:color w:val="auto"/>
              </w:rPr>
            </w:pPr>
            <w:r>
              <w:rPr>
                <w:rFonts w:ascii="Arial" w:cs="Arial" w:eastAsia="Arial" w:hAnsi="Arial"/>
                <w:sz w:val="14"/>
                <w:szCs w:val="14"/>
                <w:color w:val="auto"/>
              </w:rPr>
              <w:t>$80 - $100</w:t>
            </w:r>
          </w:p>
        </w:tc>
        <w:tc>
          <w:tcPr>
            <w:tcW w:w="0" w:type="dxa"/>
            <w:vAlign w:val="bottom"/>
          </w:tcPr>
          <w:p>
            <w:pPr>
              <w:spacing w:after="0"/>
              <w:rPr>
                <w:sz w:val="1"/>
                <w:szCs w:val="1"/>
                <w:color w:val="auto"/>
              </w:rPr>
            </w:pPr>
          </w:p>
        </w:tc>
      </w:tr>
      <w:tr>
        <w:trPr>
          <w:trHeight w:val="261"/>
        </w:trPr>
        <w:tc>
          <w:tcPr>
            <w:tcW w:w="5200" w:type="dxa"/>
            <w:vAlign w:val="bottom"/>
            <w:shd w:val="clear" w:color="auto" w:fill="DBDBDB"/>
          </w:tcPr>
          <w:p>
            <w:pPr>
              <w:spacing w:after="0"/>
              <w:rPr>
                <w:sz w:val="22"/>
                <w:szCs w:val="22"/>
                <w:color w:val="auto"/>
              </w:rPr>
            </w:pPr>
          </w:p>
        </w:tc>
        <w:tc>
          <w:tcPr>
            <w:tcW w:w="1640" w:type="dxa"/>
            <w:vAlign w:val="bottom"/>
            <w:shd w:val="clear" w:color="auto" w:fill="DBDBDB"/>
          </w:tcPr>
          <w:p>
            <w:pPr>
              <w:spacing w:after="0"/>
              <w:rPr>
                <w:sz w:val="22"/>
                <w:szCs w:val="22"/>
                <w:color w:val="auto"/>
              </w:rPr>
            </w:pPr>
          </w:p>
        </w:tc>
        <w:tc>
          <w:tcPr>
            <w:tcW w:w="840" w:type="dxa"/>
            <w:vAlign w:val="bottom"/>
            <w:shd w:val="clear" w:color="auto" w:fill="DBDBDB"/>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shd w:val="clear" w:color="auto" w:fill="DBDBDB"/>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shd w:val="clear" w:color="auto" w:fill="DBDBDB"/>
          </w:tcPr>
          <w:p>
            <w:pPr>
              <w:spacing w:after="0"/>
              <w:rPr>
                <w:sz w:val="22"/>
                <w:szCs w:val="22"/>
                <w:color w:val="auto"/>
              </w:rPr>
            </w:pPr>
          </w:p>
        </w:tc>
        <w:tc>
          <w:tcPr>
            <w:tcW w:w="8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200" w:type="dxa"/>
            <w:vAlign w:val="bottom"/>
          </w:tcPr>
          <w:p>
            <w:pPr>
              <w:ind w:left="140"/>
              <w:spacing w:after="0"/>
              <w:rPr>
                <w:sz w:val="20"/>
                <w:szCs w:val="20"/>
                <w:color w:val="auto"/>
              </w:rPr>
            </w:pPr>
            <w:r>
              <w:rPr>
                <w:rFonts w:ascii="Arial" w:cs="Arial" w:eastAsia="Arial" w:hAnsi="Arial"/>
                <w:sz w:val="14"/>
                <w:szCs w:val="14"/>
                <w:color w:val="auto"/>
              </w:rPr>
              <w:t>Commodity Realizations:</w:t>
            </w: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200" w:type="dxa"/>
            <w:vAlign w:val="bottom"/>
            <w:shd w:val="clear" w:color="auto" w:fill="DBDBDB"/>
          </w:tcPr>
          <w:p>
            <w:pPr>
              <w:ind w:left="220"/>
              <w:spacing w:after="0"/>
              <w:rPr>
                <w:sz w:val="20"/>
                <w:szCs w:val="20"/>
                <w:color w:val="auto"/>
              </w:rPr>
            </w:pPr>
            <w:r>
              <w:rPr>
                <w:rFonts w:ascii="Arial" w:cs="Arial" w:eastAsia="Arial" w:hAnsi="Arial"/>
                <w:sz w:val="14"/>
                <w:szCs w:val="14"/>
                <w:color w:val="auto"/>
              </w:rPr>
              <w:t>Oil - % of Brent:</w:t>
            </w:r>
          </w:p>
        </w:tc>
        <w:tc>
          <w:tcPr>
            <w:tcW w:w="1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97%</w:t>
            </w:r>
          </w:p>
        </w:tc>
        <w:tc>
          <w:tcPr>
            <w:tcW w:w="8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- 99%</w:t>
            </w:r>
          </w:p>
        </w:tc>
        <w:tc>
          <w:tcPr>
            <w:tcW w:w="120" w:type="dxa"/>
            <w:vAlign w:val="bottom"/>
          </w:tcPr>
          <w:p>
            <w:pPr>
              <w:spacing w:after="0"/>
              <w:rPr>
                <w:sz w:val="17"/>
                <w:szCs w:val="17"/>
                <w:color w:val="auto"/>
              </w:rPr>
            </w:pPr>
          </w:p>
        </w:tc>
        <w:tc>
          <w:tcPr>
            <w:tcW w:w="160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97%</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- 99%</w:t>
            </w:r>
          </w:p>
        </w:tc>
        <w:tc>
          <w:tcPr>
            <w:tcW w:w="0" w:type="dxa"/>
            <w:vAlign w:val="bottom"/>
          </w:tcPr>
          <w:p>
            <w:pPr>
              <w:spacing w:after="0"/>
              <w:rPr>
                <w:sz w:val="1"/>
                <w:szCs w:val="1"/>
                <w:color w:val="auto"/>
              </w:rPr>
            </w:pPr>
          </w:p>
        </w:tc>
      </w:tr>
      <w:tr>
        <w:trPr>
          <w:trHeight w:val="198"/>
        </w:trPr>
        <w:tc>
          <w:tcPr>
            <w:tcW w:w="5200" w:type="dxa"/>
            <w:vAlign w:val="bottom"/>
          </w:tcPr>
          <w:p>
            <w:pPr>
              <w:ind w:left="220"/>
              <w:spacing w:after="0"/>
              <w:rPr>
                <w:sz w:val="20"/>
                <w:szCs w:val="20"/>
                <w:color w:val="auto"/>
              </w:rPr>
            </w:pPr>
            <w:r>
              <w:rPr>
                <w:rFonts w:ascii="Arial" w:cs="Arial" w:eastAsia="Arial" w:hAnsi="Arial"/>
                <w:sz w:val="14"/>
                <w:szCs w:val="14"/>
                <w:color w:val="auto"/>
              </w:rPr>
              <w:t>NGL - % of Brent:</w:t>
            </w:r>
          </w:p>
        </w:tc>
        <w:tc>
          <w:tcPr>
            <w:tcW w:w="1640" w:type="dxa"/>
            <w:vAlign w:val="bottom"/>
          </w:tcPr>
          <w:p>
            <w:pPr>
              <w:jc w:val="right"/>
              <w:spacing w:after="0"/>
              <w:rPr>
                <w:sz w:val="20"/>
                <w:szCs w:val="20"/>
                <w:color w:val="auto"/>
              </w:rPr>
            </w:pPr>
            <w:r>
              <w:rPr>
                <w:rFonts w:ascii="Arial" w:cs="Arial" w:eastAsia="Arial" w:hAnsi="Arial"/>
                <w:sz w:val="14"/>
                <w:szCs w:val="14"/>
                <w:color w:val="auto"/>
              </w:rPr>
              <w:t>58%</w:t>
            </w:r>
          </w:p>
        </w:tc>
        <w:tc>
          <w:tcPr>
            <w:tcW w:w="840" w:type="dxa"/>
            <w:vAlign w:val="bottom"/>
          </w:tcPr>
          <w:p>
            <w:pPr>
              <w:ind w:left="20"/>
              <w:spacing w:after="0"/>
              <w:rPr>
                <w:sz w:val="20"/>
                <w:szCs w:val="20"/>
                <w:color w:val="auto"/>
              </w:rPr>
            </w:pPr>
            <w:r>
              <w:rPr>
                <w:rFonts w:ascii="Arial" w:cs="Arial" w:eastAsia="Arial" w:hAnsi="Arial"/>
                <w:sz w:val="14"/>
                <w:szCs w:val="14"/>
                <w:color w:val="auto"/>
              </w:rPr>
              <w:t>- 64%</w:t>
            </w: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58%</w:t>
            </w:r>
          </w:p>
        </w:tc>
        <w:tc>
          <w:tcPr>
            <w:tcW w:w="860" w:type="dxa"/>
            <w:vAlign w:val="bottom"/>
          </w:tcPr>
          <w:p>
            <w:pPr>
              <w:ind w:left="20"/>
              <w:spacing w:after="0"/>
              <w:rPr>
                <w:sz w:val="20"/>
                <w:szCs w:val="20"/>
                <w:color w:val="auto"/>
              </w:rPr>
            </w:pPr>
            <w:r>
              <w:rPr>
                <w:rFonts w:ascii="Arial" w:cs="Arial" w:eastAsia="Arial" w:hAnsi="Arial"/>
                <w:sz w:val="14"/>
                <w:szCs w:val="14"/>
                <w:color w:val="auto"/>
              </w:rPr>
              <w:t>- 64%</w:t>
            </w:r>
          </w:p>
        </w:tc>
        <w:tc>
          <w:tcPr>
            <w:tcW w:w="0" w:type="dxa"/>
            <w:vAlign w:val="bottom"/>
          </w:tcPr>
          <w:p>
            <w:pPr>
              <w:spacing w:after="0"/>
              <w:rPr>
                <w:sz w:val="1"/>
                <w:szCs w:val="1"/>
                <w:color w:val="auto"/>
              </w:rPr>
            </w:pPr>
          </w:p>
        </w:tc>
      </w:tr>
      <w:tr>
        <w:trPr>
          <w:trHeight w:val="207"/>
        </w:trPr>
        <w:tc>
          <w:tcPr>
            <w:tcW w:w="5200" w:type="dxa"/>
            <w:vAlign w:val="bottom"/>
            <w:shd w:val="clear" w:color="auto" w:fill="DBDBDB"/>
          </w:tcPr>
          <w:p>
            <w:pPr>
              <w:ind w:left="220"/>
              <w:spacing w:after="0"/>
              <w:rPr>
                <w:sz w:val="20"/>
                <w:szCs w:val="20"/>
                <w:color w:val="auto"/>
              </w:rPr>
            </w:pPr>
            <w:r>
              <w:rPr>
                <w:rFonts w:ascii="Arial" w:cs="Arial" w:eastAsia="Arial" w:hAnsi="Arial"/>
                <w:sz w:val="14"/>
                <w:szCs w:val="14"/>
                <w:color w:val="auto"/>
              </w:rPr>
              <w:t>Natural Gas - % of NYMEX:</w:t>
            </w:r>
          </w:p>
        </w:tc>
        <w:tc>
          <w:tcPr>
            <w:tcW w:w="1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150%</w:t>
            </w:r>
          </w:p>
        </w:tc>
        <w:tc>
          <w:tcPr>
            <w:tcW w:w="8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- 250%</w:t>
            </w:r>
          </w:p>
        </w:tc>
        <w:tc>
          <w:tcPr>
            <w:tcW w:w="120" w:type="dxa"/>
            <w:vAlign w:val="bottom"/>
          </w:tcPr>
          <w:p>
            <w:pPr>
              <w:spacing w:after="0"/>
              <w:rPr>
                <w:sz w:val="17"/>
                <w:szCs w:val="17"/>
                <w:color w:val="auto"/>
              </w:rPr>
            </w:pPr>
          </w:p>
        </w:tc>
        <w:tc>
          <w:tcPr>
            <w:tcW w:w="160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150%</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- 250%</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*Notes:</w:t>
      </w:r>
    </w:p>
    <w:p>
      <w:pPr>
        <w:ind w:left="380" w:hanging="111"/>
        <w:spacing w:after="0" w:line="223"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2023E ARO Settlement Payments: ~25% of estimated annual amount is paid every quarter</w:t>
      </w:r>
    </w:p>
    <w:p>
      <w:pPr>
        <w:ind w:left="380" w:hanging="111"/>
        <w:spacing w:after="0" w:line="201"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2023E Taxes Other Than on Income: ~30% of estimated annual amount is paid in 1Q and 4Q, respectively</w:t>
      </w:r>
    </w:p>
    <w:p>
      <w:pPr>
        <w:ind w:left="380" w:hanging="111"/>
        <w:spacing w:after="0" w:line="221"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2023E Interest Expense: ~46% of estimated annual amount is paid in cash in 1Q and 3Q, respectively</w:t>
      </w:r>
    </w:p>
    <w:p>
      <w:pPr>
        <w:ind w:left="380" w:hanging="111"/>
        <w:spacing w:after="0"/>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Cash Income Taxes aren’t paid evenly throughout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240"/>
          </w:cols>
          <w:pgMar w:left="320" w:top="1369"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u w:val="single" w:color="auto"/>
          <w:color w:val="auto"/>
        </w:rPr>
        <w:t>First Quarter 2023 Guidance and Capital Program</w:t>
      </w:r>
      <w:r>
        <w:rPr>
          <w:rFonts w:ascii="Arial" w:cs="Arial" w:eastAsia="Arial" w:hAnsi="Arial"/>
          <w:sz w:val="28"/>
          <w:szCs w:val="28"/>
          <w:b w:val="1"/>
          <w:bCs w:val="1"/>
          <w:color w:val="auto"/>
          <w:vertAlign w:val="superscript"/>
        </w:rPr>
        <w:t>3</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22"/>
          <w:szCs w:val="22"/>
          <w:color w:val="auto"/>
        </w:rPr>
        <w:t>CRC expects its first quarter 2023 capital program to range between $57 and $69 million assuming normal operating conditions. This includes $2 to $4 million for carbon management projects.</w:t>
      </w:r>
    </w:p>
    <w:p>
      <w:pPr>
        <w:spacing w:after="0" w:line="183"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At this level of spending, CRC expects to produce between 89,000 and 91,000 Boe/d</w:t>
      </w:r>
      <w:r>
        <w:rPr>
          <w:rFonts w:ascii="Arial" w:cs="Arial" w:eastAsia="Arial" w:hAnsi="Arial"/>
          <w:sz w:val="11"/>
          <w:szCs w:val="11"/>
          <w:color w:val="auto"/>
        </w:rPr>
        <w:t>3</w:t>
      </w:r>
      <w:r>
        <w:rPr>
          <w:rFonts w:ascii="Arial" w:cs="Arial" w:eastAsia="Arial" w:hAnsi="Arial"/>
          <w:sz w:val="22"/>
          <w:szCs w:val="22"/>
          <w:color w:val="auto"/>
        </w:rPr>
        <w:t xml:space="preserve"> (~59% oil) in the first quarter of 2023 and plans to run 3 drilling rigs in the Long Beach and San Joaquin basins developing drilling locations for which we already have permits. CRC will also focus on workover activity throughout 2023 to offset base decline following the impact of the Kern County EIR litigation.</w:t>
      </w:r>
    </w:p>
    <w:p>
      <w:pPr>
        <w:spacing w:after="0" w:line="203"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CRC sells all of its natural gas not used in its operations into the California market where the majority of these sales are done via bid in monthly method. Given the recent natural gas environment, CRC expects the first quarter of 2023 to benefit on a net basis, particularly in its natural gas revenue and natural gas marketing segments. CRC also expects to see higher costs related to purchased natural gas and energy operating costs, but as CRC is net long natural gas, the benefit will exceed the higher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70637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20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CRC GUIDANCE</w:t>
            </w:r>
            <w:r>
              <w:rPr>
                <w:rFonts w:ascii="Arial" w:cs="Arial" w:eastAsia="Arial" w:hAnsi="Arial"/>
                <w:sz w:val="9"/>
                <w:szCs w:val="9"/>
                <w:b w:val="1"/>
                <w:bCs w:val="1"/>
                <w:color w:val="auto"/>
              </w:rPr>
              <w:t>3</w:t>
            </w:r>
          </w:p>
        </w:tc>
        <w:tc>
          <w:tcPr>
            <w:tcW w:w="2480" w:type="dxa"/>
            <w:vAlign w:val="bottom"/>
            <w:tcBorders>
              <w:top w:val="single" w:sz="8" w:color="auto"/>
            </w:tcBorders>
            <w:gridSpan w:val="2"/>
          </w:tcPr>
          <w:p>
            <w:pPr>
              <w:ind w:left="148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gridSpan w:val="2"/>
          </w:tcPr>
          <w:p>
            <w:pPr>
              <w:jc w:val="right"/>
              <w:ind w:right="588"/>
              <w:spacing w:after="0"/>
              <w:rPr>
                <w:sz w:val="20"/>
                <w:szCs w:val="20"/>
                <w:color w:val="auto"/>
              </w:rPr>
            </w:pPr>
            <w:r>
              <w:rPr>
                <w:rFonts w:ascii="Arial" w:cs="Arial" w:eastAsia="Arial" w:hAnsi="Arial"/>
                <w:sz w:val="14"/>
                <w:szCs w:val="14"/>
                <w:b w:val="1"/>
                <w:bCs w:val="1"/>
                <w:color w:val="auto"/>
              </w:rPr>
              <w:t>CMB</w:t>
            </w:r>
          </w:p>
        </w:tc>
        <w:tc>
          <w:tcPr>
            <w:tcW w:w="12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E&amp;P, Corp. &amp; Other</w:t>
            </w:r>
          </w:p>
        </w:tc>
        <w:tc>
          <w:tcPr>
            <w:tcW w:w="0" w:type="dxa"/>
            <w:vAlign w:val="bottom"/>
          </w:tcPr>
          <w:p>
            <w:pPr>
              <w:spacing w:after="0"/>
              <w:rPr>
                <w:sz w:val="1"/>
                <w:szCs w:val="1"/>
                <w:color w:val="auto"/>
              </w:rPr>
            </w:pPr>
          </w:p>
        </w:tc>
      </w:tr>
      <w:tr>
        <w:trPr>
          <w:trHeight w:val="185"/>
        </w:trPr>
        <w:tc>
          <w:tcPr>
            <w:tcW w:w="5200" w:type="dxa"/>
            <w:vAlign w:val="bottom"/>
            <w:tcBorders>
              <w:bottom w:val="single" w:sz="8" w:color="auto"/>
            </w:tcBorders>
            <w:vMerge w:val="continue"/>
          </w:tcPr>
          <w:p>
            <w:pPr>
              <w:spacing w:after="0"/>
              <w:rPr>
                <w:sz w:val="16"/>
                <w:szCs w:val="16"/>
                <w:color w:val="auto"/>
              </w:rPr>
            </w:pPr>
          </w:p>
        </w:tc>
        <w:tc>
          <w:tcPr>
            <w:tcW w:w="2480" w:type="dxa"/>
            <w:vAlign w:val="bottom"/>
            <w:tcBorders>
              <w:bottom w:val="single" w:sz="8" w:color="auto"/>
            </w:tcBorders>
            <w:gridSpan w:val="2"/>
          </w:tcPr>
          <w:p>
            <w:pPr>
              <w:jc w:val="center"/>
              <w:ind w:left="788"/>
              <w:spacing w:after="0"/>
              <w:rPr>
                <w:sz w:val="20"/>
                <w:szCs w:val="20"/>
                <w:color w:val="auto"/>
              </w:rPr>
            </w:pPr>
            <w:r>
              <w:rPr>
                <w:rFonts w:ascii="Arial" w:cs="Arial" w:eastAsia="Arial" w:hAnsi="Arial"/>
                <w:sz w:val="14"/>
                <w:szCs w:val="14"/>
                <w:b w:val="1"/>
                <w:bCs w:val="1"/>
                <w:color w:val="auto"/>
              </w:rPr>
              <w:t>1Q23E</w:t>
            </w:r>
          </w:p>
        </w:tc>
        <w:tc>
          <w:tcPr>
            <w:tcW w:w="100" w:type="dxa"/>
            <w:vAlign w:val="bottom"/>
          </w:tcPr>
          <w:p>
            <w:pPr>
              <w:spacing w:after="0"/>
              <w:rPr>
                <w:sz w:val="16"/>
                <w:szCs w:val="16"/>
                <w:color w:val="auto"/>
              </w:rPr>
            </w:pPr>
          </w:p>
        </w:tc>
        <w:tc>
          <w:tcPr>
            <w:tcW w:w="1620" w:type="dxa"/>
            <w:vAlign w:val="bottom"/>
            <w:tcBorders>
              <w:bottom w:val="single" w:sz="8" w:color="auto"/>
            </w:tcBorders>
            <w:gridSpan w:val="2"/>
          </w:tcPr>
          <w:p>
            <w:pPr>
              <w:jc w:val="right"/>
              <w:ind w:right="508"/>
              <w:spacing w:after="0"/>
              <w:rPr>
                <w:sz w:val="20"/>
                <w:szCs w:val="20"/>
                <w:color w:val="auto"/>
              </w:rPr>
            </w:pPr>
            <w:r>
              <w:rPr>
                <w:rFonts w:ascii="Arial" w:cs="Arial" w:eastAsia="Arial" w:hAnsi="Arial"/>
                <w:sz w:val="14"/>
                <w:szCs w:val="14"/>
                <w:b w:val="1"/>
                <w:bCs w:val="1"/>
                <w:color w:val="auto"/>
              </w:rPr>
              <w:t>1Q23E</w:t>
            </w:r>
          </w:p>
        </w:tc>
        <w:tc>
          <w:tcPr>
            <w:tcW w:w="120" w:type="dxa"/>
            <w:vAlign w:val="bottom"/>
          </w:tcPr>
          <w:p>
            <w:pPr>
              <w:spacing w:after="0"/>
              <w:rPr>
                <w:sz w:val="16"/>
                <w:szCs w:val="16"/>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1Q23E</w:t>
            </w:r>
          </w:p>
        </w:tc>
        <w:tc>
          <w:tcPr>
            <w:tcW w:w="0" w:type="dxa"/>
            <w:vAlign w:val="bottom"/>
          </w:tcPr>
          <w:p>
            <w:pPr>
              <w:spacing w:after="0"/>
              <w:rPr>
                <w:sz w:val="1"/>
                <w:szCs w:val="1"/>
                <w:color w:val="auto"/>
              </w:rPr>
            </w:pPr>
          </w:p>
        </w:tc>
      </w:tr>
      <w:tr>
        <w:trPr>
          <w:trHeight w:val="192"/>
        </w:trPr>
        <w:tc>
          <w:tcPr>
            <w:tcW w:w="5200" w:type="dxa"/>
            <w:vAlign w:val="bottom"/>
          </w:tcPr>
          <w:p>
            <w:pPr>
              <w:ind w:left="140"/>
              <w:spacing w:after="0"/>
              <w:rPr>
                <w:sz w:val="20"/>
                <w:szCs w:val="20"/>
                <w:color w:val="auto"/>
              </w:rPr>
            </w:pPr>
            <w:r>
              <w:rPr>
                <w:rFonts w:ascii="Arial" w:cs="Arial" w:eastAsia="Arial" w:hAnsi="Arial"/>
                <w:sz w:val="14"/>
                <w:szCs w:val="14"/>
                <w:color w:val="auto"/>
              </w:rPr>
              <w:t>Net Total Production (MBoe/d)</w:t>
            </w:r>
          </w:p>
        </w:tc>
        <w:tc>
          <w:tcPr>
            <w:tcW w:w="1620" w:type="dxa"/>
            <w:vAlign w:val="bottom"/>
          </w:tcPr>
          <w:p>
            <w:pPr>
              <w:jc w:val="right"/>
              <w:spacing w:after="0"/>
              <w:rPr>
                <w:sz w:val="20"/>
                <w:szCs w:val="20"/>
                <w:color w:val="auto"/>
              </w:rPr>
            </w:pPr>
            <w:r>
              <w:rPr>
                <w:rFonts w:ascii="Arial" w:cs="Arial" w:eastAsia="Arial" w:hAnsi="Arial"/>
                <w:sz w:val="14"/>
                <w:szCs w:val="14"/>
                <w:color w:val="auto"/>
              </w:rPr>
              <w:t>89</w:t>
            </w:r>
          </w:p>
        </w:tc>
        <w:tc>
          <w:tcPr>
            <w:tcW w:w="860" w:type="dxa"/>
            <w:vAlign w:val="bottom"/>
          </w:tcPr>
          <w:p>
            <w:pPr>
              <w:ind w:left="20"/>
              <w:spacing w:after="0"/>
              <w:rPr>
                <w:sz w:val="20"/>
                <w:szCs w:val="20"/>
                <w:color w:val="auto"/>
              </w:rPr>
            </w:pPr>
            <w:r>
              <w:rPr>
                <w:rFonts w:ascii="Arial" w:cs="Arial" w:eastAsia="Arial" w:hAnsi="Arial"/>
                <w:sz w:val="14"/>
                <w:szCs w:val="14"/>
                <w:color w:val="auto"/>
              </w:rPr>
              <w:t>- 91</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89</w:t>
            </w:r>
          </w:p>
        </w:tc>
        <w:tc>
          <w:tcPr>
            <w:tcW w:w="860" w:type="dxa"/>
            <w:vAlign w:val="bottom"/>
          </w:tcPr>
          <w:p>
            <w:pPr>
              <w:ind w:left="20"/>
              <w:spacing w:after="0"/>
              <w:rPr>
                <w:sz w:val="20"/>
                <w:szCs w:val="20"/>
                <w:color w:val="auto"/>
              </w:rPr>
            </w:pPr>
            <w:r>
              <w:rPr>
                <w:rFonts w:ascii="Arial" w:cs="Arial" w:eastAsia="Arial" w:hAnsi="Arial"/>
                <w:sz w:val="14"/>
                <w:szCs w:val="14"/>
                <w:color w:val="auto"/>
              </w:rPr>
              <w:t>- 91</w:t>
            </w:r>
          </w:p>
        </w:tc>
        <w:tc>
          <w:tcPr>
            <w:tcW w:w="0" w:type="dxa"/>
            <w:vAlign w:val="bottom"/>
          </w:tcPr>
          <w:p>
            <w:pPr>
              <w:spacing w:after="0"/>
              <w:rPr>
                <w:sz w:val="1"/>
                <w:szCs w:val="1"/>
                <w:color w:val="auto"/>
              </w:rPr>
            </w:pPr>
          </w:p>
        </w:tc>
      </w:tr>
      <w:tr>
        <w:trPr>
          <w:trHeight w:val="207"/>
        </w:trPr>
        <w:tc>
          <w:tcPr>
            <w:tcW w:w="5200" w:type="dxa"/>
            <w:vAlign w:val="bottom"/>
            <w:shd w:val="clear" w:color="auto" w:fill="DBDBDB"/>
          </w:tcPr>
          <w:p>
            <w:pPr>
              <w:ind w:left="140"/>
              <w:spacing w:after="0"/>
              <w:rPr>
                <w:sz w:val="20"/>
                <w:szCs w:val="20"/>
                <w:color w:val="auto"/>
              </w:rPr>
            </w:pPr>
            <w:r>
              <w:rPr>
                <w:rFonts w:ascii="Arial" w:cs="Arial" w:eastAsia="Arial" w:hAnsi="Arial"/>
                <w:sz w:val="14"/>
                <w:szCs w:val="14"/>
                <w:color w:val="auto"/>
              </w:rPr>
              <w:t>Net Oil Production (MBbl/d)</w:t>
            </w: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53</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- 54</w:t>
            </w:r>
          </w:p>
        </w:tc>
        <w:tc>
          <w:tcPr>
            <w:tcW w:w="100" w:type="dxa"/>
            <w:vAlign w:val="bottom"/>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53</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- 54</w:t>
            </w:r>
          </w:p>
        </w:tc>
        <w:tc>
          <w:tcPr>
            <w:tcW w:w="0" w:type="dxa"/>
            <w:vAlign w:val="bottom"/>
          </w:tcPr>
          <w:p>
            <w:pPr>
              <w:spacing w:after="0"/>
              <w:rPr>
                <w:sz w:val="1"/>
                <w:szCs w:val="1"/>
                <w:color w:val="auto"/>
              </w:rPr>
            </w:pPr>
          </w:p>
        </w:tc>
      </w:tr>
      <w:tr>
        <w:trPr>
          <w:trHeight w:val="198"/>
        </w:trPr>
        <w:tc>
          <w:tcPr>
            <w:tcW w:w="5200" w:type="dxa"/>
            <w:vAlign w:val="bottom"/>
          </w:tcPr>
          <w:p>
            <w:pPr>
              <w:ind w:left="140"/>
              <w:spacing w:after="0"/>
              <w:rPr>
                <w:sz w:val="20"/>
                <w:szCs w:val="20"/>
                <w:color w:val="auto"/>
              </w:rPr>
            </w:pPr>
            <w:r>
              <w:rPr>
                <w:rFonts w:ascii="Arial" w:cs="Arial" w:eastAsia="Arial" w:hAnsi="Arial"/>
                <w:sz w:val="14"/>
                <w:szCs w:val="14"/>
                <w:color w:val="auto"/>
              </w:rPr>
              <w:t>Operating Costs ($ millions)</w:t>
            </w:r>
          </w:p>
        </w:tc>
        <w:tc>
          <w:tcPr>
            <w:tcW w:w="1620" w:type="dxa"/>
            <w:vAlign w:val="bottom"/>
          </w:tcPr>
          <w:p>
            <w:pPr>
              <w:jc w:val="right"/>
              <w:spacing w:after="0"/>
              <w:rPr>
                <w:sz w:val="20"/>
                <w:szCs w:val="20"/>
                <w:color w:val="auto"/>
              </w:rPr>
            </w:pPr>
            <w:r>
              <w:rPr>
                <w:rFonts w:ascii="Arial" w:cs="Arial" w:eastAsia="Arial" w:hAnsi="Arial"/>
                <w:sz w:val="14"/>
                <w:szCs w:val="14"/>
                <w:color w:val="auto"/>
              </w:rPr>
              <w:t>$260</w:t>
            </w:r>
          </w:p>
        </w:tc>
        <w:tc>
          <w:tcPr>
            <w:tcW w:w="860" w:type="dxa"/>
            <w:vAlign w:val="bottom"/>
          </w:tcPr>
          <w:p>
            <w:pPr>
              <w:ind w:left="20"/>
              <w:spacing w:after="0"/>
              <w:rPr>
                <w:sz w:val="20"/>
                <w:szCs w:val="20"/>
                <w:color w:val="auto"/>
              </w:rPr>
            </w:pPr>
            <w:r>
              <w:rPr>
                <w:rFonts w:ascii="Arial" w:cs="Arial" w:eastAsia="Arial" w:hAnsi="Arial"/>
                <w:sz w:val="14"/>
                <w:szCs w:val="14"/>
                <w:color w:val="auto"/>
              </w:rPr>
              <w:t>- $270</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$260</w:t>
            </w:r>
          </w:p>
        </w:tc>
        <w:tc>
          <w:tcPr>
            <w:tcW w:w="860" w:type="dxa"/>
            <w:vAlign w:val="bottom"/>
          </w:tcPr>
          <w:p>
            <w:pPr>
              <w:ind w:left="20"/>
              <w:spacing w:after="0"/>
              <w:rPr>
                <w:sz w:val="20"/>
                <w:szCs w:val="20"/>
                <w:color w:val="auto"/>
              </w:rPr>
            </w:pPr>
            <w:r>
              <w:rPr>
                <w:rFonts w:ascii="Arial" w:cs="Arial" w:eastAsia="Arial" w:hAnsi="Arial"/>
                <w:sz w:val="14"/>
                <w:szCs w:val="14"/>
                <w:color w:val="auto"/>
              </w:rPr>
              <w:t>- $270</w:t>
            </w:r>
          </w:p>
        </w:tc>
        <w:tc>
          <w:tcPr>
            <w:tcW w:w="0" w:type="dxa"/>
            <w:vAlign w:val="bottom"/>
          </w:tcPr>
          <w:p>
            <w:pPr>
              <w:spacing w:after="0"/>
              <w:rPr>
                <w:sz w:val="1"/>
                <w:szCs w:val="1"/>
                <w:color w:val="auto"/>
              </w:rPr>
            </w:pPr>
          </w:p>
        </w:tc>
      </w:tr>
      <w:tr>
        <w:trPr>
          <w:trHeight w:val="207"/>
        </w:trPr>
        <w:tc>
          <w:tcPr>
            <w:tcW w:w="5200" w:type="dxa"/>
            <w:vAlign w:val="bottom"/>
            <w:shd w:val="clear" w:color="auto" w:fill="DBDBDB"/>
          </w:tcPr>
          <w:p>
            <w:pPr>
              <w:ind w:left="140"/>
              <w:spacing w:after="0"/>
              <w:rPr>
                <w:sz w:val="20"/>
                <w:szCs w:val="20"/>
                <w:color w:val="auto"/>
              </w:rPr>
            </w:pPr>
            <w:r>
              <w:rPr>
                <w:rFonts w:ascii="Arial" w:cs="Arial" w:eastAsia="Arial" w:hAnsi="Arial"/>
                <w:sz w:val="14"/>
                <w:szCs w:val="14"/>
                <w:color w:val="auto"/>
              </w:rPr>
              <w:t>CMB Expenses</w:t>
            </w:r>
            <w:r>
              <w:rPr>
                <w:rFonts w:ascii="Arial" w:cs="Arial" w:eastAsia="Arial" w:hAnsi="Arial"/>
                <w:sz w:val="9"/>
                <w:szCs w:val="9"/>
                <w:color w:val="auto"/>
              </w:rPr>
              <w:t>5</w:t>
            </w:r>
            <w:r>
              <w:rPr>
                <w:rFonts w:ascii="Arial" w:cs="Arial" w:eastAsia="Arial" w:hAnsi="Arial"/>
                <w:sz w:val="14"/>
                <w:szCs w:val="14"/>
                <w:color w:val="auto"/>
              </w:rPr>
              <w:t xml:space="preserve"> ($ millions)</w:t>
            </w:r>
          </w:p>
        </w:tc>
        <w:tc>
          <w:tcPr>
            <w:tcW w:w="2480" w:type="dxa"/>
            <w:vAlign w:val="bottom"/>
            <w:gridSpan w:val="2"/>
            <w:shd w:val="clear" w:color="auto" w:fill="DBDBDB"/>
          </w:tcPr>
          <w:p>
            <w:pPr>
              <w:jc w:val="right"/>
              <w:ind w:right="468"/>
              <w:spacing w:after="0"/>
              <w:rPr>
                <w:sz w:val="20"/>
                <w:szCs w:val="20"/>
                <w:color w:val="auto"/>
              </w:rPr>
            </w:pPr>
            <w:r>
              <w:rPr>
                <w:rFonts w:ascii="Arial" w:cs="Arial" w:eastAsia="Arial" w:hAnsi="Arial"/>
                <w:sz w:val="14"/>
                <w:szCs w:val="14"/>
                <w:color w:val="auto"/>
              </w:rPr>
              <w:t>$5 - $10</w:t>
            </w:r>
          </w:p>
        </w:tc>
        <w:tc>
          <w:tcPr>
            <w:tcW w:w="100" w:type="dxa"/>
            <w:vAlign w:val="bottom"/>
          </w:tcPr>
          <w:p>
            <w:pPr>
              <w:spacing w:after="0"/>
              <w:rPr>
                <w:sz w:val="17"/>
                <w:szCs w:val="17"/>
                <w:color w:val="auto"/>
              </w:rPr>
            </w:pPr>
          </w:p>
        </w:tc>
        <w:tc>
          <w:tcPr>
            <w:tcW w:w="1620" w:type="dxa"/>
            <w:vAlign w:val="bottom"/>
            <w:gridSpan w:val="2"/>
            <w:shd w:val="clear" w:color="auto" w:fill="DBDBDB"/>
          </w:tcPr>
          <w:p>
            <w:pPr>
              <w:jc w:val="right"/>
              <w:ind w:right="468"/>
              <w:spacing w:after="0"/>
              <w:rPr>
                <w:sz w:val="20"/>
                <w:szCs w:val="20"/>
                <w:color w:val="auto"/>
              </w:rPr>
            </w:pPr>
            <w:r>
              <w:rPr>
                <w:rFonts w:ascii="Arial" w:cs="Arial" w:eastAsia="Arial" w:hAnsi="Arial"/>
                <w:sz w:val="14"/>
                <w:szCs w:val="14"/>
                <w:color w:val="auto"/>
              </w:rPr>
              <w:t>$5 - $10</w:t>
            </w:r>
          </w:p>
        </w:tc>
        <w:tc>
          <w:tcPr>
            <w:tcW w:w="120" w:type="dxa"/>
            <w:vAlign w:val="bottom"/>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00" w:type="dxa"/>
            <w:vAlign w:val="bottom"/>
          </w:tcPr>
          <w:p>
            <w:pPr>
              <w:ind w:left="140"/>
              <w:spacing w:after="0"/>
              <w:rPr>
                <w:sz w:val="20"/>
                <w:szCs w:val="20"/>
                <w:color w:val="auto"/>
              </w:rPr>
            </w:pPr>
            <w:r>
              <w:rPr>
                <w:rFonts w:ascii="Arial" w:cs="Arial" w:eastAsia="Arial" w:hAnsi="Arial"/>
                <w:sz w:val="14"/>
                <w:szCs w:val="14"/>
                <w:color w:val="auto"/>
              </w:rPr>
              <w:t>Adjusted General and Administrative Expenses</w:t>
            </w:r>
            <w:r>
              <w:rPr>
                <w:rFonts w:ascii="Arial" w:cs="Arial" w:eastAsia="Arial" w:hAnsi="Arial"/>
                <w:sz w:val="9"/>
                <w:szCs w:val="9"/>
                <w:color w:val="auto"/>
              </w:rPr>
              <w:t>1</w:t>
            </w:r>
            <w:r>
              <w:rPr>
                <w:rFonts w:ascii="Arial" w:cs="Arial" w:eastAsia="Arial" w:hAnsi="Arial"/>
                <w:sz w:val="14"/>
                <w:szCs w:val="14"/>
                <w:color w:val="auto"/>
              </w:rPr>
              <w:t xml:space="preserve"> ($ millions)</w:t>
            </w:r>
          </w:p>
        </w:tc>
        <w:tc>
          <w:tcPr>
            <w:tcW w:w="1620" w:type="dxa"/>
            <w:vAlign w:val="bottom"/>
          </w:tcPr>
          <w:p>
            <w:pPr>
              <w:jc w:val="right"/>
              <w:spacing w:after="0"/>
              <w:rPr>
                <w:sz w:val="20"/>
                <w:szCs w:val="20"/>
                <w:color w:val="auto"/>
              </w:rPr>
            </w:pPr>
            <w:r>
              <w:rPr>
                <w:rFonts w:ascii="Arial" w:cs="Arial" w:eastAsia="Arial" w:hAnsi="Arial"/>
                <w:sz w:val="14"/>
                <w:szCs w:val="14"/>
                <w:color w:val="auto"/>
              </w:rPr>
              <w:t>$50</w:t>
            </w:r>
          </w:p>
        </w:tc>
        <w:tc>
          <w:tcPr>
            <w:tcW w:w="860" w:type="dxa"/>
            <w:vAlign w:val="bottom"/>
          </w:tcPr>
          <w:p>
            <w:pPr>
              <w:ind w:left="20"/>
              <w:spacing w:after="0"/>
              <w:rPr>
                <w:sz w:val="20"/>
                <w:szCs w:val="20"/>
                <w:color w:val="auto"/>
              </w:rPr>
            </w:pPr>
            <w:r>
              <w:rPr>
                <w:rFonts w:ascii="Arial" w:cs="Arial" w:eastAsia="Arial" w:hAnsi="Arial"/>
                <w:sz w:val="14"/>
                <w:szCs w:val="14"/>
                <w:color w:val="auto"/>
              </w:rPr>
              <w:t>- $58</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840" w:type="dxa"/>
            <w:vAlign w:val="bottom"/>
          </w:tcPr>
          <w:p>
            <w:pPr>
              <w:jc w:val="right"/>
              <w:ind w:right="508"/>
              <w:spacing w:after="0"/>
              <w:rPr>
                <w:sz w:val="20"/>
                <w:szCs w:val="20"/>
                <w:color w:val="auto"/>
              </w:rPr>
            </w:pPr>
            <w:r>
              <w:rPr>
                <w:rFonts w:ascii="Arial" w:cs="Arial" w:eastAsia="Arial" w:hAnsi="Arial"/>
                <w:sz w:val="14"/>
                <w:szCs w:val="14"/>
                <w:color w:val="auto"/>
                <w:w w:val="99"/>
              </w:rPr>
              <w:t>- $5</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$47</w:t>
            </w:r>
          </w:p>
        </w:tc>
        <w:tc>
          <w:tcPr>
            <w:tcW w:w="860" w:type="dxa"/>
            <w:vAlign w:val="bottom"/>
          </w:tcPr>
          <w:p>
            <w:pPr>
              <w:ind w:left="20"/>
              <w:spacing w:after="0"/>
              <w:rPr>
                <w:sz w:val="20"/>
                <w:szCs w:val="20"/>
                <w:color w:val="auto"/>
              </w:rPr>
            </w:pPr>
            <w:r>
              <w:rPr>
                <w:rFonts w:ascii="Arial" w:cs="Arial" w:eastAsia="Arial" w:hAnsi="Arial"/>
                <w:sz w:val="14"/>
                <w:szCs w:val="14"/>
                <w:color w:val="auto"/>
              </w:rPr>
              <w:t>- $53</w:t>
            </w:r>
          </w:p>
        </w:tc>
        <w:tc>
          <w:tcPr>
            <w:tcW w:w="0" w:type="dxa"/>
            <w:vAlign w:val="bottom"/>
          </w:tcPr>
          <w:p>
            <w:pPr>
              <w:spacing w:after="0"/>
              <w:rPr>
                <w:sz w:val="1"/>
                <w:szCs w:val="1"/>
                <w:color w:val="auto"/>
              </w:rPr>
            </w:pPr>
          </w:p>
        </w:tc>
      </w:tr>
      <w:tr>
        <w:trPr>
          <w:trHeight w:val="207"/>
        </w:trPr>
        <w:tc>
          <w:tcPr>
            <w:tcW w:w="5200" w:type="dxa"/>
            <w:vAlign w:val="bottom"/>
            <w:shd w:val="clear" w:color="auto" w:fill="DBDBDB"/>
          </w:tcPr>
          <w:p>
            <w:pPr>
              <w:ind w:left="140"/>
              <w:spacing w:after="0"/>
              <w:rPr>
                <w:sz w:val="20"/>
                <w:szCs w:val="20"/>
                <w:color w:val="auto"/>
              </w:rPr>
            </w:pPr>
            <w:r>
              <w:rPr>
                <w:rFonts w:ascii="Arial" w:cs="Arial" w:eastAsia="Arial" w:hAnsi="Arial"/>
                <w:sz w:val="14"/>
                <w:szCs w:val="14"/>
                <w:color w:val="auto"/>
              </w:rPr>
              <w:t>Total Capital ($ millions)</w:t>
            </w: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$57</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$69</w:t>
            </w:r>
          </w:p>
        </w:tc>
        <w:tc>
          <w:tcPr>
            <w:tcW w:w="100" w:type="dxa"/>
            <w:vAlign w:val="bottom"/>
          </w:tcPr>
          <w:p>
            <w:pPr>
              <w:spacing w:after="0"/>
              <w:rPr>
                <w:sz w:val="17"/>
                <w:szCs w:val="17"/>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w:t>
            </w:r>
          </w:p>
        </w:tc>
        <w:tc>
          <w:tcPr>
            <w:tcW w:w="840" w:type="dxa"/>
            <w:vAlign w:val="bottom"/>
            <w:shd w:val="clear" w:color="auto" w:fill="DBDBDB"/>
          </w:tcPr>
          <w:p>
            <w:pPr>
              <w:jc w:val="right"/>
              <w:ind w:right="508"/>
              <w:spacing w:after="0"/>
              <w:rPr>
                <w:sz w:val="20"/>
                <w:szCs w:val="20"/>
                <w:color w:val="auto"/>
              </w:rPr>
            </w:pPr>
            <w:r>
              <w:rPr>
                <w:rFonts w:ascii="Arial" w:cs="Arial" w:eastAsia="Arial" w:hAnsi="Arial"/>
                <w:sz w:val="14"/>
                <w:szCs w:val="14"/>
                <w:color w:val="auto"/>
                <w:w w:val="99"/>
              </w:rPr>
              <w:t>- $4</w:t>
            </w:r>
          </w:p>
        </w:tc>
        <w:tc>
          <w:tcPr>
            <w:tcW w:w="120" w:type="dxa"/>
            <w:vAlign w:val="bottom"/>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$55</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$65</w:t>
            </w:r>
          </w:p>
        </w:tc>
        <w:tc>
          <w:tcPr>
            <w:tcW w:w="0" w:type="dxa"/>
            <w:vAlign w:val="bottom"/>
          </w:tcPr>
          <w:p>
            <w:pPr>
              <w:spacing w:after="0"/>
              <w:rPr>
                <w:sz w:val="1"/>
                <w:szCs w:val="1"/>
                <w:color w:val="auto"/>
              </w:rPr>
            </w:pPr>
          </w:p>
        </w:tc>
      </w:tr>
      <w:tr>
        <w:trPr>
          <w:trHeight w:val="198"/>
        </w:trPr>
        <w:tc>
          <w:tcPr>
            <w:tcW w:w="5200" w:type="dxa"/>
            <w:vAlign w:val="bottom"/>
          </w:tcPr>
          <w:p>
            <w:pPr>
              <w:ind w:left="140"/>
              <w:spacing w:after="0"/>
              <w:rPr>
                <w:sz w:val="20"/>
                <w:szCs w:val="20"/>
                <w:color w:val="auto"/>
              </w:rPr>
            </w:pPr>
            <w:r>
              <w:rPr>
                <w:rFonts w:ascii="Arial" w:cs="Arial" w:eastAsia="Arial" w:hAnsi="Arial"/>
                <w:sz w:val="14"/>
                <w:szCs w:val="14"/>
                <w:color w:val="auto"/>
              </w:rPr>
              <w:t>Adjusted Total Capital</w:t>
            </w:r>
            <w:r>
              <w:rPr>
                <w:rFonts w:ascii="Arial" w:cs="Arial" w:eastAsia="Arial" w:hAnsi="Arial"/>
                <w:sz w:val="9"/>
                <w:szCs w:val="9"/>
                <w:color w:val="auto"/>
              </w:rPr>
              <w:t>4</w:t>
            </w:r>
            <w:r>
              <w:rPr>
                <w:rFonts w:ascii="Arial" w:cs="Arial" w:eastAsia="Arial" w:hAnsi="Arial"/>
                <w:sz w:val="14"/>
                <w:szCs w:val="14"/>
                <w:color w:val="auto"/>
              </w:rPr>
              <w:t xml:space="preserve"> ($ millions)</w:t>
            </w:r>
          </w:p>
        </w:tc>
        <w:tc>
          <w:tcPr>
            <w:tcW w:w="1620" w:type="dxa"/>
            <w:vAlign w:val="bottom"/>
          </w:tcPr>
          <w:p>
            <w:pPr>
              <w:jc w:val="right"/>
              <w:spacing w:after="0"/>
              <w:rPr>
                <w:sz w:val="20"/>
                <w:szCs w:val="20"/>
                <w:color w:val="auto"/>
              </w:rPr>
            </w:pPr>
            <w:r>
              <w:rPr>
                <w:rFonts w:ascii="Arial" w:cs="Arial" w:eastAsia="Arial" w:hAnsi="Arial"/>
                <w:sz w:val="14"/>
                <w:szCs w:val="14"/>
                <w:color w:val="auto"/>
              </w:rPr>
              <w:t>$57</w:t>
            </w:r>
          </w:p>
        </w:tc>
        <w:tc>
          <w:tcPr>
            <w:tcW w:w="860" w:type="dxa"/>
            <w:vAlign w:val="bottom"/>
          </w:tcPr>
          <w:p>
            <w:pPr>
              <w:ind w:left="20"/>
              <w:spacing w:after="0"/>
              <w:rPr>
                <w:sz w:val="20"/>
                <w:szCs w:val="20"/>
                <w:color w:val="auto"/>
              </w:rPr>
            </w:pPr>
            <w:r>
              <w:rPr>
                <w:rFonts w:ascii="Arial" w:cs="Arial" w:eastAsia="Arial" w:hAnsi="Arial"/>
                <w:sz w:val="14"/>
                <w:szCs w:val="14"/>
                <w:color w:val="auto"/>
              </w:rPr>
              <w:t>- $69</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840" w:type="dxa"/>
            <w:vAlign w:val="bottom"/>
          </w:tcPr>
          <w:p>
            <w:pPr>
              <w:jc w:val="right"/>
              <w:ind w:right="508"/>
              <w:spacing w:after="0"/>
              <w:rPr>
                <w:sz w:val="20"/>
                <w:szCs w:val="20"/>
                <w:color w:val="auto"/>
              </w:rPr>
            </w:pPr>
            <w:r>
              <w:rPr>
                <w:rFonts w:ascii="Arial" w:cs="Arial" w:eastAsia="Arial" w:hAnsi="Arial"/>
                <w:sz w:val="14"/>
                <w:szCs w:val="14"/>
                <w:color w:val="auto"/>
                <w:w w:val="99"/>
              </w:rPr>
              <w:t>- $4</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$55</w:t>
            </w:r>
          </w:p>
        </w:tc>
        <w:tc>
          <w:tcPr>
            <w:tcW w:w="860" w:type="dxa"/>
            <w:vAlign w:val="bottom"/>
          </w:tcPr>
          <w:p>
            <w:pPr>
              <w:ind w:left="20"/>
              <w:spacing w:after="0"/>
              <w:rPr>
                <w:sz w:val="20"/>
                <w:szCs w:val="20"/>
                <w:color w:val="auto"/>
              </w:rPr>
            </w:pPr>
            <w:r>
              <w:rPr>
                <w:rFonts w:ascii="Arial" w:cs="Arial" w:eastAsia="Arial" w:hAnsi="Arial"/>
                <w:sz w:val="14"/>
                <w:szCs w:val="14"/>
                <w:color w:val="auto"/>
              </w:rPr>
              <w:t>- $65</w:t>
            </w:r>
          </w:p>
        </w:tc>
        <w:tc>
          <w:tcPr>
            <w:tcW w:w="0" w:type="dxa"/>
            <w:vAlign w:val="bottom"/>
          </w:tcPr>
          <w:p>
            <w:pPr>
              <w:spacing w:after="0"/>
              <w:rPr>
                <w:sz w:val="1"/>
                <w:szCs w:val="1"/>
                <w:color w:val="auto"/>
              </w:rPr>
            </w:pPr>
          </w:p>
        </w:tc>
      </w:tr>
      <w:tr>
        <w:trPr>
          <w:trHeight w:val="207"/>
        </w:trPr>
        <w:tc>
          <w:tcPr>
            <w:tcW w:w="5200" w:type="dxa"/>
            <w:vAlign w:val="bottom"/>
            <w:shd w:val="clear" w:color="auto" w:fill="DBDBDB"/>
          </w:tcPr>
          <w:p>
            <w:pPr>
              <w:ind w:left="140"/>
              <w:spacing w:after="0"/>
              <w:rPr>
                <w:sz w:val="20"/>
                <w:szCs w:val="20"/>
                <w:color w:val="auto"/>
              </w:rPr>
            </w:pPr>
            <w:r>
              <w:rPr>
                <w:rFonts w:ascii="Arial" w:cs="Arial" w:eastAsia="Arial" w:hAnsi="Arial"/>
                <w:sz w:val="14"/>
                <w:szCs w:val="14"/>
                <w:color w:val="auto"/>
              </w:rPr>
              <w:t>Free Cash Flow</w:t>
            </w:r>
            <w:r>
              <w:rPr>
                <w:rFonts w:ascii="Arial" w:cs="Arial" w:eastAsia="Arial" w:hAnsi="Arial"/>
                <w:sz w:val="9"/>
                <w:szCs w:val="9"/>
                <w:color w:val="auto"/>
              </w:rPr>
              <w:t>1</w:t>
            </w:r>
            <w:r>
              <w:rPr>
                <w:rFonts w:ascii="Arial" w:cs="Arial" w:eastAsia="Arial" w:hAnsi="Arial"/>
                <w:sz w:val="14"/>
                <w:szCs w:val="14"/>
                <w:color w:val="auto"/>
              </w:rPr>
              <w:t xml:space="preserve"> ($ millions)</w:t>
            </w: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$151</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$180</w:t>
            </w:r>
          </w:p>
        </w:tc>
        <w:tc>
          <w:tcPr>
            <w:tcW w:w="88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($15)</w:t>
            </w:r>
          </w:p>
        </w:tc>
        <w:tc>
          <w:tcPr>
            <w:tcW w:w="840" w:type="dxa"/>
            <w:vAlign w:val="bottom"/>
            <w:shd w:val="clear" w:color="auto" w:fill="DBDBDB"/>
          </w:tcPr>
          <w:p>
            <w:pPr>
              <w:jc w:val="right"/>
              <w:ind w:right="328"/>
              <w:spacing w:after="0"/>
              <w:rPr>
                <w:sz w:val="20"/>
                <w:szCs w:val="20"/>
                <w:color w:val="auto"/>
              </w:rPr>
            </w:pPr>
            <w:r>
              <w:rPr>
                <w:rFonts w:ascii="Arial" w:cs="Arial" w:eastAsia="Arial" w:hAnsi="Arial"/>
                <w:sz w:val="14"/>
                <w:szCs w:val="14"/>
                <w:color w:val="auto"/>
              </w:rPr>
              <w:t>- ($24)</w:t>
            </w:r>
          </w:p>
        </w:tc>
        <w:tc>
          <w:tcPr>
            <w:tcW w:w="88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$175</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$195</w:t>
            </w:r>
          </w:p>
        </w:tc>
        <w:tc>
          <w:tcPr>
            <w:tcW w:w="0" w:type="dxa"/>
            <w:vAlign w:val="bottom"/>
          </w:tcPr>
          <w:p>
            <w:pPr>
              <w:spacing w:after="0"/>
              <w:rPr>
                <w:sz w:val="1"/>
                <w:szCs w:val="1"/>
                <w:color w:val="auto"/>
              </w:rPr>
            </w:pPr>
          </w:p>
        </w:tc>
      </w:tr>
      <w:tr>
        <w:trPr>
          <w:trHeight w:val="256"/>
        </w:trPr>
        <w:tc>
          <w:tcPr>
            <w:tcW w:w="52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80" w:type="dxa"/>
            <w:vAlign w:val="bottom"/>
            <w:gridSpan w:val="2"/>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DBDBDB"/>
          </w:tcPr>
          <w:p>
            <w:pPr>
              <w:ind w:left="140"/>
              <w:spacing w:after="0"/>
              <w:rPr>
                <w:sz w:val="20"/>
                <w:szCs w:val="20"/>
                <w:color w:val="auto"/>
              </w:rPr>
            </w:pPr>
            <w:r>
              <w:rPr>
                <w:rFonts w:ascii="Arial" w:cs="Arial" w:eastAsia="Arial" w:hAnsi="Arial"/>
                <w:sz w:val="14"/>
                <w:szCs w:val="14"/>
                <w:color w:val="auto"/>
              </w:rPr>
              <w:t>Natural Gas Trading, Net ($ millions)</w:t>
            </w: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$35</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$45</w:t>
            </w:r>
          </w:p>
        </w:tc>
        <w:tc>
          <w:tcPr>
            <w:tcW w:w="10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88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$35</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$45</w:t>
            </w:r>
          </w:p>
        </w:tc>
        <w:tc>
          <w:tcPr>
            <w:tcW w:w="0" w:type="dxa"/>
            <w:vAlign w:val="bottom"/>
          </w:tcPr>
          <w:p>
            <w:pPr>
              <w:spacing w:after="0"/>
              <w:rPr>
                <w:sz w:val="1"/>
                <w:szCs w:val="1"/>
                <w:color w:val="auto"/>
              </w:rPr>
            </w:pPr>
          </w:p>
        </w:tc>
      </w:tr>
      <w:tr>
        <w:trPr>
          <w:trHeight w:val="198"/>
        </w:trPr>
        <w:tc>
          <w:tcPr>
            <w:tcW w:w="5200" w:type="dxa"/>
            <w:vAlign w:val="bottom"/>
          </w:tcPr>
          <w:p>
            <w:pPr>
              <w:ind w:left="140"/>
              <w:spacing w:after="0"/>
              <w:rPr>
                <w:sz w:val="20"/>
                <w:szCs w:val="20"/>
                <w:color w:val="auto"/>
              </w:rPr>
            </w:pPr>
            <w:r>
              <w:rPr>
                <w:rFonts w:ascii="Arial" w:cs="Arial" w:eastAsia="Arial" w:hAnsi="Arial"/>
                <w:sz w:val="14"/>
                <w:szCs w:val="14"/>
                <w:color w:val="auto"/>
              </w:rPr>
              <w:t>Net Electricity ($ millions)</w:t>
            </w:r>
          </w:p>
        </w:tc>
        <w:tc>
          <w:tcPr>
            <w:tcW w:w="1620" w:type="dxa"/>
            <w:vAlign w:val="bottom"/>
          </w:tcPr>
          <w:p>
            <w:pPr>
              <w:jc w:val="right"/>
              <w:spacing w:after="0"/>
              <w:rPr>
                <w:sz w:val="20"/>
                <w:szCs w:val="20"/>
                <w:color w:val="auto"/>
              </w:rPr>
            </w:pPr>
            <w:r>
              <w:rPr>
                <w:rFonts w:ascii="Arial" w:cs="Arial" w:eastAsia="Arial" w:hAnsi="Arial"/>
                <w:sz w:val="14"/>
                <w:szCs w:val="14"/>
                <w:color w:val="auto"/>
              </w:rPr>
              <w:t>$25</w:t>
            </w:r>
          </w:p>
        </w:tc>
        <w:tc>
          <w:tcPr>
            <w:tcW w:w="860" w:type="dxa"/>
            <w:vAlign w:val="bottom"/>
          </w:tcPr>
          <w:p>
            <w:pPr>
              <w:ind w:left="20"/>
              <w:spacing w:after="0"/>
              <w:rPr>
                <w:sz w:val="20"/>
                <w:szCs w:val="20"/>
                <w:color w:val="auto"/>
              </w:rPr>
            </w:pPr>
            <w:r>
              <w:rPr>
                <w:rFonts w:ascii="Arial" w:cs="Arial" w:eastAsia="Arial" w:hAnsi="Arial"/>
                <w:sz w:val="14"/>
                <w:szCs w:val="14"/>
                <w:color w:val="auto"/>
              </w:rPr>
              <w:t>- $35</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$25</w:t>
            </w:r>
          </w:p>
        </w:tc>
        <w:tc>
          <w:tcPr>
            <w:tcW w:w="860" w:type="dxa"/>
            <w:vAlign w:val="bottom"/>
          </w:tcPr>
          <w:p>
            <w:pPr>
              <w:ind w:left="20"/>
              <w:spacing w:after="0"/>
              <w:rPr>
                <w:sz w:val="20"/>
                <w:szCs w:val="20"/>
                <w:color w:val="auto"/>
              </w:rPr>
            </w:pPr>
            <w:r>
              <w:rPr>
                <w:rFonts w:ascii="Arial" w:cs="Arial" w:eastAsia="Arial" w:hAnsi="Arial"/>
                <w:sz w:val="14"/>
                <w:szCs w:val="14"/>
                <w:color w:val="auto"/>
              </w:rPr>
              <w:t>- $35</w:t>
            </w:r>
          </w:p>
        </w:tc>
        <w:tc>
          <w:tcPr>
            <w:tcW w:w="0" w:type="dxa"/>
            <w:vAlign w:val="bottom"/>
          </w:tcPr>
          <w:p>
            <w:pPr>
              <w:spacing w:after="0"/>
              <w:rPr>
                <w:sz w:val="1"/>
                <w:szCs w:val="1"/>
                <w:color w:val="auto"/>
              </w:rPr>
            </w:pPr>
          </w:p>
        </w:tc>
      </w:tr>
      <w:tr>
        <w:trPr>
          <w:trHeight w:val="207"/>
        </w:trPr>
        <w:tc>
          <w:tcPr>
            <w:tcW w:w="5200" w:type="dxa"/>
            <w:vAlign w:val="bottom"/>
            <w:shd w:val="clear" w:color="auto" w:fill="DBDBDB"/>
          </w:tcPr>
          <w:p>
            <w:pPr>
              <w:ind w:left="140"/>
              <w:spacing w:after="0"/>
              <w:rPr>
                <w:sz w:val="20"/>
                <w:szCs w:val="20"/>
                <w:color w:val="auto"/>
              </w:rPr>
            </w:pPr>
            <w:r>
              <w:rPr>
                <w:rFonts w:ascii="Arial" w:cs="Arial" w:eastAsia="Arial" w:hAnsi="Arial"/>
                <w:sz w:val="14"/>
                <w:szCs w:val="14"/>
                <w:color w:val="auto"/>
              </w:rPr>
              <w:t>Transportation Expense ($ millions)</w:t>
            </w: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$16</w:t>
            </w:r>
          </w:p>
        </w:tc>
        <w:tc>
          <w:tcPr>
            <w:tcW w:w="10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88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$14</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$16</w:t>
            </w:r>
          </w:p>
        </w:tc>
        <w:tc>
          <w:tcPr>
            <w:tcW w:w="0" w:type="dxa"/>
            <w:vAlign w:val="bottom"/>
          </w:tcPr>
          <w:p>
            <w:pPr>
              <w:spacing w:after="0"/>
              <w:rPr>
                <w:sz w:val="1"/>
                <w:szCs w:val="1"/>
                <w:color w:val="auto"/>
              </w:rPr>
            </w:pPr>
          </w:p>
        </w:tc>
      </w:tr>
      <w:tr>
        <w:trPr>
          <w:trHeight w:val="257"/>
        </w:trPr>
        <w:tc>
          <w:tcPr>
            <w:tcW w:w="52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DBDBDB"/>
          </w:tcPr>
          <w:p>
            <w:pPr>
              <w:ind w:left="140"/>
              <w:spacing w:after="0"/>
              <w:rPr>
                <w:sz w:val="20"/>
                <w:szCs w:val="20"/>
                <w:color w:val="auto"/>
              </w:rPr>
            </w:pPr>
            <w:r>
              <w:rPr>
                <w:rFonts w:ascii="Arial" w:cs="Arial" w:eastAsia="Arial" w:hAnsi="Arial"/>
                <w:sz w:val="14"/>
                <w:szCs w:val="14"/>
                <w:color w:val="auto"/>
              </w:rPr>
              <w:t>Commodity Realizations:</w:t>
            </w:r>
          </w:p>
        </w:tc>
        <w:tc>
          <w:tcPr>
            <w:tcW w:w="162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00" w:type="dxa"/>
            <w:vAlign w:val="bottom"/>
          </w:tcPr>
          <w:p>
            <w:pPr>
              <w:ind w:left="220"/>
              <w:spacing w:after="0"/>
              <w:rPr>
                <w:sz w:val="20"/>
                <w:szCs w:val="20"/>
                <w:color w:val="auto"/>
              </w:rPr>
            </w:pPr>
            <w:r>
              <w:rPr>
                <w:rFonts w:ascii="Arial" w:cs="Arial" w:eastAsia="Arial" w:hAnsi="Arial"/>
                <w:sz w:val="14"/>
                <w:szCs w:val="14"/>
                <w:color w:val="auto"/>
              </w:rPr>
              <w:t>Oil - % of Brent:</w:t>
            </w:r>
          </w:p>
        </w:tc>
        <w:tc>
          <w:tcPr>
            <w:tcW w:w="1620" w:type="dxa"/>
            <w:vAlign w:val="bottom"/>
          </w:tcPr>
          <w:p>
            <w:pPr>
              <w:jc w:val="right"/>
              <w:spacing w:after="0"/>
              <w:rPr>
                <w:sz w:val="20"/>
                <w:szCs w:val="20"/>
                <w:color w:val="auto"/>
              </w:rPr>
            </w:pPr>
            <w:r>
              <w:rPr>
                <w:rFonts w:ascii="Arial" w:cs="Arial" w:eastAsia="Arial" w:hAnsi="Arial"/>
                <w:sz w:val="14"/>
                <w:szCs w:val="14"/>
                <w:color w:val="auto"/>
              </w:rPr>
              <w:t>97%</w:t>
            </w:r>
          </w:p>
        </w:tc>
        <w:tc>
          <w:tcPr>
            <w:tcW w:w="860" w:type="dxa"/>
            <w:vAlign w:val="bottom"/>
          </w:tcPr>
          <w:p>
            <w:pPr>
              <w:ind w:left="20"/>
              <w:spacing w:after="0"/>
              <w:rPr>
                <w:sz w:val="20"/>
                <w:szCs w:val="20"/>
                <w:color w:val="auto"/>
              </w:rPr>
            </w:pPr>
            <w:r>
              <w:rPr>
                <w:rFonts w:ascii="Arial" w:cs="Arial" w:eastAsia="Arial" w:hAnsi="Arial"/>
                <w:sz w:val="14"/>
                <w:szCs w:val="14"/>
                <w:color w:val="auto"/>
              </w:rPr>
              <w:t>- 99%</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97%</w:t>
            </w:r>
          </w:p>
        </w:tc>
        <w:tc>
          <w:tcPr>
            <w:tcW w:w="860" w:type="dxa"/>
            <w:vAlign w:val="bottom"/>
          </w:tcPr>
          <w:p>
            <w:pPr>
              <w:ind w:left="20"/>
              <w:spacing w:after="0"/>
              <w:rPr>
                <w:sz w:val="20"/>
                <w:szCs w:val="20"/>
                <w:color w:val="auto"/>
              </w:rPr>
            </w:pPr>
            <w:r>
              <w:rPr>
                <w:rFonts w:ascii="Arial" w:cs="Arial" w:eastAsia="Arial" w:hAnsi="Arial"/>
                <w:sz w:val="14"/>
                <w:szCs w:val="14"/>
                <w:color w:val="auto"/>
              </w:rPr>
              <w:t>- 99%</w:t>
            </w:r>
          </w:p>
        </w:tc>
        <w:tc>
          <w:tcPr>
            <w:tcW w:w="0" w:type="dxa"/>
            <w:vAlign w:val="bottom"/>
          </w:tcPr>
          <w:p>
            <w:pPr>
              <w:spacing w:after="0"/>
              <w:rPr>
                <w:sz w:val="1"/>
                <w:szCs w:val="1"/>
                <w:color w:val="auto"/>
              </w:rPr>
            </w:pPr>
          </w:p>
        </w:tc>
      </w:tr>
      <w:tr>
        <w:trPr>
          <w:trHeight w:val="207"/>
        </w:trPr>
        <w:tc>
          <w:tcPr>
            <w:tcW w:w="5200" w:type="dxa"/>
            <w:vAlign w:val="bottom"/>
            <w:shd w:val="clear" w:color="auto" w:fill="DBDBDB"/>
          </w:tcPr>
          <w:p>
            <w:pPr>
              <w:ind w:left="220"/>
              <w:spacing w:after="0"/>
              <w:rPr>
                <w:sz w:val="20"/>
                <w:szCs w:val="20"/>
                <w:color w:val="auto"/>
              </w:rPr>
            </w:pPr>
            <w:r>
              <w:rPr>
                <w:rFonts w:ascii="Arial" w:cs="Arial" w:eastAsia="Arial" w:hAnsi="Arial"/>
                <w:sz w:val="14"/>
                <w:szCs w:val="14"/>
                <w:color w:val="auto"/>
              </w:rPr>
              <w:t>NGL - % of Brent:</w:t>
            </w: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63%</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- 65%</w:t>
            </w:r>
          </w:p>
        </w:tc>
        <w:tc>
          <w:tcPr>
            <w:tcW w:w="10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88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63%</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- 65%</w:t>
            </w:r>
          </w:p>
        </w:tc>
        <w:tc>
          <w:tcPr>
            <w:tcW w:w="0" w:type="dxa"/>
            <w:vAlign w:val="bottom"/>
          </w:tcPr>
          <w:p>
            <w:pPr>
              <w:spacing w:after="0"/>
              <w:rPr>
                <w:sz w:val="1"/>
                <w:szCs w:val="1"/>
                <w:color w:val="auto"/>
              </w:rPr>
            </w:pPr>
          </w:p>
        </w:tc>
      </w:tr>
      <w:tr>
        <w:trPr>
          <w:trHeight w:val="194"/>
        </w:trPr>
        <w:tc>
          <w:tcPr>
            <w:tcW w:w="5200" w:type="dxa"/>
            <w:vAlign w:val="bottom"/>
          </w:tcPr>
          <w:p>
            <w:pPr>
              <w:ind w:left="220"/>
              <w:spacing w:after="0"/>
              <w:rPr>
                <w:sz w:val="20"/>
                <w:szCs w:val="20"/>
                <w:color w:val="auto"/>
              </w:rPr>
            </w:pPr>
            <w:r>
              <w:rPr>
                <w:rFonts w:ascii="Arial" w:cs="Arial" w:eastAsia="Arial" w:hAnsi="Arial"/>
                <w:sz w:val="14"/>
                <w:szCs w:val="14"/>
                <w:color w:val="auto"/>
              </w:rPr>
              <w:t>Natural Gas - % of NYMEX*:</w:t>
            </w:r>
          </w:p>
        </w:tc>
        <w:tc>
          <w:tcPr>
            <w:tcW w:w="1620" w:type="dxa"/>
            <w:vAlign w:val="bottom"/>
          </w:tcPr>
          <w:p>
            <w:pPr>
              <w:jc w:val="right"/>
              <w:spacing w:after="0"/>
              <w:rPr>
                <w:sz w:val="20"/>
                <w:szCs w:val="20"/>
                <w:color w:val="auto"/>
              </w:rPr>
            </w:pPr>
            <w:r>
              <w:rPr>
                <w:rFonts w:ascii="Arial" w:cs="Arial" w:eastAsia="Arial" w:hAnsi="Arial"/>
                <w:sz w:val="14"/>
                <w:szCs w:val="14"/>
                <w:color w:val="auto"/>
              </w:rPr>
              <w:t>400%</w:t>
            </w:r>
          </w:p>
        </w:tc>
        <w:tc>
          <w:tcPr>
            <w:tcW w:w="860" w:type="dxa"/>
            <w:vAlign w:val="bottom"/>
          </w:tcPr>
          <w:p>
            <w:pPr>
              <w:ind w:left="20"/>
              <w:spacing w:after="0"/>
              <w:rPr>
                <w:sz w:val="20"/>
                <w:szCs w:val="20"/>
                <w:color w:val="auto"/>
              </w:rPr>
            </w:pPr>
            <w:r>
              <w:rPr>
                <w:rFonts w:ascii="Arial" w:cs="Arial" w:eastAsia="Arial" w:hAnsi="Arial"/>
                <w:sz w:val="14"/>
                <w:szCs w:val="14"/>
                <w:color w:val="auto"/>
              </w:rPr>
              <w:t>- 500%</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400%</w:t>
            </w:r>
          </w:p>
        </w:tc>
        <w:tc>
          <w:tcPr>
            <w:tcW w:w="860" w:type="dxa"/>
            <w:vAlign w:val="bottom"/>
          </w:tcPr>
          <w:p>
            <w:pPr>
              <w:ind w:left="20"/>
              <w:spacing w:after="0"/>
              <w:rPr>
                <w:sz w:val="20"/>
                <w:szCs w:val="20"/>
                <w:color w:val="auto"/>
              </w:rPr>
            </w:pPr>
            <w:r>
              <w:rPr>
                <w:rFonts w:ascii="Arial" w:cs="Arial" w:eastAsia="Arial" w:hAnsi="Arial"/>
                <w:sz w:val="14"/>
                <w:szCs w:val="14"/>
                <w:color w:val="auto"/>
              </w:rPr>
              <w:t>- 500%</w:t>
            </w: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*Note: January and February natural gas average realized prices were ~$47.50 and ~$10.00 per Mcf,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240"/>
          </w:cols>
          <w:pgMar w:left="320" w:top="876"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u w:val="single" w:color="auto"/>
          <w:color w:val="auto"/>
        </w:rPr>
        <w:t>Fourth Quarter &amp; Full Year 2022 E&amp;P Operational Results</w:t>
      </w:r>
    </w:p>
    <w:p>
      <w:pPr>
        <w:spacing w:after="0" w:line="24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22"/>
          <w:szCs w:val="22"/>
          <w:color w:val="auto"/>
        </w:rPr>
        <w:t>In November 2020, the SEC amended Regulation S-K to, among other things, provide companies with the option to discuss material changes to results of operations between the current and immediately preceding quarter. CRC has elected to discuss its results of operations on a sequential-quarter basis. CRC believes this approach provides more meaningful and useful information to measure its performance from the immediately preceding quarter. In accordance with this final rule, CRC is not required to include a comparison of the current quarter and the same prior-year quarter.</w:t>
      </w:r>
    </w:p>
    <w:p>
      <w:pPr>
        <w:spacing w:after="0" w:line="21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22"/>
          <w:szCs w:val="22"/>
          <w:color w:val="auto"/>
        </w:rPr>
        <w:t>Total daily net production for the three months ended December 31, 2022, compared to the three months ended September 30, 2022 decreased by approximately 1 MBoe/d, or 1%. This decrease is predominately a result of CRC's natural decline and lower development drilling, partially offset by production-sharing contracts (PSCs), which positively impacted CRC's net oil production in the three months ended December, 2022 by approximately 1 MBoe/d, compared to the three months ended September 30, 2022.</w:t>
      </w:r>
    </w:p>
    <w:p>
      <w:pPr>
        <w:spacing w:after="0" w:line="20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22"/>
          <w:szCs w:val="22"/>
          <w:color w:val="auto"/>
        </w:rPr>
        <w:t>Total daily net production for the year ended December 31, 2022, compared to the year ended December 31, 2021 decreased by approximately 9 MBoe/d, or 9%. The decrease was predominately a result of CRC's natural decline and lower development drilling which accounted for approximately 4 MBoe/d and divestitures of certain Ventura basin and Lost Hills assets which accounted for approximately 5 MBoe/d. See Part II, Item 8 – Financial Statements and Supplementary Data, Note 3 Divestitures and Acquisitions of CRC's 2022 10-K for more information on CRC's divestitures in 2022</w:t>
      </w:r>
      <w:r>
        <w:rPr>
          <w:rFonts w:ascii="Arial" w:cs="Arial" w:eastAsia="Arial" w:hAnsi="Arial"/>
          <w:sz w:val="14"/>
          <w:szCs w:val="14"/>
          <w:color w:val="auto"/>
        </w:rPr>
        <w:t>.</w:t>
      </w:r>
    </w:p>
    <w:p>
      <w:pPr>
        <w:spacing w:after="0" w:line="199"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2"/>
          <w:szCs w:val="22"/>
          <w:color w:val="auto"/>
        </w:rPr>
        <w:t>During the fourth quarter of 2022, CRC operated an average of one drilling rig in the San Joaquin Basin and two drilling rigs in the Los Angeles Basin. During the quarter, CRC drilled 23 net wells and brought online 23 wells. See Attachment 3 for further information on CRC's production results by basin and Attachment 5 for further information on CRC's drilling activity.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240"/>
          </w:cols>
          <w:pgMar w:left="320" w:top="1137"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u w:val="single" w:color="auto"/>
          <w:color w:val="auto"/>
        </w:rPr>
        <w:t>Fourth Quarter &amp; Full Year 2022 Financial Results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Borders>
              <w:top w:val="single" w:sz="8" w:color="DBDBDB"/>
            </w:tcBorders>
            <w:shd w:val="clear" w:color="auto" w:fill="DBDBDB"/>
          </w:tcPr>
          <w:p>
            <w:pPr>
              <w:spacing w:after="0"/>
              <w:rPr>
                <w:sz w:val="18"/>
                <w:szCs w:val="18"/>
                <w:color w:val="auto"/>
              </w:rPr>
            </w:pPr>
          </w:p>
        </w:tc>
        <w:tc>
          <w:tcPr>
            <w:tcW w:w="1800" w:type="dxa"/>
            <w:vAlign w:val="bottom"/>
            <w:tcBorders>
              <w:top w:val="single" w:sz="8" w:color="DBDBDB"/>
            </w:tcBorders>
            <w:shd w:val="clear" w:color="auto" w:fill="DBDBDB"/>
          </w:tcPr>
          <w:p>
            <w:pPr>
              <w:spacing w:after="0"/>
              <w:rPr>
                <w:sz w:val="18"/>
                <w:szCs w:val="18"/>
                <w:color w:val="auto"/>
              </w:rPr>
            </w:pPr>
          </w:p>
        </w:tc>
        <w:tc>
          <w:tcPr>
            <w:tcW w:w="4160" w:type="dxa"/>
            <w:vAlign w:val="bottom"/>
            <w:tcBorders>
              <w:top w:val="single" w:sz="8" w:color="DBDBDB"/>
            </w:tcBorders>
            <w:shd w:val="clear" w:color="auto" w:fill="DBDBDB"/>
          </w:tcPr>
          <w:p>
            <w:pPr>
              <w:spacing w:after="0"/>
              <w:rPr>
                <w:sz w:val="18"/>
                <w:szCs w:val="18"/>
                <w:color w:val="auto"/>
              </w:rPr>
            </w:pPr>
          </w:p>
        </w:tc>
        <w:tc>
          <w:tcPr>
            <w:tcW w:w="160" w:type="dxa"/>
            <w:vAlign w:val="bottom"/>
            <w:tcBorders>
              <w:top w:val="single" w:sz="8" w:color="auto"/>
            </w:tcBorders>
            <w:shd w:val="clear" w:color="auto" w:fill="DBDBDB"/>
          </w:tcPr>
          <w:p>
            <w:pPr>
              <w:spacing w:after="0"/>
              <w:rPr>
                <w:sz w:val="18"/>
                <w:szCs w:val="18"/>
                <w:color w:val="auto"/>
              </w:rPr>
            </w:pPr>
          </w:p>
        </w:tc>
        <w:tc>
          <w:tcPr>
            <w:tcW w:w="1000" w:type="dxa"/>
            <w:vAlign w:val="bottom"/>
            <w:tcBorders>
              <w:top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b w:val="1"/>
                <w:bCs w:val="1"/>
                <w:color w:val="auto"/>
              </w:rPr>
              <w:t>4th Quarter</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shd w:val="clear" w:color="auto" w:fill="DBDBDB"/>
          </w:tcPr>
          <w:p>
            <w:pPr>
              <w:spacing w:after="0"/>
              <w:rPr>
                <w:sz w:val="18"/>
                <w:szCs w:val="18"/>
                <w:color w:val="auto"/>
              </w:rPr>
            </w:pPr>
          </w:p>
        </w:tc>
        <w:tc>
          <w:tcPr>
            <w:tcW w:w="980" w:type="dxa"/>
            <w:vAlign w:val="bottom"/>
            <w:tcBorders>
              <w:top w:val="single" w:sz="8" w:color="auto"/>
            </w:tcBorders>
            <w:shd w:val="clear" w:color="auto" w:fill="DBDBDB"/>
          </w:tcPr>
          <w:p>
            <w:pPr>
              <w:jc w:val="right"/>
              <w:ind w:right="128"/>
              <w:spacing w:after="0"/>
              <w:rPr>
                <w:sz w:val="20"/>
                <w:szCs w:val="20"/>
                <w:color w:val="auto"/>
              </w:rPr>
            </w:pPr>
            <w:r>
              <w:rPr>
                <w:rFonts w:ascii="Arial" w:cs="Arial" w:eastAsia="Arial" w:hAnsi="Arial"/>
                <w:sz w:val="14"/>
                <w:szCs w:val="14"/>
                <w:color w:val="auto"/>
              </w:rPr>
              <w:t>3rd Quarter</w:t>
            </w:r>
          </w:p>
        </w:tc>
        <w:tc>
          <w:tcPr>
            <w:tcW w:w="280" w:type="dxa"/>
            <w:vAlign w:val="bottom"/>
          </w:tcPr>
          <w:p>
            <w:pPr>
              <w:spacing w:after="0"/>
              <w:rPr>
                <w:sz w:val="18"/>
                <w:szCs w:val="18"/>
                <w:color w:val="auto"/>
              </w:rPr>
            </w:pPr>
          </w:p>
        </w:tc>
        <w:tc>
          <w:tcPr>
            <w:tcW w:w="160" w:type="dxa"/>
            <w:vAlign w:val="bottom"/>
            <w:tcBorders>
              <w:top w:val="single" w:sz="8" w:color="auto"/>
            </w:tcBorders>
            <w:shd w:val="clear" w:color="auto" w:fill="DBDBDB"/>
          </w:tcPr>
          <w:p>
            <w:pPr>
              <w:spacing w:after="0"/>
              <w:rPr>
                <w:sz w:val="18"/>
                <w:szCs w:val="18"/>
                <w:color w:val="auto"/>
              </w:rPr>
            </w:pPr>
          </w:p>
        </w:tc>
        <w:tc>
          <w:tcPr>
            <w:tcW w:w="980" w:type="dxa"/>
            <w:vAlign w:val="bottom"/>
            <w:tcBorders>
              <w:top w:val="single" w:sz="8" w:color="auto"/>
            </w:tcBorders>
            <w:shd w:val="clear" w:color="auto" w:fill="DBDBDB"/>
          </w:tcPr>
          <w:p>
            <w:pPr>
              <w:jc w:val="right"/>
              <w:ind w:right="168"/>
              <w:spacing w:after="0"/>
              <w:rPr>
                <w:sz w:val="20"/>
                <w:szCs w:val="20"/>
                <w:color w:val="auto"/>
              </w:rPr>
            </w:pPr>
            <w:r>
              <w:rPr>
                <w:rFonts w:ascii="Arial" w:cs="Arial" w:eastAsia="Arial" w:hAnsi="Arial"/>
                <w:sz w:val="14"/>
                <w:szCs w:val="14"/>
                <w:b w:val="1"/>
                <w:bCs w:val="1"/>
                <w:color w:val="auto"/>
              </w:rPr>
              <w:t>Total Year</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shd w:val="clear" w:color="auto" w:fill="DBDBDB"/>
          </w:tcPr>
          <w:p>
            <w:pPr>
              <w:spacing w:after="0"/>
              <w:rPr>
                <w:sz w:val="18"/>
                <w:szCs w:val="18"/>
                <w:color w:val="auto"/>
              </w:rPr>
            </w:pPr>
          </w:p>
        </w:tc>
        <w:tc>
          <w:tcPr>
            <w:tcW w:w="980" w:type="dxa"/>
            <w:vAlign w:val="bottom"/>
            <w:tcBorders>
              <w:top w:val="single" w:sz="8" w:color="auto"/>
            </w:tcBorders>
            <w:shd w:val="clear" w:color="auto" w:fill="DBDBDB"/>
          </w:tcPr>
          <w:p>
            <w:pPr>
              <w:jc w:val="right"/>
              <w:ind w:right="188"/>
              <w:spacing w:after="0"/>
              <w:rPr>
                <w:sz w:val="20"/>
                <w:szCs w:val="20"/>
                <w:color w:val="auto"/>
              </w:rPr>
            </w:pPr>
            <w:r>
              <w:rPr>
                <w:rFonts w:ascii="Arial" w:cs="Arial" w:eastAsia="Arial" w:hAnsi="Arial"/>
                <w:sz w:val="14"/>
                <w:szCs w:val="14"/>
                <w:color w:val="auto"/>
              </w:rPr>
              <w:t>Total Year</w:t>
            </w:r>
          </w:p>
        </w:tc>
        <w:tc>
          <w:tcPr>
            <w:tcW w:w="0" w:type="dxa"/>
            <w:vAlign w:val="bottom"/>
          </w:tcPr>
          <w:p>
            <w:pPr>
              <w:spacing w:after="0"/>
              <w:rPr>
                <w:sz w:val="1"/>
                <w:szCs w:val="1"/>
                <w:color w:val="auto"/>
              </w:rPr>
            </w:pPr>
          </w:p>
        </w:tc>
      </w:tr>
      <w:tr>
        <w:trPr>
          <w:trHeight w:val="204"/>
        </w:trPr>
        <w:tc>
          <w:tcPr>
            <w:tcW w:w="20" w:type="dxa"/>
            <w:vAlign w:val="bottom"/>
            <w:tcBorders>
              <w:bottom w:val="single" w:sz="8" w:color="auto"/>
            </w:tcBorders>
            <w:shd w:val="clear" w:color="auto" w:fill="DBDBDB"/>
          </w:tcPr>
          <w:p>
            <w:pPr>
              <w:spacing w:after="0"/>
              <w:rPr>
                <w:sz w:val="17"/>
                <w:szCs w:val="17"/>
                <w:color w:val="auto"/>
              </w:rPr>
            </w:pPr>
          </w:p>
        </w:tc>
        <w:tc>
          <w:tcPr>
            <w:tcW w:w="5960" w:type="dxa"/>
            <w:vAlign w:val="bottom"/>
            <w:tcBorders>
              <w:bottom w:val="single" w:sz="8" w:color="auto"/>
            </w:tcBorders>
            <w:gridSpan w:val="2"/>
            <w:shd w:val="clear" w:color="auto" w:fill="DBDBDB"/>
          </w:tcPr>
          <w:p>
            <w:pPr>
              <w:spacing w:after="0"/>
              <w:rPr>
                <w:sz w:val="20"/>
                <w:szCs w:val="20"/>
                <w:color w:val="auto"/>
              </w:rPr>
            </w:pPr>
            <w:r>
              <w:rPr>
                <w:rFonts w:ascii="Arial" w:cs="Arial" w:eastAsia="Arial" w:hAnsi="Arial"/>
                <w:sz w:val="14"/>
                <w:szCs w:val="14"/>
                <w:color w:val="auto"/>
              </w:rPr>
              <w:t>($ and shares in millions, except per share amounts)</w:t>
            </w:r>
          </w:p>
        </w:tc>
        <w:tc>
          <w:tcPr>
            <w:tcW w:w="16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ind w:right="328"/>
              <w:spacing w:after="0"/>
              <w:rPr>
                <w:sz w:val="20"/>
                <w:szCs w:val="20"/>
                <w:color w:val="auto"/>
              </w:rPr>
            </w:pPr>
            <w:r>
              <w:rPr>
                <w:rFonts w:ascii="Arial" w:cs="Arial" w:eastAsia="Arial" w:hAnsi="Arial"/>
                <w:sz w:val="14"/>
                <w:szCs w:val="14"/>
                <w:color w:val="auto"/>
              </w:rPr>
              <w:t>2022</w:t>
            </w:r>
          </w:p>
        </w:tc>
        <w:tc>
          <w:tcPr>
            <w:tcW w:w="28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ind w:right="348"/>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Statements of Operations:</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bottom w:val="single" w:sz="8" w:color="DBDBDB"/>
            </w:tcBorders>
          </w:tcPr>
          <w:p>
            <w:pPr>
              <w:spacing w:after="0"/>
              <w:rPr>
                <w:sz w:val="19"/>
                <w:szCs w:val="19"/>
                <w:color w:val="auto"/>
              </w:rPr>
            </w:pPr>
          </w:p>
        </w:tc>
        <w:tc>
          <w:tcPr>
            <w:tcW w:w="1800" w:type="dxa"/>
            <w:vAlign w:val="bottom"/>
            <w:tcBorders>
              <w:top w:val="single" w:sz="8" w:color="auto"/>
              <w:bottom w:val="single" w:sz="8" w:color="DBDBDB"/>
            </w:tcBorders>
          </w:tcPr>
          <w:p>
            <w:pPr>
              <w:spacing w:after="0"/>
              <w:rPr>
                <w:sz w:val="20"/>
                <w:szCs w:val="20"/>
                <w:color w:val="auto"/>
              </w:rPr>
            </w:pPr>
            <w:r>
              <w:rPr>
                <w:rFonts w:ascii="Arial" w:cs="Arial" w:eastAsia="Arial" w:hAnsi="Arial"/>
                <w:sz w:val="14"/>
                <w:szCs w:val="14"/>
                <w:b w:val="1"/>
                <w:bCs w:val="1"/>
                <w:color w:val="auto"/>
              </w:rPr>
              <w:t>Revenues</w:t>
            </w:r>
          </w:p>
        </w:tc>
        <w:tc>
          <w:tcPr>
            <w:tcW w:w="416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DBDBDB"/>
          </w:tcPr>
          <w:p>
            <w:pPr>
              <w:spacing w:after="0"/>
              <w:rPr>
                <w:sz w:val="17"/>
                <w:szCs w:val="17"/>
                <w:color w:val="auto"/>
              </w:rPr>
            </w:pPr>
          </w:p>
        </w:tc>
        <w:tc>
          <w:tcPr>
            <w:tcW w:w="5960" w:type="dxa"/>
            <w:vAlign w:val="bottom"/>
            <w:gridSpan w:val="2"/>
            <w:shd w:val="clear" w:color="auto" w:fill="DBDBDB"/>
          </w:tcPr>
          <w:p>
            <w:pPr>
              <w:ind w:left="200"/>
              <w:spacing w:after="0"/>
              <w:rPr>
                <w:sz w:val="20"/>
                <w:szCs w:val="20"/>
                <w:color w:val="auto"/>
              </w:rPr>
            </w:pPr>
            <w:r>
              <w:rPr>
                <w:rFonts w:ascii="Arial" w:cs="Arial" w:eastAsia="Arial" w:hAnsi="Arial"/>
                <w:sz w:val="14"/>
                <w:szCs w:val="14"/>
                <w:color w:val="auto"/>
              </w:rPr>
              <w:t>Total operating revenues</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682</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1,125</w:t>
            </w:r>
          </w:p>
        </w:tc>
        <w:tc>
          <w:tcPr>
            <w:tcW w:w="28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2,707</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1,889</w:t>
            </w:r>
          </w:p>
        </w:tc>
        <w:tc>
          <w:tcPr>
            <w:tcW w:w="0" w:type="dxa"/>
            <w:vAlign w:val="bottom"/>
          </w:tcPr>
          <w:p>
            <w:pPr>
              <w:spacing w:after="0"/>
              <w:rPr>
                <w:sz w:val="1"/>
                <w:szCs w:val="1"/>
                <w:color w:val="auto"/>
              </w:rPr>
            </w:pPr>
          </w:p>
        </w:tc>
      </w:tr>
      <w:tr>
        <w:trPr>
          <w:trHeight w:val="290"/>
        </w:trPr>
        <w:tc>
          <w:tcPr>
            <w:tcW w:w="20" w:type="dxa"/>
            <w:vAlign w:val="bottom"/>
            <w:tcBorders>
              <w:bottom w:val="single" w:sz="8" w:color="DBDBDB"/>
            </w:tcBorders>
          </w:tcPr>
          <w:p>
            <w:pPr>
              <w:spacing w:after="0"/>
              <w:rPr>
                <w:sz w:val="24"/>
                <w:szCs w:val="24"/>
                <w:color w:val="auto"/>
              </w:rPr>
            </w:pPr>
          </w:p>
        </w:tc>
        <w:tc>
          <w:tcPr>
            <w:tcW w:w="5960" w:type="dxa"/>
            <w:vAlign w:val="bottom"/>
            <w:tcBorders>
              <w:bottom w:val="single" w:sz="8" w:color="DBDBDB"/>
            </w:tcBorders>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DBDBDB"/>
          </w:tcPr>
          <w:p>
            <w:pPr>
              <w:spacing w:after="0"/>
              <w:rPr>
                <w:sz w:val="17"/>
                <w:szCs w:val="17"/>
                <w:color w:val="auto"/>
              </w:rPr>
            </w:pPr>
          </w:p>
        </w:tc>
        <w:tc>
          <w:tcPr>
            <w:tcW w:w="5960" w:type="dxa"/>
            <w:vAlign w:val="bottom"/>
            <w:gridSpan w:val="2"/>
            <w:shd w:val="clear" w:color="auto" w:fill="DBDBDB"/>
          </w:tcPr>
          <w:p>
            <w:pPr>
              <w:ind w:left="200"/>
              <w:spacing w:after="0"/>
              <w:rPr>
                <w:sz w:val="20"/>
                <w:szCs w:val="20"/>
                <w:color w:val="auto"/>
              </w:rPr>
            </w:pPr>
            <w:r>
              <w:rPr>
                <w:rFonts w:ascii="Arial" w:cs="Arial" w:eastAsia="Arial" w:hAnsi="Arial"/>
                <w:sz w:val="14"/>
                <w:szCs w:val="14"/>
                <w:color w:val="auto"/>
              </w:rPr>
              <w:t>Total operating expenses</w:t>
            </w:r>
          </w:p>
        </w:tc>
        <w:tc>
          <w:tcPr>
            <w:tcW w:w="16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549</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536</w:t>
            </w:r>
          </w:p>
        </w:tc>
        <w:tc>
          <w:tcPr>
            <w:tcW w:w="28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1,954</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1,720</w:t>
            </w:r>
          </w:p>
        </w:tc>
        <w:tc>
          <w:tcPr>
            <w:tcW w:w="0" w:type="dxa"/>
            <w:vAlign w:val="bottom"/>
          </w:tcPr>
          <w:p>
            <w:pPr>
              <w:spacing w:after="0"/>
              <w:rPr>
                <w:sz w:val="1"/>
                <w:szCs w:val="1"/>
                <w:color w:val="auto"/>
              </w:rPr>
            </w:pPr>
          </w:p>
        </w:tc>
      </w:tr>
      <w:tr>
        <w:trPr>
          <w:trHeight w:val="195"/>
        </w:trPr>
        <w:tc>
          <w:tcPr>
            <w:tcW w:w="20" w:type="dxa"/>
            <w:vAlign w:val="bottom"/>
            <w:tcBorders>
              <w:bottom w:val="single" w:sz="8" w:color="DBDBDB"/>
            </w:tcBorders>
          </w:tcPr>
          <w:p>
            <w:pPr>
              <w:spacing w:after="0"/>
              <w:rPr>
                <w:sz w:val="16"/>
                <w:szCs w:val="16"/>
                <w:color w:val="auto"/>
              </w:rPr>
            </w:pPr>
          </w:p>
        </w:tc>
        <w:tc>
          <w:tcPr>
            <w:tcW w:w="5960" w:type="dxa"/>
            <w:vAlign w:val="bottom"/>
            <w:tcBorders>
              <w:bottom w:val="single" w:sz="8" w:color="DBDBDB"/>
            </w:tcBorders>
            <w:gridSpan w:val="2"/>
          </w:tcPr>
          <w:p>
            <w:pPr>
              <w:spacing w:after="0"/>
              <w:rPr>
                <w:sz w:val="20"/>
                <w:szCs w:val="20"/>
                <w:color w:val="auto"/>
              </w:rPr>
            </w:pPr>
            <w:r>
              <w:rPr>
                <w:rFonts w:ascii="Arial" w:cs="Arial" w:eastAsia="Arial" w:hAnsi="Arial"/>
                <w:sz w:val="14"/>
                <w:szCs w:val="14"/>
                <w:color w:val="auto"/>
              </w:rPr>
              <w:t>Gain on asset divestitures</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22"/>
        </w:trPr>
        <w:tc>
          <w:tcPr>
            <w:tcW w:w="20" w:type="dxa"/>
            <w:vAlign w:val="bottom"/>
            <w:tcBorders>
              <w:bottom w:val="single" w:sz="8" w:color="DBDBDB"/>
            </w:tcBorders>
            <w:shd w:val="clear" w:color="auto" w:fill="DBDBDB"/>
          </w:tcPr>
          <w:p>
            <w:pPr>
              <w:spacing w:after="0"/>
              <w:rPr>
                <w:sz w:val="18"/>
                <w:szCs w:val="18"/>
                <w:color w:val="auto"/>
              </w:rPr>
            </w:pPr>
          </w:p>
        </w:tc>
        <w:tc>
          <w:tcPr>
            <w:tcW w:w="5960" w:type="dxa"/>
            <w:vAlign w:val="bottom"/>
            <w:tcBorders>
              <w:bottom w:val="single" w:sz="8" w:color="DBDBDB"/>
            </w:tcBorders>
            <w:gridSpan w:val="2"/>
            <w:shd w:val="clear" w:color="auto" w:fill="DBDBDB"/>
          </w:tcPr>
          <w:p>
            <w:pPr>
              <w:spacing w:after="0"/>
              <w:rPr>
                <w:sz w:val="20"/>
                <w:szCs w:val="20"/>
                <w:color w:val="auto"/>
              </w:rPr>
            </w:pPr>
            <w:r>
              <w:rPr>
                <w:rFonts w:ascii="Arial" w:cs="Arial" w:eastAsia="Arial" w:hAnsi="Arial"/>
                <w:sz w:val="14"/>
                <w:szCs w:val="14"/>
                <w:b w:val="1"/>
                <w:bCs w:val="1"/>
                <w:color w:val="auto"/>
              </w:rPr>
              <w:t>Operating Income</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132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591</w:t>
            </w:r>
          </w:p>
        </w:tc>
        <w:tc>
          <w:tcPr>
            <w:tcW w:w="280" w:type="dxa"/>
            <w:vAlign w:val="bottom"/>
          </w:tcPr>
          <w:p>
            <w:pPr>
              <w:spacing w:after="0"/>
              <w:rPr>
                <w:sz w:val="18"/>
                <w:szCs w:val="18"/>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812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20"/>
        </w:trPr>
        <w:tc>
          <w:tcPr>
            <w:tcW w:w="20" w:type="dxa"/>
            <w:vAlign w:val="bottom"/>
            <w:tcBorders>
              <w:top w:val="single" w:sz="8" w:color="DBDBDB"/>
            </w:tcBorders>
          </w:tcPr>
          <w:p>
            <w:pPr>
              <w:spacing w:after="0" w:line="20" w:lineRule="exact"/>
              <w:rPr>
                <w:sz w:val="1"/>
                <w:szCs w:val="1"/>
                <w:color w:val="auto"/>
              </w:rPr>
            </w:pPr>
          </w:p>
        </w:tc>
        <w:tc>
          <w:tcPr>
            <w:tcW w:w="5960" w:type="dxa"/>
            <w:vAlign w:val="bottom"/>
            <w:tcBorders>
              <w:top w:val="single" w:sz="8" w:color="DBDBDB"/>
              <w:bottom w:val="single" w:sz="8" w:color="DBDBDB"/>
            </w:tcBorders>
            <w:gridSpan w:val="2"/>
            <w:vMerge w:val="restart"/>
          </w:tcPr>
          <w:p>
            <w:pPr>
              <w:spacing w:after="0"/>
              <w:rPr>
                <w:sz w:val="20"/>
                <w:szCs w:val="20"/>
                <w:color w:val="auto"/>
              </w:rPr>
            </w:pPr>
            <w:r>
              <w:rPr>
                <w:rFonts w:ascii="Arial" w:cs="Arial" w:eastAsia="Arial" w:hAnsi="Arial"/>
                <w:sz w:val="14"/>
                <w:szCs w:val="14"/>
                <w:b w:val="1"/>
                <w:bCs w:val="1"/>
                <w:color w:val="auto"/>
              </w:rPr>
              <w:t>Net Income Attributable to Common Stock</w:t>
            </w: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gridSpan w:val="2"/>
            <w:vMerge w:val="continue"/>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83</w:t>
            </w:r>
          </w:p>
        </w:tc>
        <w:tc>
          <w:tcPr>
            <w:tcW w:w="120" w:type="dxa"/>
            <w:vAlign w:val="bottom"/>
            <w:tcBorders>
              <w:right w:val="single" w:sz="8" w:color="auto"/>
            </w:tcBorders>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426</w:t>
            </w: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524</w:t>
            </w:r>
          </w:p>
        </w:tc>
        <w:tc>
          <w:tcPr>
            <w:tcW w:w="120" w:type="dxa"/>
            <w:vAlign w:val="bottom"/>
            <w:tcBorders>
              <w:right w:val="single" w:sz="8" w:color="auto"/>
            </w:tcBorders>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612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40" w:type="dxa"/>
            <w:vAlign w:val="bottom"/>
            <w:gridSpan w:val="2"/>
          </w:tcPr>
          <w:p>
            <w:pPr>
              <w:spacing w:after="0"/>
              <w:rPr>
                <w:sz w:val="9"/>
                <w:szCs w:val="9"/>
                <w:color w:val="auto"/>
              </w:rPr>
            </w:pPr>
          </w:p>
        </w:tc>
        <w:tc>
          <w:tcPr>
            <w:tcW w:w="98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40" w:type="dxa"/>
            <w:vAlign w:val="bottom"/>
            <w:gridSpan w:val="2"/>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DBDBDB"/>
          </w:tcPr>
          <w:p>
            <w:pPr>
              <w:spacing w:after="0"/>
              <w:rPr>
                <w:sz w:val="17"/>
                <w:szCs w:val="17"/>
                <w:color w:val="auto"/>
              </w:rPr>
            </w:pPr>
          </w:p>
        </w:tc>
        <w:tc>
          <w:tcPr>
            <w:tcW w:w="5960" w:type="dxa"/>
            <w:vAlign w:val="bottom"/>
            <w:gridSpan w:val="2"/>
            <w:shd w:val="clear" w:color="auto" w:fill="DBDBDB"/>
          </w:tcPr>
          <w:p>
            <w:pPr>
              <w:spacing w:after="0"/>
              <w:rPr>
                <w:sz w:val="20"/>
                <w:szCs w:val="20"/>
                <w:color w:val="auto"/>
              </w:rPr>
            </w:pPr>
            <w:r>
              <w:rPr>
                <w:rFonts w:ascii="Arial" w:cs="Arial" w:eastAsia="Arial" w:hAnsi="Arial"/>
                <w:sz w:val="14"/>
                <w:szCs w:val="14"/>
                <w:color w:val="auto"/>
              </w:rPr>
              <w:t>Net income attributable to common stock per share - basic</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1.14</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5.75</w:t>
            </w:r>
          </w:p>
        </w:tc>
        <w:tc>
          <w:tcPr>
            <w:tcW w:w="280" w:type="dxa"/>
            <w:vAlign w:val="bottom"/>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6.94</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4"/>
                <w:szCs w:val="14"/>
                <w:color w:val="auto"/>
              </w:rPr>
              <w:t>Net income attributable to common stock per share - diluted</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1.11</w:t>
            </w:r>
          </w:p>
        </w:tc>
        <w:tc>
          <w:tcPr>
            <w:tcW w:w="12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5.58</w:t>
            </w: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6.75</w:t>
            </w:r>
          </w:p>
        </w:tc>
        <w:tc>
          <w:tcPr>
            <w:tcW w:w="12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7.37</w:t>
            </w:r>
          </w:p>
        </w:tc>
        <w:tc>
          <w:tcPr>
            <w:tcW w:w="0" w:type="dxa"/>
            <w:vAlign w:val="bottom"/>
          </w:tcPr>
          <w:p>
            <w:pPr>
              <w:spacing w:after="0"/>
              <w:rPr>
                <w:sz w:val="1"/>
                <w:szCs w:val="1"/>
                <w:color w:val="auto"/>
              </w:rPr>
            </w:pPr>
          </w:p>
        </w:tc>
      </w:tr>
      <w:tr>
        <w:trPr>
          <w:trHeight w:val="203"/>
        </w:trPr>
        <w:tc>
          <w:tcPr>
            <w:tcW w:w="20" w:type="dxa"/>
            <w:vAlign w:val="bottom"/>
            <w:shd w:val="clear" w:color="auto" w:fill="DBDBDB"/>
          </w:tcPr>
          <w:p>
            <w:pPr>
              <w:spacing w:after="0"/>
              <w:rPr>
                <w:sz w:val="17"/>
                <w:szCs w:val="17"/>
                <w:color w:val="auto"/>
              </w:rPr>
            </w:pPr>
          </w:p>
        </w:tc>
        <w:tc>
          <w:tcPr>
            <w:tcW w:w="5960" w:type="dxa"/>
            <w:vAlign w:val="bottom"/>
            <w:gridSpan w:val="2"/>
            <w:shd w:val="clear" w:color="auto" w:fill="DBDBDB"/>
          </w:tcPr>
          <w:p>
            <w:pPr>
              <w:spacing w:after="0" w:line="203" w:lineRule="exact"/>
              <w:rPr>
                <w:sz w:val="20"/>
                <w:szCs w:val="20"/>
                <w:color w:val="auto"/>
              </w:rPr>
            </w:pPr>
            <w:r>
              <w:rPr>
                <w:rFonts w:ascii="Arial" w:cs="Arial" w:eastAsia="Arial" w:hAnsi="Arial"/>
                <w:sz w:val="14"/>
                <w:szCs w:val="14"/>
                <w:color w:val="auto"/>
              </w:rPr>
              <w:t>Adjusted net income</w:t>
            </w:r>
            <w:r>
              <w:rPr>
                <w:rFonts w:ascii="Arial" w:cs="Arial" w:eastAsia="Arial" w:hAnsi="Arial"/>
                <w:sz w:val="18"/>
                <w:szCs w:val="18"/>
                <w:color w:val="auto"/>
                <w:vertAlign w:val="superscript"/>
              </w:rPr>
              <w:t>1</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93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111</w:t>
            </w:r>
          </w:p>
        </w:tc>
        <w:tc>
          <w:tcPr>
            <w:tcW w:w="280" w:type="dxa"/>
            <w:vAlign w:val="bottom"/>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384</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gridSpan w:val="2"/>
          </w:tcPr>
          <w:p>
            <w:pPr>
              <w:spacing w:after="0" w:line="202" w:lineRule="exact"/>
              <w:rPr>
                <w:sz w:val="20"/>
                <w:szCs w:val="20"/>
                <w:color w:val="auto"/>
              </w:rPr>
            </w:pPr>
            <w:r>
              <w:rPr>
                <w:rFonts w:ascii="Arial" w:cs="Arial" w:eastAsia="Arial" w:hAnsi="Arial"/>
                <w:sz w:val="14"/>
                <w:szCs w:val="14"/>
                <w:color w:val="auto"/>
              </w:rPr>
              <w:t>Adjusted net income</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per share - diluted</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1.24</w:t>
            </w:r>
          </w:p>
        </w:tc>
        <w:tc>
          <w:tcPr>
            <w:tcW w:w="12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1.45</w:t>
            </w: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4.95</w:t>
            </w:r>
          </w:p>
        </w:tc>
        <w:tc>
          <w:tcPr>
            <w:tcW w:w="12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6.10</w:t>
            </w:r>
          </w:p>
        </w:tc>
        <w:tc>
          <w:tcPr>
            <w:tcW w:w="0" w:type="dxa"/>
            <w:vAlign w:val="bottom"/>
          </w:tcPr>
          <w:p>
            <w:pPr>
              <w:spacing w:after="0"/>
              <w:rPr>
                <w:sz w:val="1"/>
                <w:szCs w:val="1"/>
                <w:color w:val="auto"/>
              </w:rPr>
            </w:pPr>
          </w:p>
        </w:tc>
      </w:tr>
      <w:tr>
        <w:trPr>
          <w:trHeight w:val="203"/>
        </w:trPr>
        <w:tc>
          <w:tcPr>
            <w:tcW w:w="20" w:type="dxa"/>
            <w:vAlign w:val="bottom"/>
            <w:shd w:val="clear" w:color="auto" w:fill="DBDBDB"/>
          </w:tcPr>
          <w:p>
            <w:pPr>
              <w:spacing w:after="0"/>
              <w:rPr>
                <w:sz w:val="17"/>
                <w:szCs w:val="17"/>
                <w:color w:val="auto"/>
              </w:rPr>
            </w:pPr>
          </w:p>
        </w:tc>
        <w:tc>
          <w:tcPr>
            <w:tcW w:w="5960" w:type="dxa"/>
            <w:vAlign w:val="bottom"/>
            <w:gridSpan w:val="2"/>
            <w:shd w:val="clear" w:color="auto" w:fill="DBDBDB"/>
          </w:tcPr>
          <w:p>
            <w:pPr>
              <w:spacing w:after="0"/>
              <w:rPr>
                <w:sz w:val="20"/>
                <w:szCs w:val="20"/>
                <w:color w:val="auto"/>
              </w:rPr>
            </w:pPr>
            <w:r>
              <w:rPr>
                <w:rFonts w:ascii="Arial" w:cs="Arial" w:eastAsia="Arial" w:hAnsi="Arial"/>
                <w:sz w:val="14"/>
                <w:szCs w:val="14"/>
                <w:color w:val="auto"/>
              </w:rPr>
              <w:t>Weighted-average common shares outstanding - basic</w:t>
            </w:r>
          </w:p>
        </w:tc>
        <w:tc>
          <w:tcPr>
            <w:tcW w:w="16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72.7</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74.1</w:t>
            </w:r>
          </w:p>
        </w:tc>
        <w:tc>
          <w:tcPr>
            <w:tcW w:w="280" w:type="dxa"/>
            <w:vAlign w:val="bottom"/>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75.5</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82.0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4"/>
                <w:szCs w:val="14"/>
                <w:color w:val="auto"/>
              </w:rPr>
              <w:t>Weighted-average common shares outstanding - diluted</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75.0</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76.3</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77.6</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83.0</w:t>
            </w:r>
          </w:p>
        </w:tc>
        <w:tc>
          <w:tcPr>
            <w:tcW w:w="0" w:type="dxa"/>
            <w:vAlign w:val="bottom"/>
          </w:tcPr>
          <w:p>
            <w:pPr>
              <w:spacing w:after="0"/>
              <w:rPr>
                <w:sz w:val="1"/>
                <w:szCs w:val="1"/>
                <w:color w:val="auto"/>
              </w:rPr>
            </w:pPr>
          </w:p>
        </w:tc>
      </w:tr>
      <w:tr>
        <w:trPr>
          <w:trHeight w:val="203"/>
        </w:trPr>
        <w:tc>
          <w:tcPr>
            <w:tcW w:w="20" w:type="dxa"/>
            <w:vAlign w:val="bottom"/>
            <w:shd w:val="clear" w:color="auto" w:fill="DBDBDB"/>
          </w:tcPr>
          <w:p>
            <w:pPr>
              <w:spacing w:after="0"/>
              <w:rPr>
                <w:sz w:val="17"/>
                <w:szCs w:val="17"/>
                <w:color w:val="auto"/>
              </w:rPr>
            </w:pPr>
          </w:p>
        </w:tc>
        <w:tc>
          <w:tcPr>
            <w:tcW w:w="5960" w:type="dxa"/>
            <w:vAlign w:val="bottom"/>
            <w:gridSpan w:val="2"/>
            <w:shd w:val="clear" w:color="auto" w:fill="DBDBDB"/>
          </w:tcPr>
          <w:p>
            <w:pPr>
              <w:spacing w:after="0" w:line="203" w:lineRule="exact"/>
              <w:rPr>
                <w:sz w:val="20"/>
                <w:szCs w:val="20"/>
                <w:color w:val="auto"/>
              </w:rPr>
            </w:pPr>
            <w:r>
              <w:rPr>
                <w:rFonts w:ascii="Arial" w:cs="Arial" w:eastAsia="Arial" w:hAnsi="Arial"/>
                <w:sz w:val="14"/>
                <w:szCs w:val="14"/>
                <w:color w:val="auto"/>
              </w:rPr>
              <w:t>Adjusted EBITDAX</w:t>
            </w:r>
            <w:r>
              <w:rPr>
                <w:rFonts w:ascii="Arial" w:cs="Arial" w:eastAsia="Arial" w:hAnsi="Arial"/>
                <w:sz w:val="18"/>
                <w:szCs w:val="18"/>
                <w:color w:val="auto"/>
                <w:vertAlign w:val="superscript"/>
              </w:rPr>
              <w:t>1</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208</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234</w:t>
            </w:r>
          </w:p>
        </w:tc>
        <w:tc>
          <w:tcPr>
            <w:tcW w:w="280" w:type="dxa"/>
            <w:vAlign w:val="bottom"/>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852</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860</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Review of Fourth Quarter &amp; Full Year 2022 Financial Results</w:t>
      </w:r>
    </w:p>
    <w:p>
      <w:pPr>
        <w:spacing w:after="0" w:line="2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21"/>
          <w:szCs w:val="21"/>
          <w:color w:val="auto"/>
        </w:rPr>
        <w:t>Realized oil prices, excluding the effects of cash settlements on CRC's commodity derivative contracts, decreased by $10.81 per barrel from $97.96 per barrel in the third quarter of 2022 to $87.15 per barrel in the fourth quarter of 2022. Crude realizations decreased in the fourth quarter of 2022 relative to the third quarter of 2022 as California refining margins tightened significantly leaving those refiners less motivated to secure incremental barrels.</w:t>
      </w:r>
    </w:p>
    <w:p>
      <w:pPr>
        <w:spacing w:after="0" w:line="189"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For the year ended December 31, 2022, realized oil prices, excluding the effects of cash settlements on CRC's commodity derivative contracts, increased by $27.83 per barrel to $98.26 from $70.43 per barrel in the same period of 2021. Capital and production discipline across domestic and international producers generally offset continued COVID-19 lockdowns in China, reduced energy demand across much of Europe and the release of meaningful quantities of oil from the United States Strategic Petroleum Reserve.</w:t>
      </w:r>
    </w:p>
    <w:p>
      <w:pPr>
        <w:spacing w:after="0" w:line="206"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22"/>
          <w:szCs w:val="22"/>
          <w:color w:val="auto"/>
        </w:rPr>
        <w:t>Realized oil prices, including the effects of cash settlements on CRC's commodity derivative contracts, decreased by $1.12 from $62.45 in the third quarter of 2022 to $61.33 in the fourth quarter of 2022.</w:t>
      </w:r>
    </w:p>
    <w:p>
      <w:pPr>
        <w:spacing w:after="0" w:line="183"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2"/>
          <w:szCs w:val="22"/>
          <w:color w:val="auto"/>
        </w:rPr>
        <w:t>For the year ended December 31, 2022, realized oil prices, including the effects of cash settlements on CRC's commodity derivative contracts, increased by $5.75 to $61.80 from $56.05 per barrel in the same period of 2021. See Attachment 4 for further information on prices.</w:t>
      </w:r>
    </w:p>
    <w:p>
      <w:pPr>
        <w:spacing w:after="0" w:line="191" w:lineRule="exact"/>
        <w:rPr>
          <w:sz w:val="20"/>
          <w:szCs w:val="20"/>
          <w:color w:val="auto"/>
        </w:rPr>
      </w:pPr>
    </w:p>
    <w:p>
      <w:pPr>
        <w:jc w:val="both"/>
        <w:ind w:firstLine="324"/>
        <w:spacing w:after="0" w:line="230" w:lineRule="auto"/>
        <w:rPr>
          <w:sz w:val="20"/>
          <w:szCs w:val="20"/>
          <w:color w:val="auto"/>
        </w:rPr>
      </w:pPr>
      <w:r>
        <w:rPr>
          <w:rFonts w:ascii="Arial" w:cs="Arial" w:eastAsia="Arial" w:hAnsi="Arial"/>
          <w:sz w:val="22"/>
          <w:szCs w:val="22"/>
          <w:color w:val="auto"/>
        </w:rPr>
        <w:t>Adjusted EBITDAX</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for the fourth quarter of 2022 and for the year ended December 31, 2022, was $208 million and $852 million, respectively. See table below for the Company's net cash provided by operating activities, capital investments and free cash flow</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during the same periods.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240"/>
          </w:cols>
          <w:pgMar w:left="320" w:top="894" w:right="339" w:bottom="1440" w:gutter="0" w:footer="0" w:header="0"/>
        </w:sectPr>
      </w:pPr>
    </w:p>
    <w:bookmarkStart w:id="9" w:name="page10"/>
    <w:bookmarkEnd w:id="9"/>
    <w:p>
      <w:pPr>
        <w:ind w:left="20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319405</wp:posOffset>
            </wp:positionH>
            <wp:positionV relativeFrom="page">
              <wp:posOffset>594360</wp:posOffset>
            </wp:positionV>
            <wp:extent cx="6917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17690" cy="8890"/>
                    </a:xfrm>
                    <a:prstGeom prst="rect">
                      <a:avLst/>
                    </a:prstGeom>
                    <a:noFill/>
                  </pic:spPr>
                </pic:pic>
              </a:graphicData>
            </a:graphic>
          </wp:anchor>
        </w:drawing>
        <w:drawing>
          <wp:anchor simplePos="0" relativeHeight="251657728" behindDoc="1" locked="0" layoutInCell="0" allowOverlap="1">
            <wp:simplePos x="0" y="0"/>
            <wp:positionH relativeFrom="page">
              <wp:posOffset>319405</wp:posOffset>
            </wp:positionH>
            <wp:positionV relativeFrom="page">
              <wp:posOffset>620395</wp:posOffset>
            </wp:positionV>
            <wp:extent cx="69176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17690" cy="8255"/>
                    </a:xfrm>
                    <a:prstGeom prst="rect">
                      <a:avLst/>
                    </a:prstGeom>
                    <a:noFill/>
                  </pic:spPr>
                </pic:pic>
              </a:graphicData>
            </a:graphic>
          </wp:anchor>
        </w:drawing>
        <w:t>FREE CASH FLOW</w:t>
      </w:r>
      <w:r>
        <w:rPr>
          <w:rFonts w:ascii="Arial" w:cs="Arial" w:eastAsia="Arial" w:hAnsi="Arial"/>
          <w:sz w:val="18"/>
          <w:szCs w:val="18"/>
          <w:b w:val="1"/>
          <w:bCs w:val="1"/>
          <w:color w:val="auto"/>
          <w:vertAlign w:val="superscript"/>
        </w:rPr>
        <w:t>1</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Management uses free cash flow, which is defined by CRC as net cash provided by operating activities less capital investments, as a measure of liquidity. The following</w:t>
      </w:r>
    </w:p>
    <w:p>
      <w:pPr>
        <w:spacing w:after="0" w:line="2" w:lineRule="exact"/>
        <w:rPr>
          <w:sz w:val="20"/>
          <w:szCs w:val="20"/>
          <w:color w:val="auto"/>
        </w:rPr>
      </w:pPr>
    </w:p>
    <w:p>
      <w:pPr>
        <w:ind w:left="200" w:right="340"/>
        <w:spacing w:after="0" w:line="211" w:lineRule="auto"/>
        <w:rPr>
          <w:sz w:val="20"/>
          <w:szCs w:val="20"/>
          <w:color w:val="auto"/>
        </w:rPr>
      </w:pPr>
      <w:r>
        <w:rPr>
          <w:rFonts w:ascii="Arial" w:cs="Arial" w:eastAsia="Arial" w:hAnsi="Arial"/>
          <w:sz w:val="14"/>
          <w:szCs w:val="14"/>
          <w:color w:val="auto"/>
        </w:rPr>
        <w:t>table presents a reconciliation of CRC's net cash provided by operating activities to free cash flow. CRC supplemented its non-GAAP measure of free cash flow with free cash flow of CRC's exploration and production and corporate items (Free Cash Flow for E&amp;P, Corporate &amp; Other) which it believes is a useful measure for investors to</w:t>
      </w:r>
    </w:p>
    <w:p>
      <w:pPr>
        <w:ind w:left="200" w:right="260"/>
        <w:spacing w:after="0" w:line="244" w:lineRule="auto"/>
        <w:rPr>
          <w:sz w:val="20"/>
          <w:szCs w:val="20"/>
          <w:color w:val="auto"/>
        </w:rPr>
      </w:pPr>
      <w:r>
        <w:rPr>
          <w:rFonts w:ascii="Arial" w:cs="Arial" w:eastAsia="Arial" w:hAnsi="Arial"/>
          <w:sz w:val="14"/>
          <w:szCs w:val="14"/>
          <w:color w:val="auto"/>
        </w:rPr>
        <w:t>understand the results of its core oil and gas business. CRC defines Free Cash Flow for E&amp;P, Corporate &amp; Other as consolidated free cash flow less results attributable to its carbon management business (CMB).</w:t>
      </w:r>
    </w:p>
    <w:p>
      <w:pPr>
        <w:spacing w:after="0" w:line="80" w:lineRule="exact"/>
        <w:rPr>
          <w:sz w:val="20"/>
          <w:szCs w:val="20"/>
          <w:color w:val="auto"/>
        </w:rPr>
      </w:pPr>
    </w:p>
    <w:tbl>
      <w:tblPr>
        <w:tblLayout w:type="fixed"/>
        <w:tblInd w:w="180" w:type="dxa"/>
        <w:tblCellMar>
          <w:top w:w="0" w:type="dxa"/>
          <w:left w:w="0" w:type="dxa"/>
          <w:bottom w:w="0" w:type="dxa"/>
          <w:right w:w="0" w:type="dxa"/>
        </w:tblCellMar>
      </w:tblPr>
      <w:tr>
        <w:trPr>
          <w:trHeight w:val="214"/>
        </w:trPr>
        <w:tc>
          <w:tcPr>
            <w:tcW w:w="5340" w:type="dxa"/>
            <w:vAlign w:val="bottom"/>
            <w:tcBorders>
              <w:top w:val="single" w:sz="8" w:color="DBDBDB"/>
            </w:tcBorders>
            <w:shd w:val="clear" w:color="auto" w:fill="DBDBDB"/>
          </w:tcPr>
          <w:p>
            <w:pPr>
              <w:spacing w:after="0"/>
              <w:rPr>
                <w:sz w:val="18"/>
                <w:szCs w:val="18"/>
                <w:color w:val="auto"/>
              </w:rPr>
            </w:pPr>
          </w:p>
        </w:tc>
        <w:tc>
          <w:tcPr>
            <w:tcW w:w="160" w:type="dxa"/>
            <w:vAlign w:val="bottom"/>
            <w:tcBorders>
              <w:top w:val="single" w:sz="8" w:color="auto"/>
            </w:tcBorders>
            <w:shd w:val="clear" w:color="auto" w:fill="DBDBDB"/>
          </w:tcPr>
          <w:p>
            <w:pPr>
              <w:spacing w:after="0"/>
              <w:rPr>
                <w:sz w:val="18"/>
                <w:szCs w:val="18"/>
                <w:color w:val="auto"/>
              </w:rPr>
            </w:pPr>
          </w:p>
        </w:tc>
        <w:tc>
          <w:tcPr>
            <w:tcW w:w="1060" w:type="dxa"/>
            <w:vAlign w:val="bottom"/>
            <w:tcBorders>
              <w:top w:val="single" w:sz="8" w:color="auto"/>
            </w:tcBorders>
            <w:shd w:val="clear" w:color="auto" w:fill="DBDBDB"/>
          </w:tcPr>
          <w:p>
            <w:pPr>
              <w:jc w:val="right"/>
              <w:ind w:right="148"/>
              <w:spacing w:after="0"/>
              <w:rPr>
                <w:sz w:val="20"/>
                <w:szCs w:val="20"/>
                <w:color w:val="auto"/>
              </w:rPr>
            </w:pPr>
            <w:r>
              <w:rPr>
                <w:rFonts w:ascii="Arial" w:cs="Arial" w:eastAsia="Arial" w:hAnsi="Arial"/>
                <w:sz w:val="14"/>
                <w:szCs w:val="14"/>
                <w:b w:val="1"/>
                <w:bCs w:val="1"/>
                <w:color w:val="auto"/>
              </w:rPr>
              <w:t>4th Quarter</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shd w:val="clear" w:color="auto" w:fill="DBDBDB"/>
          </w:tcPr>
          <w:p>
            <w:pPr>
              <w:spacing w:after="0"/>
              <w:rPr>
                <w:sz w:val="18"/>
                <w:szCs w:val="18"/>
                <w:color w:val="auto"/>
              </w:rPr>
            </w:pPr>
          </w:p>
        </w:tc>
        <w:tc>
          <w:tcPr>
            <w:tcW w:w="1060" w:type="dxa"/>
            <w:vAlign w:val="bottom"/>
            <w:tcBorders>
              <w:top w:val="single" w:sz="8" w:color="auto"/>
            </w:tcBorders>
            <w:shd w:val="clear" w:color="auto" w:fill="DBDBDB"/>
          </w:tcPr>
          <w:p>
            <w:pPr>
              <w:jc w:val="right"/>
              <w:ind w:right="188"/>
              <w:spacing w:after="0"/>
              <w:rPr>
                <w:sz w:val="20"/>
                <w:szCs w:val="20"/>
                <w:color w:val="auto"/>
              </w:rPr>
            </w:pPr>
            <w:r>
              <w:rPr>
                <w:rFonts w:ascii="Arial" w:cs="Arial" w:eastAsia="Arial" w:hAnsi="Arial"/>
                <w:sz w:val="14"/>
                <w:szCs w:val="14"/>
                <w:color w:val="auto"/>
              </w:rPr>
              <w:t>3rd Quarter</w:t>
            </w:r>
          </w:p>
        </w:tc>
        <w:tc>
          <w:tcPr>
            <w:tcW w:w="280" w:type="dxa"/>
            <w:vAlign w:val="bottom"/>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1040" w:type="dxa"/>
            <w:vAlign w:val="bottom"/>
            <w:tcBorders>
              <w:top w:val="single" w:sz="8" w:color="auto"/>
            </w:tcBorders>
            <w:shd w:val="clear" w:color="auto" w:fill="DBDBDB"/>
          </w:tcPr>
          <w:p>
            <w:pPr>
              <w:jc w:val="right"/>
              <w:ind w:right="208"/>
              <w:spacing w:after="0"/>
              <w:rPr>
                <w:sz w:val="20"/>
                <w:szCs w:val="20"/>
                <w:color w:val="auto"/>
              </w:rPr>
            </w:pPr>
            <w:r>
              <w:rPr>
                <w:rFonts w:ascii="Arial" w:cs="Arial" w:eastAsia="Arial" w:hAnsi="Arial"/>
                <w:sz w:val="14"/>
                <w:szCs w:val="14"/>
                <w:b w:val="1"/>
                <w:bCs w:val="1"/>
                <w:color w:val="auto"/>
              </w:rPr>
              <w:t>Total Year</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shd w:val="clear" w:color="auto" w:fill="DBDBDB"/>
          </w:tcPr>
          <w:p>
            <w:pPr>
              <w:spacing w:after="0"/>
              <w:rPr>
                <w:sz w:val="18"/>
                <w:szCs w:val="18"/>
                <w:color w:val="auto"/>
              </w:rPr>
            </w:pPr>
          </w:p>
        </w:tc>
        <w:tc>
          <w:tcPr>
            <w:tcW w:w="1040" w:type="dxa"/>
            <w:vAlign w:val="bottom"/>
            <w:tcBorders>
              <w:top w:val="single" w:sz="8" w:color="auto"/>
            </w:tcBorders>
            <w:shd w:val="clear" w:color="auto" w:fill="DBDBDB"/>
          </w:tcPr>
          <w:p>
            <w:pPr>
              <w:jc w:val="right"/>
              <w:ind w:right="228"/>
              <w:spacing w:after="0"/>
              <w:rPr>
                <w:sz w:val="20"/>
                <w:szCs w:val="20"/>
                <w:color w:val="auto"/>
              </w:rPr>
            </w:pPr>
            <w:r>
              <w:rPr>
                <w:rFonts w:ascii="Arial" w:cs="Arial" w:eastAsia="Arial" w:hAnsi="Arial"/>
                <w:sz w:val="14"/>
                <w:szCs w:val="14"/>
                <w:color w:val="auto"/>
              </w:rPr>
              <w:t>Total Year</w:t>
            </w:r>
          </w:p>
        </w:tc>
      </w:tr>
      <w:tr>
        <w:trPr>
          <w:trHeight w:val="204"/>
        </w:trPr>
        <w:tc>
          <w:tcPr>
            <w:tcW w:w="53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 millions)</w:t>
            </w:r>
          </w:p>
        </w:tc>
        <w:tc>
          <w:tcPr>
            <w:tcW w:w="16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ind w:right="388"/>
              <w:spacing w:after="0"/>
              <w:rPr>
                <w:sz w:val="20"/>
                <w:szCs w:val="20"/>
                <w:color w:val="auto"/>
              </w:rPr>
            </w:pPr>
            <w:r>
              <w:rPr>
                <w:rFonts w:ascii="Arial" w:cs="Arial" w:eastAsia="Arial" w:hAnsi="Arial"/>
                <w:sz w:val="14"/>
                <w:szCs w:val="14"/>
                <w:color w:val="auto"/>
              </w:rPr>
              <w:t>2022</w:t>
            </w:r>
          </w:p>
        </w:tc>
        <w:tc>
          <w:tcPr>
            <w:tcW w:w="280" w:type="dxa"/>
            <w:vAlign w:val="bottom"/>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right"/>
              <w:ind w:right="388"/>
              <w:spacing w:after="0"/>
              <w:rPr>
                <w:sz w:val="20"/>
                <w:szCs w:val="20"/>
                <w:color w:val="auto"/>
              </w:rPr>
            </w:pPr>
            <w:r>
              <w:rPr>
                <w:rFonts w:ascii="Arial" w:cs="Arial" w:eastAsia="Arial" w:hAnsi="Arial"/>
                <w:sz w:val="14"/>
                <w:szCs w:val="14"/>
                <w:color w:val="auto"/>
              </w:rPr>
              <w:t>2021</w:t>
            </w:r>
          </w:p>
        </w:tc>
      </w:tr>
      <w:tr>
        <w:trPr>
          <w:trHeight w:val="398"/>
        </w:trPr>
        <w:tc>
          <w:tcPr>
            <w:tcW w:w="534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114</w:t>
            </w:r>
          </w:p>
        </w:tc>
        <w:tc>
          <w:tcPr>
            <w:tcW w:w="120" w:type="dxa"/>
            <w:vAlign w:val="bottom"/>
            <w:tcBorders>
              <w:right w:val="single" w:sz="8" w:color="auto"/>
            </w:tcBorders>
          </w:tcPr>
          <w:p>
            <w:pPr>
              <w:spacing w:after="0"/>
              <w:rPr>
                <w:sz w:val="24"/>
                <w:szCs w:val="2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235</w:t>
            </w:r>
          </w:p>
        </w:tc>
        <w:tc>
          <w:tcPr>
            <w:tcW w:w="4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690</w:t>
            </w:r>
          </w:p>
        </w:tc>
        <w:tc>
          <w:tcPr>
            <w:tcW w:w="120" w:type="dxa"/>
            <w:vAlign w:val="bottom"/>
            <w:tcBorders>
              <w:right w:val="single" w:sz="8" w:color="auto"/>
            </w:tcBorders>
          </w:tcPr>
          <w:p>
            <w:pPr>
              <w:spacing w:after="0"/>
              <w:rPr>
                <w:sz w:val="24"/>
                <w:szCs w:val="24"/>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660</w:t>
            </w:r>
          </w:p>
        </w:tc>
      </w:tr>
      <w:tr>
        <w:trPr>
          <w:trHeight w:val="204"/>
        </w:trPr>
        <w:tc>
          <w:tcPr>
            <w:tcW w:w="5340" w:type="dxa"/>
            <w:vAlign w:val="bottom"/>
            <w:shd w:val="clear" w:color="auto" w:fill="DBDBDB"/>
          </w:tcPr>
          <w:p>
            <w:pPr>
              <w:ind w:left="100"/>
              <w:spacing w:after="0"/>
              <w:rPr>
                <w:sz w:val="20"/>
                <w:szCs w:val="20"/>
                <w:color w:val="auto"/>
              </w:rPr>
            </w:pPr>
            <w:r>
              <w:rPr>
                <w:rFonts w:ascii="Arial" w:cs="Arial" w:eastAsia="Arial" w:hAnsi="Arial"/>
                <w:sz w:val="14"/>
                <w:szCs w:val="14"/>
                <w:color w:val="auto"/>
              </w:rPr>
              <w:t>Capital investments</w:t>
            </w:r>
          </w:p>
        </w:tc>
        <w:tc>
          <w:tcPr>
            <w:tcW w:w="16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(75)</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(107)</w:t>
            </w:r>
          </w:p>
        </w:tc>
        <w:tc>
          <w:tcPr>
            <w:tcW w:w="280" w:type="dxa"/>
            <w:vAlign w:val="bottom"/>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(379)</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(194)</w:t>
            </w:r>
          </w:p>
        </w:tc>
      </w:tr>
      <w:tr>
        <w:trPr>
          <w:trHeight w:val="196"/>
        </w:trPr>
        <w:tc>
          <w:tcPr>
            <w:tcW w:w="5340" w:type="dxa"/>
            <w:vAlign w:val="bottom"/>
          </w:tcPr>
          <w:p>
            <w:pPr>
              <w:ind w:left="20"/>
              <w:spacing w:after="0" w:line="196" w:lineRule="exact"/>
              <w:rPr>
                <w:sz w:val="20"/>
                <w:szCs w:val="20"/>
                <w:color w:val="auto"/>
              </w:rPr>
            </w:pPr>
            <w:r>
              <w:rPr>
                <w:rFonts w:ascii="Arial" w:cs="Arial" w:eastAsia="Arial" w:hAnsi="Arial"/>
                <w:sz w:val="14"/>
                <w:szCs w:val="14"/>
                <w:color w:val="auto"/>
              </w:rPr>
              <w:t>Free cash flow</w:t>
            </w:r>
            <w:r>
              <w:rPr>
                <w:rFonts w:ascii="Arial" w:cs="Arial" w:eastAsia="Arial" w:hAnsi="Arial"/>
                <w:sz w:val="18"/>
                <w:szCs w:val="18"/>
                <w:color w:val="auto"/>
                <w:vertAlign w:val="superscript"/>
              </w:rPr>
              <w:t>1</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39</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128</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311</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466</w:t>
            </w:r>
          </w:p>
        </w:tc>
      </w:tr>
      <w:tr>
        <w:trPr>
          <w:trHeight w:val="461"/>
        </w:trPr>
        <w:tc>
          <w:tcPr>
            <w:tcW w:w="5340" w:type="dxa"/>
            <w:vAlign w:val="bottom"/>
          </w:tcPr>
          <w:p>
            <w:pPr>
              <w:ind w:left="20"/>
              <w:spacing w:after="0"/>
              <w:rPr>
                <w:sz w:val="20"/>
                <w:szCs w:val="20"/>
                <w:color w:val="auto"/>
              </w:rPr>
            </w:pPr>
            <w:r>
              <w:rPr>
                <w:rFonts w:ascii="Arial" w:cs="Arial" w:eastAsia="Arial" w:hAnsi="Arial"/>
                <w:sz w:val="14"/>
                <w:szCs w:val="14"/>
                <w:color w:val="auto"/>
              </w:rPr>
              <w:t>E&amp;P, corporate &amp; other free cash flow</w:t>
            </w:r>
            <w:r>
              <w:rPr>
                <w:rFonts w:ascii="Arial" w:cs="Arial" w:eastAsia="Arial" w:hAnsi="Arial"/>
                <w:sz w:val="18"/>
                <w:szCs w:val="18"/>
                <w:color w:val="auto"/>
                <w:vertAlign w:val="superscript"/>
              </w:rPr>
              <w:t>1</w:t>
            </w: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61</w:t>
            </w:r>
          </w:p>
        </w:tc>
        <w:tc>
          <w:tcPr>
            <w:tcW w:w="3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139</w:t>
            </w:r>
          </w:p>
        </w:tc>
        <w:tc>
          <w:tcPr>
            <w:tcW w:w="4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362</w:t>
            </w:r>
          </w:p>
        </w:tc>
        <w:tc>
          <w:tcPr>
            <w:tcW w:w="3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472</w:t>
            </w:r>
          </w:p>
        </w:tc>
      </w:tr>
      <w:tr>
        <w:trPr>
          <w:trHeight w:val="250"/>
        </w:trPr>
        <w:tc>
          <w:tcPr>
            <w:tcW w:w="5340" w:type="dxa"/>
            <w:vAlign w:val="bottom"/>
          </w:tcPr>
          <w:p>
            <w:pPr>
              <w:ind w:left="20"/>
              <w:spacing w:after="0"/>
              <w:rPr>
                <w:sz w:val="20"/>
                <w:szCs w:val="20"/>
                <w:color w:val="auto"/>
              </w:rPr>
            </w:pPr>
            <w:r>
              <w:rPr>
                <w:rFonts w:ascii="Arial" w:cs="Arial" w:eastAsia="Arial" w:hAnsi="Arial"/>
                <w:sz w:val="14"/>
                <w:szCs w:val="14"/>
                <w:color w:val="auto"/>
              </w:rPr>
              <w:t>CMB free cash flow</w:t>
            </w:r>
            <w:r>
              <w:rPr>
                <w:rFonts w:ascii="Arial" w:cs="Arial" w:eastAsia="Arial" w:hAnsi="Arial"/>
                <w:sz w:val="18"/>
                <w:szCs w:val="18"/>
                <w:color w:val="auto"/>
                <w:vertAlign w:val="superscript"/>
              </w:rPr>
              <w:t>1</w:t>
            </w: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3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(11)</w:t>
            </w:r>
          </w:p>
        </w:tc>
        <w:tc>
          <w:tcPr>
            <w:tcW w:w="4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(51)</w:t>
            </w:r>
          </w:p>
        </w:tc>
        <w:tc>
          <w:tcPr>
            <w:tcW w:w="3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w:t>
            </w:r>
          </w:p>
        </w:tc>
      </w:tr>
    </w:tbl>
    <w:p>
      <w:pPr>
        <w:spacing w:after="0" w:line="26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The following table presents key operating data for CRC's oil and gas operations, on a per BOE basis, for the periods presented below. Energy operating costs consist of purchased natural gas used to generate electricity for CRC's operations and steam for its steamfloods, purchased electricity and internal costs to generate electricity used in CRC's operations. Gas processing costs include costs associated with compression, maintenance and other activities needed to run CRC's gas processing facilities at Elk Hills. Non-energy operating costs equal total operating costs less energy operating costs and gas processing costs. Purchased natural gas used to generate steam in CRC's steamfloods was reclassified from non-energy operating costs to energy operating costs beginning in the third quarter of 2022. All prior periods have been updated to conform to this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OPERATING COSTS PER BOE</w:t>
      </w:r>
    </w:p>
    <w:p>
      <w:pPr>
        <w:spacing w:after="0" w:line="136" w:lineRule="exact"/>
        <w:rPr>
          <w:sz w:val="20"/>
          <w:szCs w:val="20"/>
          <w:color w:val="auto"/>
        </w:rPr>
      </w:pPr>
    </w:p>
    <w:p>
      <w:pPr>
        <w:jc w:val="both"/>
        <w:ind w:left="20" w:right="20"/>
        <w:spacing w:after="0" w:line="244" w:lineRule="auto"/>
        <w:rPr>
          <w:sz w:val="20"/>
          <w:szCs w:val="20"/>
          <w:color w:val="auto"/>
        </w:rPr>
      </w:pPr>
      <w:r>
        <w:rPr>
          <w:rFonts w:ascii="Arial" w:cs="Arial" w:eastAsia="Arial" w:hAnsi="Arial"/>
          <w:sz w:val="14"/>
          <w:szCs w:val="14"/>
          <w:color w:val="auto"/>
        </w:rPr>
        <w:t>The reporting of PSCs creates a difference between reported operating costs, which are for the full field, and reported volumes, which are only CRC's net share, inflating the per barrel operating costs. The following table presents operating costs after adjusting for the excess costs attributable to PSCs.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80" w:type="dxa"/>
            <w:vAlign w:val="bottom"/>
            <w:tcBorders>
              <w:top w:val="single" w:sz="8" w:color="DBDBDB"/>
            </w:tcBorders>
            <w:shd w:val="clear" w:color="auto" w:fill="DBDBDB"/>
          </w:tcPr>
          <w:p>
            <w:pPr>
              <w:spacing w:after="0"/>
              <w:rPr>
                <w:sz w:val="18"/>
                <w:szCs w:val="18"/>
                <w:color w:val="auto"/>
              </w:rPr>
            </w:pPr>
          </w:p>
        </w:tc>
        <w:tc>
          <w:tcPr>
            <w:tcW w:w="160" w:type="dxa"/>
            <w:vAlign w:val="bottom"/>
            <w:tcBorders>
              <w:top w:val="single" w:sz="8" w:color="auto"/>
            </w:tcBorders>
            <w:shd w:val="clear" w:color="auto" w:fill="DBDBDB"/>
          </w:tcPr>
          <w:p>
            <w:pPr>
              <w:spacing w:after="0"/>
              <w:rPr>
                <w:sz w:val="18"/>
                <w:szCs w:val="18"/>
                <w:color w:val="auto"/>
              </w:rPr>
            </w:pPr>
          </w:p>
        </w:tc>
        <w:tc>
          <w:tcPr>
            <w:tcW w:w="1060" w:type="dxa"/>
            <w:vAlign w:val="bottom"/>
            <w:tcBorders>
              <w:top w:val="single" w:sz="8" w:color="auto"/>
            </w:tcBorders>
            <w:shd w:val="clear" w:color="auto" w:fill="DBDBDB"/>
          </w:tcPr>
          <w:p>
            <w:pPr>
              <w:jc w:val="right"/>
              <w:ind w:right="148"/>
              <w:spacing w:after="0"/>
              <w:rPr>
                <w:sz w:val="20"/>
                <w:szCs w:val="20"/>
                <w:color w:val="auto"/>
              </w:rPr>
            </w:pPr>
            <w:r>
              <w:rPr>
                <w:rFonts w:ascii="Arial" w:cs="Arial" w:eastAsia="Arial" w:hAnsi="Arial"/>
                <w:sz w:val="14"/>
                <w:szCs w:val="14"/>
                <w:b w:val="1"/>
                <w:bCs w:val="1"/>
                <w:color w:val="auto"/>
              </w:rPr>
              <w:t>4th Quarter</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shd w:val="clear" w:color="auto" w:fill="DBDBDB"/>
          </w:tcPr>
          <w:p>
            <w:pPr>
              <w:spacing w:after="0"/>
              <w:rPr>
                <w:sz w:val="18"/>
                <w:szCs w:val="18"/>
                <w:color w:val="auto"/>
              </w:rPr>
            </w:pPr>
          </w:p>
        </w:tc>
        <w:tc>
          <w:tcPr>
            <w:tcW w:w="1060" w:type="dxa"/>
            <w:vAlign w:val="bottom"/>
            <w:tcBorders>
              <w:top w:val="single" w:sz="8" w:color="auto"/>
            </w:tcBorders>
            <w:shd w:val="clear" w:color="auto" w:fill="DBDBDB"/>
          </w:tcPr>
          <w:p>
            <w:pPr>
              <w:jc w:val="right"/>
              <w:ind w:right="168"/>
              <w:spacing w:after="0"/>
              <w:rPr>
                <w:sz w:val="20"/>
                <w:szCs w:val="20"/>
                <w:color w:val="auto"/>
              </w:rPr>
            </w:pPr>
            <w:r>
              <w:rPr>
                <w:rFonts w:ascii="Arial" w:cs="Arial" w:eastAsia="Arial" w:hAnsi="Arial"/>
                <w:sz w:val="14"/>
                <w:szCs w:val="14"/>
                <w:color w:val="auto"/>
              </w:rPr>
              <w:t>3rd Quarter</w:t>
            </w:r>
          </w:p>
        </w:tc>
        <w:tc>
          <w:tcPr>
            <w:tcW w:w="280" w:type="dxa"/>
            <w:vAlign w:val="bottom"/>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1040" w:type="dxa"/>
            <w:vAlign w:val="bottom"/>
            <w:tcBorders>
              <w:top w:val="single" w:sz="8" w:color="auto"/>
            </w:tcBorders>
            <w:shd w:val="clear" w:color="auto" w:fill="DBDBDB"/>
          </w:tcPr>
          <w:p>
            <w:pPr>
              <w:jc w:val="right"/>
              <w:ind w:right="208"/>
              <w:spacing w:after="0"/>
              <w:rPr>
                <w:sz w:val="20"/>
                <w:szCs w:val="20"/>
                <w:color w:val="auto"/>
              </w:rPr>
            </w:pPr>
            <w:r>
              <w:rPr>
                <w:rFonts w:ascii="Arial" w:cs="Arial" w:eastAsia="Arial" w:hAnsi="Arial"/>
                <w:sz w:val="14"/>
                <w:szCs w:val="14"/>
                <w:b w:val="1"/>
                <w:bCs w:val="1"/>
                <w:color w:val="auto"/>
              </w:rPr>
              <w:t>Total Year</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1040" w:type="dxa"/>
            <w:vAlign w:val="bottom"/>
            <w:tcBorders>
              <w:top w:val="single" w:sz="8" w:color="auto"/>
            </w:tcBorders>
            <w:shd w:val="clear" w:color="auto" w:fill="DBDBDB"/>
          </w:tcPr>
          <w:p>
            <w:pPr>
              <w:jc w:val="right"/>
              <w:ind w:right="228"/>
              <w:spacing w:after="0"/>
              <w:rPr>
                <w:sz w:val="20"/>
                <w:szCs w:val="20"/>
                <w:color w:val="auto"/>
              </w:rPr>
            </w:pPr>
            <w:r>
              <w:rPr>
                <w:rFonts w:ascii="Arial" w:cs="Arial" w:eastAsia="Arial" w:hAnsi="Arial"/>
                <w:sz w:val="14"/>
                <w:szCs w:val="14"/>
                <w:color w:val="auto"/>
              </w:rPr>
              <w:t>Total Year</w:t>
            </w:r>
          </w:p>
        </w:tc>
      </w:tr>
      <w:tr>
        <w:trPr>
          <w:trHeight w:val="201"/>
        </w:trPr>
        <w:tc>
          <w:tcPr>
            <w:tcW w:w="56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 per Boe)</w:t>
            </w:r>
          </w:p>
        </w:tc>
        <w:tc>
          <w:tcPr>
            <w:tcW w:w="16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2022</w:t>
            </w:r>
          </w:p>
        </w:tc>
        <w:tc>
          <w:tcPr>
            <w:tcW w:w="280" w:type="dxa"/>
            <w:vAlign w:val="bottom"/>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right"/>
              <w:ind w:right="388"/>
              <w:spacing w:after="0"/>
              <w:rPr>
                <w:sz w:val="20"/>
                <w:szCs w:val="20"/>
                <w:color w:val="auto"/>
              </w:rPr>
            </w:pPr>
            <w:r>
              <w:rPr>
                <w:rFonts w:ascii="Arial" w:cs="Arial" w:eastAsia="Arial" w:hAnsi="Arial"/>
                <w:sz w:val="14"/>
                <w:szCs w:val="14"/>
                <w:color w:val="auto"/>
              </w:rPr>
              <w:t>2021</w:t>
            </w:r>
          </w:p>
        </w:tc>
      </w:tr>
      <w:tr>
        <w:trPr>
          <w:trHeight w:val="196"/>
        </w:trPr>
        <w:tc>
          <w:tcPr>
            <w:tcW w:w="5680" w:type="dxa"/>
            <w:vAlign w:val="bottom"/>
          </w:tcPr>
          <w:p>
            <w:pPr>
              <w:ind w:left="20"/>
              <w:spacing w:after="0"/>
              <w:rPr>
                <w:sz w:val="20"/>
                <w:szCs w:val="20"/>
                <w:color w:val="auto"/>
              </w:rPr>
            </w:pPr>
            <w:r>
              <w:rPr>
                <w:rFonts w:ascii="Arial" w:cs="Arial" w:eastAsia="Arial" w:hAnsi="Arial"/>
                <w:sz w:val="14"/>
                <w:szCs w:val="14"/>
                <w:color w:val="auto"/>
              </w:rPr>
              <w:t>Energy operating costs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9.56</w:t>
            </w:r>
          </w:p>
        </w:tc>
        <w:tc>
          <w:tcPr>
            <w:tcW w:w="12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10.96</w:t>
            </w:r>
          </w:p>
        </w:tc>
        <w:tc>
          <w:tcPr>
            <w:tcW w:w="4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9.76</w:t>
            </w:r>
          </w:p>
        </w:tc>
        <w:tc>
          <w:tcPr>
            <w:tcW w:w="12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7.01</w:t>
            </w:r>
          </w:p>
        </w:tc>
      </w:tr>
      <w:tr>
        <w:trPr>
          <w:trHeight w:val="203"/>
        </w:trPr>
        <w:tc>
          <w:tcPr>
            <w:tcW w:w="5680" w:type="dxa"/>
            <w:vAlign w:val="bottom"/>
            <w:shd w:val="clear" w:color="auto" w:fill="DBDBDB"/>
          </w:tcPr>
          <w:p>
            <w:pPr>
              <w:ind w:left="20"/>
              <w:spacing w:after="0"/>
              <w:rPr>
                <w:sz w:val="20"/>
                <w:szCs w:val="20"/>
                <w:color w:val="auto"/>
              </w:rPr>
            </w:pPr>
            <w:r>
              <w:rPr>
                <w:rFonts w:ascii="Arial" w:cs="Arial" w:eastAsia="Arial" w:hAnsi="Arial"/>
                <w:sz w:val="14"/>
                <w:szCs w:val="14"/>
                <w:color w:val="auto"/>
              </w:rPr>
              <w:t>Gas processing costs</w:t>
            </w:r>
          </w:p>
        </w:tc>
        <w:tc>
          <w:tcPr>
            <w:tcW w:w="16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0.48</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0.49</w:t>
            </w:r>
          </w:p>
        </w:tc>
        <w:tc>
          <w:tcPr>
            <w:tcW w:w="280" w:type="dxa"/>
            <w:vAlign w:val="bottom"/>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0.52</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0.54</w:t>
            </w:r>
          </w:p>
        </w:tc>
      </w:tr>
      <w:tr>
        <w:trPr>
          <w:trHeight w:val="202"/>
        </w:trPr>
        <w:tc>
          <w:tcPr>
            <w:tcW w:w="56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Non-energy operating costs</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13.82</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13.82</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13.47</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11.84</w:t>
            </w:r>
          </w:p>
        </w:tc>
      </w:tr>
      <w:tr>
        <w:trPr>
          <w:trHeight w:val="197"/>
        </w:trPr>
        <w:tc>
          <w:tcPr>
            <w:tcW w:w="5680" w:type="dxa"/>
            <w:vAlign w:val="bottom"/>
            <w:shd w:val="clear" w:color="auto" w:fill="DBDBDB"/>
          </w:tcPr>
          <w:p>
            <w:pPr>
              <w:ind w:left="20"/>
              <w:spacing w:after="0"/>
              <w:rPr>
                <w:sz w:val="20"/>
                <w:szCs w:val="20"/>
                <w:color w:val="auto"/>
              </w:rPr>
            </w:pPr>
            <w:r>
              <w:rPr>
                <w:rFonts w:ascii="Arial" w:cs="Arial" w:eastAsia="Arial" w:hAnsi="Arial"/>
                <w:sz w:val="14"/>
                <w:szCs w:val="14"/>
                <w:color w:val="auto"/>
              </w:rPr>
              <w:t>Operating costs</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23.86</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25.27</w:t>
            </w:r>
          </w:p>
        </w:tc>
        <w:tc>
          <w:tcPr>
            <w:tcW w:w="280" w:type="dxa"/>
            <w:vAlign w:val="bottom"/>
          </w:tcPr>
          <w:p>
            <w:pPr>
              <w:spacing w:after="0"/>
              <w:rPr>
                <w:sz w:val="17"/>
                <w:szCs w:val="17"/>
                <w:color w:val="auto"/>
              </w:rPr>
            </w:pPr>
          </w:p>
        </w:tc>
        <w:tc>
          <w:tcPr>
            <w:tcW w:w="1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23.75</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19.39</w:t>
            </w:r>
          </w:p>
        </w:tc>
      </w:tr>
      <w:tr>
        <w:trPr>
          <w:trHeight w:val="195"/>
        </w:trPr>
        <w:tc>
          <w:tcPr>
            <w:tcW w:w="5680" w:type="dxa"/>
            <w:vAlign w:val="bottom"/>
          </w:tcPr>
          <w:p>
            <w:pPr>
              <w:ind w:left="140"/>
              <w:spacing w:after="0"/>
              <w:rPr>
                <w:sz w:val="20"/>
                <w:szCs w:val="20"/>
                <w:color w:val="auto"/>
              </w:rPr>
            </w:pPr>
            <w:r>
              <w:rPr>
                <w:rFonts w:ascii="Arial" w:cs="Arial" w:eastAsia="Arial" w:hAnsi="Arial"/>
                <w:sz w:val="14"/>
                <w:szCs w:val="14"/>
                <w:color w:val="auto"/>
              </w:rPr>
              <w:t>Excess costs attributable to PSCs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(1.90)</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(2.16)</w:t>
            </w:r>
          </w:p>
        </w:tc>
        <w:tc>
          <w:tcPr>
            <w:tcW w:w="4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(2.23)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(1.83)</w:t>
            </w:r>
          </w:p>
        </w:tc>
      </w:tr>
      <w:tr>
        <w:trPr>
          <w:trHeight w:val="222"/>
        </w:trPr>
        <w:tc>
          <w:tcPr>
            <w:tcW w:w="5680" w:type="dxa"/>
            <w:vAlign w:val="bottom"/>
            <w:tcBorders>
              <w:top w:val="single" w:sz="8" w:color="DBDBDB"/>
              <w:bottom w:val="single" w:sz="8" w:color="DBDBDB"/>
            </w:tcBorders>
            <w:shd w:val="clear" w:color="auto" w:fill="DBDBDB"/>
          </w:tcPr>
          <w:p>
            <w:pPr>
              <w:ind w:left="20"/>
              <w:spacing w:after="0" w:line="197" w:lineRule="exact"/>
              <w:rPr>
                <w:sz w:val="20"/>
                <w:szCs w:val="20"/>
                <w:color w:val="auto"/>
              </w:rPr>
            </w:pPr>
            <w:r>
              <w:rPr>
                <w:rFonts w:ascii="Arial" w:cs="Arial" w:eastAsia="Arial" w:hAnsi="Arial"/>
                <w:sz w:val="14"/>
                <w:szCs w:val="14"/>
                <w:color w:val="auto"/>
              </w:rPr>
              <w:t xml:space="preserve">Operating costs, excluding effects of PSCs </w:t>
            </w:r>
            <w:r>
              <w:rPr>
                <w:rFonts w:ascii="Arial" w:cs="Arial" w:eastAsia="Arial" w:hAnsi="Arial"/>
                <w:sz w:val="18"/>
                <w:szCs w:val="18"/>
                <w:color w:val="auto"/>
                <w:vertAlign w:val="superscript"/>
              </w:rPr>
              <w:t>(a)</w:t>
            </w: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21.96</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23.11</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21.52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17.56</w:t>
            </w:r>
          </w:p>
        </w:tc>
      </w:tr>
      <w:tr>
        <w:trPr>
          <w:trHeight w:val="20"/>
        </w:trPr>
        <w:tc>
          <w:tcPr>
            <w:tcW w:w="56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20"/>
        <w:spacing w:after="0"/>
        <w:rPr>
          <w:sz w:val="20"/>
          <w:szCs w:val="20"/>
          <w:color w:val="auto"/>
        </w:rPr>
      </w:pPr>
      <w:r>
        <w:rPr>
          <w:rFonts w:ascii="Arial" w:cs="Arial" w:eastAsia="Arial" w:hAnsi="Arial"/>
          <w:sz w:val="14"/>
          <w:szCs w:val="14"/>
          <w:color w:val="auto"/>
        </w:rPr>
        <w:t>(a) Operating costs, excluding effects of PSCs is a non-GAAP measure.</w:t>
      </w:r>
    </w:p>
    <w:p>
      <w:pPr>
        <w:spacing w:after="0" w:line="33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Energy operating costs for the fourth quarter of 2022 were $80 million, or $9.56 per Boe, which was a decrease of $13 million or 14% from $93 million, or $10.96 per Boe, for the third quarter of 2022. This decrease was primarily a result of lower production and lower electricity and natural gas prices.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240"/>
          </w:cols>
          <w:pgMar w:left="320" w:top="992" w:right="339" w:bottom="1440" w:gutter="0" w:footer="0" w:header="0"/>
        </w:sectPr>
      </w:pPr>
    </w:p>
    <w:bookmarkStart w:id="10" w:name="page11"/>
    <w:bookmarkEnd w:id="10"/>
    <w:p>
      <w:pPr>
        <w:jc w:val="both"/>
        <w:ind w:firstLine="324"/>
        <w:spacing w:after="0" w:line="244" w:lineRule="auto"/>
        <w:rPr>
          <w:sz w:val="20"/>
          <w:szCs w:val="20"/>
          <w:color w:val="auto"/>
        </w:rPr>
      </w:pPr>
      <w:r>
        <w:rPr>
          <w:rFonts w:ascii="Arial" w:cs="Arial" w:eastAsia="Arial" w:hAnsi="Arial"/>
          <w:sz w:val="22"/>
          <w:szCs w:val="22"/>
          <w:color w:val="auto"/>
        </w:rPr>
        <w:t>Energy operating costs for the year ended December 31, 2022 were $323 million, or $9.76 per Boe, which was an increase of $68 million or 27% from $255 million, or $7.01 per Boe, in the same period of 2021. The increase was predominantly a result of higher prices for purchased natural gas, which CRC uses to generate electricity for its operations and steam for its steamfloods, and for purchased electricity.</w:t>
      </w:r>
    </w:p>
    <w:p>
      <w:pPr>
        <w:spacing w:after="0" w:line="213"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2"/>
          <w:szCs w:val="22"/>
          <w:color w:val="auto"/>
        </w:rPr>
        <w:t>Non-energy operating costs for the fourth quarter of 2022 were $116 million, or $13.82 per Boe, which was a decrease of $1 million or 1% from $117 million, or $13.82 per Boe, for the third quarter of 2022. This decrease was primarily a result of lower surface maintenance.</w:t>
      </w:r>
    </w:p>
    <w:p>
      <w:pPr>
        <w:spacing w:after="0" w:line="21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Non-energy operating costs for the year ended December 31, 2022 were $445 million, or 13.47 per Boe, which was an increase of $15 million or 3% from $430 million, or 11.84 per Boe, in the same period of 2021. This increase was primarily a result of increased surface and downhole maintenance activity in 2022.</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Sustainability &amp; Carbon Management Update</w:t>
      </w:r>
    </w:p>
    <w:p>
      <w:pPr>
        <w:spacing w:after="0" w:line="23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2"/>
          <w:szCs w:val="22"/>
          <w:color w:val="auto"/>
        </w:rPr>
        <w:t>In December 2022, Carbon TerraVault JV entered into a CDMA with Lone Cypress, an independent energy company focused on the development of low-carbon hydrogen generation facilities and energy infrastructure, to sequester 100,000 MT of CO</w:t>
      </w:r>
      <w:r>
        <w:rPr>
          <w:rFonts w:ascii="Arial" w:cs="Arial" w:eastAsia="Arial" w:hAnsi="Arial"/>
          <w:sz w:val="28"/>
          <w:szCs w:val="28"/>
          <w:color w:val="auto"/>
          <w:vertAlign w:val="subscript"/>
        </w:rPr>
        <w:t>2</w:t>
      </w:r>
      <w:r>
        <w:rPr>
          <w:rFonts w:ascii="Arial" w:cs="Arial" w:eastAsia="Arial" w:hAnsi="Arial"/>
          <w:sz w:val="22"/>
          <w:szCs w:val="22"/>
          <w:color w:val="auto"/>
        </w:rPr>
        <w:t xml:space="preserve"> per annum from a newly constructed blue hydrogen plant at the Elk Hills Field in Kern County.</w:t>
      </w:r>
    </w:p>
    <w:p>
      <w:pPr>
        <w:spacing w:after="0" w:line="20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Also in December 2022, CRC received an A- from CDP for its 2022 climate disclosure, securing a score at CDP’s Leadership Level for the fourth year in a row. This accomplishment is further evidence of CRC’s commitment to maintaining a strong ESG and sustainability platform.</w:t>
      </w:r>
    </w:p>
    <w:p>
      <w:pPr>
        <w:spacing w:after="0" w:line="184"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In January 2023, CTV entered into a CDMA with Grannus, an independent clean-tech company that is building a portfolio of blue ammonia and hydrogen production facilities to supply the agriculture, mobility and marine fuel markets, to sequester 370,000 MT of CO</w:t>
      </w:r>
      <w:r>
        <w:rPr>
          <w:rFonts w:ascii="Arial" w:cs="Arial" w:eastAsia="Arial" w:hAnsi="Arial"/>
          <w:sz w:val="28"/>
          <w:szCs w:val="28"/>
          <w:color w:val="auto"/>
          <w:vertAlign w:val="subscript"/>
        </w:rPr>
        <w:t>2</w:t>
      </w:r>
      <w:r>
        <w:rPr>
          <w:rFonts w:ascii="Arial" w:cs="Arial" w:eastAsia="Arial" w:hAnsi="Arial"/>
          <w:sz w:val="22"/>
          <w:szCs w:val="22"/>
          <w:color w:val="auto"/>
        </w:rPr>
        <w:t xml:space="preserve"> per annum at CTV III from a new blue ammonia and hydrogen plant to be constructed in Northern California. Called the Grannus Blue Ammonia and Hydrogen Project, the project aims to be California’s first blue ammonia and hydrogen facility producing 150,000 MT per annum of blue ammonia and 10,000 MT per annum of blue hydrogen.</w:t>
      </w:r>
    </w:p>
    <w:p>
      <w:pPr>
        <w:spacing w:after="0" w:line="207"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color w:val="auto"/>
        </w:rPr>
        <w:t>In February 2023, CRC assembled a consortium of organizations across industry, technology, academia, national labs, community, government, and labor, to pursue U.S. Department of Energy (DOE) funding under its Regional DAC Hubs Initiative to create the California DAC Hub, the state’s first full-scale DAC plus storage (DAC+S) network of regional DAC+S hubs. DAC+S is a solution that can remove and then permanently store atmospheric CO</w:t>
      </w:r>
      <w:r>
        <w:rPr>
          <w:rFonts w:ascii="Arial" w:cs="Arial" w:eastAsia="Arial" w:hAnsi="Arial"/>
          <w:sz w:val="28"/>
          <w:szCs w:val="28"/>
          <w:color w:val="auto"/>
          <w:vertAlign w:val="subscript"/>
        </w:rPr>
        <w:t>2</w:t>
      </w:r>
      <w:r>
        <w:rPr>
          <w:rFonts w:ascii="Arial" w:cs="Arial" w:eastAsia="Arial" w:hAnsi="Arial"/>
          <w:sz w:val="22"/>
          <w:szCs w:val="22"/>
          <w:color w:val="auto"/>
        </w:rPr>
        <w:t xml:space="preserve"> using low carbon emission energy and provide economic benefits to surrounding communities.</w:t>
      </w:r>
    </w:p>
    <w:p>
      <w:pPr>
        <w:spacing w:after="0" w:line="19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California DAC Hub is expected to accelerate California’s progress to achieve its carbon neutrality goal while prioritizing the surrounding under-represented California communities in several areas including: air quality improvements, increased renewable energy use and enhanced water management including water reclamation and production of new water sources. Further, CRC expects that the hub will provide high quality union jobs while enhancing local area education programs in science, technology and math (STEM) along with energy transition.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Balance Sheet and Liquidity Update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240"/>
          </w:cols>
          <w:pgMar w:left="320" w:top="883" w:right="339" w:bottom="1440" w:gutter="0" w:footer="0" w:header="0"/>
        </w:sectPr>
      </w:pPr>
    </w:p>
    <w:bookmarkStart w:id="11" w:name="page12"/>
    <w:bookmarkEnd w:id="11"/>
    <w:p>
      <w:pPr>
        <w:jc w:val="both"/>
        <w:ind w:firstLine="324"/>
        <w:spacing w:after="0" w:line="245" w:lineRule="auto"/>
        <w:rPr>
          <w:sz w:val="20"/>
          <w:szCs w:val="20"/>
          <w:color w:val="auto"/>
        </w:rPr>
      </w:pPr>
      <w:r>
        <w:rPr>
          <w:rFonts w:ascii="Arial" w:cs="Arial" w:eastAsia="Arial" w:hAnsi="Arial"/>
          <w:sz w:val="22"/>
          <w:szCs w:val="22"/>
          <w:color w:val="auto"/>
        </w:rPr>
        <w:t>CRC's aggregate commitment under the Revolving Credit Facility was $602 million as of December 31, 2022. The borrowing base for the Revolving Credit Facility is redetermined semi-annually and was reaffirmed at $1.2 billion on October 25, 2022.</w:t>
      </w:r>
    </w:p>
    <w:p>
      <w:pPr>
        <w:spacing w:after="0" w:line="197" w:lineRule="exact"/>
        <w:rPr>
          <w:sz w:val="20"/>
          <w:szCs w:val="20"/>
          <w:color w:val="auto"/>
        </w:rPr>
      </w:pPr>
    </w:p>
    <w:p>
      <w:pPr>
        <w:jc w:val="both"/>
        <w:ind w:right="20" w:firstLine="324"/>
        <w:spacing w:after="0" w:line="245" w:lineRule="auto"/>
        <w:rPr>
          <w:sz w:val="20"/>
          <w:szCs w:val="20"/>
          <w:color w:val="auto"/>
        </w:rPr>
      </w:pPr>
      <w:r>
        <w:rPr>
          <w:rFonts w:ascii="Arial" w:cs="Arial" w:eastAsia="Arial" w:hAnsi="Arial"/>
          <w:sz w:val="22"/>
          <w:szCs w:val="22"/>
          <w:color w:val="auto"/>
        </w:rPr>
        <w:t>As of December 31, 2022, CRC had liquidity of $765 million, which consisted of $307 million in unrestricted cash and $458 million of available borrowing capacity under its Revolving Credit Facility which is net of $144 million of letters of credit.</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Acquisitions and Divestitures</w:t>
      </w:r>
    </w:p>
    <w:p>
      <w:pPr>
        <w:spacing w:after="0" w:line="262" w:lineRule="exact"/>
        <w:rPr>
          <w:sz w:val="20"/>
          <w:szCs w:val="20"/>
          <w:color w:val="auto"/>
        </w:rPr>
      </w:pPr>
    </w:p>
    <w:p>
      <w:pPr>
        <w:jc w:val="both"/>
        <w:ind w:firstLine="324"/>
        <w:spacing w:after="0" w:line="233" w:lineRule="auto"/>
        <w:rPr>
          <w:sz w:val="20"/>
          <w:szCs w:val="20"/>
          <w:color w:val="auto"/>
        </w:rPr>
      </w:pPr>
      <w:r>
        <w:rPr>
          <w:rFonts w:ascii="Arial" w:cs="Arial" w:eastAsia="Arial" w:hAnsi="Arial"/>
          <w:sz w:val="22"/>
          <w:szCs w:val="22"/>
          <w:color w:val="auto"/>
        </w:rPr>
        <w:t>On February 1, 2022, CRC sold its 50% non-operated working interest in certain horizons within its Lost Hills field, located in the San Joaquin basin, recognizing a gain of $49 million. CRC retained an option to capture, transport and store 100% of the CO</w:t>
      </w:r>
      <w:r>
        <w:rPr>
          <w:rFonts w:ascii="Arial" w:cs="Arial" w:eastAsia="Arial" w:hAnsi="Arial"/>
          <w:sz w:val="28"/>
          <w:szCs w:val="28"/>
          <w:color w:val="auto"/>
          <w:vertAlign w:val="subscript"/>
        </w:rPr>
        <w:t>2</w:t>
      </w:r>
      <w:r>
        <w:rPr>
          <w:rFonts w:ascii="Arial" w:cs="Arial" w:eastAsia="Arial" w:hAnsi="Arial"/>
          <w:sz w:val="22"/>
          <w:szCs w:val="22"/>
          <w:color w:val="auto"/>
        </w:rPr>
        <w:t xml:space="preserve"> from steam generators across the Lost Hills field for future carbon management projects. CRC also retained 100% of the deep rights and related seismic data.</w:t>
      </w:r>
    </w:p>
    <w:p>
      <w:pPr>
        <w:spacing w:after="0" w:line="220"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22"/>
          <w:szCs w:val="22"/>
          <w:color w:val="auto"/>
        </w:rPr>
        <w:t>In June 2022, CRC sold its commercial office building located in Bakersfield, California for net proceeds of $13 million, recognizing no gain or loss on sale.</w:t>
      </w:r>
    </w:p>
    <w:p>
      <w:pPr>
        <w:spacing w:after="0" w:line="16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2"/>
          <w:szCs w:val="22"/>
          <w:color w:val="auto"/>
        </w:rPr>
        <w:t>During the year ended December 31, 2022, CRC recognized a gain of $11 million related to the sale of certain Ventura basin assets. The closing of the sale of CRC's remaining assets in the Ventura basin is subject to final approval from the State Lands Commission, which it expects to receive prior to the end of the first quarter of 2023. These remaining assets, consisting of property, plant and equipment and associated asset retirement obligations, are classified as held for sale on CRC's consolidated balance sheet as of December 31, 2022</w:t>
      </w:r>
      <w:r>
        <w:rPr>
          <w:rFonts w:ascii="Arial" w:cs="Arial" w:eastAsia="Arial" w:hAnsi="Arial"/>
          <w:sz w:val="17"/>
          <w:szCs w:val="17"/>
          <w:color w:val="auto"/>
        </w:rPr>
        <w:t>.</w:t>
      </w:r>
    </w:p>
    <w:p>
      <w:pPr>
        <w:spacing w:after="0" w:line="20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22"/>
          <w:szCs w:val="22"/>
          <w:color w:val="auto"/>
        </w:rPr>
        <w:t>Also in 2022, CRC sold non-core assets recognizing a $1 million loss and acquired properties for carbon management activities for ~$17 million.</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Shareholder Return Strategy</w:t>
      </w:r>
    </w:p>
    <w:p>
      <w:pPr>
        <w:spacing w:after="0" w:line="23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CRC continues to prioritize shareholder returns and therefore dedicates a significant portion of its free cash flow to shareholders in the form of dividends and share repurchases. To that end, CRC’s Board of Directors approved an increase of the Share Repurchase Program to $1.1 billion, an increase of $250 million and extended the program through June 30, 2024. Adjusting for this increase, CRC has $640 million of capacity remaining under the repurchase program as of December 31, 2022.</w:t>
      </w:r>
    </w:p>
    <w:p>
      <w:pPr>
        <w:spacing w:after="0" w:line="204"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During the fourth quarter of 2022, CRC repurchased 1.5 million shares for $66 million or an average price of $43.17/share. Since the inception of the Share Repurchase Program in May 2021, 11,456,260 shares have been repurchased for $461 million at an average price of $40.19 per share. These total repurchases represent 14% of CRC’s shares outstanding at its bankruptcy emergence in October 2020.</w:t>
      </w:r>
    </w:p>
    <w:p>
      <w:pPr>
        <w:spacing w:after="0" w:line="22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22"/>
          <w:szCs w:val="22"/>
          <w:color w:val="auto"/>
        </w:rPr>
        <w:t>On February 23, 2023, CRC's Board of Directors declared a quarterly cash dividend of $0.2825 per share of common stock. The dividend is payable to shareholders of record on March 6, 2023 and will be paid on March 16, 2023.</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240"/>
          </w:cols>
          <w:pgMar w:left="320" w:top="883" w:right="339" w:bottom="1440" w:gutter="0" w:footer="0" w:header="0"/>
        </w:sectPr>
      </w:pPr>
    </w:p>
    <w:bookmarkStart w:id="12" w:name="page13"/>
    <w:bookmarkEnd w:id="12"/>
    <w:p>
      <w:pPr>
        <w:jc w:val="both"/>
        <w:ind w:firstLine="324"/>
        <w:spacing w:after="0" w:line="245" w:lineRule="auto"/>
        <w:rPr>
          <w:sz w:val="20"/>
          <w:szCs w:val="20"/>
          <w:color w:val="auto"/>
        </w:rPr>
      </w:pPr>
      <w:r>
        <w:rPr>
          <w:rFonts w:ascii="Arial" w:cs="Arial" w:eastAsia="Arial" w:hAnsi="Arial"/>
          <w:sz w:val="22"/>
          <w:szCs w:val="22"/>
          <w:color w:val="auto"/>
        </w:rPr>
        <w:t>Through December 31, 2022, CRC has returned $534 million of cash to its shareholders, including $461 million in share repurchases and $73 million of dividends. These figures exclude share repurchases made to-date in 2023 as well as the $20 million fourth quarter dividend declared and payable in March 2023.</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Reserves</w:t>
      </w:r>
    </w:p>
    <w:p>
      <w:pPr>
        <w:spacing w:after="0" w:line="249"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22"/>
          <w:szCs w:val="22"/>
          <w:color w:val="auto"/>
        </w:rPr>
        <w:t>As of December 31, 2022, CRC’s proved reserves totaled an estimated 417 million BOE, of which 363 million BOE was proved developed and 54 million BOE was proved undeveloped. The estimated future net cash flows of our proved reserve volumes had a PV-10</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value of $9.2 billion. These estimates were based on SEC pricing and the average realized prices for estimating CRC's PV-10</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cash flows as of December 31, 2022, were $97.50 per barrel for oil, $67.83 per barrel for NGLs and $7.84 per Mcf for natural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PV-10 AND STANDARDIZED MEASURE</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following table presents a reconciliation of the GAAP financial measure of Standardized Measure of discounted future net cash flows (Standardized Measure) to the non-</w:t>
      </w:r>
    </w:p>
    <w:p>
      <w:pPr>
        <w:ind w:left="20"/>
        <w:spacing w:after="0"/>
        <w:rPr>
          <w:sz w:val="20"/>
          <w:szCs w:val="20"/>
          <w:color w:val="auto"/>
        </w:rPr>
      </w:pPr>
      <w:r>
        <w:rPr>
          <w:rFonts w:ascii="Arial" w:cs="Arial" w:eastAsia="Arial" w:hAnsi="Arial"/>
          <w:sz w:val="14"/>
          <w:szCs w:val="14"/>
          <w:color w:val="auto"/>
        </w:rPr>
        <w:t>GAAP financial measure of PV-10:</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2300" w:type="dxa"/>
            <w:vAlign w:val="bottom"/>
            <w:tcBorders>
              <w:bottom w:val="single" w:sz="8" w:color="DBDBDB"/>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2620" w:type="dxa"/>
            <w:vAlign w:val="bottom"/>
            <w:tcBorders>
              <w:top w:val="single" w:sz="8" w:color="auto"/>
              <w:bottom w:val="single" w:sz="8" w:color="auto"/>
            </w:tcBorders>
          </w:tcPr>
          <w:p>
            <w:pPr>
              <w:jc w:val="right"/>
              <w:ind w:right="868"/>
              <w:spacing w:after="0"/>
              <w:rPr>
                <w:sz w:val="20"/>
                <w:szCs w:val="20"/>
                <w:color w:val="auto"/>
              </w:rPr>
            </w:pPr>
            <w:r>
              <w:rPr>
                <w:rFonts w:ascii="Arial" w:cs="Arial" w:eastAsia="Arial" w:hAnsi="Arial"/>
                <w:sz w:val="14"/>
                <w:szCs w:val="14"/>
                <w:color w:val="auto"/>
              </w:rPr>
              <w:t>December 31, 2022</w:t>
            </w:r>
          </w:p>
        </w:tc>
      </w:tr>
      <w:tr>
        <w:trPr>
          <w:trHeight w:val="200"/>
        </w:trPr>
        <w:tc>
          <w:tcPr>
            <w:tcW w:w="810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rPr>
              <w:t>Standardized Measure of discounted future net cash flows</w:t>
            </w:r>
          </w:p>
        </w:tc>
        <w:tc>
          <w:tcPr>
            <w:tcW w:w="520" w:type="dxa"/>
            <w:vAlign w:val="bottom"/>
            <w:shd w:val="clear" w:color="auto" w:fill="DBDBDB"/>
          </w:tcPr>
          <w:p>
            <w:pPr>
              <w:jc w:val="right"/>
              <w:ind w:right="348"/>
              <w:spacing w:after="0"/>
              <w:rPr>
                <w:sz w:val="20"/>
                <w:szCs w:val="20"/>
                <w:color w:val="auto"/>
              </w:rPr>
            </w:pPr>
            <w:r>
              <w:rPr>
                <w:rFonts w:ascii="Arial" w:cs="Arial" w:eastAsia="Arial" w:hAnsi="Arial"/>
                <w:sz w:val="14"/>
                <w:szCs w:val="14"/>
                <w:color w:val="auto"/>
              </w:rPr>
              <w:t>$</w:t>
            </w:r>
          </w:p>
        </w:tc>
        <w:tc>
          <w:tcPr>
            <w:tcW w:w="2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6,726</w:t>
            </w:r>
          </w:p>
        </w:tc>
      </w:tr>
      <w:tr>
        <w:trPr>
          <w:trHeight w:val="198"/>
        </w:trPr>
        <w:tc>
          <w:tcPr>
            <w:tcW w:w="81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color w:val="auto"/>
              </w:rPr>
              <w:t>Present value of future income taxes discounted at 10%</w:t>
            </w:r>
          </w:p>
        </w:tc>
        <w:tc>
          <w:tcPr>
            <w:tcW w:w="5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2,493</w:t>
            </w:r>
          </w:p>
        </w:tc>
      </w:tr>
      <w:tr>
        <w:trPr>
          <w:trHeight w:val="225"/>
        </w:trPr>
        <w:tc>
          <w:tcPr>
            <w:tcW w:w="8100" w:type="dxa"/>
            <w:vAlign w:val="bottom"/>
            <w:tcBorders>
              <w:bottom w:val="single" w:sz="8" w:color="DBDBDB"/>
            </w:tcBorders>
            <w:gridSpan w:val="2"/>
            <w:shd w:val="clear" w:color="auto" w:fill="DBDBDB"/>
          </w:tcPr>
          <w:p>
            <w:pPr>
              <w:ind w:left="20"/>
              <w:spacing w:after="0" w:line="200" w:lineRule="exact"/>
              <w:rPr>
                <w:sz w:val="20"/>
                <w:szCs w:val="20"/>
                <w:color w:val="auto"/>
              </w:rPr>
            </w:pPr>
            <w:r>
              <w:rPr>
                <w:rFonts w:ascii="Arial" w:cs="Arial" w:eastAsia="Arial" w:hAnsi="Arial"/>
                <w:sz w:val="14"/>
                <w:szCs w:val="14"/>
                <w:color w:val="auto"/>
              </w:rPr>
              <w:t xml:space="preserve">PV-10 of cash flows </w:t>
            </w:r>
            <w:r>
              <w:rPr>
                <w:rFonts w:ascii="Arial" w:cs="Arial" w:eastAsia="Arial" w:hAnsi="Arial"/>
                <w:sz w:val="18"/>
                <w:szCs w:val="18"/>
                <w:color w:val="auto"/>
                <w:vertAlign w:val="superscript"/>
              </w:rPr>
              <w:t>(*)</w:t>
            </w:r>
          </w:p>
        </w:tc>
        <w:tc>
          <w:tcPr>
            <w:tcW w:w="520" w:type="dxa"/>
            <w:vAlign w:val="bottom"/>
            <w:tcBorders>
              <w:bottom w:val="single" w:sz="8" w:color="auto"/>
            </w:tcBorders>
            <w:shd w:val="clear" w:color="auto" w:fill="DBDBDB"/>
          </w:tcPr>
          <w:p>
            <w:pPr>
              <w:jc w:val="right"/>
              <w:ind w:right="348"/>
              <w:spacing w:after="0"/>
              <w:rPr>
                <w:sz w:val="20"/>
                <w:szCs w:val="20"/>
                <w:color w:val="auto"/>
              </w:rPr>
            </w:pPr>
            <w:r>
              <w:rPr>
                <w:rFonts w:ascii="Arial" w:cs="Arial" w:eastAsia="Arial" w:hAnsi="Arial"/>
                <w:sz w:val="14"/>
                <w:szCs w:val="14"/>
                <w:color w:val="auto"/>
              </w:rPr>
              <w:t>$</w:t>
            </w:r>
          </w:p>
        </w:tc>
        <w:tc>
          <w:tcPr>
            <w:tcW w:w="2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9,219</w:t>
            </w:r>
          </w:p>
        </w:tc>
      </w:tr>
      <w:tr>
        <w:trPr>
          <w:trHeight w:val="20"/>
        </w:trPr>
        <w:tc>
          <w:tcPr>
            <w:tcW w:w="5800" w:type="dxa"/>
            <w:vAlign w:val="bottom"/>
            <w:tcBorders>
              <w:top w:val="single" w:sz="8" w:color="DBDBDB"/>
            </w:tcBorders>
          </w:tcPr>
          <w:p>
            <w:pPr>
              <w:spacing w:after="0" w:line="20" w:lineRule="exact"/>
              <w:rPr>
                <w:sz w:val="1"/>
                <w:szCs w:val="1"/>
                <w:color w:val="auto"/>
              </w:rPr>
            </w:pPr>
          </w:p>
        </w:tc>
        <w:tc>
          <w:tcPr>
            <w:tcW w:w="2300" w:type="dxa"/>
            <w:vAlign w:val="bottom"/>
            <w:tcBorders>
              <w:top w:val="single" w:sz="8" w:color="DBDBDB"/>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2620" w:type="dxa"/>
            <w:vAlign w:val="bottom"/>
            <w:tcBorders>
              <w:top w:val="single" w:sz="8" w:color="DBDBDB"/>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5829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82930"/>
                    </a:xfrm>
                    <a:prstGeom prst="rect">
                      <a:avLst/>
                    </a:prstGeom>
                    <a:noFill/>
                  </pic:spPr>
                </pic:pic>
              </a:graphicData>
            </a:graphic>
          </wp:anchor>
        </w:drawing>
      </w:r>
    </w:p>
    <w:p>
      <w:pPr>
        <w:spacing w:after="0" w:line="173" w:lineRule="exact"/>
        <w:rPr>
          <w:sz w:val="20"/>
          <w:szCs w:val="20"/>
          <w:color w:val="auto"/>
        </w:rPr>
      </w:pPr>
    </w:p>
    <w:p>
      <w:pPr>
        <w:ind w:left="20" w:right="180" w:firstLine="6"/>
        <w:spacing w:after="0" w:line="214" w:lineRule="auto"/>
        <w:tabs>
          <w:tab w:leader="none" w:pos="158"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PV-10 is a non-GAAP financial measure and represents the year-end present value of estimated future cash inflows from proved oil and natural gas reserves, less future development and operating costs, discounted at 10% per annum to reflect the timing of future cash flows and using SEC prescribed pricing assumptions for the period. PV-10 differs from Standardized Measure because Standardized Measure includes the effects of future income taxes on future net cash flows. Neither PV-10 nor Standardized Measure should be construed as the fair value of our oil and natural gas reserves. Standardized Measure is prescribed by the SEC as an industry standard asset value measure to compare reserves with consistent pricing costs and discount assumptions. PV-10 facilitates the comparisons to other companies as it is not dependent on the tax-paying status of the entity.</w:t>
      </w: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Upcoming Investor Conference Participation</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CRC's executives will be participating in the following events in February and March of 2023:</w:t>
      </w:r>
    </w:p>
    <w:p>
      <w:pPr>
        <w:spacing w:after="0" w:line="247" w:lineRule="exact"/>
        <w:rPr>
          <w:sz w:val="20"/>
          <w:szCs w:val="20"/>
          <w:color w:val="auto"/>
        </w:rPr>
      </w:pPr>
    </w:p>
    <w:p>
      <w:pPr>
        <w:ind w:left="980" w:hanging="203"/>
        <w:spacing w:after="0"/>
        <w:tabs>
          <w:tab w:leader="none" w:pos="980" w:val="left"/>
        </w:tabs>
        <w:numPr>
          <w:ilvl w:val="0"/>
          <w:numId w:val="9"/>
        </w:numPr>
        <w:rPr>
          <w:rFonts w:ascii="Arial" w:cs="Arial" w:eastAsia="Arial" w:hAnsi="Arial"/>
          <w:sz w:val="22"/>
          <w:szCs w:val="22"/>
          <w:color w:val="auto"/>
        </w:rPr>
      </w:pPr>
      <w:r>
        <w:rPr>
          <w:rFonts w:ascii="Arial" w:cs="Arial" w:eastAsia="Arial" w:hAnsi="Arial"/>
          <w:sz w:val="22"/>
          <w:szCs w:val="22"/>
          <w:color w:val="auto"/>
        </w:rPr>
        <w:t>Credit Suisse Vail Summit on February 26 in Vail, CO</w:t>
      </w:r>
    </w:p>
    <w:p>
      <w:pPr>
        <w:spacing w:after="0" w:line="23" w:lineRule="exact"/>
        <w:rPr>
          <w:rFonts w:ascii="Arial" w:cs="Arial" w:eastAsia="Arial" w:hAnsi="Arial"/>
          <w:sz w:val="22"/>
          <w:szCs w:val="22"/>
          <w:color w:val="auto"/>
        </w:rPr>
      </w:pPr>
    </w:p>
    <w:p>
      <w:pPr>
        <w:ind w:left="980" w:hanging="203"/>
        <w:spacing w:after="0"/>
        <w:tabs>
          <w:tab w:leader="none" w:pos="980" w:val="left"/>
        </w:tabs>
        <w:numPr>
          <w:ilvl w:val="0"/>
          <w:numId w:val="9"/>
        </w:numPr>
        <w:rPr>
          <w:rFonts w:ascii="Arial" w:cs="Arial" w:eastAsia="Arial" w:hAnsi="Arial"/>
          <w:sz w:val="22"/>
          <w:szCs w:val="22"/>
          <w:color w:val="auto"/>
        </w:rPr>
      </w:pPr>
      <w:r>
        <w:rPr>
          <w:rFonts w:ascii="Arial" w:cs="Arial" w:eastAsia="Arial" w:hAnsi="Arial"/>
          <w:sz w:val="22"/>
          <w:szCs w:val="22"/>
          <w:color w:val="auto"/>
        </w:rPr>
        <w:t>MS Global Energy and Power Conference on March 1 in New York, NY</w:t>
      </w:r>
    </w:p>
    <w:p>
      <w:pPr>
        <w:spacing w:after="0" w:line="3" w:lineRule="exact"/>
        <w:rPr>
          <w:rFonts w:ascii="Arial" w:cs="Arial" w:eastAsia="Arial" w:hAnsi="Arial"/>
          <w:sz w:val="22"/>
          <w:szCs w:val="22"/>
          <w:color w:val="auto"/>
        </w:rPr>
      </w:pPr>
    </w:p>
    <w:p>
      <w:pPr>
        <w:ind w:left="920" w:hanging="143"/>
        <w:spacing w:after="0"/>
        <w:tabs>
          <w:tab w:leader="none" w:pos="920" w:val="left"/>
        </w:tabs>
        <w:numPr>
          <w:ilvl w:val="0"/>
          <w:numId w:val="9"/>
        </w:numPr>
        <w:rPr>
          <w:rFonts w:ascii="Arial" w:cs="Arial" w:eastAsia="Arial" w:hAnsi="Arial"/>
          <w:sz w:val="22"/>
          <w:szCs w:val="22"/>
          <w:color w:val="auto"/>
        </w:rPr>
      </w:pPr>
      <w:r>
        <w:rPr>
          <w:rFonts w:ascii="Arial" w:cs="Arial" w:eastAsia="Arial" w:hAnsi="Arial"/>
          <w:sz w:val="22"/>
          <w:szCs w:val="22"/>
          <w:color w:val="auto"/>
        </w:rPr>
        <w:t>CERAWeek 2023 on March 6 to 8 in Houston, TX</w:t>
      </w:r>
    </w:p>
    <w:p>
      <w:pPr>
        <w:spacing w:after="0" w:line="10" w:lineRule="exact"/>
        <w:rPr>
          <w:rFonts w:ascii="Arial" w:cs="Arial" w:eastAsia="Arial" w:hAnsi="Arial"/>
          <w:sz w:val="22"/>
          <w:szCs w:val="22"/>
          <w:color w:val="auto"/>
        </w:rPr>
      </w:pPr>
    </w:p>
    <w:p>
      <w:pPr>
        <w:ind w:left="980" w:hanging="203"/>
        <w:spacing w:after="0"/>
        <w:tabs>
          <w:tab w:leader="none" w:pos="980" w:val="left"/>
        </w:tabs>
        <w:numPr>
          <w:ilvl w:val="0"/>
          <w:numId w:val="9"/>
        </w:numPr>
        <w:rPr>
          <w:rFonts w:ascii="Arial" w:cs="Arial" w:eastAsia="Arial" w:hAnsi="Arial"/>
          <w:sz w:val="22"/>
          <w:szCs w:val="22"/>
          <w:color w:val="auto"/>
        </w:rPr>
      </w:pPr>
      <w:r>
        <w:rPr>
          <w:rFonts w:ascii="Arial" w:cs="Arial" w:eastAsia="Arial" w:hAnsi="Arial"/>
          <w:sz w:val="22"/>
          <w:szCs w:val="22"/>
          <w:color w:val="auto"/>
        </w:rPr>
        <w:t>7th Annual Mizuho Energy Summit on March 12 in Napa, CA</w:t>
      </w:r>
    </w:p>
    <w:p>
      <w:pPr>
        <w:spacing w:after="0" w:line="200" w:lineRule="exact"/>
        <w:rPr>
          <w:sz w:val="20"/>
          <w:szCs w:val="20"/>
          <w:color w:val="auto"/>
        </w:rPr>
      </w:pPr>
    </w:p>
    <w:p>
      <w:pPr>
        <w:spacing w:after="0" w:line="2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22"/>
          <w:szCs w:val="22"/>
          <w:color w:val="auto"/>
        </w:rPr>
        <w:t>CRC’s presentation materials will be available the day of the events on the Events and Presentations page in the Investor Relations section on www.crc.com.</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Conference Call Details</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21"/>
          <w:szCs w:val="21"/>
          <w:color w:val="auto"/>
        </w:rPr>
        <w:t>To participate in the conference call scheduled for February 24, 2023, at 1:00 p.m. Eastern Time, please dial (877)</w:t>
      </w:r>
    </w:p>
    <w:p>
      <w:pPr>
        <w:spacing w:after="0" w:line="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328-5505 (International calls please dial +1 (412) 317-5421) or access via webcast at www.crc.com 15 minutes prior to the scheduled start time to register. Participants may also pre-register for the conference call at https://dpregister.com/sreg/10173792/f5508a95c0. A digital replay of the conference call will be archived for approximately 90 days and supplemental slides for the conference call will be available online in the Investor Relations section of www.crc.com.</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240"/>
          </w:cols>
          <w:pgMar w:left="320" w:top="883" w:right="339" w:bottom="1440" w:gutter="0" w:footer="0" w:header="0"/>
        </w:sectPr>
      </w:pPr>
    </w:p>
    <w:bookmarkStart w:id="13" w:name="page14"/>
    <w:bookmarkEnd w:id="13"/>
    <w:p>
      <w:pPr>
        <w:jc w:val="both"/>
        <w:ind w:firstLine="8"/>
        <w:spacing w:after="0" w:line="311" w:lineRule="auto"/>
        <w:tabs>
          <w:tab w:leader="none" w:pos="113" w:val="left"/>
        </w:tabs>
        <w:numPr>
          <w:ilvl w:val="0"/>
          <w:numId w:val="10"/>
        </w:numPr>
        <w:rPr>
          <w:rFonts w:ascii="Arial" w:cs="Arial" w:eastAsia="Arial" w:hAnsi="Arial"/>
          <w:sz w:val="12"/>
          <w:szCs w:val="12"/>
          <w:color w:val="auto"/>
          <w:vertAlign w:val="superscript"/>
        </w:rPr>
      </w:pPr>
      <w:r>
        <w:rPr>
          <w:rFonts w:ascii="Arial" w:cs="Arial" w:eastAsia="Arial" w:hAnsi="Arial"/>
          <w:sz w:val="9"/>
          <w:szCs w:val="9"/>
          <w:color w:val="auto"/>
        </w:rPr>
        <w:t>See Attachment 2 for the non-GAAP financial measures of adjusted EBITDAX, operating costs per BOE (excluding effects of PSCs), adjusted net income (loss), adjusted net income (loss) per share - basic and diluted, free cash flow and free cash flow, after special items, including reconciliations to their most directly comparable GAAP measure, where applicable. For the full year 2023 and 1Q23 estimates of the non-GAAP measure of free cash flow, including reconciliations to their most directly comparable GAAP measure, see Attachment 7.</w:t>
      </w:r>
    </w:p>
    <w:p>
      <w:pPr>
        <w:spacing w:after="0" w:line="105" w:lineRule="exact"/>
        <w:rPr>
          <w:rFonts w:ascii="Arial" w:cs="Arial" w:eastAsia="Arial" w:hAnsi="Arial"/>
          <w:sz w:val="12"/>
          <w:szCs w:val="12"/>
          <w:color w:val="auto"/>
          <w:vertAlign w:val="superscript"/>
        </w:rPr>
      </w:pPr>
    </w:p>
    <w:p>
      <w:pPr>
        <w:ind w:left="120" w:hanging="112"/>
        <w:spacing w:after="0"/>
        <w:tabs>
          <w:tab w:leader="none" w:pos="120" w:val="left"/>
        </w:tabs>
        <w:numPr>
          <w:ilvl w:val="0"/>
          <w:numId w:val="10"/>
        </w:numPr>
        <w:rPr>
          <w:rFonts w:ascii="Arial" w:cs="Arial" w:eastAsia="Arial" w:hAnsi="Arial"/>
          <w:sz w:val="13"/>
          <w:szCs w:val="13"/>
          <w:color w:val="auto"/>
          <w:vertAlign w:val="superscript"/>
        </w:rPr>
      </w:pPr>
      <w:r>
        <w:rPr>
          <w:rFonts w:ascii="Arial" w:cs="Arial" w:eastAsia="Arial" w:hAnsi="Arial"/>
          <w:sz w:val="10"/>
          <w:szCs w:val="10"/>
          <w:color w:val="auto"/>
        </w:rPr>
        <w:t>Calculated as $307 million of available cash plus $602 million of capacity on CRC's Revolving Credit Facility less $144 million in outstanding letters of credit.</w:t>
      </w:r>
    </w:p>
    <w:p>
      <w:pPr>
        <w:spacing w:after="0" w:line="22" w:lineRule="exact"/>
        <w:rPr>
          <w:rFonts w:ascii="Arial" w:cs="Arial" w:eastAsia="Arial" w:hAnsi="Arial"/>
          <w:sz w:val="13"/>
          <w:szCs w:val="13"/>
          <w:color w:val="auto"/>
          <w:vertAlign w:val="superscript"/>
        </w:rPr>
      </w:pPr>
    </w:p>
    <w:p>
      <w:pPr>
        <w:jc w:val="both"/>
        <w:ind w:firstLine="8"/>
        <w:spacing w:after="0" w:line="216" w:lineRule="auto"/>
        <w:tabs>
          <w:tab w:leader="none" w:pos="131" w:val="left"/>
        </w:tabs>
        <w:numPr>
          <w:ilvl w:val="0"/>
          <w:numId w:val="10"/>
        </w:numPr>
        <w:rPr>
          <w:rFonts w:ascii="Arial" w:cs="Arial" w:eastAsia="Arial" w:hAnsi="Arial"/>
          <w:sz w:val="15"/>
          <w:szCs w:val="15"/>
          <w:color w:val="auto"/>
          <w:vertAlign w:val="superscript"/>
        </w:rPr>
      </w:pPr>
      <w:r>
        <w:rPr>
          <w:rFonts w:ascii="Arial" w:cs="Arial" w:eastAsia="Arial" w:hAnsi="Arial"/>
          <w:sz w:val="12"/>
          <w:szCs w:val="12"/>
          <w:color w:val="auto"/>
        </w:rPr>
        <w:t>Current guidance assumes a 2023 Brent price of $79.12 per barrel of oil, NGL realizations as a percentage of Brent consistent with prior years and a NYMEX gas price of $4.27 per mcf and a 1Q23 Brent price of $79.81 per barrel of oil, NGL realizations as a percentage of Brent consistent with prior years and a NYMEX gas price of $4.46 per mcf. CRC's share of production under PSC contracts decreases when commodity prices rise and increases when prices fall.</w:t>
      </w:r>
    </w:p>
    <w:p>
      <w:pPr>
        <w:spacing w:after="0" w:line="1" w:lineRule="exact"/>
        <w:rPr>
          <w:rFonts w:ascii="Arial" w:cs="Arial" w:eastAsia="Arial" w:hAnsi="Arial"/>
          <w:sz w:val="15"/>
          <w:szCs w:val="15"/>
          <w:color w:val="auto"/>
          <w:vertAlign w:val="superscript"/>
        </w:rPr>
      </w:pPr>
    </w:p>
    <w:p>
      <w:pPr>
        <w:ind w:right="140" w:firstLine="8"/>
        <w:spacing w:after="0" w:line="226" w:lineRule="auto"/>
        <w:tabs>
          <w:tab w:leader="none" w:pos="125" w:val="left"/>
        </w:tabs>
        <w:numPr>
          <w:ilvl w:val="0"/>
          <w:numId w:val="10"/>
        </w:numPr>
        <w:rPr>
          <w:rFonts w:ascii="Arial" w:cs="Arial" w:eastAsia="Arial" w:hAnsi="Arial"/>
          <w:sz w:val="14"/>
          <w:szCs w:val="14"/>
          <w:color w:val="auto"/>
          <w:vertAlign w:val="superscript"/>
        </w:rPr>
      </w:pPr>
      <w:r>
        <w:rPr>
          <w:rFonts w:ascii="Arial" w:cs="Arial" w:eastAsia="Arial" w:hAnsi="Arial"/>
          <w:sz w:val="11"/>
          <w:szCs w:val="11"/>
          <w:color w:val="auto"/>
        </w:rPr>
        <w:t>Adjusted E&amp;P Capital and Adjusted CMB Capital are Non-GAAP measures. These measures reflect the reclassification of ~$11 million from E&amp;P, Corporate &amp; Other Capital to Adjusted CMB Capital related to the expected 2023 investment in facilities to advance carbon sequestration activities beginning in 2Q23. For the full year 2023 and 1Q23 estimates of the non-GAAP measure of free cash flow, including reconciliations to their most directly comparable GAAP measure, see Attachment 7.</w:t>
      </w:r>
    </w:p>
    <w:p>
      <w:pPr>
        <w:spacing w:after="0" w:line="1" w:lineRule="exact"/>
        <w:rPr>
          <w:rFonts w:ascii="Arial" w:cs="Arial" w:eastAsia="Arial" w:hAnsi="Arial"/>
          <w:sz w:val="14"/>
          <w:szCs w:val="14"/>
          <w:color w:val="auto"/>
          <w:vertAlign w:val="superscript"/>
        </w:rPr>
      </w:pPr>
    </w:p>
    <w:p>
      <w:pPr>
        <w:ind w:left="140" w:hanging="132"/>
        <w:spacing w:after="0" w:line="197" w:lineRule="auto"/>
        <w:tabs>
          <w:tab w:leader="none" w:pos="140" w:val="left"/>
        </w:tabs>
        <w:numPr>
          <w:ilvl w:val="0"/>
          <w:numId w:val="10"/>
        </w:numPr>
        <w:rPr>
          <w:rFonts w:ascii="Arial" w:cs="Arial" w:eastAsia="Arial" w:hAnsi="Arial"/>
          <w:sz w:val="15"/>
          <w:szCs w:val="15"/>
          <w:color w:val="auto"/>
          <w:vertAlign w:val="superscript"/>
        </w:rPr>
      </w:pPr>
      <w:r>
        <w:rPr>
          <w:rFonts w:ascii="Arial" w:cs="Arial" w:eastAsia="Arial" w:hAnsi="Arial"/>
          <w:sz w:val="12"/>
          <w:szCs w:val="12"/>
          <w:color w:val="auto"/>
        </w:rPr>
        <w:t>CMB Expenses includes lease cost for sequestration easements, advocacy, and other startup related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California Resources Corporation</w:t>
      </w:r>
    </w:p>
    <w:p>
      <w:pPr>
        <w:spacing w:after="0" w:line="249"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color w:val="auto"/>
        </w:rPr>
        <w:t>California Resources Corporation (CRC) is an independent oil and natural gas company committed to energy transition in the sector. CRC has some of the lowest carbon intensity production in the US and CRC is focused on maximizing the value of our land, mineral and technical resources for decarbonization by developing CCS and other emissions reducing projects. For more information about CRC, please visit www.crc.com. Nothing herein is intended to imply or create a legal partnership between Brookfield Global Transition Fund, California Resources Corporation, or any of their respective subsidiaries and affiliates.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Forward-Looking Statements</w:t>
      </w:r>
    </w:p>
    <w:p>
      <w:pPr>
        <w:spacing w:after="0" w:line="235"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color w:val="auto"/>
        </w:rPr>
        <w:t>This document contains statements that CRC believes to be “forward-looking statements” within the meaning of Section 27A of the Securities Act of 1933 and Section 21E of the Securities Exchange Act of 1934. All statements other than historical facts are forward-looking statements, and include statements regarding CRC's future financial position, business strategy, projected revenues, earnings, costs, capital expenditures and plans and objectives of management for the future. Words such as "expect," “could,” “may,” "anticipate," "intend," "plan," “ability,” "believe," "seek," "see," "will," "would," “estimate,” “forecast,” "target," “guidance,” “outlook,” “opportunity” or “strategy” or similar expressions are generally intended to identify forward-looking statements. Such forward-looking statements are subject to risks and uncertainties that could cause actual results to differ materially from those expressed in, or implied by, such statements.</w:t>
      </w:r>
    </w:p>
    <w:p>
      <w:pPr>
        <w:spacing w:after="0" w:line="210"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1"/>
          <w:szCs w:val="21"/>
          <w:color w:val="auto"/>
        </w:rPr>
        <w:t>Although CRC believes the expectations and forecasts reflected in its forward-looking statements are reasonable, they are inherently subject to numerous risks and uncertainties, most of which are difficult to predict and many of which are beyond CRC's control. No assurance can be given that such forward-looking statements will be correct or achieved or that the assumptions are accurate or will not change over time. Particular uncertainties that could cause CRC's actual results to be materially different than those expressed in its forward-looking statements include:</w:t>
      </w:r>
    </w:p>
    <w:p>
      <w:pPr>
        <w:spacing w:after="0" w:line="200" w:lineRule="exact"/>
        <w:rPr>
          <w:sz w:val="20"/>
          <w:szCs w:val="20"/>
          <w:color w:val="auto"/>
        </w:rPr>
      </w:pPr>
    </w:p>
    <w:p>
      <w:pPr>
        <w:spacing w:after="0" w:line="253" w:lineRule="exact"/>
        <w:rPr>
          <w:sz w:val="20"/>
          <w:szCs w:val="20"/>
          <w:color w:val="auto"/>
        </w:rPr>
      </w:pPr>
    </w:p>
    <w:p>
      <w:pPr>
        <w:ind w:left="660" w:hanging="328"/>
        <w:spacing w:after="0" w:line="252" w:lineRule="auto"/>
        <w:tabs>
          <w:tab w:leader="none" w:pos="601" w:val="left"/>
        </w:tabs>
        <w:numPr>
          <w:ilvl w:val="0"/>
          <w:numId w:val="11"/>
        </w:numPr>
        <w:rPr>
          <w:rFonts w:ascii="Arial" w:cs="Arial" w:eastAsia="Arial" w:hAnsi="Arial"/>
          <w:sz w:val="22"/>
          <w:szCs w:val="22"/>
          <w:color w:val="auto"/>
        </w:rPr>
      </w:pPr>
      <w:r>
        <w:rPr>
          <w:rFonts w:ascii="Arial" w:cs="Arial" w:eastAsia="Arial" w:hAnsi="Arial"/>
          <w:sz w:val="22"/>
          <w:szCs w:val="22"/>
          <w:color w:val="auto"/>
        </w:rPr>
        <w:t>fluctuations in commodity prices, including supply and demand considerations for CRC's products and services;</w:t>
      </w:r>
    </w:p>
    <w:p>
      <w:pPr>
        <w:spacing w:after="0" w:line="1" w:lineRule="exact"/>
        <w:rPr>
          <w:rFonts w:ascii="Arial" w:cs="Arial" w:eastAsia="Arial" w:hAnsi="Arial"/>
          <w:sz w:val="22"/>
          <w:szCs w:val="22"/>
          <w:color w:val="auto"/>
        </w:rPr>
      </w:pPr>
    </w:p>
    <w:p>
      <w:pPr>
        <w:ind w:left="600" w:hanging="268"/>
        <w:spacing w:after="0"/>
        <w:tabs>
          <w:tab w:leader="none" w:pos="6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decisions as to production levels and/or pricing by OPEC or U.S. producers in future periods;</w:t>
      </w:r>
    </w:p>
    <w:p>
      <w:pPr>
        <w:spacing w:after="0" w:line="10" w:lineRule="exact"/>
        <w:rPr>
          <w:rFonts w:ascii="Arial" w:cs="Arial" w:eastAsia="Arial" w:hAnsi="Arial"/>
          <w:sz w:val="22"/>
          <w:szCs w:val="22"/>
          <w:color w:val="auto"/>
        </w:rPr>
      </w:pPr>
    </w:p>
    <w:p>
      <w:pPr>
        <w:ind w:left="660" w:hanging="328"/>
        <w:spacing w:after="0" w:line="246" w:lineRule="auto"/>
        <w:tabs>
          <w:tab w:leader="none" w:pos="601" w:val="left"/>
        </w:tabs>
        <w:numPr>
          <w:ilvl w:val="0"/>
          <w:numId w:val="11"/>
        </w:numPr>
        <w:rPr>
          <w:rFonts w:ascii="Arial" w:cs="Arial" w:eastAsia="Arial" w:hAnsi="Arial"/>
          <w:sz w:val="22"/>
          <w:szCs w:val="22"/>
          <w:color w:val="auto"/>
        </w:rPr>
      </w:pPr>
      <w:r>
        <w:rPr>
          <w:rFonts w:ascii="Arial" w:cs="Arial" w:eastAsia="Arial" w:hAnsi="Arial"/>
          <w:sz w:val="22"/>
          <w:szCs w:val="22"/>
          <w:color w:val="auto"/>
        </w:rPr>
        <w:t>government policy, war and political conditions and events, including the war in Ukraine and oil sanctions on Russia, Iran and others;</w:t>
      </w:r>
    </w:p>
    <w:p>
      <w:pPr>
        <w:jc w:val="both"/>
        <w:ind w:left="660" w:hanging="328"/>
        <w:spacing w:after="0" w:line="248" w:lineRule="auto"/>
        <w:tabs>
          <w:tab w:leader="none" w:pos="601" w:val="left"/>
        </w:tabs>
        <w:numPr>
          <w:ilvl w:val="0"/>
          <w:numId w:val="11"/>
        </w:numPr>
        <w:rPr>
          <w:rFonts w:ascii="Arial" w:cs="Arial" w:eastAsia="Arial" w:hAnsi="Arial"/>
          <w:sz w:val="22"/>
          <w:szCs w:val="22"/>
          <w:color w:val="auto"/>
        </w:rPr>
      </w:pPr>
      <w:r>
        <w:rPr>
          <w:rFonts w:ascii="Arial" w:cs="Arial" w:eastAsia="Arial" w:hAnsi="Arial"/>
          <w:sz w:val="22"/>
          <w:szCs w:val="22"/>
          <w:color w:val="auto"/>
        </w:rPr>
        <w:t>regulatory actions and changes that affect the oil and gas industry generally and CRC in particular, including (1) the availability or timing of, or conditions imposed on, permits and approvals necessary for drilling or development activities or CRC's carbon management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240"/>
          </w:cols>
          <w:pgMar w:left="320" w:top="1131" w:right="339" w:bottom="1440" w:gutter="0" w:footer="0" w:header="0"/>
        </w:sectPr>
      </w:pPr>
    </w:p>
    <w:bookmarkStart w:id="14" w:name="page15"/>
    <w:bookmarkEnd w:id="14"/>
    <w:p>
      <w:pPr>
        <w:jc w:val="both"/>
        <w:ind w:left="328"/>
        <w:spacing w:after="0" w:line="251" w:lineRule="auto"/>
        <w:rPr>
          <w:sz w:val="20"/>
          <w:szCs w:val="20"/>
          <w:color w:val="auto"/>
        </w:rPr>
      </w:pPr>
      <w:r>
        <w:rPr>
          <w:rFonts w:ascii="Arial" w:cs="Arial" w:eastAsia="Arial" w:hAnsi="Arial"/>
          <w:sz w:val="22"/>
          <w:szCs w:val="22"/>
          <w:color w:val="auto"/>
        </w:rPr>
        <w:t>business; (2) the management of energy, water, land, greenhouse gases (GHGs) or other emissions, (3) the protection of health, safety and the environment, or (4) the transportation, marketing and sale of CRC's products;</w:t>
      </w:r>
    </w:p>
    <w:p>
      <w:pPr>
        <w:spacing w:after="0" w:line="3" w:lineRule="exact"/>
        <w:rPr>
          <w:sz w:val="20"/>
          <w:szCs w:val="20"/>
          <w:color w:val="auto"/>
        </w:rPr>
      </w:pPr>
    </w:p>
    <w:p>
      <w:pPr>
        <w:ind w:left="268" w:hanging="268"/>
        <w:spacing w:after="0"/>
        <w:tabs>
          <w:tab w:leader="none" w:pos="268"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impact of inflation on future expenses and changes generally in the prices of goods and services;</w:t>
      </w:r>
    </w:p>
    <w:p>
      <w:pPr>
        <w:spacing w:after="0" w:line="10" w:lineRule="exact"/>
        <w:rPr>
          <w:rFonts w:ascii="Arial" w:cs="Arial" w:eastAsia="Arial" w:hAnsi="Arial"/>
          <w:sz w:val="22"/>
          <w:szCs w:val="22"/>
          <w:color w:val="auto"/>
        </w:rPr>
      </w:pPr>
    </w:p>
    <w:p>
      <w:pPr>
        <w:ind w:left="268" w:hanging="268"/>
        <w:spacing w:after="0"/>
        <w:tabs>
          <w:tab w:leader="none" w:pos="268" w:val="left"/>
        </w:tabs>
        <w:numPr>
          <w:ilvl w:val="0"/>
          <w:numId w:val="12"/>
        </w:numPr>
        <w:rPr>
          <w:rFonts w:ascii="Arial" w:cs="Arial" w:eastAsia="Arial" w:hAnsi="Arial"/>
          <w:sz w:val="22"/>
          <w:szCs w:val="22"/>
          <w:color w:val="auto"/>
        </w:rPr>
      </w:pPr>
      <w:r>
        <w:rPr>
          <w:rFonts w:ascii="Arial" w:cs="Arial" w:eastAsia="Arial" w:hAnsi="Arial"/>
          <w:sz w:val="22"/>
          <w:szCs w:val="22"/>
          <w:color w:val="auto"/>
        </w:rPr>
        <w:t>changes in business strategy and CRC's capital plan;</w:t>
      </w:r>
    </w:p>
    <w:p>
      <w:pPr>
        <w:spacing w:after="0" w:line="3" w:lineRule="exact"/>
        <w:rPr>
          <w:rFonts w:ascii="Arial" w:cs="Arial" w:eastAsia="Arial" w:hAnsi="Arial"/>
          <w:sz w:val="22"/>
          <w:szCs w:val="22"/>
          <w:color w:val="auto"/>
        </w:rPr>
      </w:pPr>
    </w:p>
    <w:p>
      <w:pPr>
        <w:ind w:left="268" w:hanging="268"/>
        <w:spacing w:after="0"/>
        <w:tabs>
          <w:tab w:leader="none" w:pos="268" w:val="left"/>
        </w:tabs>
        <w:numPr>
          <w:ilvl w:val="0"/>
          <w:numId w:val="12"/>
        </w:numPr>
        <w:rPr>
          <w:rFonts w:ascii="Arial" w:cs="Arial" w:eastAsia="Arial" w:hAnsi="Arial"/>
          <w:sz w:val="22"/>
          <w:szCs w:val="22"/>
          <w:color w:val="auto"/>
        </w:rPr>
      </w:pPr>
      <w:r>
        <w:rPr>
          <w:rFonts w:ascii="Arial" w:cs="Arial" w:eastAsia="Arial" w:hAnsi="Arial"/>
          <w:sz w:val="22"/>
          <w:szCs w:val="22"/>
          <w:color w:val="auto"/>
        </w:rPr>
        <w:t>lower-than-expected production or higher-than-expected production decline rates;</w:t>
      </w:r>
    </w:p>
    <w:p>
      <w:pPr>
        <w:spacing w:after="0" w:line="3" w:lineRule="exact"/>
        <w:rPr>
          <w:rFonts w:ascii="Arial" w:cs="Arial" w:eastAsia="Arial" w:hAnsi="Arial"/>
          <w:sz w:val="22"/>
          <w:szCs w:val="22"/>
          <w:color w:val="auto"/>
        </w:rPr>
      </w:pPr>
    </w:p>
    <w:p>
      <w:pPr>
        <w:ind w:left="328" w:hanging="328"/>
        <w:spacing w:after="0" w:line="246" w:lineRule="auto"/>
        <w:tabs>
          <w:tab w:leader="none" w:pos="269" w:val="left"/>
        </w:tabs>
        <w:numPr>
          <w:ilvl w:val="0"/>
          <w:numId w:val="12"/>
        </w:numPr>
        <w:rPr>
          <w:rFonts w:ascii="Arial" w:cs="Arial" w:eastAsia="Arial" w:hAnsi="Arial"/>
          <w:sz w:val="22"/>
          <w:szCs w:val="22"/>
          <w:color w:val="auto"/>
        </w:rPr>
      </w:pPr>
      <w:r>
        <w:rPr>
          <w:rFonts w:ascii="Arial" w:cs="Arial" w:eastAsia="Arial" w:hAnsi="Arial"/>
          <w:sz w:val="22"/>
          <w:szCs w:val="22"/>
          <w:color w:val="auto"/>
        </w:rPr>
        <w:t>changes to CRC's estimates of reserves and related future cash flows, including changes arising from CRC's inability to develop such reserves in a timely manner, and any inability to replace such reserves;</w:t>
      </w:r>
    </w:p>
    <w:p>
      <w:pPr>
        <w:spacing w:after="0" w:line="1" w:lineRule="exact"/>
        <w:rPr>
          <w:rFonts w:ascii="Arial" w:cs="Arial" w:eastAsia="Arial" w:hAnsi="Arial"/>
          <w:sz w:val="22"/>
          <w:szCs w:val="22"/>
          <w:color w:val="auto"/>
        </w:rPr>
      </w:pPr>
    </w:p>
    <w:p>
      <w:pPr>
        <w:ind w:left="268" w:hanging="268"/>
        <w:spacing w:after="0"/>
        <w:tabs>
          <w:tab w:leader="none" w:pos="268"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recoverability of resources and unexpected geologic conditions;</w:t>
      </w:r>
    </w:p>
    <w:p>
      <w:pPr>
        <w:spacing w:after="0" w:line="10" w:lineRule="exact"/>
        <w:rPr>
          <w:rFonts w:ascii="Arial" w:cs="Arial" w:eastAsia="Arial" w:hAnsi="Arial"/>
          <w:sz w:val="22"/>
          <w:szCs w:val="22"/>
          <w:color w:val="auto"/>
        </w:rPr>
      </w:pPr>
    </w:p>
    <w:p>
      <w:pPr>
        <w:ind w:left="328" w:hanging="328"/>
        <w:spacing w:after="0" w:line="243" w:lineRule="auto"/>
        <w:tabs>
          <w:tab w:leader="none" w:pos="269" w:val="left"/>
        </w:tabs>
        <w:numPr>
          <w:ilvl w:val="0"/>
          <w:numId w:val="12"/>
        </w:numPr>
        <w:rPr>
          <w:rFonts w:ascii="Arial" w:cs="Arial" w:eastAsia="Arial" w:hAnsi="Arial"/>
          <w:sz w:val="22"/>
          <w:szCs w:val="22"/>
          <w:color w:val="auto"/>
        </w:rPr>
      </w:pPr>
      <w:r>
        <w:rPr>
          <w:rFonts w:ascii="Arial" w:cs="Arial" w:eastAsia="Arial" w:hAnsi="Arial"/>
          <w:sz w:val="22"/>
          <w:szCs w:val="22"/>
          <w:color w:val="auto"/>
        </w:rPr>
        <w:t>general economic conditions and trends, including conditions in the worldwide financial, trade and credit markets;</w:t>
      </w:r>
    </w:p>
    <w:p>
      <w:pPr>
        <w:ind w:left="268" w:hanging="268"/>
        <w:spacing w:after="0"/>
        <w:tabs>
          <w:tab w:leader="none" w:pos="268" w:val="left"/>
        </w:tabs>
        <w:numPr>
          <w:ilvl w:val="0"/>
          <w:numId w:val="12"/>
        </w:numPr>
        <w:rPr>
          <w:rFonts w:ascii="Arial" w:cs="Arial" w:eastAsia="Arial" w:hAnsi="Arial"/>
          <w:sz w:val="22"/>
          <w:szCs w:val="22"/>
          <w:color w:val="auto"/>
        </w:rPr>
      </w:pPr>
      <w:r>
        <w:rPr>
          <w:rFonts w:ascii="Arial" w:cs="Arial" w:eastAsia="Arial" w:hAnsi="Arial"/>
          <w:sz w:val="22"/>
          <w:szCs w:val="22"/>
          <w:color w:val="auto"/>
        </w:rPr>
        <w:t>production-sharing contracts' effects on production and operating costs;</w:t>
      </w:r>
    </w:p>
    <w:p>
      <w:pPr>
        <w:spacing w:after="0" w:line="3" w:lineRule="exact"/>
        <w:rPr>
          <w:rFonts w:ascii="Arial" w:cs="Arial" w:eastAsia="Arial" w:hAnsi="Arial"/>
          <w:sz w:val="22"/>
          <w:szCs w:val="22"/>
          <w:color w:val="auto"/>
        </w:rPr>
      </w:pPr>
    </w:p>
    <w:p>
      <w:pPr>
        <w:ind w:left="268" w:hanging="268"/>
        <w:spacing w:after="0"/>
        <w:tabs>
          <w:tab w:leader="none" w:pos="268"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lack of available equipment, service or labor price inflation;</w:t>
      </w:r>
    </w:p>
    <w:p>
      <w:pPr>
        <w:spacing w:after="0" w:line="3" w:lineRule="exact"/>
        <w:rPr>
          <w:rFonts w:ascii="Arial" w:cs="Arial" w:eastAsia="Arial" w:hAnsi="Arial"/>
          <w:sz w:val="22"/>
          <w:szCs w:val="22"/>
          <w:color w:val="auto"/>
        </w:rPr>
      </w:pPr>
    </w:p>
    <w:p>
      <w:pPr>
        <w:ind w:left="268" w:hanging="268"/>
        <w:spacing w:after="0"/>
        <w:tabs>
          <w:tab w:leader="none" w:pos="268" w:val="left"/>
        </w:tabs>
        <w:numPr>
          <w:ilvl w:val="0"/>
          <w:numId w:val="12"/>
        </w:numPr>
        <w:rPr>
          <w:rFonts w:ascii="Arial" w:cs="Arial" w:eastAsia="Arial" w:hAnsi="Arial"/>
          <w:sz w:val="22"/>
          <w:szCs w:val="22"/>
          <w:color w:val="auto"/>
        </w:rPr>
      </w:pPr>
      <w:r>
        <w:rPr>
          <w:rFonts w:ascii="Arial" w:cs="Arial" w:eastAsia="Arial" w:hAnsi="Arial"/>
          <w:sz w:val="22"/>
          <w:szCs w:val="22"/>
          <w:color w:val="auto"/>
        </w:rPr>
        <w:t>limitations on transportation or storage capacity and the need to shut-in wells;</w:t>
      </w:r>
    </w:p>
    <w:p>
      <w:pPr>
        <w:spacing w:after="0" w:line="3" w:lineRule="exact"/>
        <w:rPr>
          <w:rFonts w:ascii="Arial" w:cs="Arial" w:eastAsia="Arial" w:hAnsi="Arial"/>
          <w:sz w:val="22"/>
          <w:szCs w:val="22"/>
          <w:color w:val="auto"/>
        </w:rPr>
      </w:pPr>
    </w:p>
    <w:p>
      <w:pPr>
        <w:ind w:left="268" w:hanging="268"/>
        <w:spacing w:after="0" w:line="230" w:lineRule="auto"/>
        <w:tabs>
          <w:tab w:leader="none" w:pos="268" w:val="left"/>
        </w:tabs>
        <w:numPr>
          <w:ilvl w:val="0"/>
          <w:numId w:val="12"/>
        </w:numPr>
        <w:rPr>
          <w:rFonts w:ascii="Arial" w:cs="Arial" w:eastAsia="Arial" w:hAnsi="Arial"/>
          <w:sz w:val="22"/>
          <w:szCs w:val="22"/>
          <w:color w:val="auto"/>
        </w:rPr>
      </w:pPr>
      <w:r>
        <w:rPr>
          <w:rFonts w:ascii="Arial" w:cs="Arial" w:eastAsia="Arial" w:hAnsi="Arial"/>
          <w:sz w:val="22"/>
          <w:szCs w:val="22"/>
          <w:color w:val="auto"/>
        </w:rPr>
        <w:t>any failure of risk management;</w:t>
      </w:r>
    </w:p>
    <w:p>
      <w:pPr>
        <w:ind w:left="268" w:hanging="268"/>
        <w:spacing w:after="0" w:line="217" w:lineRule="auto"/>
        <w:tabs>
          <w:tab w:leader="none" w:pos="268" w:val="left"/>
        </w:tabs>
        <w:numPr>
          <w:ilvl w:val="0"/>
          <w:numId w:val="12"/>
        </w:numPr>
        <w:rPr>
          <w:rFonts w:ascii="Arial" w:cs="Arial" w:eastAsia="Arial" w:hAnsi="Arial"/>
          <w:sz w:val="22"/>
          <w:szCs w:val="22"/>
          <w:color w:val="auto"/>
        </w:rPr>
      </w:pPr>
      <w:r>
        <w:rPr>
          <w:rFonts w:ascii="Arial" w:cs="Arial" w:eastAsia="Arial" w:hAnsi="Arial"/>
          <w:sz w:val="22"/>
          <w:szCs w:val="22"/>
          <w:color w:val="auto"/>
        </w:rPr>
        <w:t>results from operations and competition in the industries in which CRC operates;</w:t>
      </w:r>
    </w:p>
    <w:p>
      <w:pPr>
        <w:ind w:left="268" w:hanging="268"/>
        <w:spacing w:after="0" w:line="230" w:lineRule="auto"/>
        <w:tabs>
          <w:tab w:leader="none" w:pos="268" w:val="left"/>
        </w:tabs>
        <w:numPr>
          <w:ilvl w:val="0"/>
          <w:numId w:val="12"/>
        </w:numPr>
        <w:rPr>
          <w:rFonts w:ascii="Arial" w:cs="Arial" w:eastAsia="Arial" w:hAnsi="Arial"/>
          <w:sz w:val="22"/>
          <w:szCs w:val="22"/>
          <w:color w:val="auto"/>
        </w:rPr>
      </w:pPr>
      <w:r>
        <w:rPr>
          <w:rFonts w:ascii="Arial" w:cs="Arial" w:eastAsia="Arial" w:hAnsi="Arial"/>
          <w:sz w:val="22"/>
          <w:szCs w:val="22"/>
          <w:color w:val="auto"/>
        </w:rPr>
        <w:t>CRC's ability to realize the anticipated benefits from prior or future efforts to reduce costs;</w:t>
      </w:r>
    </w:p>
    <w:p>
      <w:pPr>
        <w:ind w:left="328" w:hanging="328"/>
        <w:spacing w:after="0" w:line="230" w:lineRule="auto"/>
        <w:tabs>
          <w:tab w:leader="none" w:pos="269" w:val="left"/>
        </w:tabs>
        <w:numPr>
          <w:ilvl w:val="0"/>
          <w:numId w:val="12"/>
        </w:numPr>
        <w:rPr>
          <w:rFonts w:ascii="Arial" w:cs="Arial" w:eastAsia="Arial" w:hAnsi="Arial"/>
          <w:sz w:val="22"/>
          <w:szCs w:val="22"/>
          <w:color w:val="auto"/>
        </w:rPr>
      </w:pPr>
      <w:r>
        <w:rPr>
          <w:rFonts w:ascii="Arial" w:cs="Arial" w:eastAsia="Arial" w:hAnsi="Arial"/>
          <w:sz w:val="22"/>
          <w:szCs w:val="22"/>
          <w:color w:val="auto"/>
        </w:rPr>
        <w:t>environmental risks and liability under federal, regional, state, provincial, tribal, local and international environmental laws and regulations (including remedial actions);</w:t>
      </w:r>
    </w:p>
    <w:p>
      <w:pPr>
        <w:spacing w:after="0" w:line="1" w:lineRule="exact"/>
        <w:rPr>
          <w:rFonts w:ascii="Arial" w:cs="Arial" w:eastAsia="Arial" w:hAnsi="Arial"/>
          <w:sz w:val="22"/>
          <w:szCs w:val="22"/>
          <w:color w:val="auto"/>
        </w:rPr>
      </w:pPr>
    </w:p>
    <w:p>
      <w:pPr>
        <w:ind w:left="328" w:hanging="328"/>
        <w:spacing w:after="0" w:line="230" w:lineRule="auto"/>
        <w:tabs>
          <w:tab w:leader="none" w:pos="269"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creditworthiness and performance of CRC's counterparties, including financial institutions, operating partners, CCS project participants and other parties;</w:t>
      </w:r>
    </w:p>
    <w:p>
      <w:pPr>
        <w:spacing w:after="0" w:line="1" w:lineRule="exact"/>
        <w:rPr>
          <w:rFonts w:ascii="Arial" w:cs="Arial" w:eastAsia="Arial" w:hAnsi="Arial"/>
          <w:sz w:val="22"/>
          <w:szCs w:val="22"/>
          <w:color w:val="auto"/>
        </w:rPr>
      </w:pPr>
    </w:p>
    <w:p>
      <w:pPr>
        <w:ind w:left="268" w:hanging="268"/>
        <w:spacing w:after="0"/>
        <w:tabs>
          <w:tab w:leader="none" w:pos="268" w:val="left"/>
        </w:tabs>
        <w:numPr>
          <w:ilvl w:val="0"/>
          <w:numId w:val="12"/>
        </w:numPr>
        <w:rPr>
          <w:rFonts w:ascii="Arial" w:cs="Arial" w:eastAsia="Arial" w:hAnsi="Arial"/>
          <w:sz w:val="22"/>
          <w:szCs w:val="22"/>
          <w:color w:val="auto"/>
        </w:rPr>
      </w:pPr>
      <w:r>
        <w:rPr>
          <w:rFonts w:ascii="Arial" w:cs="Arial" w:eastAsia="Arial" w:hAnsi="Arial"/>
          <w:sz w:val="22"/>
          <w:szCs w:val="22"/>
          <w:color w:val="auto"/>
        </w:rPr>
        <w:t>reorganization or restructuring of CRC's operations;</w:t>
      </w:r>
    </w:p>
    <w:p>
      <w:pPr>
        <w:spacing w:after="0" w:line="3" w:lineRule="exact"/>
        <w:rPr>
          <w:rFonts w:ascii="Arial" w:cs="Arial" w:eastAsia="Arial" w:hAnsi="Arial"/>
          <w:sz w:val="22"/>
          <w:szCs w:val="22"/>
          <w:color w:val="auto"/>
        </w:rPr>
      </w:pPr>
    </w:p>
    <w:p>
      <w:pPr>
        <w:ind w:left="268" w:hanging="268"/>
        <w:spacing w:after="0"/>
        <w:tabs>
          <w:tab w:leader="none" w:pos="268" w:val="left"/>
        </w:tabs>
        <w:numPr>
          <w:ilvl w:val="0"/>
          <w:numId w:val="12"/>
        </w:numPr>
        <w:rPr>
          <w:rFonts w:ascii="Arial" w:cs="Arial" w:eastAsia="Arial" w:hAnsi="Arial"/>
          <w:sz w:val="22"/>
          <w:szCs w:val="22"/>
          <w:color w:val="auto"/>
        </w:rPr>
      </w:pPr>
      <w:r>
        <w:rPr>
          <w:rFonts w:ascii="Arial" w:cs="Arial" w:eastAsia="Arial" w:hAnsi="Arial"/>
          <w:sz w:val="22"/>
          <w:szCs w:val="22"/>
          <w:color w:val="auto"/>
        </w:rPr>
        <w:t>CRC's ability to claim and utilize tax credits or other incentives in connection with its CCS projects,</w:t>
      </w:r>
    </w:p>
    <w:p>
      <w:pPr>
        <w:spacing w:after="0" w:line="3" w:lineRule="exact"/>
        <w:rPr>
          <w:rFonts w:ascii="Arial" w:cs="Arial" w:eastAsia="Arial" w:hAnsi="Arial"/>
          <w:sz w:val="22"/>
          <w:szCs w:val="22"/>
          <w:color w:val="auto"/>
        </w:rPr>
      </w:pPr>
    </w:p>
    <w:p>
      <w:pPr>
        <w:ind w:left="328" w:hanging="328"/>
        <w:spacing w:after="0" w:line="243" w:lineRule="auto"/>
        <w:tabs>
          <w:tab w:leader="none" w:pos="269" w:val="left"/>
        </w:tabs>
        <w:numPr>
          <w:ilvl w:val="0"/>
          <w:numId w:val="12"/>
        </w:numPr>
        <w:rPr>
          <w:rFonts w:ascii="Arial" w:cs="Arial" w:eastAsia="Arial" w:hAnsi="Arial"/>
          <w:sz w:val="22"/>
          <w:szCs w:val="22"/>
          <w:color w:val="auto"/>
        </w:rPr>
      </w:pPr>
      <w:r>
        <w:rPr>
          <w:rFonts w:ascii="Arial" w:cs="Arial" w:eastAsia="Arial" w:hAnsi="Arial"/>
          <w:sz w:val="22"/>
          <w:szCs w:val="22"/>
          <w:color w:val="auto"/>
        </w:rPr>
        <w:t>CRC's ability to realize the benefits contemplated by its energy transition strategies and initiatives, including CCS projects and other renewable energy efforts;</w:t>
      </w:r>
    </w:p>
    <w:p>
      <w:pPr>
        <w:ind w:left="328" w:hanging="328"/>
        <w:spacing w:after="0" w:line="249" w:lineRule="auto"/>
        <w:tabs>
          <w:tab w:leader="none" w:pos="269" w:val="left"/>
        </w:tabs>
        <w:numPr>
          <w:ilvl w:val="0"/>
          <w:numId w:val="12"/>
        </w:numPr>
        <w:rPr>
          <w:rFonts w:ascii="Arial" w:cs="Arial" w:eastAsia="Arial" w:hAnsi="Arial"/>
          <w:sz w:val="22"/>
          <w:szCs w:val="22"/>
          <w:color w:val="auto"/>
        </w:rPr>
      </w:pPr>
      <w:r>
        <w:rPr>
          <w:rFonts w:ascii="Arial" w:cs="Arial" w:eastAsia="Arial" w:hAnsi="Arial"/>
          <w:sz w:val="22"/>
          <w:szCs w:val="22"/>
          <w:color w:val="auto"/>
        </w:rPr>
        <w:t>CRC's ability to successfully identify, develop and finance carbon capture and storage projects and other renewable energy efforts, including those in connection with the Carbon TerraVault JV;</w:t>
      </w:r>
    </w:p>
    <w:p>
      <w:pPr>
        <w:spacing w:after="0" w:line="1" w:lineRule="exact"/>
        <w:rPr>
          <w:rFonts w:ascii="Arial" w:cs="Arial" w:eastAsia="Arial" w:hAnsi="Arial"/>
          <w:sz w:val="22"/>
          <w:szCs w:val="22"/>
          <w:color w:val="auto"/>
        </w:rPr>
      </w:pPr>
    </w:p>
    <w:p>
      <w:pPr>
        <w:ind w:left="328" w:hanging="328"/>
        <w:spacing w:after="0" w:line="243" w:lineRule="auto"/>
        <w:tabs>
          <w:tab w:leader="none" w:pos="269" w:val="left"/>
        </w:tabs>
        <w:numPr>
          <w:ilvl w:val="0"/>
          <w:numId w:val="12"/>
        </w:numPr>
        <w:rPr>
          <w:rFonts w:ascii="Arial" w:cs="Arial" w:eastAsia="Arial" w:hAnsi="Arial"/>
          <w:sz w:val="22"/>
          <w:szCs w:val="22"/>
          <w:color w:val="auto"/>
        </w:rPr>
      </w:pPr>
      <w:r>
        <w:rPr>
          <w:rFonts w:ascii="Arial" w:cs="Arial" w:eastAsia="Arial" w:hAnsi="Arial"/>
          <w:sz w:val="22"/>
          <w:szCs w:val="22"/>
          <w:color w:val="auto"/>
        </w:rPr>
        <w:t>CRC's ability to successfully develop infrastructure projects and enter into third party contracts on contemplated terms;</w:t>
      </w:r>
    </w:p>
    <w:p>
      <w:pPr>
        <w:ind w:left="328" w:hanging="328"/>
        <w:spacing w:after="0" w:line="246" w:lineRule="auto"/>
        <w:tabs>
          <w:tab w:leader="none" w:pos="269" w:val="left"/>
        </w:tabs>
        <w:numPr>
          <w:ilvl w:val="0"/>
          <w:numId w:val="12"/>
        </w:numPr>
        <w:rPr>
          <w:rFonts w:ascii="Arial" w:cs="Arial" w:eastAsia="Arial" w:hAnsi="Arial"/>
          <w:sz w:val="22"/>
          <w:szCs w:val="22"/>
          <w:color w:val="auto"/>
        </w:rPr>
      </w:pPr>
      <w:r>
        <w:rPr>
          <w:rFonts w:ascii="Arial" w:cs="Arial" w:eastAsia="Arial" w:hAnsi="Arial"/>
          <w:sz w:val="22"/>
          <w:szCs w:val="22"/>
          <w:color w:val="auto"/>
        </w:rPr>
        <w:t>uncertainty around the accounting of emissions and CRC's ability to successfully gather and verify emissions data and other environmental impacts;</w:t>
      </w:r>
    </w:p>
    <w:p>
      <w:pPr>
        <w:spacing w:after="0" w:line="1" w:lineRule="exact"/>
        <w:rPr>
          <w:rFonts w:ascii="Arial" w:cs="Arial" w:eastAsia="Arial" w:hAnsi="Arial"/>
          <w:sz w:val="22"/>
          <w:szCs w:val="22"/>
          <w:color w:val="auto"/>
        </w:rPr>
      </w:pPr>
    </w:p>
    <w:p>
      <w:pPr>
        <w:ind w:left="328" w:hanging="328"/>
        <w:spacing w:after="0" w:line="246" w:lineRule="auto"/>
        <w:tabs>
          <w:tab w:leader="none" w:pos="269" w:val="left"/>
        </w:tabs>
        <w:numPr>
          <w:ilvl w:val="0"/>
          <w:numId w:val="12"/>
        </w:numPr>
        <w:rPr>
          <w:rFonts w:ascii="Arial" w:cs="Arial" w:eastAsia="Arial" w:hAnsi="Arial"/>
          <w:sz w:val="22"/>
          <w:szCs w:val="22"/>
          <w:color w:val="auto"/>
        </w:rPr>
      </w:pPr>
      <w:r>
        <w:rPr>
          <w:rFonts w:ascii="Arial" w:cs="Arial" w:eastAsia="Arial" w:hAnsi="Arial"/>
          <w:sz w:val="22"/>
          <w:szCs w:val="22"/>
          <w:color w:val="auto"/>
        </w:rPr>
        <w:t>changes to CRC's dividend policy and Share Repurchase Program, and its ability to declare future dividends or repurchase shares under its debt agreements;</w:t>
      </w:r>
    </w:p>
    <w:p>
      <w:pPr>
        <w:ind w:left="268" w:hanging="268"/>
        <w:spacing w:after="0"/>
        <w:tabs>
          <w:tab w:leader="none" w:pos="268" w:val="left"/>
        </w:tabs>
        <w:numPr>
          <w:ilvl w:val="0"/>
          <w:numId w:val="12"/>
        </w:numPr>
        <w:rPr>
          <w:rFonts w:ascii="Arial" w:cs="Arial" w:eastAsia="Arial" w:hAnsi="Arial"/>
          <w:sz w:val="22"/>
          <w:szCs w:val="22"/>
          <w:color w:val="auto"/>
        </w:rPr>
      </w:pPr>
      <w:r>
        <w:rPr>
          <w:rFonts w:ascii="Arial" w:cs="Arial" w:eastAsia="Arial" w:hAnsi="Arial"/>
          <w:sz w:val="22"/>
          <w:szCs w:val="22"/>
          <w:color w:val="auto"/>
        </w:rPr>
        <w:t>limitations on CRC's financial flexibility due to existing and future debt;</w:t>
      </w:r>
    </w:p>
    <w:p>
      <w:pPr>
        <w:spacing w:after="0" w:line="3" w:lineRule="exact"/>
        <w:rPr>
          <w:rFonts w:ascii="Arial" w:cs="Arial" w:eastAsia="Arial" w:hAnsi="Arial"/>
          <w:sz w:val="22"/>
          <w:szCs w:val="22"/>
          <w:color w:val="auto"/>
        </w:rPr>
      </w:pPr>
    </w:p>
    <w:p>
      <w:pPr>
        <w:ind w:left="328" w:right="20" w:hanging="328"/>
        <w:spacing w:after="0" w:line="246" w:lineRule="auto"/>
        <w:tabs>
          <w:tab w:leader="none" w:pos="269" w:val="left"/>
        </w:tabs>
        <w:numPr>
          <w:ilvl w:val="0"/>
          <w:numId w:val="12"/>
        </w:numPr>
        <w:rPr>
          <w:rFonts w:ascii="Arial" w:cs="Arial" w:eastAsia="Arial" w:hAnsi="Arial"/>
          <w:sz w:val="22"/>
          <w:szCs w:val="22"/>
          <w:color w:val="auto"/>
        </w:rPr>
      </w:pPr>
      <w:r>
        <w:rPr>
          <w:rFonts w:ascii="Arial" w:cs="Arial" w:eastAsia="Arial" w:hAnsi="Arial"/>
          <w:sz w:val="22"/>
          <w:szCs w:val="22"/>
          <w:color w:val="auto"/>
        </w:rPr>
        <w:t>insufficient cash flow to fund CRC's capital plan and other planned investments and return capital to shareholders;</w:t>
      </w:r>
    </w:p>
    <w:p>
      <w:pPr>
        <w:spacing w:after="0" w:line="1" w:lineRule="exact"/>
        <w:rPr>
          <w:rFonts w:ascii="Arial" w:cs="Arial" w:eastAsia="Arial" w:hAnsi="Arial"/>
          <w:sz w:val="22"/>
          <w:szCs w:val="22"/>
          <w:color w:val="auto"/>
        </w:rPr>
      </w:pPr>
    </w:p>
    <w:p>
      <w:pPr>
        <w:jc w:val="both"/>
        <w:ind w:left="328" w:hanging="328"/>
        <w:spacing w:after="0" w:line="245" w:lineRule="auto"/>
        <w:tabs>
          <w:tab w:leader="none" w:pos="269" w:val="left"/>
        </w:tabs>
        <w:numPr>
          <w:ilvl w:val="0"/>
          <w:numId w:val="12"/>
        </w:numPr>
        <w:rPr>
          <w:rFonts w:ascii="Arial" w:cs="Arial" w:eastAsia="Arial" w:hAnsi="Arial"/>
          <w:sz w:val="22"/>
          <w:szCs w:val="22"/>
          <w:color w:val="auto"/>
        </w:rPr>
      </w:pPr>
      <w:r>
        <w:rPr>
          <w:rFonts w:ascii="Arial" w:cs="Arial" w:eastAsia="Arial" w:hAnsi="Arial"/>
          <w:sz w:val="22"/>
          <w:szCs w:val="22"/>
          <w:color w:val="auto"/>
        </w:rPr>
        <w:t>changes in interest rates, and CRC's access to and the terms of credit in commercial banking and capital markets, including its ability to refinance its debt or obtain separate financing for its carbon management business;</w:t>
      </w:r>
    </w:p>
    <w:p>
      <w:pPr>
        <w:spacing w:after="0" w:line="1" w:lineRule="exact"/>
        <w:rPr>
          <w:rFonts w:ascii="Arial" w:cs="Arial" w:eastAsia="Arial" w:hAnsi="Arial"/>
          <w:sz w:val="22"/>
          <w:szCs w:val="22"/>
          <w:color w:val="auto"/>
        </w:rPr>
      </w:pPr>
    </w:p>
    <w:p>
      <w:pPr>
        <w:ind w:left="328" w:hanging="328"/>
        <w:spacing w:after="0" w:line="243" w:lineRule="auto"/>
        <w:tabs>
          <w:tab w:leader="none" w:pos="269" w:val="left"/>
        </w:tabs>
        <w:numPr>
          <w:ilvl w:val="0"/>
          <w:numId w:val="12"/>
        </w:numPr>
        <w:rPr>
          <w:rFonts w:ascii="Arial" w:cs="Arial" w:eastAsia="Arial" w:hAnsi="Arial"/>
          <w:sz w:val="22"/>
          <w:szCs w:val="22"/>
          <w:color w:val="auto"/>
        </w:rPr>
      </w:pPr>
      <w:r>
        <w:rPr>
          <w:rFonts w:ascii="Arial" w:cs="Arial" w:eastAsia="Arial" w:hAnsi="Arial"/>
          <w:sz w:val="22"/>
          <w:szCs w:val="22"/>
          <w:color w:val="auto"/>
        </w:rPr>
        <w:t>changes in state, federal or international tax rates, including CRC's ability to utilize its net operating loss carryforwards to reduce its income tax obligations;</w:t>
      </w:r>
    </w:p>
    <w:p>
      <w:pPr>
        <w:ind w:left="268" w:hanging="268"/>
        <w:spacing w:after="0"/>
        <w:tabs>
          <w:tab w:leader="none" w:pos="268" w:val="left"/>
        </w:tabs>
        <w:numPr>
          <w:ilvl w:val="0"/>
          <w:numId w:val="12"/>
        </w:numPr>
        <w:rPr>
          <w:rFonts w:ascii="Arial" w:cs="Arial" w:eastAsia="Arial" w:hAnsi="Arial"/>
          <w:sz w:val="22"/>
          <w:szCs w:val="22"/>
          <w:color w:val="auto"/>
        </w:rPr>
      </w:pPr>
      <w:r>
        <w:rPr>
          <w:rFonts w:ascii="Arial" w:cs="Arial" w:eastAsia="Arial" w:hAnsi="Arial"/>
          <w:sz w:val="22"/>
          <w:szCs w:val="22"/>
          <w:color w:val="auto"/>
        </w:rPr>
        <w:t>effects of hedging transactions;</w:t>
      </w:r>
    </w:p>
    <w:p>
      <w:pPr>
        <w:spacing w:after="0" w:line="10" w:lineRule="exact"/>
        <w:rPr>
          <w:rFonts w:ascii="Arial" w:cs="Arial" w:eastAsia="Arial" w:hAnsi="Arial"/>
          <w:sz w:val="22"/>
          <w:szCs w:val="22"/>
          <w:color w:val="auto"/>
        </w:rPr>
      </w:pPr>
    </w:p>
    <w:p>
      <w:pPr>
        <w:ind w:left="268" w:hanging="268"/>
        <w:spacing w:after="0"/>
        <w:tabs>
          <w:tab w:leader="none" w:pos="268"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effect of CRC's stock price on costs associated with incentive compensation;</w:t>
      </w:r>
    </w:p>
    <w:p>
      <w:pPr>
        <w:spacing w:after="0" w:line="200" w:lineRule="exact"/>
        <w:rPr>
          <w:sz w:val="20"/>
          <w:szCs w:val="20"/>
          <w:color w:val="auto"/>
        </w:rPr>
      </w:pPr>
    </w:p>
    <w:p>
      <w:pPr>
        <w:spacing w:after="0" w:line="33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0908"/>
          </w:cols>
          <w:pgMar w:left="652" w:top="896" w:right="339" w:bottom="1440" w:gutter="0" w:footer="0" w:header="0"/>
        </w:sectPr>
      </w:pPr>
    </w:p>
    <w:bookmarkStart w:id="15" w:name="page16"/>
    <w:bookmarkEnd w:id="15"/>
    <w:p>
      <w:pPr>
        <w:ind w:left="660" w:hanging="328"/>
        <w:spacing w:after="0" w:line="252" w:lineRule="auto"/>
        <w:tabs>
          <w:tab w:leader="none" w:pos="601" w:val="left"/>
        </w:tabs>
        <w:numPr>
          <w:ilvl w:val="0"/>
          <w:numId w:val="13"/>
        </w:numPr>
        <w:rPr>
          <w:rFonts w:ascii="Arial" w:cs="Arial" w:eastAsia="Arial" w:hAnsi="Arial"/>
          <w:sz w:val="22"/>
          <w:szCs w:val="22"/>
          <w:color w:val="auto"/>
        </w:rPr>
      </w:pPr>
      <w:r>
        <w:rPr>
          <w:rFonts w:ascii="Arial" w:cs="Arial" w:eastAsia="Arial" w:hAnsi="Arial"/>
          <w:sz w:val="22"/>
          <w:szCs w:val="22"/>
          <w:color w:val="auto"/>
        </w:rPr>
        <w:t>inability to enter into desirable transactions, including joint ventures, divestitures of oil and natural gas properties and real estate, and acquisitions, and CRC's ability to achieve any expected synergies;</w:t>
      </w:r>
    </w:p>
    <w:p>
      <w:pPr>
        <w:spacing w:after="0" w:line="1" w:lineRule="exact"/>
        <w:rPr>
          <w:rFonts w:ascii="Arial" w:cs="Arial" w:eastAsia="Arial" w:hAnsi="Arial"/>
          <w:sz w:val="22"/>
          <w:szCs w:val="22"/>
          <w:color w:val="auto"/>
        </w:rPr>
      </w:pPr>
    </w:p>
    <w:p>
      <w:pPr>
        <w:jc w:val="both"/>
        <w:ind w:left="660" w:hanging="328"/>
        <w:spacing w:after="0" w:line="247" w:lineRule="auto"/>
        <w:tabs>
          <w:tab w:leader="none" w:pos="601" w:val="left"/>
        </w:tabs>
        <w:numPr>
          <w:ilvl w:val="0"/>
          <w:numId w:val="13"/>
        </w:numPr>
        <w:rPr>
          <w:rFonts w:ascii="Arial" w:cs="Arial" w:eastAsia="Arial" w:hAnsi="Arial"/>
          <w:sz w:val="22"/>
          <w:szCs w:val="22"/>
          <w:color w:val="auto"/>
        </w:rPr>
      </w:pPr>
      <w:r>
        <w:rPr>
          <w:rFonts w:ascii="Arial" w:cs="Arial" w:eastAsia="Arial" w:hAnsi="Arial"/>
          <w:sz w:val="22"/>
          <w:szCs w:val="22"/>
          <w:color w:val="auto"/>
        </w:rPr>
        <w:t>disruptions due to earthquakes, forest fires, floods or other natural occurrences, accidents, mechanical failures, power outages, transportation or storage constraints, labor difficulties, cybersecurity breaches or attacks or other catastrophic events;</w:t>
      </w:r>
    </w:p>
    <w:p>
      <w:pPr>
        <w:spacing w:after="0" w:line="1" w:lineRule="exact"/>
        <w:rPr>
          <w:rFonts w:ascii="Arial" w:cs="Arial" w:eastAsia="Arial" w:hAnsi="Arial"/>
          <w:sz w:val="22"/>
          <w:szCs w:val="22"/>
          <w:color w:val="auto"/>
        </w:rPr>
      </w:pPr>
    </w:p>
    <w:p>
      <w:pPr>
        <w:ind w:left="600" w:hanging="268"/>
        <w:spacing w:after="0"/>
        <w:tabs>
          <w:tab w:leader="none" w:pos="6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pandemics, epidemics, outbreaks, or other public health events, such as the COVID-19; and</w:t>
      </w:r>
    </w:p>
    <w:p>
      <w:pPr>
        <w:spacing w:after="0" w:line="3" w:lineRule="exact"/>
        <w:rPr>
          <w:rFonts w:ascii="Arial" w:cs="Arial" w:eastAsia="Arial" w:hAnsi="Arial"/>
          <w:sz w:val="22"/>
          <w:szCs w:val="22"/>
          <w:color w:val="auto"/>
        </w:rPr>
      </w:pPr>
    </w:p>
    <w:p>
      <w:pPr>
        <w:ind w:left="660" w:hanging="328"/>
        <w:spacing w:after="0" w:line="253" w:lineRule="auto"/>
        <w:tabs>
          <w:tab w:leader="none" w:pos="601" w:val="left"/>
        </w:tabs>
        <w:numPr>
          <w:ilvl w:val="0"/>
          <w:numId w:val="13"/>
        </w:numPr>
        <w:rPr>
          <w:rFonts w:ascii="Arial" w:cs="Arial" w:eastAsia="Arial" w:hAnsi="Arial"/>
          <w:sz w:val="22"/>
          <w:szCs w:val="22"/>
          <w:color w:val="auto"/>
        </w:rPr>
      </w:pPr>
      <w:r>
        <w:rPr>
          <w:rFonts w:ascii="Arial" w:cs="Arial" w:eastAsia="Arial" w:hAnsi="Arial"/>
          <w:sz w:val="22"/>
          <w:szCs w:val="22"/>
          <w:color w:val="auto"/>
        </w:rPr>
        <w:t>other factors discussed in Part I, Item 1A – Risk Factors in CRC's Annual Report on Form 10-K and its other SEC filings available at www.crc.com.</w:t>
      </w:r>
    </w:p>
    <w:p>
      <w:pPr>
        <w:spacing w:after="0" w:line="216"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CRC cautions you not to place undue reliance on forward-looking statements contained in this document, which speak only as of the filing date, and CRC undertakes no obligation to update this information. This document may also contain information from third party sources. This data may involve a number of assumptions and limitations, and CRC has not independently verified them and do not warrant the accuracy or completeness of such third-party information.</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580" w:type="dxa"/>
            <w:vAlign w:val="bottom"/>
            <w:gridSpan w:val="2"/>
          </w:tcPr>
          <w:p>
            <w:pPr>
              <w:spacing w:after="0"/>
              <w:rPr>
                <w:sz w:val="20"/>
                <w:szCs w:val="20"/>
                <w:color w:val="auto"/>
              </w:rPr>
            </w:pPr>
            <w:r>
              <w:rPr>
                <w:rFonts w:ascii="Arial" w:cs="Arial" w:eastAsia="Arial" w:hAnsi="Arial"/>
                <w:sz w:val="22"/>
                <w:szCs w:val="22"/>
                <w:b w:val="1"/>
                <w:bCs w:val="1"/>
                <w:color w:val="auto"/>
              </w:rPr>
              <w:t>Contacts:</w:t>
            </w:r>
          </w:p>
        </w:tc>
        <w:tc>
          <w:tcPr>
            <w:tcW w:w="2260" w:type="dxa"/>
            <w:vAlign w:val="bottom"/>
          </w:tcPr>
          <w:p>
            <w:pPr>
              <w:spacing w:after="0"/>
              <w:rPr>
                <w:sz w:val="21"/>
                <w:szCs w:val="21"/>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64"/>
        </w:trPr>
        <w:tc>
          <w:tcPr>
            <w:tcW w:w="5580" w:type="dxa"/>
            <w:vAlign w:val="bottom"/>
            <w:gridSpan w:val="2"/>
          </w:tcPr>
          <w:p>
            <w:pPr>
              <w:ind w:left="20"/>
              <w:spacing w:after="0"/>
              <w:rPr>
                <w:sz w:val="20"/>
                <w:szCs w:val="20"/>
                <w:color w:val="auto"/>
              </w:rPr>
            </w:pPr>
            <w:r>
              <w:rPr>
                <w:rFonts w:ascii="Arial" w:cs="Arial" w:eastAsia="Arial" w:hAnsi="Arial"/>
                <w:sz w:val="22"/>
                <w:szCs w:val="22"/>
                <w:color w:val="auto"/>
              </w:rPr>
              <w:t>Joanna Park (Investor Relations) 818-661-3731</w:t>
            </w:r>
          </w:p>
        </w:tc>
        <w:tc>
          <w:tcPr>
            <w:tcW w:w="2260" w:type="dxa"/>
            <w:vAlign w:val="bottom"/>
          </w:tcPr>
          <w:p>
            <w:pPr>
              <w:spacing w:after="0"/>
              <w:rPr>
                <w:sz w:val="20"/>
                <w:szCs w:val="20"/>
                <w:color w:val="auto"/>
              </w:rPr>
            </w:pPr>
            <w:r>
              <w:rPr>
                <w:rFonts w:ascii="Arial" w:cs="Arial" w:eastAsia="Arial" w:hAnsi="Arial"/>
                <w:sz w:val="22"/>
                <w:szCs w:val="22"/>
                <w:color w:val="auto"/>
              </w:rPr>
              <w:t>Richard Venn (Media)</w:t>
            </w:r>
          </w:p>
        </w:tc>
      </w:tr>
      <w:tr>
        <w:trPr>
          <w:trHeight w:val="216"/>
        </w:trPr>
        <w:tc>
          <w:tcPr>
            <w:tcW w:w="5580" w:type="dxa"/>
            <w:vAlign w:val="bottom"/>
            <w:gridSpan w:val="2"/>
          </w:tcPr>
          <w:p>
            <w:pPr>
              <w:ind w:left="20"/>
              <w:spacing w:after="0" w:line="216" w:lineRule="exact"/>
              <w:rPr>
                <w:sz w:val="20"/>
                <w:szCs w:val="20"/>
                <w:color w:val="auto"/>
              </w:rPr>
            </w:pPr>
            <w:r>
              <w:rPr>
                <w:rFonts w:ascii="Arial" w:cs="Arial" w:eastAsia="Arial" w:hAnsi="Arial"/>
                <w:sz w:val="22"/>
                <w:szCs w:val="22"/>
                <w:color w:val="auto"/>
              </w:rPr>
              <w:t>Joanna.Park@crc.com</w:t>
            </w:r>
          </w:p>
        </w:tc>
        <w:tc>
          <w:tcPr>
            <w:tcW w:w="2260" w:type="dxa"/>
            <w:vAlign w:val="bottom"/>
          </w:tcPr>
          <w:p>
            <w:pPr>
              <w:spacing w:after="0" w:line="216" w:lineRule="exact"/>
              <w:rPr>
                <w:sz w:val="20"/>
                <w:szCs w:val="20"/>
                <w:color w:val="auto"/>
              </w:rPr>
            </w:pPr>
            <w:r>
              <w:rPr>
                <w:rFonts w:ascii="Arial" w:cs="Arial" w:eastAsia="Arial" w:hAnsi="Arial"/>
                <w:sz w:val="22"/>
                <w:szCs w:val="22"/>
                <w:color w:val="auto"/>
              </w:rPr>
              <w:t>818-661-6014</w:t>
            </w:r>
          </w:p>
        </w:tc>
      </w:tr>
      <w:tr>
        <w:trPr>
          <w:trHeight w:val="229"/>
        </w:trPr>
        <w:tc>
          <w:tcPr>
            <w:tcW w:w="100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260" w:type="dxa"/>
            <w:vAlign w:val="bottom"/>
            <w:tcBorders>
              <w:bottom w:val="single" w:sz="8" w:color="421BFF"/>
            </w:tcBorders>
          </w:tcPr>
          <w:p>
            <w:pPr>
              <w:spacing w:after="0" w:line="229" w:lineRule="exact"/>
              <w:rPr>
                <w:sz w:val="20"/>
                <w:szCs w:val="20"/>
                <w:color w:val="auto"/>
              </w:rPr>
            </w:pPr>
            <w:r>
              <w:rPr>
                <w:rFonts w:ascii="Arial" w:cs="Arial" w:eastAsia="Arial" w:hAnsi="Arial"/>
                <w:sz w:val="22"/>
                <w:szCs w:val="22"/>
                <w:color w:val="421BFF"/>
                <w:w w:val="96"/>
              </w:rPr>
              <w:t>Richard.Venn@crc.com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240"/>
          </w:cols>
          <w:pgMar w:left="320" w:top="896"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7"/>
        </w:trPr>
        <w:tc>
          <w:tcPr>
            <w:tcW w:w="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Attachment 1</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060" w:type="dxa"/>
            <w:vAlign w:val="bottom"/>
            <w:gridSpan w:val="2"/>
          </w:tcPr>
          <w:p>
            <w:pPr>
              <w:spacing w:after="0"/>
              <w:rPr>
                <w:sz w:val="20"/>
                <w:szCs w:val="20"/>
                <w:color w:val="auto"/>
              </w:rPr>
            </w:pPr>
            <w:r>
              <w:rPr>
                <w:rFonts w:ascii="Arial" w:cs="Arial" w:eastAsia="Arial" w:hAnsi="Arial"/>
                <w:sz w:val="14"/>
                <w:szCs w:val="14"/>
                <w:b w:val="1"/>
                <w:bCs w:val="1"/>
                <w:color w:val="auto"/>
              </w:rPr>
              <w:t>SUMMARY OF RESULTS</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11"/>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4th Quarter</w:t>
            </w:r>
          </w:p>
        </w:tc>
        <w:tc>
          <w:tcPr>
            <w:tcW w:w="18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180" w:type="dxa"/>
            <w:vAlign w:val="bottom"/>
          </w:tcPr>
          <w:p>
            <w:pPr>
              <w:spacing w:after="0"/>
              <w:rPr>
                <w:sz w:val="24"/>
                <w:szCs w:val="2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4th Quarter</w:t>
            </w:r>
          </w:p>
        </w:tc>
        <w:tc>
          <w:tcPr>
            <w:tcW w:w="200" w:type="dxa"/>
            <w:vAlign w:val="bottom"/>
          </w:tcPr>
          <w:p>
            <w:pPr>
              <w:spacing w:after="0"/>
              <w:rPr>
                <w:sz w:val="24"/>
                <w:szCs w:val="24"/>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 Year</w:t>
            </w:r>
          </w:p>
        </w:tc>
        <w:tc>
          <w:tcPr>
            <w:tcW w:w="220" w:type="dxa"/>
            <w:vAlign w:val="bottom"/>
          </w:tcPr>
          <w:p>
            <w:pPr>
              <w:spacing w:after="0"/>
              <w:rPr>
                <w:sz w:val="24"/>
                <w:szCs w:val="24"/>
                <w:color w:val="auto"/>
              </w:rPr>
            </w:pPr>
          </w:p>
        </w:tc>
        <w:tc>
          <w:tcPr>
            <w:tcW w:w="1080" w:type="dxa"/>
            <w:vAlign w:val="bottom"/>
          </w:tcPr>
          <w:p>
            <w:pPr>
              <w:jc w:val="right"/>
              <w:ind w:right="248"/>
              <w:spacing w:after="0"/>
              <w:rPr>
                <w:sz w:val="20"/>
                <w:szCs w:val="20"/>
                <w:color w:val="auto"/>
              </w:rPr>
            </w:pPr>
            <w:r>
              <w:rPr>
                <w:rFonts w:ascii="Arial" w:cs="Arial" w:eastAsia="Arial" w:hAnsi="Arial"/>
                <w:sz w:val="14"/>
                <w:szCs w:val="14"/>
                <w:b w:val="1"/>
                <w:bCs w:val="1"/>
                <w:color w:val="auto"/>
              </w:rPr>
              <w:t>Total Year</w:t>
            </w:r>
          </w:p>
        </w:tc>
      </w:tr>
      <w:tr>
        <w:trPr>
          <w:trHeight w:val="203"/>
        </w:trPr>
        <w:tc>
          <w:tcPr>
            <w:tcW w:w="20" w:type="dxa"/>
            <w:vAlign w:val="bottom"/>
            <w:tcBorders>
              <w:bottom w:val="single" w:sz="8" w:color="auto"/>
            </w:tcBorders>
          </w:tcPr>
          <w:p>
            <w:pPr>
              <w:spacing w:after="0"/>
              <w:rPr>
                <w:sz w:val="17"/>
                <w:szCs w:val="17"/>
                <w:color w:val="auto"/>
              </w:rPr>
            </w:pPr>
          </w:p>
        </w:tc>
        <w:tc>
          <w:tcPr>
            <w:tcW w:w="4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 and shares in millions, except per share amounts)</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r>
      <w:tr>
        <w:trPr>
          <w:trHeight w:val="292"/>
        </w:trPr>
        <w:tc>
          <w:tcPr>
            <w:tcW w:w="20" w:type="dxa"/>
            <w:vAlign w:val="bottom"/>
          </w:tcPr>
          <w:p>
            <w:pPr>
              <w:spacing w:after="0"/>
              <w:rPr>
                <w:sz w:val="24"/>
                <w:szCs w:val="24"/>
                <w:color w:val="auto"/>
              </w:rPr>
            </w:pPr>
          </w:p>
        </w:tc>
        <w:tc>
          <w:tcPr>
            <w:tcW w:w="1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Statements of Operations:</w:t>
            </w:r>
          </w:p>
        </w:tc>
        <w:tc>
          <w:tcPr>
            <w:tcW w:w="2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1"/>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Oil, natural gas and NGL sales</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b w:val="1"/>
                <w:bCs w:val="1"/>
                <w:color w:val="auto"/>
              </w:rPr>
              <w:t>617</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680</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589</w:t>
            </w:r>
          </w:p>
        </w:tc>
        <w:tc>
          <w:tcPr>
            <w:tcW w:w="2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2,643</w:t>
            </w:r>
          </w:p>
        </w:tc>
        <w:tc>
          <w:tcPr>
            <w:tcW w:w="2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rPr>
              <w:t>2,048</w:t>
            </w:r>
          </w:p>
        </w:tc>
      </w:tr>
      <w:tr>
        <w:trPr>
          <w:trHeight w:val="203"/>
        </w:trPr>
        <w:tc>
          <w:tcPr>
            <w:tcW w:w="20" w:type="dxa"/>
            <w:vAlign w:val="bottom"/>
          </w:tcPr>
          <w:p>
            <w:pPr>
              <w:spacing w:after="0"/>
              <w:rPr>
                <w:sz w:val="17"/>
                <w:szCs w:val="17"/>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Net (loss) gain from commodity derivatives</w:t>
            </w:r>
          </w:p>
        </w:tc>
        <w:tc>
          <w:tcPr>
            <w:tcW w:w="18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b w:val="1"/>
                <w:bCs w:val="1"/>
                <w:color w:val="auto"/>
              </w:rPr>
              <w:t>(132)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243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(73)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(551)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(676)</w:t>
            </w:r>
          </w:p>
        </w:tc>
      </w:tr>
      <w:tr>
        <w:trPr>
          <w:trHeight w:val="203"/>
        </w:trPr>
        <w:tc>
          <w:tcPr>
            <w:tcW w:w="20" w:type="dxa"/>
            <w:vAlign w:val="bottom"/>
          </w:tcPr>
          <w:p>
            <w:pPr>
              <w:spacing w:after="0"/>
              <w:rPr>
                <w:sz w:val="17"/>
                <w:szCs w:val="17"/>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Sales of purchased natural gas</w:t>
            </w:r>
          </w:p>
        </w:tc>
        <w:tc>
          <w:tcPr>
            <w:tcW w:w="180" w:type="dxa"/>
            <w:vAlign w:val="bottom"/>
          </w:tcPr>
          <w:p>
            <w:pPr>
              <w:spacing w:after="0"/>
              <w:rPr>
                <w:sz w:val="17"/>
                <w:szCs w:val="17"/>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b w:val="1"/>
                <w:bCs w:val="1"/>
                <w:color w:val="auto"/>
              </w:rPr>
              <w:t>94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113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71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314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rPr>
              <w:t>312</w:t>
            </w:r>
          </w:p>
        </w:tc>
      </w:tr>
      <w:tr>
        <w:trPr>
          <w:trHeight w:val="203"/>
        </w:trPr>
        <w:tc>
          <w:tcPr>
            <w:tcW w:w="20" w:type="dxa"/>
            <w:vAlign w:val="bottom"/>
          </w:tcPr>
          <w:p>
            <w:pPr>
              <w:spacing w:after="0"/>
              <w:rPr>
                <w:sz w:val="17"/>
                <w:szCs w:val="17"/>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Electricity sales</w:t>
            </w:r>
          </w:p>
        </w:tc>
        <w:tc>
          <w:tcPr>
            <w:tcW w:w="180" w:type="dxa"/>
            <w:vAlign w:val="bottom"/>
          </w:tcPr>
          <w:p>
            <w:pPr>
              <w:spacing w:after="0"/>
              <w:rPr>
                <w:sz w:val="17"/>
                <w:szCs w:val="17"/>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b w:val="1"/>
                <w:bCs w:val="1"/>
                <w:color w:val="auto"/>
              </w:rPr>
              <w:t>90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88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41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261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rPr>
              <w:t>172</w:t>
            </w:r>
          </w:p>
        </w:tc>
      </w:tr>
      <w:tr>
        <w:trPr>
          <w:trHeight w:val="203"/>
        </w:trPr>
        <w:tc>
          <w:tcPr>
            <w:tcW w:w="20" w:type="dxa"/>
            <w:vAlign w:val="bottom"/>
          </w:tcPr>
          <w:p>
            <w:pPr>
              <w:spacing w:after="0"/>
              <w:rPr>
                <w:sz w:val="17"/>
                <w:szCs w:val="17"/>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Other revenue</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13</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6</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40</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33</w:t>
            </w:r>
          </w:p>
        </w:tc>
      </w:tr>
      <w:tr>
        <w:trPr>
          <w:trHeight w:val="196"/>
        </w:trPr>
        <w:tc>
          <w:tcPr>
            <w:tcW w:w="20" w:type="dxa"/>
            <w:vAlign w:val="bottom"/>
          </w:tcPr>
          <w:p>
            <w:pPr>
              <w:spacing w:after="0"/>
              <w:rPr>
                <w:sz w:val="17"/>
                <w:szCs w:val="17"/>
                <w:color w:val="auto"/>
              </w:rPr>
            </w:pPr>
          </w:p>
        </w:tc>
        <w:tc>
          <w:tcPr>
            <w:tcW w:w="4060" w:type="dxa"/>
            <w:vAlign w:val="bottom"/>
            <w:gridSpan w:val="2"/>
          </w:tcPr>
          <w:p>
            <w:pPr>
              <w:ind w:left="200"/>
              <w:spacing w:after="0"/>
              <w:rPr>
                <w:sz w:val="20"/>
                <w:szCs w:val="20"/>
                <w:color w:val="auto"/>
              </w:rPr>
            </w:pPr>
            <w:r>
              <w:rPr>
                <w:rFonts w:ascii="Arial" w:cs="Arial" w:eastAsia="Arial" w:hAnsi="Arial"/>
                <w:sz w:val="14"/>
                <w:szCs w:val="14"/>
                <w:color w:val="auto"/>
              </w:rPr>
              <w:t>Total operating revenues</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682</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1,125</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634</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2,707</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1,889</w:t>
            </w:r>
          </w:p>
        </w:tc>
      </w:tr>
      <w:tr>
        <w:trPr>
          <w:trHeight w:val="291"/>
        </w:trPr>
        <w:tc>
          <w:tcPr>
            <w:tcW w:w="2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Operating costs</w:t>
            </w:r>
          </w:p>
        </w:tc>
        <w:tc>
          <w:tcPr>
            <w:tcW w:w="180" w:type="dxa"/>
            <w:vAlign w:val="bottom"/>
          </w:tcPr>
          <w:p>
            <w:pPr>
              <w:spacing w:after="0"/>
              <w:rPr>
                <w:sz w:val="17"/>
                <w:szCs w:val="17"/>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b w:val="1"/>
                <w:bCs w:val="1"/>
                <w:color w:val="auto"/>
              </w:rPr>
              <w:t>199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214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182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785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rPr>
              <w:t>705</w:t>
            </w:r>
          </w:p>
        </w:tc>
      </w:tr>
      <w:tr>
        <w:trPr>
          <w:trHeight w:val="203"/>
        </w:trPr>
        <w:tc>
          <w:tcPr>
            <w:tcW w:w="20" w:type="dxa"/>
            <w:vAlign w:val="bottom"/>
          </w:tcPr>
          <w:p>
            <w:pPr>
              <w:spacing w:after="0"/>
              <w:rPr>
                <w:sz w:val="17"/>
                <w:szCs w:val="17"/>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General and administrative expenses</w:t>
            </w:r>
          </w:p>
        </w:tc>
        <w:tc>
          <w:tcPr>
            <w:tcW w:w="180" w:type="dxa"/>
            <w:vAlign w:val="bottom"/>
          </w:tcPr>
          <w:p>
            <w:pPr>
              <w:spacing w:after="0"/>
              <w:rPr>
                <w:sz w:val="17"/>
                <w:szCs w:val="17"/>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b w:val="1"/>
                <w:bCs w:val="1"/>
                <w:color w:val="auto"/>
              </w:rPr>
              <w:t>59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59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53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222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rPr>
              <w:t>200</w:t>
            </w:r>
          </w:p>
        </w:tc>
      </w:tr>
      <w:tr>
        <w:trPr>
          <w:trHeight w:val="203"/>
        </w:trPr>
        <w:tc>
          <w:tcPr>
            <w:tcW w:w="20" w:type="dxa"/>
            <w:vAlign w:val="bottom"/>
          </w:tcPr>
          <w:p>
            <w:pPr>
              <w:spacing w:after="0"/>
              <w:rPr>
                <w:sz w:val="17"/>
                <w:szCs w:val="17"/>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Depreciation, depletion and amortization</w:t>
            </w:r>
          </w:p>
        </w:tc>
        <w:tc>
          <w:tcPr>
            <w:tcW w:w="180" w:type="dxa"/>
            <w:vAlign w:val="bottom"/>
          </w:tcPr>
          <w:p>
            <w:pPr>
              <w:spacing w:after="0"/>
              <w:rPr>
                <w:sz w:val="17"/>
                <w:szCs w:val="17"/>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b w:val="1"/>
                <w:bCs w:val="1"/>
                <w:color w:val="auto"/>
              </w:rPr>
              <w:t>49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53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198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rPr>
              <w:t>213</w:t>
            </w:r>
          </w:p>
        </w:tc>
      </w:tr>
      <w:tr>
        <w:trPr>
          <w:trHeight w:val="203"/>
        </w:trPr>
        <w:tc>
          <w:tcPr>
            <w:tcW w:w="20" w:type="dxa"/>
            <w:vAlign w:val="bottom"/>
          </w:tcPr>
          <w:p>
            <w:pPr>
              <w:spacing w:after="0"/>
              <w:rPr>
                <w:sz w:val="17"/>
                <w:szCs w:val="17"/>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Asset impairments</w:t>
            </w:r>
          </w:p>
        </w:tc>
        <w:tc>
          <w:tcPr>
            <w:tcW w:w="18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rPr>
              <w:t>28</w:t>
            </w:r>
          </w:p>
        </w:tc>
      </w:tr>
      <w:tr>
        <w:trPr>
          <w:trHeight w:val="203"/>
        </w:trPr>
        <w:tc>
          <w:tcPr>
            <w:tcW w:w="20" w:type="dxa"/>
            <w:vAlign w:val="bottom"/>
          </w:tcPr>
          <w:p>
            <w:pPr>
              <w:spacing w:after="0"/>
              <w:rPr>
                <w:sz w:val="17"/>
                <w:szCs w:val="17"/>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Taxes other than on income</w:t>
            </w:r>
          </w:p>
        </w:tc>
        <w:tc>
          <w:tcPr>
            <w:tcW w:w="180" w:type="dxa"/>
            <w:vAlign w:val="bottom"/>
          </w:tcPr>
          <w:p>
            <w:pPr>
              <w:spacing w:after="0"/>
              <w:rPr>
                <w:sz w:val="17"/>
                <w:szCs w:val="17"/>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b w:val="1"/>
                <w:bCs w:val="1"/>
                <w:color w:val="auto"/>
              </w:rPr>
              <w:t>42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44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32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162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rPr>
              <w:t>145</w:t>
            </w:r>
          </w:p>
        </w:tc>
      </w:tr>
      <w:tr>
        <w:trPr>
          <w:trHeight w:val="202"/>
        </w:trPr>
        <w:tc>
          <w:tcPr>
            <w:tcW w:w="20" w:type="dxa"/>
            <w:vAlign w:val="bottom"/>
          </w:tcPr>
          <w:p>
            <w:pPr>
              <w:spacing w:after="0"/>
              <w:rPr>
                <w:sz w:val="17"/>
                <w:szCs w:val="17"/>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Exploration expense</w:t>
            </w:r>
          </w:p>
        </w:tc>
        <w:tc>
          <w:tcPr>
            <w:tcW w:w="180" w:type="dxa"/>
            <w:vAlign w:val="bottom"/>
          </w:tcPr>
          <w:p>
            <w:pPr>
              <w:spacing w:after="0"/>
              <w:rPr>
                <w:sz w:val="17"/>
                <w:szCs w:val="17"/>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rPr>
              <w:t>7</w:t>
            </w:r>
          </w:p>
        </w:tc>
      </w:tr>
      <w:tr>
        <w:trPr>
          <w:trHeight w:val="203"/>
        </w:trPr>
        <w:tc>
          <w:tcPr>
            <w:tcW w:w="20" w:type="dxa"/>
            <w:vAlign w:val="bottom"/>
          </w:tcPr>
          <w:p>
            <w:pPr>
              <w:spacing w:after="0"/>
              <w:rPr>
                <w:sz w:val="17"/>
                <w:szCs w:val="17"/>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Purchased natural gas expense</w:t>
            </w:r>
          </w:p>
        </w:tc>
        <w:tc>
          <w:tcPr>
            <w:tcW w:w="180" w:type="dxa"/>
            <w:vAlign w:val="bottom"/>
          </w:tcPr>
          <w:p>
            <w:pPr>
              <w:spacing w:after="0"/>
              <w:rPr>
                <w:sz w:val="17"/>
                <w:szCs w:val="17"/>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b w:val="1"/>
                <w:bCs w:val="1"/>
                <w:color w:val="auto"/>
              </w:rPr>
              <w:t>87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98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52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273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rPr>
              <w:t>196</w:t>
            </w:r>
          </w:p>
        </w:tc>
      </w:tr>
      <w:tr>
        <w:trPr>
          <w:trHeight w:val="203"/>
        </w:trPr>
        <w:tc>
          <w:tcPr>
            <w:tcW w:w="20" w:type="dxa"/>
            <w:vAlign w:val="bottom"/>
          </w:tcPr>
          <w:p>
            <w:pPr>
              <w:spacing w:after="0"/>
              <w:rPr>
                <w:sz w:val="17"/>
                <w:szCs w:val="17"/>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Electricity generation expenses</w:t>
            </w:r>
          </w:p>
        </w:tc>
        <w:tc>
          <w:tcPr>
            <w:tcW w:w="180" w:type="dxa"/>
            <w:vAlign w:val="bottom"/>
          </w:tcPr>
          <w:p>
            <w:pPr>
              <w:spacing w:after="0"/>
              <w:rPr>
                <w:sz w:val="17"/>
                <w:szCs w:val="17"/>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b w:val="1"/>
                <w:bCs w:val="1"/>
                <w:color w:val="auto"/>
              </w:rPr>
              <w:t>68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42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26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167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rPr>
              <w:t>96</w:t>
            </w:r>
          </w:p>
        </w:tc>
      </w:tr>
      <w:tr>
        <w:trPr>
          <w:trHeight w:val="203"/>
        </w:trPr>
        <w:tc>
          <w:tcPr>
            <w:tcW w:w="20" w:type="dxa"/>
            <w:vAlign w:val="bottom"/>
          </w:tcPr>
          <w:p>
            <w:pPr>
              <w:spacing w:after="0"/>
              <w:rPr>
                <w:sz w:val="17"/>
                <w:szCs w:val="17"/>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Transportation costs</w:t>
            </w:r>
          </w:p>
        </w:tc>
        <w:tc>
          <w:tcPr>
            <w:tcW w:w="180" w:type="dxa"/>
            <w:vAlign w:val="bottom"/>
          </w:tcPr>
          <w:p>
            <w:pPr>
              <w:spacing w:after="0"/>
              <w:rPr>
                <w:sz w:val="17"/>
                <w:szCs w:val="17"/>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b w:val="1"/>
                <w:bCs w:val="1"/>
                <w:color w:val="auto"/>
              </w:rPr>
              <w:t>13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14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50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rPr>
              <w:t>51</w:t>
            </w:r>
          </w:p>
        </w:tc>
      </w:tr>
      <w:tr>
        <w:trPr>
          <w:trHeight w:val="203"/>
        </w:trPr>
        <w:tc>
          <w:tcPr>
            <w:tcW w:w="20" w:type="dxa"/>
            <w:vAlign w:val="bottom"/>
          </w:tcPr>
          <w:p>
            <w:pPr>
              <w:spacing w:after="0"/>
              <w:rPr>
                <w:sz w:val="17"/>
                <w:szCs w:val="17"/>
                <w:color w:val="auto"/>
              </w:rPr>
            </w:pPr>
          </w:p>
        </w:tc>
        <w:tc>
          <w:tcPr>
            <w:tcW w:w="4060" w:type="dxa"/>
            <w:vAlign w:val="bottom"/>
            <w:gridSpan w:val="2"/>
          </w:tcPr>
          <w:p>
            <w:pPr>
              <w:ind w:left="20"/>
              <w:spacing w:after="0"/>
              <w:rPr>
                <w:sz w:val="20"/>
                <w:szCs w:val="20"/>
                <w:color w:val="auto"/>
              </w:rPr>
            </w:pPr>
            <w:r>
              <w:rPr>
                <w:rFonts w:ascii="Arial" w:cs="Arial" w:eastAsia="Arial" w:hAnsi="Arial"/>
                <w:sz w:val="14"/>
                <w:szCs w:val="14"/>
                <w:color w:val="auto"/>
              </w:rPr>
              <w:t>Accretion expense</w:t>
            </w:r>
          </w:p>
        </w:tc>
        <w:tc>
          <w:tcPr>
            <w:tcW w:w="180" w:type="dxa"/>
            <w:vAlign w:val="bottom"/>
          </w:tcPr>
          <w:p>
            <w:pPr>
              <w:spacing w:after="0"/>
              <w:rPr>
                <w:sz w:val="17"/>
                <w:szCs w:val="17"/>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11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43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rPr>
              <w:t>50</w:t>
            </w:r>
          </w:p>
        </w:tc>
      </w:tr>
      <w:tr>
        <w:trPr>
          <w:trHeight w:val="203"/>
        </w:trPr>
        <w:tc>
          <w:tcPr>
            <w:tcW w:w="20" w:type="dxa"/>
            <w:vAlign w:val="bottom"/>
          </w:tcPr>
          <w:p>
            <w:pPr>
              <w:spacing w:after="0"/>
              <w:rPr>
                <w:sz w:val="17"/>
                <w:szCs w:val="17"/>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Other operating expenses, net</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48</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29</w:t>
            </w:r>
          </w:p>
        </w:tc>
      </w:tr>
      <w:tr>
        <w:trPr>
          <w:trHeight w:val="196"/>
        </w:trPr>
        <w:tc>
          <w:tcPr>
            <w:tcW w:w="20" w:type="dxa"/>
            <w:vAlign w:val="bottom"/>
          </w:tcPr>
          <w:p>
            <w:pPr>
              <w:spacing w:after="0"/>
              <w:rPr>
                <w:sz w:val="17"/>
                <w:szCs w:val="17"/>
                <w:color w:val="auto"/>
              </w:rPr>
            </w:pPr>
          </w:p>
        </w:tc>
        <w:tc>
          <w:tcPr>
            <w:tcW w:w="4060" w:type="dxa"/>
            <w:vAlign w:val="bottom"/>
            <w:gridSpan w:val="2"/>
          </w:tcPr>
          <w:p>
            <w:pPr>
              <w:ind w:left="200"/>
              <w:spacing w:after="0"/>
              <w:rPr>
                <w:sz w:val="20"/>
                <w:szCs w:val="20"/>
                <w:color w:val="auto"/>
              </w:rPr>
            </w:pPr>
            <w:r>
              <w:rPr>
                <w:rFonts w:ascii="Arial" w:cs="Arial" w:eastAsia="Arial" w:hAnsi="Arial"/>
                <w:sz w:val="14"/>
                <w:szCs w:val="14"/>
                <w:color w:val="auto"/>
              </w:rPr>
              <w:t>Total operating expenses</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549</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536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422</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1,954</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1,720</w:t>
            </w:r>
          </w:p>
        </w:tc>
      </w:tr>
      <w:tr>
        <w:trPr>
          <w:trHeight w:val="196"/>
        </w:trPr>
        <w:tc>
          <w:tcPr>
            <w:tcW w:w="20" w:type="dxa"/>
            <w:vAlign w:val="bottom"/>
          </w:tcPr>
          <w:p>
            <w:pPr>
              <w:spacing w:after="0"/>
              <w:rPr>
                <w:sz w:val="17"/>
                <w:szCs w:val="17"/>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Net (loss) gain on asset divestitures</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120</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59</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124</w:t>
            </w:r>
          </w:p>
        </w:tc>
      </w:tr>
      <w:tr>
        <w:trPr>
          <w:trHeight w:val="196"/>
        </w:trPr>
        <w:tc>
          <w:tcPr>
            <w:tcW w:w="20" w:type="dxa"/>
            <w:vAlign w:val="bottom"/>
          </w:tcPr>
          <w:p>
            <w:pPr>
              <w:spacing w:after="0"/>
              <w:rPr>
                <w:sz w:val="17"/>
                <w:szCs w:val="17"/>
                <w:color w:val="auto"/>
              </w:rPr>
            </w:pPr>
          </w:p>
        </w:tc>
        <w:tc>
          <w:tcPr>
            <w:tcW w:w="4060" w:type="dxa"/>
            <w:vAlign w:val="bottom"/>
            <w:gridSpan w:val="2"/>
          </w:tcPr>
          <w:p>
            <w:pPr>
              <w:spacing w:after="0"/>
              <w:rPr>
                <w:sz w:val="20"/>
                <w:szCs w:val="20"/>
                <w:color w:val="auto"/>
              </w:rPr>
            </w:pPr>
            <w:r>
              <w:rPr>
                <w:rFonts w:ascii="Arial" w:cs="Arial" w:eastAsia="Arial" w:hAnsi="Arial"/>
                <w:sz w:val="14"/>
                <w:szCs w:val="14"/>
                <w:b w:val="1"/>
                <w:bCs w:val="1"/>
                <w:color w:val="auto"/>
              </w:rPr>
              <w:t>Operating Income</w:t>
            </w:r>
          </w:p>
        </w:tc>
        <w:tc>
          <w:tcPr>
            <w:tcW w:w="180" w:type="dxa"/>
            <w:vAlign w:val="bottom"/>
          </w:tcPr>
          <w:p>
            <w:pPr>
              <w:spacing w:after="0"/>
              <w:rPr>
                <w:sz w:val="17"/>
                <w:szCs w:val="17"/>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b w:val="1"/>
                <w:bCs w:val="1"/>
                <w:color w:val="auto"/>
              </w:rPr>
              <w:t>132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591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332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812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rPr>
              <w:t>293</w:t>
            </w:r>
          </w:p>
        </w:tc>
      </w:tr>
      <w:tr>
        <w:trPr>
          <w:trHeight w:val="351"/>
        </w:trPr>
        <w:tc>
          <w:tcPr>
            <w:tcW w:w="2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Arial" w:cs="Arial" w:eastAsia="Arial" w:hAnsi="Arial"/>
                <w:sz w:val="14"/>
                <w:szCs w:val="14"/>
                <w:b w:val="1"/>
                <w:bCs w:val="1"/>
                <w:color w:val="auto"/>
              </w:rPr>
              <w:t>Non-Operating (Expenses) Income</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Reorganization items, net</w:t>
            </w:r>
          </w:p>
        </w:tc>
        <w:tc>
          <w:tcPr>
            <w:tcW w:w="18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(6)</w:t>
            </w:r>
          </w:p>
        </w:tc>
      </w:tr>
      <w:tr>
        <w:trPr>
          <w:trHeight w:val="203"/>
        </w:trPr>
        <w:tc>
          <w:tcPr>
            <w:tcW w:w="20" w:type="dxa"/>
            <w:vAlign w:val="bottom"/>
          </w:tcPr>
          <w:p>
            <w:pPr>
              <w:spacing w:after="0"/>
              <w:rPr>
                <w:sz w:val="17"/>
                <w:szCs w:val="17"/>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Interest and debt expense</w:t>
            </w:r>
          </w:p>
        </w:tc>
        <w:tc>
          <w:tcPr>
            <w:tcW w:w="18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b w:val="1"/>
                <w:bCs w:val="1"/>
                <w:color w:val="auto"/>
              </w:rPr>
              <w:t>(14)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(14)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(53)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(54)</w:t>
            </w:r>
          </w:p>
        </w:tc>
      </w:tr>
      <w:tr>
        <w:trPr>
          <w:trHeight w:val="203"/>
        </w:trPr>
        <w:tc>
          <w:tcPr>
            <w:tcW w:w="20" w:type="dxa"/>
            <w:vAlign w:val="bottom"/>
          </w:tcPr>
          <w:p>
            <w:pPr>
              <w:spacing w:after="0"/>
              <w:rPr>
                <w:sz w:val="17"/>
                <w:szCs w:val="17"/>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Loss from investment in unconsolidated subsidiaries</w:t>
            </w:r>
          </w:p>
        </w:tc>
        <w:tc>
          <w:tcPr>
            <w:tcW w:w="18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r>
      <w:tr>
        <w:trPr>
          <w:trHeight w:val="203"/>
        </w:trPr>
        <w:tc>
          <w:tcPr>
            <w:tcW w:w="20" w:type="dxa"/>
            <w:vAlign w:val="bottom"/>
          </w:tcPr>
          <w:p>
            <w:pPr>
              <w:spacing w:after="0"/>
              <w:rPr>
                <w:sz w:val="17"/>
                <w:szCs w:val="17"/>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Net loss on early extinguishment of debt</w:t>
            </w:r>
          </w:p>
        </w:tc>
        <w:tc>
          <w:tcPr>
            <w:tcW w:w="18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(2)</w:t>
            </w:r>
          </w:p>
        </w:tc>
      </w:tr>
      <w:tr>
        <w:trPr>
          <w:trHeight w:val="204"/>
        </w:trPr>
        <w:tc>
          <w:tcPr>
            <w:tcW w:w="20" w:type="dxa"/>
            <w:vAlign w:val="bottom"/>
          </w:tcPr>
          <w:p>
            <w:pPr>
              <w:spacing w:after="0"/>
              <w:rPr>
                <w:sz w:val="17"/>
                <w:szCs w:val="17"/>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Other non-operating income (expenses), net</w:t>
            </w:r>
          </w:p>
        </w:tc>
        <w:tc>
          <w:tcPr>
            <w:tcW w:w="18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(2)</w:t>
            </w:r>
          </w:p>
        </w:tc>
      </w:tr>
      <w:tr>
        <w:trPr>
          <w:trHeight w:val="330"/>
        </w:trPr>
        <w:tc>
          <w:tcPr>
            <w:tcW w:w="2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Arial" w:cs="Arial" w:eastAsia="Arial" w:hAnsi="Arial"/>
                <w:sz w:val="14"/>
                <w:szCs w:val="14"/>
                <w:b w:val="1"/>
                <w:bCs w:val="1"/>
                <w:color w:val="auto"/>
              </w:rPr>
              <w:t>Net Income Before Income Taxes</w:t>
            </w: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117</w:t>
            </w: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579</w:t>
            </w: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318</w:t>
            </w: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761</w:t>
            </w:r>
          </w:p>
        </w:tc>
        <w:tc>
          <w:tcPr>
            <w:tcW w:w="2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229</w:t>
            </w:r>
          </w:p>
        </w:tc>
      </w:tr>
      <w:tr>
        <w:trPr>
          <w:trHeight w:val="203"/>
        </w:trPr>
        <w:tc>
          <w:tcPr>
            <w:tcW w:w="20" w:type="dxa"/>
            <w:vAlign w:val="bottom"/>
          </w:tcPr>
          <w:p>
            <w:pPr>
              <w:spacing w:after="0"/>
              <w:rPr>
                <w:sz w:val="17"/>
                <w:szCs w:val="17"/>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Income tax (provision) benefit</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(34)</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(153)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396</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(237)</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396</w:t>
            </w:r>
          </w:p>
        </w:tc>
      </w:tr>
      <w:tr>
        <w:trPr>
          <w:trHeight w:val="196"/>
        </w:trPr>
        <w:tc>
          <w:tcPr>
            <w:tcW w:w="20" w:type="dxa"/>
            <w:vAlign w:val="bottom"/>
          </w:tcPr>
          <w:p>
            <w:pPr>
              <w:spacing w:after="0"/>
              <w:rPr>
                <w:sz w:val="17"/>
                <w:szCs w:val="17"/>
                <w:color w:val="auto"/>
              </w:rPr>
            </w:pPr>
          </w:p>
        </w:tc>
        <w:tc>
          <w:tcPr>
            <w:tcW w:w="4060" w:type="dxa"/>
            <w:vAlign w:val="bottom"/>
            <w:gridSpan w:val="2"/>
          </w:tcPr>
          <w:p>
            <w:pPr>
              <w:spacing w:after="0"/>
              <w:rPr>
                <w:sz w:val="20"/>
                <w:szCs w:val="20"/>
                <w:color w:val="auto"/>
              </w:rPr>
            </w:pPr>
            <w:r>
              <w:rPr>
                <w:rFonts w:ascii="Arial" w:cs="Arial" w:eastAsia="Arial" w:hAnsi="Arial"/>
                <w:sz w:val="14"/>
                <w:szCs w:val="14"/>
                <w:b w:val="1"/>
                <w:bCs w:val="1"/>
                <w:color w:val="auto"/>
              </w:rPr>
              <w:t>Net income</w:t>
            </w:r>
          </w:p>
        </w:tc>
        <w:tc>
          <w:tcPr>
            <w:tcW w:w="180" w:type="dxa"/>
            <w:vAlign w:val="bottom"/>
          </w:tcPr>
          <w:p>
            <w:pPr>
              <w:spacing w:after="0"/>
              <w:rPr>
                <w:sz w:val="17"/>
                <w:szCs w:val="17"/>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b w:val="1"/>
                <w:bCs w:val="1"/>
                <w:color w:val="auto"/>
              </w:rPr>
              <w:t>83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426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714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524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rPr>
              <w:t>625</w:t>
            </w:r>
          </w:p>
        </w:tc>
      </w:tr>
      <w:tr>
        <w:trPr>
          <w:trHeight w:val="203"/>
        </w:trPr>
        <w:tc>
          <w:tcPr>
            <w:tcW w:w="20" w:type="dxa"/>
            <w:vAlign w:val="bottom"/>
          </w:tcPr>
          <w:p>
            <w:pPr>
              <w:spacing w:after="0"/>
              <w:rPr>
                <w:sz w:val="17"/>
                <w:szCs w:val="17"/>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Net income attributable to noncontrolling interests</w:t>
            </w:r>
          </w:p>
        </w:tc>
        <w:tc>
          <w:tcPr>
            <w:tcW w:w="18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(13)</w:t>
            </w:r>
          </w:p>
        </w:tc>
      </w:tr>
      <w:tr>
        <w:trPr>
          <w:trHeight w:val="197"/>
        </w:trPr>
        <w:tc>
          <w:tcPr>
            <w:tcW w:w="20" w:type="dxa"/>
            <w:vAlign w:val="bottom"/>
          </w:tcPr>
          <w:p>
            <w:pPr>
              <w:spacing w:after="0"/>
              <w:rPr>
                <w:sz w:val="17"/>
                <w:szCs w:val="17"/>
                <w:color w:val="auto"/>
              </w:rPr>
            </w:pPr>
          </w:p>
        </w:tc>
        <w:tc>
          <w:tcPr>
            <w:tcW w:w="4060" w:type="dxa"/>
            <w:vAlign w:val="bottom"/>
            <w:gridSpan w:val="2"/>
          </w:tcPr>
          <w:p>
            <w:pPr>
              <w:spacing w:after="0"/>
              <w:rPr>
                <w:sz w:val="20"/>
                <w:szCs w:val="20"/>
                <w:color w:val="auto"/>
              </w:rPr>
            </w:pPr>
            <w:r>
              <w:rPr>
                <w:rFonts w:ascii="Arial" w:cs="Arial" w:eastAsia="Arial" w:hAnsi="Arial"/>
                <w:sz w:val="14"/>
                <w:szCs w:val="14"/>
                <w:b w:val="1"/>
                <w:bCs w:val="1"/>
                <w:color w:val="auto"/>
              </w:rPr>
              <w:t>Net Income Attributable to Common Stock</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83</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426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714</w:t>
            </w: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524</w:t>
            </w:r>
          </w:p>
        </w:tc>
        <w:tc>
          <w:tcPr>
            <w:tcW w:w="2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612</w:t>
            </w: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Net income attributable to common stock per share - basic</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b w:val="1"/>
                <w:bCs w:val="1"/>
                <w:color w:val="auto"/>
              </w:rPr>
              <w:t>1.14</w:t>
            </w:r>
          </w:p>
        </w:tc>
        <w:tc>
          <w:tcPr>
            <w:tcW w:w="8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5.75</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8.91</w:t>
            </w:r>
          </w:p>
        </w:tc>
        <w:tc>
          <w:tcPr>
            <w:tcW w:w="20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6.94</w:t>
            </w:r>
          </w:p>
        </w:tc>
        <w:tc>
          <w:tcPr>
            <w:tcW w:w="20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rPr>
              <w:t>7.46</w:t>
            </w:r>
          </w:p>
        </w:tc>
      </w:tr>
      <w:tr>
        <w:trPr>
          <w:trHeight w:val="203"/>
        </w:trPr>
        <w:tc>
          <w:tcPr>
            <w:tcW w:w="20" w:type="dxa"/>
            <w:vAlign w:val="bottom"/>
          </w:tcPr>
          <w:p>
            <w:pPr>
              <w:spacing w:after="0"/>
              <w:rPr>
                <w:sz w:val="17"/>
                <w:szCs w:val="17"/>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Net income attributable to common stock per share - diluted</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b w:val="1"/>
                <w:bCs w:val="1"/>
                <w:color w:val="auto"/>
              </w:rPr>
              <w:t>1.11</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5.58</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8.71</w:t>
            </w:r>
          </w:p>
        </w:tc>
        <w:tc>
          <w:tcPr>
            <w:tcW w:w="2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6.75</w:t>
            </w:r>
          </w:p>
        </w:tc>
        <w:tc>
          <w:tcPr>
            <w:tcW w:w="2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rPr>
              <w:t>7.37</w:t>
            </w:r>
          </w:p>
        </w:tc>
      </w:tr>
      <w:tr>
        <w:trPr>
          <w:trHeight w:val="365"/>
        </w:trPr>
        <w:tc>
          <w:tcPr>
            <w:tcW w:w="2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Adjusted net income</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b w:val="1"/>
                <w:bCs w:val="1"/>
                <w:color w:val="auto"/>
              </w:rPr>
              <w:t>93</w:t>
            </w:r>
          </w:p>
        </w:tc>
        <w:tc>
          <w:tcPr>
            <w:tcW w:w="8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111</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175</w:t>
            </w:r>
          </w:p>
        </w:tc>
        <w:tc>
          <w:tcPr>
            <w:tcW w:w="2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384</w:t>
            </w:r>
          </w:p>
        </w:tc>
        <w:tc>
          <w:tcPr>
            <w:tcW w:w="20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rPr>
              <w:t>506</w:t>
            </w:r>
          </w:p>
        </w:tc>
      </w:tr>
      <w:tr>
        <w:trPr>
          <w:trHeight w:val="203"/>
        </w:trPr>
        <w:tc>
          <w:tcPr>
            <w:tcW w:w="20" w:type="dxa"/>
            <w:vAlign w:val="bottom"/>
          </w:tcPr>
          <w:p>
            <w:pPr>
              <w:spacing w:after="0"/>
              <w:rPr>
                <w:sz w:val="17"/>
                <w:szCs w:val="17"/>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Adjusted net income per share - basic</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b w:val="1"/>
                <w:bCs w:val="1"/>
                <w:color w:val="auto"/>
              </w:rPr>
              <w:t>1.28</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1.50</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2.18</w:t>
            </w:r>
          </w:p>
        </w:tc>
        <w:tc>
          <w:tcPr>
            <w:tcW w:w="2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5.09</w:t>
            </w:r>
          </w:p>
        </w:tc>
        <w:tc>
          <w:tcPr>
            <w:tcW w:w="2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rPr>
              <w:t>6.17</w:t>
            </w:r>
          </w:p>
        </w:tc>
      </w:tr>
      <w:tr>
        <w:trPr>
          <w:trHeight w:val="203"/>
        </w:trPr>
        <w:tc>
          <w:tcPr>
            <w:tcW w:w="20" w:type="dxa"/>
            <w:vAlign w:val="bottom"/>
          </w:tcPr>
          <w:p>
            <w:pPr>
              <w:spacing w:after="0"/>
              <w:rPr>
                <w:sz w:val="17"/>
                <w:szCs w:val="17"/>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Adjusted net income per share - diluted</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b w:val="1"/>
                <w:bCs w:val="1"/>
                <w:color w:val="auto"/>
              </w:rPr>
              <w:t>1.24</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1.45</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2.13</w:t>
            </w:r>
          </w:p>
        </w:tc>
        <w:tc>
          <w:tcPr>
            <w:tcW w:w="2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4.95</w:t>
            </w:r>
          </w:p>
        </w:tc>
        <w:tc>
          <w:tcPr>
            <w:tcW w:w="2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rPr>
              <w:t>6.10</w:t>
            </w:r>
          </w:p>
        </w:tc>
      </w:tr>
      <w:tr>
        <w:trPr>
          <w:trHeight w:val="297"/>
        </w:trPr>
        <w:tc>
          <w:tcPr>
            <w:tcW w:w="2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Weighted-average common shares outstanding - basic</w:t>
            </w:r>
          </w:p>
        </w:tc>
        <w:tc>
          <w:tcPr>
            <w:tcW w:w="180" w:type="dxa"/>
            <w:vAlign w:val="bottom"/>
          </w:tcPr>
          <w:p>
            <w:pPr>
              <w:spacing w:after="0"/>
              <w:rPr>
                <w:sz w:val="24"/>
                <w:szCs w:val="2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b w:val="1"/>
                <w:bCs w:val="1"/>
                <w:color w:val="auto"/>
              </w:rPr>
              <w:t>72.7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74.1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80.1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75.5</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rPr>
              <w:t>82.0</w:t>
            </w:r>
          </w:p>
        </w:tc>
      </w:tr>
      <w:tr>
        <w:trPr>
          <w:trHeight w:val="203"/>
        </w:trPr>
        <w:tc>
          <w:tcPr>
            <w:tcW w:w="20" w:type="dxa"/>
            <w:vAlign w:val="bottom"/>
          </w:tcPr>
          <w:p>
            <w:pPr>
              <w:spacing w:after="0"/>
              <w:rPr>
                <w:sz w:val="17"/>
                <w:szCs w:val="17"/>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Weighted-average common shares outstanding - diluted</w:t>
            </w:r>
          </w:p>
        </w:tc>
        <w:tc>
          <w:tcPr>
            <w:tcW w:w="180" w:type="dxa"/>
            <w:vAlign w:val="bottom"/>
          </w:tcPr>
          <w:p>
            <w:pPr>
              <w:spacing w:after="0"/>
              <w:rPr>
                <w:sz w:val="17"/>
                <w:szCs w:val="17"/>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b w:val="1"/>
                <w:bCs w:val="1"/>
                <w:color w:val="auto"/>
              </w:rPr>
              <w:t>75.0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76.3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82.0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77.6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rPr>
              <w:t>83.0</w:t>
            </w:r>
          </w:p>
        </w:tc>
      </w:tr>
      <w:tr>
        <w:trPr>
          <w:trHeight w:val="257"/>
        </w:trPr>
        <w:tc>
          <w:tcPr>
            <w:tcW w:w="20" w:type="dxa"/>
            <w:vAlign w:val="bottom"/>
          </w:tcPr>
          <w:p>
            <w:pPr>
              <w:spacing w:after="0"/>
              <w:rPr>
                <w:sz w:val="22"/>
                <w:szCs w:val="22"/>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Adjusted EBITDAX</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b w:val="1"/>
                <w:bCs w:val="1"/>
                <w:color w:val="auto"/>
              </w:rPr>
              <w:t>208</w:t>
            </w:r>
          </w:p>
        </w:tc>
        <w:tc>
          <w:tcPr>
            <w:tcW w:w="8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234</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260</w:t>
            </w:r>
          </w:p>
        </w:tc>
        <w:tc>
          <w:tcPr>
            <w:tcW w:w="2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852</w:t>
            </w:r>
          </w:p>
        </w:tc>
        <w:tc>
          <w:tcPr>
            <w:tcW w:w="2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rPr>
              <w:t>860</w:t>
            </w:r>
          </w:p>
        </w:tc>
      </w:tr>
      <w:tr>
        <w:trPr>
          <w:trHeight w:val="203"/>
        </w:trPr>
        <w:tc>
          <w:tcPr>
            <w:tcW w:w="20" w:type="dxa"/>
            <w:vAlign w:val="bottom"/>
          </w:tcPr>
          <w:p>
            <w:pPr>
              <w:spacing w:after="0"/>
              <w:rPr>
                <w:sz w:val="17"/>
                <w:szCs w:val="17"/>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Effective tax rate</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29 %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26 %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(125)%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31 %</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100"/>
          </w:cols>
          <w:pgMar w:left="400" w:top="940" w:right="39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4"/>
        </w:trPr>
        <w:tc>
          <w:tcPr>
            <w:tcW w:w="40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GAINS AND LOSSES FROM COMMODITY DERIVATIVES</w:t>
            </w:r>
          </w:p>
        </w:tc>
        <w:tc>
          <w:tcPr>
            <w:tcW w:w="7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8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4th Quarter</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3rd Quarter</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4th Quarter</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Year</w:t>
            </w:r>
          </w:p>
        </w:tc>
        <w:tc>
          <w:tcPr>
            <w:tcW w:w="180" w:type="dxa"/>
            <w:vAlign w:val="bottom"/>
          </w:tcPr>
          <w:p>
            <w:pPr>
              <w:spacing w:after="0"/>
              <w:rPr>
                <w:sz w:val="22"/>
                <w:szCs w:val="22"/>
                <w:color w:val="auto"/>
              </w:rPr>
            </w:pPr>
          </w:p>
        </w:tc>
        <w:tc>
          <w:tcPr>
            <w:tcW w:w="1040" w:type="dxa"/>
            <w:vAlign w:val="bottom"/>
          </w:tcPr>
          <w:p>
            <w:pPr>
              <w:jc w:val="center"/>
              <w:ind w:right="88"/>
              <w:spacing w:after="0"/>
              <w:rPr>
                <w:sz w:val="20"/>
                <w:szCs w:val="20"/>
                <w:color w:val="auto"/>
              </w:rPr>
            </w:pPr>
            <w:r>
              <w:rPr>
                <w:rFonts w:ascii="Arial" w:cs="Arial" w:eastAsia="Arial" w:hAnsi="Arial"/>
                <w:sz w:val="14"/>
                <w:szCs w:val="14"/>
                <w:b w:val="1"/>
                <w:bCs w:val="1"/>
                <w:color w:val="auto"/>
              </w:rPr>
              <w:t>Total Year</w:t>
            </w:r>
          </w:p>
        </w:tc>
        <w:tc>
          <w:tcPr>
            <w:tcW w:w="0" w:type="dxa"/>
            <w:vAlign w:val="bottom"/>
          </w:tcPr>
          <w:p>
            <w:pPr>
              <w:spacing w:after="0"/>
              <w:rPr>
                <w:sz w:val="1"/>
                <w:szCs w:val="1"/>
                <w:color w:val="auto"/>
              </w:rPr>
            </w:pPr>
          </w:p>
        </w:tc>
      </w:tr>
      <w:tr>
        <w:trPr>
          <w:trHeight w:val="204"/>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7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76"/>
        </w:trPr>
        <w:tc>
          <w:tcPr>
            <w:tcW w:w="4000" w:type="dxa"/>
            <w:vAlign w:val="bottom"/>
          </w:tcPr>
          <w:p>
            <w:pPr>
              <w:ind w:left="140"/>
              <w:spacing w:after="0"/>
              <w:rPr>
                <w:sz w:val="20"/>
                <w:szCs w:val="20"/>
                <w:color w:val="auto"/>
              </w:rPr>
            </w:pPr>
            <w:r>
              <w:rPr>
                <w:rFonts w:ascii="Arial" w:cs="Arial" w:eastAsia="Arial" w:hAnsi="Arial"/>
                <w:sz w:val="14"/>
                <w:szCs w:val="14"/>
                <w:color w:val="auto"/>
              </w:rPr>
              <w:t>Non-cash derivative gain (loss)</w:t>
            </w:r>
          </w:p>
        </w:tc>
        <w:tc>
          <w:tcPr>
            <w:tcW w:w="102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ind w:left="408"/>
              <w:spacing w:after="0"/>
              <w:rPr>
                <w:sz w:val="20"/>
                <w:szCs w:val="20"/>
                <w:color w:val="auto"/>
              </w:rPr>
            </w:pPr>
            <w:r>
              <w:rPr>
                <w:rFonts w:ascii="Arial" w:cs="Arial" w:eastAsia="Arial" w:hAnsi="Arial"/>
                <w:sz w:val="14"/>
                <w:szCs w:val="14"/>
                <w:b w:val="1"/>
                <w:bCs w:val="1"/>
                <w:color w:val="auto"/>
              </w:rPr>
              <w:t>425</w:t>
            </w:r>
          </w:p>
        </w:tc>
        <w:tc>
          <w:tcPr>
            <w:tcW w:w="2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center"/>
              <w:ind w:left="588"/>
              <w:spacing w:after="0"/>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4"/>
                <w:szCs w:val="2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187</w:t>
            </w:r>
          </w:p>
        </w:tc>
        <w:tc>
          <w:tcPr>
            <w:tcW w:w="8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(357)</w:t>
            </w:r>
          </w:p>
        </w:tc>
        <w:tc>
          <w:tcPr>
            <w:tcW w:w="0" w:type="dxa"/>
            <w:vAlign w:val="bottom"/>
          </w:tcPr>
          <w:p>
            <w:pPr>
              <w:spacing w:after="0"/>
              <w:rPr>
                <w:sz w:val="1"/>
                <w:szCs w:val="1"/>
                <w:color w:val="auto"/>
              </w:rPr>
            </w:pPr>
          </w:p>
        </w:tc>
      </w:tr>
      <w:tr>
        <w:trPr>
          <w:trHeight w:val="204"/>
        </w:trPr>
        <w:tc>
          <w:tcPr>
            <w:tcW w:w="4000" w:type="dxa"/>
            <w:vAlign w:val="bottom"/>
          </w:tcPr>
          <w:p>
            <w:pPr>
              <w:ind w:left="140"/>
              <w:spacing w:after="0"/>
              <w:rPr>
                <w:sz w:val="20"/>
                <w:szCs w:val="20"/>
                <w:color w:val="auto"/>
              </w:rPr>
            </w:pPr>
            <w:r>
              <w:rPr>
                <w:rFonts w:ascii="Arial" w:cs="Arial" w:eastAsia="Arial" w:hAnsi="Arial"/>
                <w:sz w:val="14"/>
                <w:szCs w:val="14"/>
                <w:color w:val="auto"/>
              </w:rPr>
              <w:t>Net payments on settled commodity contracts</w:t>
            </w:r>
          </w:p>
        </w:tc>
        <w:tc>
          <w:tcPr>
            <w:tcW w:w="7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(134)</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rPr>
              <w:t>(182)</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left="568"/>
              <w:spacing w:after="0"/>
              <w:rPr>
                <w:sz w:val="20"/>
                <w:szCs w:val="20"/>
                <w:color w:val="auto"/>
              </w:rPr>
            </w:pPr>
            <w:r>
              <w:rPr>
                <w:rFonts w:ascii="Arial" w:cs="Arial" w:eastAsia="Arial" w:hAnsi="Arial"/>
                <w:sz w:val="14"/>
                <w:szCs w:val="14"/>
                <w:b w:val="1"/>
                <w:bCs w:val="1"/>
                <w:color w:val="auto"/>
              </w:rPr>
              <w:t>(99)</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(738)</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(319)</w:t>
            </w:r>
          </w:p>
        </w:tc>
        <w:tc>
          <w:tcPr>
            <w:tcW w:w="0" w:type="dxa"/>
            <w:vAlign w:val="bottom"/>
          </w:tcPr>
          <w:p>
            <w:pPr>
              <w:spacing w:after="0"/>
              <w:rPr>
                <w:sz w:val="1"/>
                <w:szCs w:val="1"/>
                <w:color w:val="auto"/>
              </w:rPr>
            </w:pPr>
          </w:p>
        </w:tc>
      </w:tr>
      <w:tr>
        <w:trPr>
          <w:trHeight w:val="197"/>
        </w:trPr>
        <w:tc>
          <w:tcPr>
            <w:tcW w:w="4000" w:type="dxa"/>
            <w:vAlign w:val="bottom"/>
          </w:tcPr>
          <w:p>
            <w:pPr>
              <w:ind w:left="260"/>
              <w:spacing w:after="0"/>
              <w:rPr>
                <w:sz w:val="20"/>
                <w:szCs w:val="20"/>
                <w:color w:val="auto"/>
              </w:rPr>
            </w:pPr>
            <w:r>
              <w:rPr>
                <w:rFonts w:ascii="Arial" w:cs="Arial" w:eastAsia="Arial" w:hAnsi="Arial"/>
                <w:sz w:val="14"/>
                <w:szCs w:val="14"/>
                <w:color w:val="auto"/>
              </w:rPr>
              <w:t>Net (loss) gain from commodity derivatives</w:t>
            </w:r>
          </w:p>
        </w:tc>
        <w:tc>
          <w:tcPr>
            <w:tcW w:w="102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(132)</w:t>
            </w:r>
          </w:p>
        </w:tc>
        <w:tc>
          <w:tcPr>
            <w:tcW w:w="2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left="408"/>
              <w:spacing w:after="0"/>
              <w:rPr>
                <w:sz w:val="20"/>
                <w:szCs w:val="20"/>
                <w:color w:val="auto"/>
              </w:rPr>
            </w:pPr>
            <w:r>
              <w:rPr>
                <w:rFonts w:ascii="Arial" w:cs="Arial" w:eastAsia="Arial" w:hAnsi="Arial"/>
                <w:sz w:val="14"/>
                <w:szCs w:val="14"/>
                <w:b w:val="1"/>
                <w:bCs w:val="1"/>
                <w:color w:val="auto"/>
              </w:rPr>
              <w:t>243</w:t>
            </w:r>
          </w:p>
        </w:tc>
        <w:tc>
          <w:tcPr>
            <w:tcW w:w="2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ind w:left="568"/>
              <w:spacing w:after="0"/>
              <w:rPr>
                <w:sz w:val="20"/>
                <w:szCs w:val="20"/>
                <w:color w:val="auto"/>
              </w:rPr>
            </w:pPr>
            <w:r>
              <w:rPr>
                <w:rFonts w:ascii="Arial" w:cs="Arial" w:eastAsia="Arial" w:hAnsi="Arial"/>
                <w:sz w:val="14"/>
                <w:szCs w:val="14"/>
                <w:b w:val="1"/>
                <w:bCs w:val="1"/>
                <w:color w:val="auto"/>
              </w:rPr>
              <w:t>(73)</w:t>
            </w:r>
          </w:p>
        </w:tc>
        <w:tc>
          <w:tcPr>
            <w:tcW w:w="1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(551)</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(676)</w:t>
            </w: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0"/>
        </w:trPr>
        <w:tc>
          <w:tcPr>
            <w:tcW w:w="4000" w:type="dxa"/>
            <w:vAlign w:val="bottom"/>
          </w:tcPr>
          <w:p>
            <w:pPr>
              <w:spacing w:after="0"/>
              <w:rPr>
                <w:sz w:val="24"/>
                <w:szCs w:val="24"/>
                <w:color w:val="auto"/>
              </w:rPr>
            </w:pPr>
          </w:p>
        </w:tc>
        <w:tc>
          <w:tcPr>
            <w:tcW w:w="102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1st Quarter</w:t>
            </w:r>
          </w:p>
        </w:tc>
        <w:tc>
          <w:tcPr>
            <w:tcW w:w="1140" w:type="dxa"/>
            <w:vAlign w:val="bottom"/>
            <w:gridSpan w:val="4"/>
            <w:vMerge w:val="restart"/>
          </w:tcPr>
          <w:p>
            <w:pPr>
              <w:jc w:val="center"/>
              <w:spacing w:after="0"/>
              <w:rPr>
                <w:sz w:val="20"/>
                <w:szCs w:val="20"/>
                <w:color w:val="auto"/>
              </w:rPr>
            </w:pPr>
            <w:r>
              <w:rPr>
                <w:rFonts w:ascii="Arial" w:cs="Arial" w:eastAsia="Arial" w:hAnsi="Arial"/>
                <w:sz w:val="14"/>
                <w:szCs w:val="14"/>
                <w:color w:val="auto"/>
              </w:rPr>
              <w:t>1st Quarter</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4th</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4th</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ind w:left="220"/>
              <w:spacing w:after="0"/>
              <w:rPr>
                <w:sz w:val="20"/>
                <w:szCs w:val="20"/>
                <w:color w:val="auto"/>
              </w:rPr>
            </w:pPr>
            <w:r>
              <w:rPr>
                <w:rFonts w:ascii="Arial" w:cs="Arial" w:eastAsia="Arial" w:hAnsi="Arial"/>
                <w:sz w:val="14"/>
                <w:szCs w:val="14"/>
                <w:color w:val="auto"/>
              </w:rPr>
              <w:t>4th Quarter</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140" w:type="dxa"/>
            <w:vAlign w:val="bottom"/>
            <w:gridSpan w:val="4"/>
            <w:vMerge w:val="continue"/>
          </w:tcPr>
          <w:p>
            <w:pPr>
              <w:spacing w:after="0"/>
              <w:rPr>
                <w:sz w:val="17"/>
                <w:szCs w:val="17"/>
                <w:color w:val="auto"/>
              </w:rPr>
            </w:pPr>
          </w:p>
        </w:tc>
        <w:tc>
          <w:tcPr>
            <w:tcW w:w="1040" w:type="dxa"/>
            <w:vAlign w:val="bottom"/>
            <w:gridSpan w:val="4"/>
          </w:tcPr>
          <w:p>
            <w:pPr>
              <w:jc w:val="right"/>
              <w:ind w:right="448"/>
              <w:spacing w:after="0"/>
              <w:rPr>
                <w:sz w:val="20"/>
                <w:szCs w:val="20"/>
                <w:color w:val="auto"/>
              </w:rPr>
            </w:pPr>
            <w:r>
              <w:rPr>
                <w:rFonts w:ascii="Arial" w:cs="Arial" w:eastAsia="Arial" w:hAnsi="Arial"/>
                <w:sz w:val="14"/>
                <w:szCs w:val="14"/>
                <w:b w:val="1"/>
                <w:bCs w:val="1"/>
                <w:color w:val="auto"/>
                <w:w w:val="98"/>
              </w:rPr>
              <w:t>Quarter</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Quarter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40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CAPITAL INVESTMENTS</w:t>
            </w: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40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gridSpan w:val="4"/>
          </w:tcPr>
          <w:p>
            <w:pPr>
              <w:jc w:val="center"/>
              <w:spacing w:after="0"/>
              <w:rPr>
                <w:sz w:val="20"/>
                <w:szCs w:val="20"/>
                <w:color w:val="auto"/>
              </w:rPr>
            </w:pPr>
            <w:r>
              <w:rPr>
                <w:rFonts w:ascii="Arial" w:cs="Arial" w:eastAsia="Arial" w:hAnsi="Arial"/>
                <w:sz w:val="14"/>
                <w:szCs w:val="14"/>
                <w:b w:val="1"/>
                <w:bCs w:val="1"/>
                <w:color w:val="auto"/>
              </w:rPr>
              <w:t>4th Quarter</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5"/>
          </w:tcPr>
          <w:p>
            <w:pPr>
              <w:ind w:left="60"/>
              <w:spacing w:after="0"/>
              <w:rPr>
                <w:sz w:val="20"/>
                <w:szCs w:val="20"/>
                <w:color w:val="auto"/>
              </w:rPr>
            </w:pPr>
            <w:r>
              <w:rPr>
                <w:rFonts w:ascii="Arial" w:cs="Arial" w:eastAsia="Arial" w:hAnsi="Arial"/>
                <w:sz w:val="14"/>
                <w:szCs w:val="14"/>
                <w:b w:val="1"/>
                <w:bCs w:val="1"/>
                <w:color w:val="auto"/>
              </w:rPr>
              <w:t>3rd Quarter</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4th Quarter</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 Year</w:t>
            </w:r>
          </w:p>
        </w:tc>
        <w:tc>
          <w:tcPr>
            <w:tcW w:w="180" w:type="dxa"/>
            <w:vAlign w:val="bottom"/>
          </w:tcPr>
          <w:p>
            <w:pPr>
              <w:spacing w:after="0"/>
              <w:rPr>
                <w:sz w:val="22"/>
                <w:szCs w:val="22"/>
                <w:color w:val="auto"/>
              </w:rPr>
            </w:pPr>
          </w:p>
        </w:tc>
        <w:tc>
          <w:tcPr>
            <w:tcW w:w="1040" w:type="dxa"/>
            <w:vAlign w:val="bottom"/>
          </w:tcPr>
          <w:p>
            <w:pPr>
              <w:jc w:val="center"/>
              <w:ind w:right="88"/>
              <w:spacing w:after="0"/>
              <w:rPr>
                <w:sz w:val="20"/>
                <w:szCs w:val="20"/>
                <w:color w:val="auto"/>
              </w:rPr>
            </w:pPr>
            <w:r>
              <w:rPr>
                <w:rFonts w:ascii="Arial" w:cs="Arial" w:eastAsia="Arial" w:hAnsi="Arial"/>
                <w:sz w:val="14"/>
                <w:szCs w:val="14"/>
                <w:b w:val="1"/>
                <w:bCs w:val="1"/>
                <w:color w:val="auto"/>
              </w:rPr>
              <w:t>Total Year</w:t>
            </w:r>
          </w:p>
        </w:tc>
        <w:tc>
          <w:tcPr>
            <w:tcW w:w="0" w:type="dxa"/>
            <w:vAlign w:val="bottom"/>
          </w:tcPr>
          <w:p>
            <w:pPr>
              <w:spacing w:after="0"/>
              <w:rPr>
                <w:sz w:val="1"/>
                <w:szCs w:val="1"/>
                <w:color w:val="auto"/>
              </w:rPr>
            </w:pPr>
          </w:p>
        </w:tc>
      </w:tr>
      <w:tr>
        <w:trPr>
          <w:trHeight w:val="203"/>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7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82"/>
        </w:trPr>
        <w:tc>
          <w:tcPr>
            <w:tcW w:w="4000" w:type="dxa"/>
            <w:vAlign w:val="bottom"/>
          </w:tcPr>
          <w:p>
            <w:pPr>
              <w:ind w:left="140"/>
              <w:spacing w:after="0"/>
              <w:rPr>
                <w:sz w:val="20"/>
                <w:szCs w:val="20"/>
                <w:color w:val="auto"/>
              </w:rPr>
            </w:pPr>
            <w:r>
              <w:rPr>
                <w:rFonts w:ascii="Arial" w:cs="Arial" w:eastAsia="Arial" w:hAnsi="Arial"/>
                <w:sz w:val="14"/>
                <w:szCs w:val="14"/>
                <w:color w:val="auto"/>
              </w:rPr>
              <w:t xml:space="preserve">Facilities </w:t>
            </w:r>
            <w:r>
              <w:rPr>
                <w:rFonts w:ascii="Arial" w:cs="Arial" w:eastAsia="Arial" w:hAnsi="Arial"/>
                <w:sz w:val="18"/>
                <w:szCs w:val="18"/>
                <w:color w:val="auto"/>
                <w:vertAlign w:val="superscript"/>
              </w:rPr>
              <w:t>(1)</w:t>
            </w: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ind w:right="688"/>
              <w:spacing w:after="0"/>
              <w:rPr>
                <w:sz w:val="20"/>
                <w:szCs w:val="20"/>
                <w:color w:val="auto"/>
              </w:rPr>
            </w:pPr>
            <w:r>
              <w:rPr>
                <w:rFonts w:ascii="Arial" w:cs="Arial" w:eastAsia="Arial" w:hAnsi="Arial"/>
                <w:sz w:val="14"/>
                <w:szCs w:val="14"/>
                <w:b w:val="1"/>
                <w:bCs w:val="1"/>
                <w:color w:val="auto"/>
              </w:rPr>
              <w:t>$</w:t>
            </w:r>
          </w:p>
        </w:tc>
        <w:tc>
          <w:tcPr>
            <w:tcW w:w="2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19</w:t>
            </w:r>
          </w:p>
        </w:tc>
        <w:tc>
          <w:tcPr>
            <w:tcW w:w="240" w:type="dxa"/>
            <w:vAlign w:val="bottom"/>
            <w:gridSpan w:val="3"/>
          </w:tcPr>
          <w:p>
            <w:pPr>
              <w:ind w:left="14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spacing w:after="0"/>
              <w:rPr>
                <w:sz w:val="24"/>
                <w:szCs w:val="24"/>
                <w:color w:val="auto"/>
              </w:rPr>
            </w:pPr>
          </w:p>
        </w:tc>
        <w:tc>
          <w:tcPr>
            <w:tcW w:w="2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9"/>
              </w:rPr>
              <w:t>20</w:t>
            </w:r>
          </w:p>
        </w:tc>
        <w:tc>
          <w:tcPr>
            <w:tcW w:w="4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14</w:t>
            </w:r>
          </w:p>
        </w:tc>
        <w:tc>
          <w:tcPr>
            <w:tcW w:w="2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71</w:t>
            </w:r>
          </w:p>
        </w:tc>
        <w:tc>
          <w:tcPr>
            <w:tcW w:w="8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96"/>
        </w:trPr>
        <w:tc>
          <w:tcPr>
            <w:tcW w:w="4000" w:type="dxa"/>
            <w:vAlign w:val="bottom"/>
          </w:tcPr>
          <w:p>
            <w:pPr>
              <w:ind w:left="140"/>
              <w:spacing w:after="0"/>
              <w:rPr>
                <w:sz w:val="20"/>
                <w:szCs w:val="20"/>
                <w:color w:val="auto"/>
              </w:rPr>
            </w:pPr>
            <w:r>
              <w:rPr>
                <w:rFonts w:ascii="Arial" w:cs="Arial" w:eastAsia="Arial" w:hAnsi="Arial"/>
                <w:sz w:val="14"/>
                <w:szCs w:val="14"/>
                <w:color w:val="auto"/>
              </w:rPr>
              <w:t>Drilling</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48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9"/>
              </w:rPr>
              <w:t>73</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46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242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03"/>
        </w:trPr>
        <w:tc>
          <w:tcPr>
            <w:tcW w:w="4000" w:type="dxa"/>
            <w:vAlign w:val="bottom"/>
          </w:tcPr>
          <w:p>
            <w:pPr>
              <w:ind w:left="140"/>
              <w:spacing w:after="0"/>
              <w:rPr>
                <w:sz w:val="20"/>
                <w:szCs w:val="20"/>
                <w:color w:val="auto"/>
              </w:rPr>
            </w:pPr>
            <w:r>
              <w:rPr>
                <w:rFonts w:ascii="Arial" w:cs="Arial" w:eastAsia="Arial" w:hAnsi="Arial"/>
                <w:sz w:val="14"/>
                <w:szCs w:val="14"/>
                <w:color w:val="auto"/>
              </w:rPr>
              <w:t>Workovers</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14</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36</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90"/>
        </w:trPr>
        <w:tc>
          <w:tcPr>
            <w:tcW w:w="4000" w:type="dxa"/>
            <w:vAlign w:val="bottom"/>
          </w:tcPr>
          <w:p>
            <w:pPr>
              <w:ind w:left="20"/>
              <w:spacing w:after="0"/>
              <w:rPr>
                <w:sz w:val="20"/>
                <w:szCs w:val="20"/>
                <w:color w:val="auto"/>
              </w:rPr>
            </w:pPr>
            <w:r>
              <w:rPr>
                <w:rFonts w:ascii="Arial" w:cs="Arial" w:eastAsia="Arial" w:hAnsi="Arial"/>
                <w:sz w:val="14"/>
                <w:szCs w:val="14"/>
                <w:color w:val="auto"/>
              </w:rPr>
              <w:t>Total E&amp;P capital</w:t>
            </w: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gridSpan w:val="3"/>
          </w:tcPr>
          <w:p>
            <w:pPr>
              <w:jc w:val="right"/>
              <w:ind w:right="40"/>
              <w:spacing w:after="0"/>
              <w:rPr>
                <w:sz w:val="20"/>
                <w:szCs w:val="20"/>
                <w:color w:val="auto"/>
              </w:rPr>
            </w:pPr>
            <w:r>
              <w:rPr>
                <w:rFonts w:ascii="Arial" w:cs="Arial" w:eastAsia="Arial" w:hAnsi="Arial"/>
                <w:sz w:val="14"/>
                <w:szCs w:val="14"/>
                <w:color w:val="auto"/>
              </w:rPr>
              <w:t>81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4"/>
          </w:tcPr>
          <w:p>
            <w:pPr>
              <w:jc w:val="right"/>
              <w:ind w:right="80"/>
              <w:spacing w:after="0"/>
              <w:rPr>
                <w:sz w:val="20"/>
                <w:szCs w:val="20"/>
                <w:color w:val="auto"/>
              </w:rPr>
            </w:pPr>
            <w:r>
              <w:rPr>
                <w:rFonts w:ascii="Arial" w:cs="Arial" w:eastAsia="Arial" w:hAnsi="Arial"/>
                <w:sz w:val="14"/>
                <w:szCs w:val="14"/>
                <w:color w:val="auto"/>
              </w:rPr>
              <w:t>100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62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349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215"/>
        </w:trPr>
        <w:tc>
          <w:tcPr>
            <w:tcW w:w="4000" w:type="dxa"/>
            <w:vAlign w:val="bottom"/>
          </w:tcPr>
          <w:p>
            <w:pPr>
              <w:ind w:left="140"/>
              <w:spacing w:after="0" w:line="214" w:lineRule="exact"/>
              <w:rPr>
                <w:sz w:val="20"/>
                <w:szCs w:val="20"/>
                <w:color w:val="auto"/>
              </w:rPr>
            </w:pPr>
            <w:r>
              <w:rPr>
                <w:rFonts w:ascii="Arial" w:cs="Arial" w:eastAsia="Arial" w:hAnsi="Arial"/>
                <w:sz w:val="24"/>
                <w:szCs w:val="24"/>
                <w:color w:val="auto"/>
                <w:vertAlign w:val="subscript"/>
              </w:rPr>
              <w:t>CMB</w:t>
            </w:r>
            <w:r>
              <w:rPr>
                <w:rFonts w:ascii="Arial" w:cs="Arial" w:eastAsia="Arial" w:hAnsi="Arial"/>
                <w:sz w:val="9"/>
                <w:szCs w:val="9"/>
                <w:color w:val="auto"/>
              </w:rPr>
              <w:t xml:space="preserve"> (1)(2)</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4"/>
                <w:szCs w:val="14"/>
                <w:b w:val="1"/>
                <w:bCs w:val="1"/>
                <w:color w:val="auto"/>
              </w:rPr>
              <w:t>(13)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000" w:type="dxa"/>
            <w:vAlign w:val="bottom"/>
          </w:tcPr>
          <w:p>
            <w:pPr>
              <w:ind w:left="140"/>
              <w:spacing w:after="0"/>
              <w:rPr>
                <w:sz w:val="20"/>
                <w:szCs w:val="20"/>
                <w:color w:val="auto"/>
              </w:rPr>
            </w:pPr>
            <w:r>
              <w:rPr>
                <w:rFonts w:ascii="Arial" w:cs="Arial" w:eastAsia="Arial" w:hAnsi="Arial"/>
                <w:sz w:val="14"/>
                <w:szCs w:val="14"/>
                <w:color w:val="auto"/>
              </w:rPr>
              <w:t>Corporate and other</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7</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4</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26</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7"/>
        </w:trPr>
        <w:tc>
          <w:tcPr>
            <w:tcW w:w="4000" w:type="dxa"/>
            <w:vAlign w:val="bottom"/>
          </w:tcPr>
          <w:p>
            <w:pPr>
              <w:ind w:left="20"/>
              <w:spacing w:after="0"/>
              <w:rPr>
                <w:sz w:val="20"/>
                <w:szCs w:val="20"/>
                <w:color w:val="auto"/>
              </w:rPr>
            </w:pPr>
            <w:r>
              <w:rPr>
                <w:rFonts w:ascii="Arial" w:cs="Arial" w:eastAsia="Arial" w:hAnsi="Arial"/>
                <w:sz w:val="14"/>
                <w:szCs w:val="14"/>
                <w:color w:val="auto"/>
              </w:rPr>
              <w:t>Total capital program</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ind w:right="688"/>
              <w:spacing w:after="0"/>
              <w:rPr>
                <w:sz w:val="20"/>
                <w:szCs w:val="20"/>
                <w:color w:val="auto"/>
              </w:rPr>
            </w:pPr>
            <w:r>
              <w:rPr>
                <w:rFonts w:ascii="Arial" w:cs="Arial" w:eastAsia="Arial" w:hAnsi="Arial"/>
                <w:sz w:val="14"/>
                <w:szCs w:val="14"/>
                <w:b w:val="1"/>
                <w:bCs w:val="1"/>
                <w:color w:val="auto"/>
              </w:rPr>
              <w:t>$</w:t>
            </w:r>
          </w:p>
        </w:tc>
        <w:tc>
          <w:tcPr>
            <w:tcW w:w="2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75</w:t>
            </w:r>
          </w:p>
        </w:tc>
        <w:tc>
          <w:tcPr>
            <w:tcW w:w="240" w:type="dxa"/>
            <w:vAlign w:val="bottom"/>
            <w:gridSpan w:val="3"/>
          </w:tcPr>
          <w:p>
            <w:pPr>
              <w:ind w:left="140"/>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107</w:t>
            </w:r>
          </w:p>
        </w:tc>
        <w:tc>
          <w:tcPr>
            <w:tcW w:w="4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66</w:t>
            </w:r>
          </w:p>
        </w:tc>
        <w:tc>
          <w:tcPr>
            <w:tcW w:w="2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379</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194</w:t>
            </w: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0" w:right="140"/>
        <w:spacing w:after="0" w:line="204" w:lineRule="auto"/>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Total year 2022 facilities capital includes $12 million to build replacement water injection facilities which will allow CRC to divert produced water away from a depleted oil and natural gas reservoir held by the Carbon TerraVault JV. Construction of these facilities supports the advancement of CRC’s carbon management business and CRC reported</w:t>
      </w:r>
    </w:p>
    <w:p>
      <w:pPr>
        <w:spacing w:after="0" w:line="1" w:lineRule="exact"/>
        <w:rPr>
          <w:sz w:val="20"/>
          <w:szCs w:val="20"/>
          <w:color w:val="auto"/>
        </w:rPr>
      </w:pPr>
    </w:p>
    <w:p>
      <w:pPr>
        <w:ind w:left="20" w:right="300"/>
        <w:spacing w:after="0" w:line="231" w:lineRule="auto"/>
        <w:rPr>
          <w:sz w:val="20"/>
          <w:szCs w:val="20"/>
          <w:color w:val="auto"/>
        </w:rPr>
      </w:pPr>
      <w:r>
        <w:rPr>
          <w:rFonts w:ascii="Arial" w:cs="Arial" w:eastAsia="Arial" w:hAnsi="Arial"/>
          <w:sz w:val="14"/>
          <w:szCs w:val="14"/>
          <w:color w:val="auto"/>
        </w:rPr>
        <w:t>this $12 million of capital as part of adjusted CMB capital in this press release. Where adjusted CMB capital is presented, CRC removed $12 million from facilities capital for total E&amp;P, Corporate and Other.</w:t>
      </w:r>
    </w:p>
    <w:p>
      <w:pPr>
        <w:ind w:left="180" w:hanging="154"/>
        <w:spacing w:after="0" w:line="236" w:lineRule="auto"/>
        <w:tabs>
          <w:tab w:leader="none" w:pos="18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In the fourth quarter of 2022, $14 million of capital investments was reclassified from PP&amp;E to other noncurrent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240"/>
          </w:cols>
          <w:pgMar w:left="320" w:top="1348" w:right="339" w:bottom="1440" w:gutter="0" w:footer="0" w:header="0"/>
        </w:sectPr>
      </w:pPr>
    </w:p>
    <w:bookmarkStart w:id="18" w:name="page19"/>
    <w:bookmarkEnd w:id="18"/>
    <w:p>
      <w:pPr>
        <w:ind w:left="10320"/>
        <w:spacing w:after="0"/>
        <w:rPr>
          <w:sz w:val="20"/>
          <w:szCs w:val="20"/>
          <w:color w:val="auto"/>
        </w:rPr>
      </w:pPr>
      <w:r>
        <w:rPr>
          <w:rFonts w:ascii="Arial" w:cs="Arial" w:eastAsia="Arial" w:hAnsi="Arial"/>
          <w:sz w:val="14"/>
          <w:szCs w:val="14"/>
          <w:b w:val="1"/>
          <w:bCs w:val="1"/>
          <w:color w:val="auto"/>
        </w:rPr>
        <w:t>Attachment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NON-GAAP FINANCIAL MEASURES AND RECONCILIATIONS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 supplement the presentation of its financial results prepared in accordance with U.S generally accepted accounting principles (GAAP), management uses certain non-GAAP</w:t>
      </w:r>
    </w:p>
    <w:p>
      <w:pPr>
        <w:spacing w:after="0" w:line="2" w:lineRule="exact"/>
        <w:rPr>
          <w:sz w:val="20"/>
          <w:szCs w:val="20"/>
          <w:color w:val="auto"/>
        </w:rPr>
      </w:pPr>
    </w:p>
    <w:p>
      <w:pPr>
        <w:ind w:left="20" w:right="580"/>
        <w:spacing w:after="0" w:line="211" w:lineRule="auto"/>
        <w:rPr>
          <w:sz w:val="20"/>
          <w:szCs w:val="20"/>
          <w:color w:val="auto"/>
        </w:rPr>
      </w:pPr>
      <w:r>
        <w:rPr>
          <w:rFonts w:ascii="Arial" w:cs="Arial" w:eastAsia="Arial" w:hAnsi="Arial"/>
          <w:sz w:val="14"/>
          <w:szCs w:val="14"/>
          <w:color w:val="auto"/>
        </w:rPr>
        <w:t>measures to assess its financial condition, results of operations and cash flows. The non-GAAP measures include adjusted net income (loss), adjusted EBITDAX, E&amp;P, Corporate &amp; Other adjusted EBITDAX, CMB adjusted EBITDAX, free cash flow, E&amp;P, Corporate &amp; Other free cash flow, CMB free cash flow, adjusted general and</w:t>
      </w:r>
    </w:p>
    <w:p>
      <w:pPr>
        <w:ind w:left="20"/>
        <w:spacing w:after="0" w:line="222" w:lineRule="auto"/>
        <w:rPr>
          <w:sz w:val="20"/>
          <w:szCs w:val="20"/>
          <w:color w:val="auto"/>
        </w:rPr>
      </w:pPr>
      <w:r>
        <w:rPr>
          <w:rFonts w:ascii="Arial" w:cs="Arial" w:eastAsia="Arial" w:hAnsi="Arial"/>
          <w:sz w:val="14"/>
          <w:szCs w:val="14"/>
          <w:color w:val="auto"/>
        </w:rPr>
        <w:t>administrative expenses, operating costs per BOE, and adjusted total capital among others. These measures are also widely used by the industry, the investment community</w:t>
      </w:r>
    </w:p>
    <w:p>
      <w:pPr>
        <w:ind w:left="20" w:right="180"/>
        <w:spacing w:after="0" w:line="211" w:lineRule="auto"/>
        <w:rPr>
          <w:sz w:val="20"/>
          <w:szCs w:val="20"/>
          <w:color w:val="auto"/>
        </w:rPr>
      </w:pPr>
      <w:r>
        <w:rPr>
          <w:rFonts w:ascii="Arial" w:cs="Arial" w:eastAsia="Arial" w:hAnsi="Arial"/>
          <w:sz w:val="14"/>
          <w:szCs w:val="14"/>
          <w:color w:val="auto"/>
        </w:rPr>
        <w:t>and our lenders. Although these are non-GAAP measures, the amounts included in the calculations were computed in accordance with GAAP. Certain items excluded from these non-GAAP measures are significant components in understanding and assessing our financial performance, such as our cost of capital and tax structure, as well as the</w:t>
      </w:r>
    </w:p>
    <w:p>
      <w:pPr>
        <w:ind w:left="20"/>
        <w:spacing w:after="0" w:line="222" w:lineRule="auto"/>
        <w:rPr>
          <w:sz w:val="20"/>
          <w:szCs w:val="20"/>
          <w:color w:val="auto"/>
        </w:rPr>
      </w:pPr>
      <w:r>
        <w:rPr>
          <w:rFonts w:ascii="Arial" w:cs="Arial" w:eastAsia="Arial" w:hAnsi="Arial"/>
          <w:sz w:val="14"/>
          <w:szCs w:val="14"/>
          <w:color w:val="auto"/>
        </w:rPr>
        <w:t>effect of acquisition and development costs of our assets. Management believes that the non-GAAP measures presented, when viewed in combination with its financial and</w:t>
      </w:r>
    </w:p>
    <w:p>
      <w:pPr>
        <w:ind w:left="20" w:right="200"/>
        <w:spacing w:after="0" w:line="211" w:lineRule="auto"/>
        <w:rPr>
          <w:sz w:val="20"/>
          <w:szCs w:val="20"/>
          <w:color w:val="auto"/>
        </w:rPr>
      </w:pPr>
      <w:r>
        <w:rPr>
          <w:rFonts w:ascii="Arial" w:cs="Arial" w:eastAsia="Arial" w:hAnsi="Arial"/>
          <w:sz w:val="14"/>
          <w:szCs w:val="14"/>
          <w:color w:val="auto"/>
        </w:rPr>
        <w:t>operating results prepared in accordance with GAAP, provide a more complete understanding of the factors and trends affecting the Company's performance. The non-GAAP measures presented herein may not be comparable to other similarly titled measures of other companies. Below are additional disclosures regarding each of the non-GAAP</w:t>
      </w:r>
    </w:p>
    <w:p>
      <w:pPr>
        <w:ind w:left="20"/>
        <w:spacing w:after="0"/>
        <w:rPr>
          <w:sz w:val="20"/>
          <w:szCs w:val="20"/>
          <w:color w:val="auto"/>
        </w:rPr>
      </w:pPr>
      <w:r>
        <w:rPr>
          <w:rFonts w:ascii="Arial" w:cs="Arial" w:eastAsia="Arial" w:hAnsi="Arial"/>
          <w:sz w:val="14"/>
          <w:szCs w:val="14"/>
          <w:color w:val="auto"/>
        </w:rPr>
        <w:t>measures reported in this press release, including reconciliations to their most directly comparable GAAP measure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572135</wp:posOffset>
            </wp:positionV>
            <wp:extent cx="70980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597535</wp:posOffset>
            </wp:positionV>
            <wp:extent cx="70980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ADJUSTED NET INCOME (LOSS)</w:t>
      </w:r>
    </w:p>
    <w:p>
      <w:pPr>
        <w:spacing w:after="0" w:line="96" w:lineRule="exact"/>
        <w:rPr>
          <w:sz w:val="20"/>
          <w:szCs w:val="20"/>
          <w:color w:val="auto"/>
        </w:rPr>
      </w:pPr>
    </w:p>
    <w:p>
      <w:pPr>
        <w:ind w:left="60" w:right="480"/>
        <w:spacing w:after="0" w:line="221" w:lineRule="auto"/>
        <w:rPr>
          <w:sz w:val="20"/>
          <w:szCs w:val="20"/>
          <w:color w:val="auto"/>
        </w:rPr>
      </w:pPr>
      <w:r>
        <w:rPr>
          <w:rFonts w:ascii="Arial" w:cs="Arial" w:eastAsia="Arial" w:hAnsi="Arial"/>
          <w:sz w:val="14"/>
          <w:szCs w:val="14"/>
          <w:color w:val="auto"/>
        </w:rPr>
        <w:t>Adjusted net income (loss) and adjusted net income (loss) per share are non-GAAP measures. CRC defines adjusted net income as net income excluding the effects of significant transactions and events that affect earnings but vary widely and unpredictably in nature, timing and amount. These events may recur, even across successive</w:t>
      </w:r>
    </w:p>
    <w:p>
      <w:pPr>
        <w:ind w:left="60"/>
        <w:spacing w:after="0" w:line="222" w:lineRule="auto"/>
        <w:rPr>
          <w:sz w:val="20"/>
          <w:szCs w:val="20"/>
          <w:color w:val="auto"/>
        </w:rPr>
      </w:pPr>
      <w:r>
        <w:rPr>
          <w:rFonts w:ascii="Arial" w:cs="Arial" w:eastAsia="Arial" w:hAnsi="Arial"/>
          <w:sz w:val="14"/>
          <w:szCs w:val="14"/>
          <w:color w:val="auto"/>
        </w:rPr>
        <w:t>reporting periods. Management believes these non-GAAP measures provide useful information to the industry and the investment community interested in comparing our</w:t>
      </w:r>
    </w:p>
    <w:p>
      <w:pPr>
        <w:spacing w:after="0" w:line="1" w:lineRule="exact"/>
        <w:rPr>
          <w:sz w:val="20"/>
          <w:szCs w:val="20"/>
          <w:color w:val="auto"/>
        </w:rPr>
      </w:pPr>
    </w:p>
    <w:p>
      <w:pPr>
        <w:ind w:left="60" w:right="160"/>
        <w:spacing w:after="0" w:line="211" w:lineRule="auto"/>
        <w:rPr>
          <w:sz w:val="20"/>
          <w:szCs w:val="20"/>
          <w:color w:val="auto"/>
        </w:rPr>
      </w:pPr>
      <w:r>
        <w:rPr>
          <w:rFonts w:ascii="Arial" w:cs="Arial" w:eastAsia="Arial" w:hAnsi="Arial"/>
          <w:sz w:val="14"/>
          <w:szCs w:val="14"/>
          <w:color w:val="auto"/>
        </w:rPr>
        <w:t>financial performance between periods. Reported earnings are considered representative of management's performance over the long term. Adjusted net income (loss) is not considered to be an alternative to net income (loss) reported in accordance with GAAP. The following table presents a reconciliation of the GAAP financial measure of net</w:t>
      </w:r>
    </w:p>
    <w:p>
      <w:pPr>
        <w:ind w:left="60"/>
        <w:spacing w:after="0"/>
        <w:rPr>
          <w:sz w:val="20"/>
          <w:szCs w:val="20"/>
          <w:color w:val="auto"/>
        </w:rPr>
      </w:pPr>
      <w:r>
        <w:rPr>
          <w:rFonts w:ascii="Arial" w:cs="Arial" w:eastAsia="Arial" w:hAnsi="Arial"/>
          <w:sz w:val="14"/>
          <w:szCs w:val="14"/>
          <w:color w:val="auto"/>
        </w:rPr>
        <w:t>income and net income attributable to common stock per share to the non-GAAP financial measure of adjusted net income and adjusted net income per share.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4th Quarter</w:t>
            </w:r>
          </w:p>
        </w:tc>
        <w:tc>
          <w:tcPr>
            <w:tcW w:w="16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3rd Quarter</w:t>
            </w:r>
          </w:p>
        </w:tc>
        <w:tc>
          <w:tcPr>
            <w:tcW w:w="140" w:type="dxa"/>
            <w:vAlign w:val="bottom"/>
          </w:tcPr>
          <w:p>
            <w:pPr>
              <w:spacing w:after="0"/>
              <w:rPr>
                <w:sz w:val="17"/>
                <w:szCs w:val="17"/>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4th Quarter</w:t>
            </w:r>
          </w:p>
        </w:tc>
        <w:tc>
          <w:tcPr>
            <w:tcW w:w="180" w:type="dxa"/>
            <w:vAlign w:val="bottom"/>
          </w:tcPr>
          <w:p>
            <w:pPr>
              <w:spacing w:after="0"/>
              <w:rPr>
                <w:sz w:val="17"/>
                <w:szCs w:val="17"/>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 Year</w:t>
            </w:r>
          </w:p>
        </w:tc>
        <w:tc>
          <w:tcPr>
            <w:tcW w:w="200" w:type="dxa"/>
            <w:vAlign w:val="bottom"/>
          </w:tcPr>
          <w:p>
            <w:pPr>
              <w:spacing w:after="0"/>
              <w:rPr>
                <w:sz w:val="17"/>
                <w:szCs w:val="17"/>
                <w:color w:val="auto"/>
              </w:rPr>
            </w:pPr>
          </w:p>
        </w:tc>
        <w:tc>
          <w:tcPr>
            <w:tcW w:w="1040" w:type="dxa"/>
            <w:vAlign w:val="bottom"/>
          </w:tcPr>
          <w:p>
            <w:pPr>
              <w:jc w:val="right"/>
              <w:ind w:right="208"/>
              <w:spacing w:after="0"/>
              <w:rPr>
                <w:sz w:val="20"/>
                <w:szCs w:val="20"/>
                <w:color w:val="auto"/>
              </w:rPr>
            </w:pPr>
            <w:r>
              <w:rPr>
                <w:rFonts w:ascii="Arial" w:cs="Arial" w:eastAsia="Arial" w:hAnsi="Arial"/>
                <w:sz w:val="14"/>
                <w:szCs w:val="14"/>
                <w:b w:val="1"/>
                <w:bCs w:val="1"/>
                <w:color w:val="auto"/>
              </w:rPr>
              <w:t>Total Year</w:t>
            </w:r>
          </w:p>
        </w:tc>
        <w:tc>
          <w:tcPr>
            <w:tcW w:w="20" w:type="dxa"/>
            <w:vAlign w:val="bottom"/>
          </w:tcPr>
          <w:p>
            <w:pPr>
              <w:spacing w:after="0"/>
              <w:rPr>
                <w:sz w:val="17"/>
                <w:szCs w:val="17"/>
                <w:color w:val="auto"/>
              </w:rPr>
            </w:pPr>
          </w:p>
        </w:tc>
      </w:tr>
      <w:tr>
        <w:trPr>
          <w:trHeight w:val="204"/>
        </w:trPr>
        <w:tc>
          <w:tcPr>
            <w:tcW w:w="40" w:type="dxa"/>
            <w:vAlign w:val="bottom"/>
          </w:tcPr>
          <w:p>
            <w:pPr>
              <w:spacing w:after="0"/>
              <w:rPr>
                <w:sz w:val="17"/>
                <w:szCs w:val="17"/>
                <w:color w:val="auto"/>
              </w:rPr>
            </w:pPr>
          </w:p>
        </w:tc>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 except per share amounts)</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7"/>
                <w:szCs w:val="17"/>
                <w:color w:val="auto"/>
              </w:rPr>
            </w:pPr>
          </w:p>
        </w:tc>
      </w:tr>
      <w:tr>
        <w:trPr>
          <w:trHeight w:val="195"/>
        </w:trPr>
        <w:tc>
          <w:tcPr>
            <w:tcW w:w="40" w:type="dxa"/>
            <w:vAlign w:val="bottom"/>
          </w:tcPr>
          <w:p>
            <w:pPr>
              <w:spacing w:after="0"/>
              <w:rPr>
                <w:sz w:val="16"/>
                <w:szCs w:val="16"/>
                <w:color w:val="auto"/>
              </w:rPr>
            </w:pPr>
          </w:p>
        </w:tc>
        <w:tc>
          <w:tcPr>
            <w:tcW w:w="47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83</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426</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714</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524</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625</w:t>
            </w:r>
          </w:p>
        </w:tc>
        <w:tc>
          <w:tcPr>
            <w:tcW w:w="20" w:type="dxa"/>
            <w:vAlign w:val="bottom"/>
          </w:tcPr>
          <w:p>
            <w:pPr>
              <w:spacing w:after="0"/>
              <w:rPr>
                <w:sz w:val="16"/>
                <w:szCs w:val="16"/>
                <w:color w:val="auto"/>
              </w:rPr>
            </w:pPr>
          </w:p>
        </w:tc>
      </w:tr>
      <w:tr>
        <w:trPr>
          <w:trHeight w:val="203"/>
        </w:trPr>
        <w:tc>
          <w:tcPr>
            <w:tcW w:w="40" w:type="dxa"/>
            <w:vAlign w:val="bottom"/>
          </w:tcPr>
          <w:p>
            <w:pPr>
              <w:spacing w:after="0"/>
              <w:rPr>
                <w:sz w:val="17"/>
                <w:szCs w:val="17"/>
                <w:color w:val="auto"/>
              </w:rPr>
            </w:pPr>
          </w:p>
        </w:tc>
        <w:tc>
          <w:tcPr>
            <w:tcW w:w="4740" w:type="dxa"/>
            <w:vAlign w:val="bottom"/>
          </w:tcPr>
          <w:p>
            <w:pPr>
              <w:ind w:left="20"/>
              <w:spacing w:after="0"/>
              <w:rPr>
                <w:sz w:val="20"/>
                <w:szCs w:val="20"/>
                <w:color w:val="auto"/>
              </w:rPr>
            </w:pPr>
            <w:r>
              <w:rPr>
                <w:rFonts w:ascii="Arial" w:cs="Arial" w:eastAsia="Arial" w:hAnsi="Arial"/>
                <w:sz w:val="14"/>
                <w:szCs w:val="14"/>
                <w:color w:val="auto"/>
              </w:rPr>
              <w:t>Net income attributable to noncontrolling interests</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2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4740" w:type="dxa"/>
            <w:vAlign w:val="bottom"/>
          </w:tcPr>
          <w:p>
            <w:pPr>
              <w:ind w:left="20"/>
              <w:spacing w:after="0"/>
              <w:rPr>
                <w:sz w:val="20"/>
                <w:szCs w:val="20"/>
                <w:color w:val="auto"/>
              </w:rPr>
            </w:pPr>
            <w:r>
              <w:rPr>
                <w:rFonts w:ascii="Arial" w:cs="Arial" w:eastAsia="Arial" w:hAnsi="Arial"/>
                <w:sz w:val="14"/>
                <w:szCs w:val="14"/>
                <w:color w:val="auto"/>
              </w:rPr>
              <w:t>Net income attributable to common stock</w:t>
            </w: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83</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426</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714</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524</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612</w:t>
            </w:r>
          </w:p>
        </w:tc>
        <w:tc>
          <w:tcPr>
            <w:tcW w:w="20" w:type="dxa"/>
            <w:vAlign w:val="bottom"/>
          </w:tcPr>
          <w:p>
            <w:pPr>
              <w:spacing w:after="0"/>
              <w:rPr>
                <w:sz w:val="17"/>
                <w:szCs w:val="17"/>
                <w:color w:val="auto"/>
              </w:rPr>
            </w:pPr>
          </w:p>
        </w:tc>
      </w:tr>
      <w:tr>
        <w:trPr>
          <w:trHeight w:val="197"/>
        </w:trPr>
        <w:tc>
          <w:tcPr>
            <w:tcW w:w="40" w:type="dxa"/>
            <w:vAlign w:val="bottom"/>
          </w:tcPr>
          <w:p>
            <w:pPr>
              <w:spacing w:after="0"/>
              <w:rPr>
                <w:sz w:val="17"/>
                <w:szCs w:val="17"/>
                <w:color w:val="auto"/>
              </w:rPr>
            </w:pPr>
          </w:p>
        </w:tc>
        <w:tc>
          <w:tcPr>
            <w:tcW w:w="4740" w:type="dxa"/>
            <w:vAlign w:val="bottom"/>
          </w:tcPr>
          <w:p>
            <w:pPr>
              <w:ind w:left="20"/>
              <w:spacing w:after="0"/>
              <w:rPr>
                <w:sz w:val="20"/>
                <w:szCs w:val="20"/>
                <w:color w:val="auto"/>
              </w:rPr>
            </w:pPr>
            <w:r>
              <w:rPr>
                <w:rFonts w:ascii="Arial" w:cs="Arial" w:eastAsia="Arial" w:hAnsi="Arial"/>
                <w:sz w:val="14"/>
                <w:szCs w:val="14"/>
                <w:color w:val="auto"/>
              </w:rPr>
              <w:t>Unusual, infrequent and other items: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40" w:type="dxa"/>
            <w:vAlign w:val="bottom"/>
          </w:tcPr>
          <w:p>
            <w:pPr>
              <w:spacing w:after="0"/>
              <w:rPr>
                <w:sz w:val="18"/>
                <w:szCs w:val="18"/>
                <w:color w:val="auto"/>
              </w:rPr>
            </w:pPr>
          </w:p>
        </w:tc>
        <w:tc>
          <w:tcPr>
            <w:tcW w:w="4740" w:type="dxa"/>
            <w:vAlign w:val="bottom"/>
          </w:tcPr>
          <w:p>
            <w:pPr>
              <w:ind w:left="140"/>
              <w:spacing w:after="0"/>
              <w:rPr>
                <w:sz w:val="20"/>
                <w:szCs w:val="20"/>
                <w:color w:val="auto"/>
              </w:rPr>
            </w:pPr>
            <w:r>
              <w:rPr>
                <w:rFonts w:ascii="Arial" w:cs="Arial" w:eastAsia="Arial" w:hAnsi="Arial"/>
                <w:sz w:val="14"/>
                <w:szCs w:val="14"/>
                <w:color w:val="auto"/>
              </w:rPr>
              <w:t>Non-cash derivative (gain) loss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357</w:t>
            </w:r>
          </w:p>
        </w:tc>
        <w:tc>
          <w:tcPr>
            <w:tcW w:w="20" w:type="dxa"/>
            <w:vAlign w:val="bottom"/>
          </w:tcPr>
          <w:p>
            <w:pPr>
              <w:spacing w:after="0"/>
              <w:rPr>
                <w:sz w:val="18"/>
                <w:szCs w:val="18"/>
                <w:color w:val="auto"/>
              </w:rPr>
            </w:pPr>
          </w:p>
        </w:tc>
      </w:tr>
      <w:tr>
        <w:trPr>
          <w:trHeight w:val="203"/>
        </w:trPr>
        <w:tc>
          <w:tcPr>
            <w:tcW w:w="40" w:type="dxa"/>
            <w:vAlign w:val="bottom"/>
          </w:tcPr>
          <w:p>
            <w:pPr>
              <w:spacing w:after="0"/>
              <w:rPr>
                <w:sz w:val="17"/>
                <w:szCs w:val="17"/>
                <w:color w:val="auto"/>
              </w:rPr>
            </w:pPr>
          </w:p>
        </w:tc>
        <w:tc>
          <w:tcPr>
            <w:tcW w:w="4740" w:type="dxa"/>
            <w:vAlign w:val="bottom"/>
          </w:tcPr>
          <w:p>
            <w:pPr>
              <w:ind w:left="140"/>
              <w:spacing w:after="0"/>
              <w:rPr>
                <w:sz w:val="20"/>
                <w:szCs w:val="20"/>
                <w:color w:val="auto"/>
              </w:rPr>
            </w:pPr>
            <w:r>
              <w:rPr>
                <w:rFonts w:ascii="Arial" w:cs="Arial" w:eastAsia="Arial" w:hAnsi="Arial"/>
                <w:sz w:val="14"/>
                <w:szCs w:val="14"/>
                <w:color w:val="auto"/>
              </w:rPr>
              <w:t>Asset impairments</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28</w:t>
            </w:r>
          </w:p>
        </w:tc>
        <w:tc>
          <w:tcPr>
            <w:tcW w:w="2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4740" w:type="dxa"/>
            <w:vAlign w:val="bottom"/>
          </w:tcPr>
          <w:p>
            <w:pPr>
              <w:ind w:left="140"/>
              <w:spacing w:after="0"/>
              <w:rPr>
                <w:sz w:val="20"/>
                <w:szCs w:val="20"/>
                <w:color w:val="auto"/>
              </w:rPr>
            </w:pPr>
            <w:r>
              <w:rPr>
                <w:rFonts w:ascii="Arial" w:cs="Arial" w:eastAsia="Arial" w:hAnsi="Arial"/>
                <w:sz w:val="14"/>
                <w:szCs w:val="14"/>
                <w:color w:val="auto"/>
              </w:rPr>
              <w:t>Reorganization items, net</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6</w:t>
            </w:r>
          </w:p>
        </w:tc>
        <w:tc>
          <w:tcPr>
            <w:tcW w:w="2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4740" w:type="dxa"/>
            <w:vAlign w:val="bottom"/>
          </w:tcPr>
          <w:p>
            <w:pPr>
              <w:ind w:left="140"/>
              <w:spacing w:after="0"/>
              <w:rPr>
                <w:sz w:val="20"/>
                <w:szCs w:val="20"/>
                <w:color w:val="auto"/>
              </w:rPr>
            </w:pPr>
            <w:r>
              <w:rPr>
                <w:rFonts w:ascii="Arial" w:cs="Arial" w:eastAsia="Arial" w:hAnsi="Arial"/>
                <w:sz w:val="14"/>
                <w:szCs w:val="14"/>
                <w:color w:val="auto"/>
              </w:rPr>
              <w:t>Severance and termination costs</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15</w:t>
            </w:r>
          </w:p>
        </w:tc>
        <w:tc>
          <w:tcPr>
            <w:tcW w:w="2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4740" w:type="dxa"/>
            <w:vAlign w:val="bottom"/>
          </w:tcPr>
          <w:p>
            <w:pPr>
              <w:ind w:left="140"/>
              <w:spacing w:after="0"/>
              <w:rPr>
                <w:sz w:val="20"/>
                <w:szCs w:val="20"/>
                <w:color w:val="auto"/>
              </w:rPr>
            </w:pPr>
            <w:r>
              <w:rPr>
                <w:rFonts w:ascii="Arial" w:cs="Arial" w:eastAsia="Arial" w:hAnsi="Arial"/>
                <w:sz w:val="14"/>
                <w:szCs w:val="14"/>
                <w:color w:val="auto"/>
              </w:rPr>
              <w:t>Net loss on early extinguishment of debt</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2</w:t>
            </w:r>
          </w:p>
        </w:tc>
        <w:tc>
          <w:tcPr>
            <w:tcW w:w="2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4740" w:type="dxa"/>
            <w:vAlign w:val="bottom"/>
          </w:tcPr>
          <w:p>
            <w:pPr>
              <w:ind w:left="140"/>
              <w:spacing w:after="0"/>
              <w:rPr>
                <w:sz w:val="20"/>
                <w:szCs w:val="20"/>
                <w:color w:val="auto"/>
              </w:rPr>
            </w:pPr>
            <w:r>
              <w:rPr>
                <w:rFonts w:ascii="Arial" w:cs="Arial" w:eastAsia="Arial" w:hAnsi="Arial"/>
                <w:sz w:val="14"/>
                <w:szCs w:val="14"/>
                <w:color w:val="auto"/>
              </w:rPr>
              <w:t>Net loss (gain) on asset divestitures</w:t>
            </w:r>
          </w:p>
        </w:tc>
        <w:tc>
          <w:tcPr>
            <w:tcW w:w="16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(59)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(124)</w:t>
            </w:r>
          </w:p>
        </w:tc>
        <w:tc>
          <w:tcPr>
            <w:tcW w:w="2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4740" w:type="dxa"/>
            <w:vAlign w:val="bottom"/>
          </w:tcPr>
          <w:p>
            <w:pPr>
              <w:ind w:left="140"/>
              <w:spacing w:after="0"/>
              <w:rPr>
                <w:sz w:val="20"/>
                <w:szCs w:val="20"/>
                <w:color w:val="auto"/>
              </w:rPr>
            </w:pPr>
            <w:r>
              <w:rPr>
                <w:rFonts w:ascii="Arial" w:cs="Arial" w:eastAsia="Arial" w:hAnsi="Arial"/>
                <w:sz w:val="14"/>
                <w:szCs w:val="14"/>
                <w:color w:val="auto"/>
              </w:rPr>
              <w:t>Rig termination expenses</w:t>
            </w:r>
          </w:p>
        </w:tc>
        <w:tc>
          <w:tcPr>
            <w:tcW w:w="16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2</w:t>
            </w:r>
          </w:p>
        </w:tc>
        <w:tc>
          <w:tcPr>
            <w:tcW w:w="2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4740" w:type="dxa"/>
            <w:vAlign w:val="bottom"/>
          </w:tcPr>
          <w:p>
            <w:pPr>
              <w:ind w:left="140"/>
              <w:spacing w:after="0"/>
              <w:rPr>
                <w:sz w:val="20"/>
                <w:szCs w:val="20"/>
                <w:color w:val="auto"/>
              </w:rPr>
            </w:pPr>
            <w:r>
              <w:rPr>
                <w:rFonts w:ascii="Arial" w:cs="Arial" w:eastAsia="Arial" w:hAnsi="Arial"/>
                <w:sz w:val="14"/>
                <w:szCs w:val="14"/>
                <w:color w:val="auto"/>
              </w:rPr>
              <w:t>Other, net</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w:t>
            </w:r>
          </w:p>
        </w:tc>
        <w:tc>
          <w:tcPr>
            <w:tcW w:w="2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4740" w:type="dxa"/>
            <w:vAlign w:val="bottom"/>
          </w:tcPr>
          <w:p>
            <w:pPr>
              <w:ind w:left="220"/>
              <w:spacing w:after="0"/>
              <w:rPr>
                <w:sz w:val="20"/>
                <w:szCs w:val="20"/>
                <w:color w:val="auto"/>
              </w:rPr>
            </w:pPr>
            <w:r>
              <w:rPr>
                <w:rFonts w:ascii="Arial" w:cs="Arial" w:eastAsia="Arial" w:hAnsi="Arial"/>
                <w:sz w:val="14"/>
                <w:szCs w:val="14"/>
                <w:color w:val="auto"/>
              </w:rPr>
              <w:t>Total unusual, infrequent and other items</w:t>
            </w:r>
          </w:p>
        </w:tc>
        <w:tc>
          <w:tcPr>
            <w:tcW w:w="16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14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(423)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(143)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290</w:t>
            </w:r>
          </w:p>
        </w:tc>
        <w:tc>
          <w:tcPr>
            <w:tcW w:w="2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4740" w:type="dxa"/>
            <w:vAlign w:val="bottom"/>
          </w:tcPr>
          <w:p>
            <w:pPr>
              <w:ind w:left="140"/>
              <w:spacing w:after="0"/>
              <w:rPr>
                <w:sz w:val="20"/>
                <w:szCs w:val="20"/>
                <w:color w:val="auto"/>
              </w:rPr>
            </w:pPr>
            <w:r>
              <w:rPr>
                <w:rFonts w:ascii="Arial" w:cs="Arial" w:eastAsia="Arial" w:hAnsi="Arial"/>
                <w:sz w:val="14"/>
                <w:szCs w:val="14"/>
                <w:color w:val="auto"/>
              </w:rPr>
              <w:t>Income tax (benefit) provision of adjustments at effective tax rate</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120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63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4740" w:type="dxa"/>
            <w:vAlign w:val="bottom"/>
          </w:tcPr>
          <w:p>
            <w:pPr>
              <w:ind w:left="140"/>
              <w:spacing w:after="0"/>
              <w:rPr>
                <w:sz w:val="20"/>
                <w:szCs w:val="20"/>
                <w:color w:val="auto"/>
              </w:rPr>
            </w:pPr>
            <w:r>
              <w:rPr>
                <w:rFonts w:ascii="Arial" w:cs="Arial" w:eastAsia="Arial" w:hAnsi="Arial"/>
                <w:sz w:val="14"/>
                <w:szCs w:val="14"/>
                <w:color w:val="auto"/>
              </w:rPr>
              <w:t>Income tax (benefit) provision - out of period</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(396)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(396)</w:t>
            </w:r>
          </w:p>
        </w:tc>
        <w:tc>
          <w:tcPr>
            <w:tcW w:w="20" w:type="dxa"/>
            <w:vAlign w:val="bottom"/>
          </w:tcPr>
          <w:p>
            <w:pPr>
              <w:spacing w:after="0"/>
              <w:rPr>
                <w:sz w:val="17"/>
                <w:szCs w:val="17"/>
                <w:color w:val="auto"/>
              </w:rPr>
            </w:pPr>
          </w:p>
        </w:tc>
      </w:tr>
      <w:tr>
        <w:trPr>
          <w:trHeight w:val="56"/>
        </w:trPr>
        <w:tc>
          <w:tcPr>
            <w:tcW w:w="40" w:type="dxa"/>
            <w:vAlign w:val="bottom"/>
          </w:tcPr>
          <w:p>
            <w:pPr>
              <w:spacing w:after="0"/>
              <w:rPr>
                <w:sz w:val="4"/>
                <w:szCs w:val="4"/>
                <w:color w:val="auto"/>
              </w:rPr>
            </w:pPr>
          </w:p>
        </w:tc>
        <w:tc>
          <w:tcPr>
            <w:tcW w:w="47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196"/>
        </w:trPr>
        <w:tc>
          <w:tcPr>
            <w:tcW w:w="40" w:type="dxa"/>
            <w:vAlign w:val="bottom"/>
          </w:tcPr>
          <w:p>
            <w:pPr>
              <w:spacing w:after="0"/>
              <w:rPr>
                <w:sz w:val="17"/>
                <w:szCs w:val="17"/>
                <w:color w:val="auto"/>
              </w:rPr>
            </w:pPr>
          </w:p>
        </w:tc>
        <w:tc>
          <w:tcPr>
            <w:tcW w:w="4740" w:type="dxa"/>
            <w:vAlign w:val="bottom"/>
          </w:tcPr>
          <w:p>
            <w:pPr>
              <w:ind w:left="20"/>
              <w:spacing w:after="0"/>
              <w:rPr>
                <w:sz w:val="20"/>
                <w:szCs w:val="20"/>
                <w:color w:val="auto"/>
              </w:rPr>
            </w:pPr>
            <w:r>
              <w:rPr>
                <w:rFonts w:ascii="Arial" w:cs="Arial" w:eastAsia="Arial" w:hAnsi="Arial"/>
                <w:sz w:val="14"/>
                <w:szCs w:val="14"/>
                <w:color w:val="auto"/>
              </w:rPr>
              <w:t>Adjusted net income attributable to common stock</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93</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111</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506</w:t>
            </w: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3"/>
        </w:trPr>
        <w:tc>
          <w:tcPr>
            <w:tcW w:w="40" w:type="dxa"/>
            <w:vAlign w:val="bottom"/>
          </w:tcPr>
          <w:p>
            <w:pPr>
              <w:spacing w:after="0"/>
              <w:rPr>
                <w:sz w:val="24"/>
                <w:szCs w:val="24"/>
                <w:color w:val="auto"/>
              </w:rPr>
            </w:pPr>
          </w:p>
        </w:tc>
        <w:tc>
          <w:tcPr>
            <w:tcW w:w="4740" w:type="dxa"/>
            <w:vAlign w:val="bottom"/>
          </w:tcPr>
          <w:p>
            <w:pPr>
              <w:ind w:left="20"/>
              <w:spacing w:after="0"/>
              <w:rPr>
                <w:sz w:val="20"/>
                <w:szCs w:val="20"/>
                <w:color w:val="auto"/>
              </w:rPr>
            </w:pPr>
            <w:r>
              <w:rPr>
                <w:rFonts w:ascii="Arial" w:cs="Arial" w:eastAsia="Arial" w:hAnsi="Arial"/>
                <w:sz w:val="14"/>
                <w:szCs w:val="14"/>
                <w:color w:val="auto"/>
              </w:rPr>
              <w:t>Net income attributable to common stock per share - basic</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1.14</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5.75</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8.91</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6.94</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7.46</w:t>
            </w:r>
          </w:p>
        </w:tc>
        <w:tc>
          <w:tcPr>
            <w:tcW w:w="20" w:type="dxa"/>
            <w:vAlign w:val="bottom"/>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4740" w:type="dxa"/>
            <w:vAlign w:val="bottom"/>
          </w:tcPr>
          <w:p>
            <w:pPr>
              <w:ind w:left="20"/>
              <w:spacing w:after="0"/>
              <w:rPr>
                <w:sz w:val="20"/>
                <w:szCs w:val="20"/>
                <w:color w:val="auto"/>
              </w:rPr>
            </w:pPr>
            <w:r>
              <w:rPr>
                <w:rFonts w:ascii="Arial" w:cs="Arial" w:eastAsia="Arial" w:hAnsi="Arial"/>
                <w:sz w:val="14"/>
                <w:szCs w:val="14"/>
                <w:color w:val="auto"/>
              </w:rPr>
              <w:t>Net income attributable to common stock per share - diluted</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1.11</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5.58</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8.71</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6.75</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7.37</w:t>
            </w:r>
          </w:p>
        </w:tc>
        <w:tc>
          <w:tcPr>
            <w:tcW w:w="2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4740" w:type="dxa"/>
            <w:vAlign w:val="bottom"/>
          </w:tcPr>
          <w:p>
            <w:pPr>
              <w:ind w:left="20"/>
              <w:spacing w:after="0"/>
              <w:rPr>
                <w:sz w:val="20"/>
                <w:szCs w:val="20"/>
                <w:color w:val="auto"/>
              </w:rPr>
            </w:pPr>
            <w:r>
              <w:rPr>
                <w:rFonts w:ascii="Arial" w:cs="Arial" w:eastAsia="Arial" w:hAnsi="Arial"/>
                <w:sz w:val="14"/>
                <w:szCs w:val="14"/>
                <w:color w:val="auto"/>
              </w:rPr>
              <w:t>Adjusted net income per share - basic</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1.28</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1.50</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1.85</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5.09</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6.17</w:t>
            </w:r>
          </w:p>
        </w:tc>
        <w:tc>
          <w:tcPr>
            <w:tcW w:w="2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4740" w:type="dxa"/>
            <w:vAlign w:val="bottom"/>
          </w:tcPr>
          <w:p>
            <w:pPr>
              <w:ind w:left="20"/>
              <w:spacing w:after="0"/>
              <w:rPr>
                <w:sz w:val="20"/>
                <w:szCs w:val="20"/>
                <w:color w:val="auto"/>
              </w:rPr>
            </w:pPr>
            <w:r>
              <w:rPr>
                <w:rFonts w:ascii="Arial" w:cs="Arial" w:eastAsia="Arial" w:hAnsi="Arial"/>
                <w:sz w:val="14"/>
                <w:szCs w:val="14"/>
                <w:color w:val="auto"/>
              </w:rPr>
              <w:t>Adjusted net income per share - diluted</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1.24</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1.45</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1.83</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4.95</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6.10</w:t>
            </w:r>
          </w:p>
        </w:tc>
        <w:tc>
          <w:tcPr>
            <w:tcW w:w="20" w:type="dxa"/>
            <w:vAlign w:val="bottom"/>
          </w:tcPr>
          <w:p>
            <w:pPr>
              <w:spacing w:after="0"/>
              <w:rPr>
                <w:sz w:val="17"/>
                <w:szCs w:val="17"/>
                <w:color w:val="auto"/>
              </w:rPr>
            </w:pPr>
          </w:p>
        </w:tc>
      </w:tr>
      <w:tr>
        <w:trPr>
          <w:trHeight w:val="326"/>
        </w:trPr>
        <w:tc>
          <w:tcPr>
            <w:tcW w:w="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1"/>
        </w:trPr>
        <w:tc>
          <w:tcPr>
            <w:tcW w:w="40" w:type="dxa"/>
            <w:vAlign w:val="bottom"/>
            <w:tcBorders>
              <w:bottom w:val="single" w:sz="8" w:color="auto"/>
            </w:tcBorders>
          </w:tcPr>
          <w:p>
            <w:pPr>
              <w:spacing w:after="0" w:line="20" w:lineRule="exact"/>
              <w:rPr>
                <w:sz w:val="1"/>
                <w:szCs w:val="1"/>
                <w:color w:val="auto"/>
              </w:rPr>
            </w:pPr>
          </w:p>
        </w:tc>
        <w:tc>
          <w:tcPr>
            <w:tcW w:w="4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240"/>
          </w:cols>
          <w:pgMar w:left="320" w:top="1062"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225425</wp:posOffset>
            </wp:positionH>
            <wp:positionV relativeFrom="page">
              <wp:posOffset>671830</wp:posOffset>
            </wp:positionV>
            <wp:extent cx="70980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697865</wp:posOffset>
            </wp:positionV>
            <wp:extent cx="70980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98030" cy="8255"/>
                    </a:xfrm>
                    <a:prstGeom prst="rect">
                      <a:avLst/>
                    </a:prstGeom>
                    <a:noFill/>
                  </pic:spPr>
                </pic:pic>
              </a:graphicData>
            </a:graphic>
          </wp:anchor>
        </w:drawing>
        <w:t>ADJUSTED EBITDAX</w:t>
      </w:r>
    </w:p>
    <w:p>
      <w:pPr>
        <w:spacing w:after="0" w:line="136" w:lineRule="exact"/>
        <w:rPr>
          <w:sz w:val="20"/>
          <w:szCs w:val="20"/>
          <w:color w:val="auto"/>
        </w:rPr>
      </w:pPr>
    </w:p>
    <w:p>
      <w:pPr>
        <w:ind w:left="20" w:right="40"/>
        <w:spacing w:after="0" w:line="247" w:lineRule="auto"/>
        <w:rPr>
          <w:sz w:val="20"/>
          <w:szCs w:val="20"/>
          <w:color w:val="auto"/>
        </w:rPr>
      </w:pPr>
      <w:r>
        <w:rPr>
          <w:rFonts w:ascii="Arial" w:cs="Arial" w:eastAsia="Arial" w:hAnsi="Arial"/>
          <w:sz w:val="14"/>
          <w:szCs w:val="14"/>
          <w:color w:val="auto"/>
        </w:rPr>
        <w:t>CRC defines Adjusted EBITDAX as earnings before interest expense; income taxes; depreciation, depletion and amortization; exploration expense; other unusual, infrequent and out-of-period items; and other non-cash items. CRC believes this measure provides useful information in assessing its financial condition, results of operations and cash flows and is widely used by the industry, the investment community and its lenders. Although this is a non-GAAP measure, the amounts included in the calculation were computed in accordance with GAAP. Certain items excluded from this non-GAAP measure are significant components in understanding and assessing CRC’s financial performance, such as its cost of capital and tax structure, as well as depreciation, depletion and amortization of CRC's assets. This measure should be read in conjunction with the information contained in CRC’s financial statements prepared in accordance with GAAP. A version of Adjusted EBITDAX is a material component of certain of its financial covenants under CRC's Revolving Credit Facility and is provided in addition to, and not as an alternative for, income and liquidity measures calculated in accordance with GAAP.</w:t>
      </w:r>
    </w:p>
    <w:p>
      <w:pPr>
        <w:spacing w:after="0" w:line="379" w:lineRule="exact"/>
        <w:rPr>
          <w:sz w:val="20"/>
          <w:szCs w:val="20"/>
          <w:color w:val="auto"/>
        </w:rPr>
      </w:pPr>
    </w:p>
    <w:p>
      <w:pPr>
        <w:ind w:left="20" w:right="100"/>
        <w:spacing w:after="0" w:line="241" w:lineRule="auto"/>
        <w:rPr>
          <w:sz w:val="20"/>
          <w:szCs w:val="20"/>
          <w:color w:val="auto"/>
        </w:rPr>
      </w:pPr>
      <w:r>
        <w:rPr>
          <w:rFonts w:ascii="Arial" w:cs="Arial" w:eastAsia="Arial" w:hAnsi="Arial"/>
          <w:sz w:val="14"/>
          <w:szCs w:val="14"/>
          <w:color w:val="auto"/>
        </w:rPr>
        <w:t>The following table represents a reconciliation of the GAAP financial measures of net income and net cash provided by operating activities to the non-GAAP financial measure of adjusted EBITDAX. CRC has supplemented its non-GAAP measures of consolidated adjusted EBITDAX with adjusted EBITDAX for its exploration and production and</w:t>
      </w:r>
    </w:p>
    <w:p>
      <w:pPr>
        <w:spacing w:after="0" w:line="1" w:lineRule="exact"/>
        <w:rPr>
          <w:sz w:val="20"/>
          <w:szCs w:val="20"/>
          <w:color w:val="auto"/>
        </w:rPr>
      </w:pPr>
    </w:p>
    <w:p>
      <w:pPr>
        <w:jc w:val="both"/>
        <w:ind w:left="20" w:right="280"/>
        <w:spacing w:after="0" w:line="257" w:lineRule="auto"/>
        <w:rPr>
          <w:sz w:val="20"/>
          <w:szCs w:val="20"/>
          <w:color w:val="auto"/>
        </w:rPr>
      </w:pPr>
      <w:r>
        <w:rPr>
          <w:rFonts w:ascii="Arial" w:cs="Arial" w:eastAsia="Arial" w:hAnsi="Arial"/>
          <w:sz w:val="14"/>
          <w:szCs w:val="14"/>
          <w:color w:val="auto"/>
        </w:rPr>
        <w:t>corporate items (Adjusted EBITDAX for E&amp;P, Corporate &amp; Other) which management believes is a useful measure for investors to understand the results of the core oil and gas business. CRC defines adjusted EBITDAX for E&amp;P, Corporate &amp; Other as consolidated adjusted EBITDAX less results attributable to its carbon management business (CMB).</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4th Quarter</w:t>
            </w:r>
          </w:p>
        </w:tc>
        <w:tc>
          <w:tcPr>
            <w:tcW w:w="14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3rd Quarter</w:t>
            </w:r>
          </w:p>
        </w:tc>
        <w:tc>
          <w:tcPr>
            <w:tcW w:w="160" w:type="dxa"/>
            <w:vAlign w:val="bottom"/>
          </w:tcPr>
          <w:p>
            <w:pPr>
              <w:spacing w:after="0"/>
              <w:rPr>
                <w:sz w:val="17"/>
                <w:szCs w:val="17"/>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4th Quarter</w:t>
            </w:r>
          </w:p>
        </w:tc>
        <w:tc>
          <w:tcPr>
            <w:tcW w:w="180" w:type="dxa"/>
            <w:vAlign w:val="bottom"/>
          </w:tcPr>
          <w:p>
            <w:pPr>
              <w:spacing w:after="0"/>
              <w:rPr>
                <w:sz w:val="17"/>
                <w:szCs w:val="17"/>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 Year</w:t>
            </w:r>
          </w:p>
        </w:tc>
        <w:tc>
          <w:tcPr>
            <w:tcW w:w="200" w:type="dxa"/>
            <w:vAlign w:val="bottom"/>
          </w:tcPr>
          <w:p>
            <w:pPr>
              <w:spacing w:after="0"/>
              <w:rPr>
                <w:sz w:val="17"/>
                <w:szCs w:val="17"/>
                <w:color w:val="auto"/>
              </w:rPr>
            </w:pPr>
          </w:p>
        </w:tc>
        <w:tc>
          <w:tcPr>
            <w:tcW w:w="1040" w:type="dxa"/>
            <w:vAlign w:val="bottom"/>
          </w:tcPr>
          <w:p>
            <w:pPr>
              <w:jc w:val="right"/>
              <w:ind w:right="208"/>
              <w:spacing w:after="0"/>
              <w:rPr>
                <w:sz w:val="20"/>
                <w:szCs w:val="20"/>
                <w:color w:val="auto"/>
              </w:rPr>
            </w:pPr>
            <w:r>
              <w:rPr>
                <w:rFonts w:ascii="Arial" w:cs="Arial" w:eastAsia="Arial" w:hAnsi="Arial"/>
                <w:sz w:val="14"/>
                <w:szCs w:val="14"/>
                <w:b w:val="1"/>
                <w:bCs w:val="1"/>
                <w:color w:val="auto"/>
              </w:rPr>
              <w:t>Total Year</w:t>
            </w:r>
          </w:p>
        </w:tc>
      </w:tr>
      <w:tr>
        <w:trPr>
          <w:trHeight w:val="203"/>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 except per BOE amounts)</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r>
      <w:tr>
        <w:trPr>
          <w:trHeight w:val="195"/>
        </w:trPr>
        <w:tc>
          <w:tcPr>
            <w:tcW w:w="45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426</w:t>
            </w:r>
          </w:p>
        </w:tc>
        <w:tc>
          <w:tcPr>
            <w:tcW w:w="2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714</w:t>
            </w:r>
          </w:p>
        </w:tc>
        <w:tc>
          <w:tcPr>
            <w:tcW w:w="2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524</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625</w:t>
            </w:r>
          </w:p>
        </w:tc>
      </w:tr>
      <w:tr>
        <w:trPr>
          <w:trHeight w:val="203"/>
        </w:trPr>
        <w:tc>
          <w:tcPr>
            <w:tcW w:w="4500" w:type="dxa"/>
            <w:vAlign w:val="bottom"/>
          </w:tcPr>
          <w:p>
            <w:pPr>
              <w:ind w:left="140"/>
              <w:spacing w:after="0"/>
              <w:rPr>
                <w:sz w:val="20"/>
                <w:szCs w:val="20"/>
                <w:color w:val="auto"/>
              </w:rPr>
            </w:pPr>
            <w:r>
              <w:rPr>
                <w:rFonts w:ascii="Arial" w:cs="Arial" w:eastAsia="Arial" w:hAnsi="Arial"/>
                <w:sz w:val="14"/>
                <w:szCs w:val="14"/>
                <w:color w:val="auto"/>
              </w:rPr>
              <w:t>Interest and debt expense</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13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54</w:t>
            </w:r>
          </w:p>
        </w:tc>
      </w:tr>
      <w:tr>
        <w:trPr>
          <w:trHeight w:val="203"/>
        </w:trPr>
        <w:tc>
          <w:tcPr>
            <w:tcW w:w="4500" w:type="dxa"/>
            <w:vAlign w:val="bottom"/>
          </w:tcPr>
          <w:p>
            <w:pPr>
              <w:ind w:left="140"/>
              <w:spacing w:after="0"/>
              <w:rPr>
                <w:sz w:val="20"/>
                <w:szCs w:val="20"/>
                <w:color w:val="auto"/>
              </w:rPr>
            </w:pPr>
            <w:r>
              <w:rPr>
                <w:rFonts w:ascii="Arial" w:cs="Arial" w:eastAsia="Arial" w:hAnsi="Arial"/>
                <w:sz w:val="14"/>
                <w:szCs w:val="14"/>
                <w:color w:val="auto"/>
              </w:rPr>
              <w:t>Depreciation, depletion and amortization</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50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198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213</w:t>
            </w:r>
          </w:p>
        </w:tc>
      </w:tr>
      <w:tr>
        <w:trPr>
          <w:trHeight w:val="203"/>
        </w:trPr>
        <w:tc>
          <w:tcPr>
            <w:tcW w:w="4500" w:type="dxa"/>
            <w:vAlign w:val="bottom"/>
          </w:tcPr>
          <w:p>
            <w:pPr>
              <w:ind w:left="140"/>
              <w:spacing w:after="0"/>
              <w:rPr>
                <w:sz w:val="20"/>
                <w:szCs w:val="20"/>
                <w:color w:val="auto"/>
              </w:rPr>
            </w:pPr>
            <w:r>
              <w:rPr>
                <w:rFonts w:ascii="Arial" w:cs="Arial" w:eastAsia="Arial" w:hAnsi="Arial"/>
                <w:sz w:val="14"/>
                <w:szCs w:val="14"/>
                <w:color w:val="auto"/>
              </w:rPr>
              <w:t>Income tax provision (benefit)</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153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(396)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237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(396)</w:t>
            </w:r>
          </w:p>
        </w:tc>
      </w:tr>
      <w:tr>
        <w:trPr>
          <w:trHeight w:val="203"/>
        </w:trPr>
        <w:tc>
          <w:tcPr>
            <w:tcW w:w="4500" w:type="dxa"/>
            <w:vAlign w:val="bottom"/>
          </w:tcPr>
          <w:p>
            <w:pPr>
              <w:ind w:left="140"/>
              <w:spacing w:after="0"/>
              <w:rPr>
                <w:sz w:val="20"/>
                <w:szCs w:val="20"/>
                <w:color w:val="auto"/>
              </w:rPr>
            </w:pPr>
            <w:r>
              <w:rPr>
                <w:rFonts w:ascii="Arial" w:cs="Arial" w:eastAsia="Arial" w:hAnsi="Arial"/>
                <w:sz w:val="14"/>
                <w:szCs w:val="14"/>
                <w:color w:val="auto"/>
              </w:rPr>
              <w:t>Exploration expense</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7</w:t>
            </w:r>
          </w:p>
        </w:tc>
      </w:tr>
      <w:tr>
        <w:trPr>
          <w:trHeight w:val="170"/>
        </w:trPr>
        <w:tc>
          <w:tcPr>
            <w:tcW w:w="4500" w:type="dxa"/>
            <w:vAlign w:val="bottom"/>
          </w:tcPr>
          <w:p>
            <w:pPr>
              <w:ind w:left="140"/>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r>
      <w:tr>
        <w:trPr>
          <w:trHeight w:val="242"/>
        </w:trPr>
        <w:tc>
          <w:tcPr>
            <w:tcW w:w="4500" w:type="dxa"/>
            <w:vAlign w:val="bottom"/>
          </w:tcPr>
          <w:p>
            <w:pPr>
              <w:ind w:left="140"/>
              <w:spacing w:after="0" w:line="242" w:lineRule="exact"/>
              <w:rPr>
                <w:sz w:val="20"/>
                <w:szCs w:val="20"/>
                <w:color w:val="auto"/>
              </w:rPr>
            </w:pPr>
            <w:r>
              <w:rPr>
                <w:rFonts w:ascii="Arial" w:cs="Arial" w:eastAsia="Arial" w:hAnsi="Arial"/>
                <w:sz w:val="14"/>
                <w:szCs w:val="14"/>
                <w:color w:val="auto"/>
              </w:rPr>
              <w:t xml:space="preserve">Unusual, infrequent and other items </w:t>
            </w:r>
            <w:r>
              <w:rPr>
                <w:rFonts w:ascii="Arial" w:cs="Arial" w:eastAsia="Arial" w:hAnsi="Arial"/>
                <w:sz w:val="23"/>
                <w:szCs w:val="23"/>
                <w:color w:val="auto"/>
                <w:vertAlign w:val="superscript"/>
              </w:rPr>
              <w:t>(1)</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(423)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(143)</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290</w:t>
            </w:r>
          </w:p>
        </w:tc>
      </w:tr>
      <w:tr>
        <w:trPr>
          <w:trHeight w:val="190"/>
        </w:trPr>
        <w:tc>
          <w:tcPr>
            <w:tcW w:w="4500" w:type="dxa"/>
            <w:vAlign w:val="bottom"/>
          </w:tcPr>
          <w:p>
            <w:pPr>
              <w:ind w:left="140"/>
              <w:spacing w:after="0"/>
              <w:rPr>
                <w:sz w:val="20"/>
                <w:szCs w:val="20"/>
                <w:color w:val="auto"/>
              </w:rPr>
            </w:pPr>
            <w:r>
              <w:rPr>
                <w:rFonts w:ascii="Arial" w:cs="Arial" w:eastAsia="Arial" w:hAnsi="Arial"/>
                <w:sz w:val="14"/>
                <w:szCs w:val="14"/>
                <w:color w:val="auto"/>
              </w:rPr>
              <w:t>Non-cash items</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8"/>
        </w:trPr>
        <w:tc>
          <w:tcPr>
            <w:tcW w:w="4500" w:type="dxa"/>
            <w:vAlign w:val="bottom"/>
          </w:tcPr>
          <w:p>
            <w:pPr>
              <w:ind w:left="240"/>
              <w:spacing w:after="0"/>
              <w:rPr>
                <w:sz w:val="20"/>
                <w:szCs w:val="20"/>
                <w:color w:val="auto"/>
              </w:rPr>
            </w:pPr>
            <w:r>
              <w:rPr>
                <w:rFonts w:ascii="Arial" w:cs="Arial" w:eastAsia="Arial" w:hAnsi="Arial"/>
                <w:sz w:val="14"/>
                <w:szCs w:val="14"/>
                <w:color w:val="auto"/>
              </w:rPr>
              <w:t>Accretion expense</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50</w:t>
            </w:r>
          </w:p>
        </w:tc>
      </w:tr>
      <w:tr>
        <w:trPr>
          <w:trHeight w:val="203"/>
        </w:trPr>
        <w:tc>
          <w:tcPr>
            <w:tcW w:w="450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14</w:t>
            </w:r>
          </w:p>
        </w:tc>
      </w:tr>
      <w:tr>
        <w:trPr>
          <w:trHeight w:val="203"/>
        </w:trPr>
        <w:tc>
          <w:tcPr>
            <w:tcW w:w="4500" w:type="dxa"/>
            <w:vAlign w:val="bottom"/>
          </w:tcPr>
          <w:p>
            <w:pPr>
              <w:ind w:left="260"/>
              <w:spacing w:after="0"/>
              <w:rPr>
                <w:sz w:val="20"/>
                <w:szCs w:val="20"/>
                <w:color w:val="auto"/>
              </w:rPr>
            </w:pPr>
            <w:r>
              <w:rPr>
                <w:rFonts w:ascii="Arial" w:cs="Arial" w:eastAsia="Arial" w:hAnsi="Arial"/>
                <w:sz w:val="14"/>
                <w:szCs w:val="14"/>
                <w:color w:val="auto"/>
              </w:rPr>
              <w:t>Post-retirement medical and pension</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3</w:t>
            </w:r>
          </w:p>
        </w:tc>
      </w:tr>
      <w:tr>
        <w:trPr>
          <w:trHeight w:val="197"/>
        </w:trPr>
        <w:tc>
          <w:tcPr>
            <w:tcW w:w="4500" w:type="dxa"/>
            <w:vAlign w:val="bottom"/>
          </w:tcPr>
          <w:p>
            <w:pPr>
              <w:ind w:left="20"/>
              <w:spacing w:after="0"/>
              <w:rPr>
                <w:sz w:val="20"/>
                <w:szCs w:val="20"/>
                <w:color w:val="auto"/>
              </w:rPr>
            </w:pPr>
            <w:r>
              <w:rPr>
                <w:rFonts w:ascii="Arial" w:cs="Arial" w:eastAsia="Arial" w:hAnsi="Arial"/>
                <w:sz w:val="14"/>
                <w:szCs w:val="14"/>
                <w:b w:val="1"/>
                <w:bCs w:val="1"/>
                <w:color w:val="auto"/>
              </w:rPr>
              <w:t>Adjusted EBITDAX</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234</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260</w:t>
            </w:r>
          </w:p>
        </w:tc>
        <w:tc>
          <w:tcPr>
            <w:tcW w:w="2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860</w:t>
            </w:r>
          </w:p>
        </w:tc>
      </w:tr>
      <w:tr>
        <w:trPr>
          <w:trHeight w:val="20"/>
        </w:trPr>
        <w:tc>
          <w:tcPr>
            <w:tcW w:w="4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83"/>
        </w:trPr>
        <w:tc>
          <w:tcPr>
            <w:tcW w:w="450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114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235</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204</w:t>
            </w:r>
          </w:p>
        </w:tc>
        <w:tc>
          <w:tcPr>
            <w:tcW w:w="2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690</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660</w:t>
            </w:r>
          </w:p>
        </w:tc>
      </w:tr>
      <w:tr>
        <w:trPr>
          <w:trHeight w:val="203"/>
        </w:trPr>
        <w:tc>
          <w:tcPr>
            <w:tcW w:w="4500" w:type="dxa"/>
            <w:vAlign w:val="bottom"/>
          </w:tcPr>
          <w:p>
            <w:pPr>
              <w:ind w:left="140"/>
              <w:spacing w:after="0"/>
              <w:rPr>
                <w:sz w:val="20"/>
                <w:szCs w:val="20"/>
                <w:color w:val="auto"/>
              </w:rPr>
            </w:pPr>
            <w:r>
              <w:rPr>
                <w:rFonts w:ascii="Arial" w:cs="Arial" w:eastAsia="Arial" w:hAnsi="Arial"/>
                <w:sz w:val="14"/>
                <w:szCs w:val="14"/>
                <w:color w:val="auto"/>
              </w:rPr>
              <w:t>Cash interest payments</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23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50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31</w:t>
            </w:r>
          </w:p>
        </w:tc>
      </w:tr>
      <w:tr>
        <w:trPr>
          <w:trHeight w:val="203"/>
        </w:trPr>
        <w:tc>
          <w:tcPr>
            <w:tcW w:w="4500" w:type="dxa"/>
            <w:vAlign w:val="bottom"/>
          </w:tcPr>
          <w:p>
            <w:pPr>
              <w:ind w:left="140"/>
              <w:spacing w:after="0"/>
              <w:rPr>
                <w:sz w:val="20"/>
                <w:szCs w:val="20"/>
                <w:color w:val="auto"/>
              </w:rPr>
            </w:pPr>
            <w:r>
              <w:rPr>
                <w:rFonts w:ascii="Arial" w:cs="Arial" w:eastAsia="Arial" w:hAnsi="Arial"/>
                <w:sz w:val="14"/>
                <w:szCs w:val="14"/>
                <w:color w:val="auto"/>
              </w:rPr>
              <w:t>Cash interest received</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r>
      <w:tr>
        <w:trPr>
          <w:trHeight w:val="203"/>
        </w:trPr>
        <w:tc>
          <w:tcPr>
            <w:tcW w:w="4500" w:type="dxa"/>
            <w:vAlign w:val="bottom"/>
          </w:tcPr>
          <w:p>
            <w:pPr>
              <w:ind w:left="140"/>
              <w:spacing w:after="0"/>
              <w:rPr>
                <w:sz w:val="20"/>
                <w:szCs w:val="20"/>
                <w:color w:val="auto"/>
              </w:rPr>
            </w:pPr>
            <w:r>
              <w:rPr>
                <w:rFonts w:ascii="Arial" w:cs="Arial" w:eastAsia="Arial" w:hAnsi="Arial"/>
                <w:sz w:val="14"/>
                <w:szCs w:val="14"/>
                <w:color w:val="auto"/>
              </w:rPr>
              <w:t>Cash income taxes</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r>
      <w:tr>
        <w:trPr>
          <w:trHeight w:val="203"/>
        </w:trPr>
        <w:tc>
          <w:tcPr>
            <w:tcW w:w="4500" w:type="dxa"/>
            <w:vAlign w:val="bottom"/>
          </w:tcPr>
          <w:p>
            <w:pPr>
              <w:ind w:left="140"/>
              <w:spacing w:after="0"/>
              <w:rPr>
                <w:sz w:val="20"/>
                <w:szCs w:val="20"/>
                <w:color w:val="auto"/>
              </w:rPr>
            </w:pPr>
            <w:r>
              <w:rPr>
                <w:rFonts w:ascii="Arial" w:cs="Arial" w:eastAsia="Arial" w:hAnsi="Arial"/>
                <w:sz w:val="14"/>
                <w:szCs w:val="14"/>
                <w:color w:val="auto"/>
              </w:rPr>
              <w:t>Exploration expenditures</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7</w:t>
            </w:r>
          </w:p>
        </w:tc>
      </w:tr>
      <w:tr>
        <w:trPr>
          <w:trHeight w:val="203"/>
        </w:trPr>
        <w:tc>
          <w:tcPr>
            <w:tcW w:w="4500" w:type="dxa"/>
            <w:vAlign w:val="bottom"/>
          </w:tcPr>
          <w:p>
            <w:pPr>
              <w:ind w:left="140"/>
              <w:spacing w:after="0"/>
              <w:rPr>
                <w:sz w:val="20"/>
                <w:szCs w:val="20"/>
                <w:color w:val="auto"/>
              </w:rPr>
            </w:pPr>
            <w:r>
              <w:rPr>
                <w:rFonts w:ascii="Arial" w:cs="Arial" w:eastAsia="Arial" w:hAnsi="Arial"/>
                <w:sz w:val="14"/>
                <w:szCs w:val="14"/>
                <w:color w:val="auto"/>
              </w:rPr>
              <w:t>Working capital changes</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92</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162</w:t>
            </w:r>
          </w:p>
        </w:tc>
      </w:tr>
      <w:tr>
        <w:trPr>
          <w:trHeight w:val="197"/>
        </w:trPr>
        <w:tc>
          <w:tcPr>
            <w:tcW w:w="4500" w:type="dxa"/>
            <w:vAlign w:val="bottom"/>
          </w:tcPr>
          <w:p>
            <w:pPr>
              <w:ind w:left="20"/>
              <w:spacing w:after="0"/>
              <w:rPr>
                <w:sz w:val="20"/>
                <w:szCs w:val="20"/>
                <w:color w:val="auto"/>
              </w:rPr>
            </w:pPr>
            <w:r>
              <w:rPr>
                <w:rFonts w:ascii="Arial" w:cs="Arial" w:eastAsia="Arial" w:hAnsi="Arial"/>
                <w:sz w:val="14"/>
                <w:szCs w:val="14"/>
                <w:b w:val="1"/>
                <w:bCs w:val="1"/>
                <w:color w:val="auto"/>
              </w:rPr>
              <w:t>Adjusted EBITDAX</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208</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234</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260</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860</w:t>
            </w:r>
          </w:p>
        </w:tc>
      </w:tr>
      <w:tr>
        <w:trPr>
          <w:trHeight w:val="20"/>
        </w:trPr>
        <w:tc>
          <w:tcPr>
            <w:tcW w:w="4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75"/>
        </w:trPr>
        <w:tc>
          <w:tcPr>
            <w:tcW w:w="4500" w:type="dxa"/>
            <w:vAlign w:val="bottom"/>
          </w:tcPr>
          <w:p>
            <w:pPr>
              <w:ind w:left="20"/>
              <w:spacing w:after="0"/>
              <w:rPr>
                <w:sz w:val="20"/>
                <w:szCs w:val="20"/>
                <w:color w:val="auto"/>
              </w:rPr>
            </w:pPr>
            <w:r>
              <w:rPr>
                <w:rFonts w:ascii="Arial" w:cs="Arial" w:eastAsia="Arial" w:hAnsi="Arial"/>
                <w:sz w:val="14"/>
                <w:szCs w:val="14"/>
                <w:b w:val="1"/>
                <w:bCs w:val="1"/>
                <w:color w:val="auto"/>
              </w:rPr>
              <w:t>E&amp;P, Corporate &amp; Other Adjusted EBITDAX</w:t>
            </w: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223</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239</w:t>
            </w:r>
          </w:p>
        </w:tc>
        <w:tc>
          <w:tcPr>
            <w:tcW w:w="2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242</w:t>
            </w:r>
          </w:p>
        </w:tc>
        <w:tc>
          <w:tcPr>
            <w:tcW w:w="2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879</w:t>
            </w:r>
          </w:p>
        </w:tc>
        <w:tc>
          <w:tcPr>
            <w:tcW w:w="10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600</w:t>
            </w:r>
          </w:p>
        </w:tc>
      </w:tr>
      <w:tr>
        <w:trPr>
          <w:trHeight w:val="203"/>
        </w:trPr>
        <w:tc>
          <w:tcPr>
            <w:tcW w:w="4500" w:type="dxa"/>
            <w:vAlign w:val="bottom"/>
          </w:tcPr>
          <w:p>
            <w:pPr>
              <w:ind w:left="20"/>
              <w:spacing w:after="0"/>
              <w:rPr>
                <w:sz w:val="20"/>
                <w:szCs w:val="20"/>
                <w:color w:val="auto"/>
              </w:rPr>
            </w:pPr>
            <w:r>
              <w:rPr>
                <w:rFonts w:ascii="Arial" w:cs="Arial" w:eastAsia="Arial" w:hAnsi="Arial"/>
                <w:sz w:val="14"/>
                <w:szCs w:val="14"/>
                <w:b w:val="1"/>
                <w:bCs w:val="1"/>
                <w:color w:val="auto"/>
              </w:rPr>
              <w:t>CMB Adjusted EBITDAX</w:t>
            </w: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r>
      <w:tr>
        <w:trPr>
          <w:trHeight w:val="310"/>
        </w:trPr>
        <w:tc>
          <w:tcPr>
            <w:tcW w:w="4500" w:type="dxa"/>
            <w:vAlign w:val="bottom"/>
          </w:tcPr>
          <w:p>
            <w:pPr>
              <w:ind w:left="20"/>
              <w:spacing w:after="0"/>
              <w:rPr>
                <w:sz w:val="20"/>
                <w:szCs w:val="20"/>
                <w:color w:val="auto"/>
              </w:rPr>
            </w:pPr>
            <w:r>
              <w:rPr>
                <w:rFonts w:ascii="Arial" w:cs="Arial" w:eastAsia="Arial" w:hAnsi="Arial"/>
                <w:sz w:val="14"/>
                <w:szCs w:val="14"/>
                <w:b w:val="1"/>
                <w:bCs w:val="1"/>
                <w:color w:val="auto"/>
              </w:rPr>
              <w:t>Adjusted EBITDAX per Boe</w:t>
            </w: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24.94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27.63</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29.22</w:t>
            </w:r>
          </w:p>
        </w:tc>
        <w:tc>
          <w:tcPr>
            <w:tcW w:w="2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25.77</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23.65</w:t>
            </w:r>
          </w:p>
        </w:tc>
      </w:tr>
    </w:tbl>
    <w:p>
      <w:pPr>
        <w:spacing w:after="0" w:line="206" w:lineRule="exact"/>
        <w:rPr>
          <w:sz w:val="20"/>
          <w:szCs w:val="20"/>
          <w:color w:val="auto"/>
        </w:rPr>
      </w:pPr>
    </w:p>
    <w:p>
      <w:pPr>
        <w:ind w:left="160" w:hanging="147"/>
        <w:spacing w:after="0"/>
        <w:tabs>
          <w:tab w:leader="none" w:pos="16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See Adjusted Net Income (Loss) reconciliation.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180"/>
          </w:cols>
          <w:pgMar w:left="360" w:top="1116" w:right="359" w:bottom="1440" w:gutter="0" w:footer="0" w:header="0"/>
        </w:sectPr>
      </w:pPr>
    </w:p>
    <w:bookmarkStart w:id="20" w:name="page21"/>
    <w:bookmarkEnd w:id="20"/>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345440</wp:posOffset>
            </wp:positionH>
            <wp:positionV relativeFrom="page">
              <wp:posOffset>671830</wp:posOffset>
            </wp:positionV>
            <wp:extent cx="68662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66255" cy="8255"/>
                    </a:xfrm>
                    <a:prstGeom prst="rect">
                      <a:avLst/>
                    </a:prstGeom>
                    <a:noFill/>
                  </pic:spPr>
                </pic:pic>
              </a:graphicData>
            </a:graphic>
          </wp:anchor>
        </w:drawing>
        <w:drawing>
          <wp:anchor simplePos="0" relativeHeight="251657728" behindDoc="1" locked="0" layoutInCell="0" allowOverlap="1">
            <wp:simplePos x="0" y="0"/>
            <wp:positionH relativeFrom="page">
              <wp:posOffset>345440</wp:posOffset>
            </wp:positionH>
            <wp:positionV relativeFrom="page">
              <wp:posOffset>697865</wp:posOffset>
            </wp:positionV>
            <wp:extent cx="6866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66255" cy="8255"/>
                    </a:xfrm>
                    <a:prstGeom prst="rect">
                      <a:avLst/>
                    </a:prstGeom>
                    <a:noFill/>
                  </pic:spPr>
                </pic:pic>
              </a:graphicData>
            </a:graphic>
          </wp:anchor>
        </w:drawing>
        <w:t>FREE CASH FLOW</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color w:val="auto"/>
        </w:rPr>
        <w:t>Management uses free cash flow, which is defined by CRC as net cash provided by operating activities less capital investments, as a measure of liquidity. The following</w:t>
      </w:r>
    </w:p>
    <w:p>
      <w:pPr>
        <w:spacing w:after="0" w:line="2" w:lineRule="exact"/>
        <w:rPr>
          <w:sz w:val="20"/>
          <w:szCs w:val="20"/>
          <w:color w:val="auto"/>
        </w:rPr>
      </w:pPr>
    </w:p>
    <w:p>
      <w:pPr>
        <w:ind w:left="20" w:right="100"/>
        <w:spacing w:after="0" w:line="211" w:lineRule="auto"/>
        <w:rPr>
          <w:sz w:val="20"/>
          <w:szCs w:val="20"/>
          <w:color w:val="auto"/>
        </w:rPr>
      </w:pPr>
      <w:r>
        <w:rPr>
          <w:rFonts w:ascii="Arial" w:cs="Arial" w:eastAsia="Arial" w:hAnsi="Arial"/>
          <w:sz w:val="14"/>
          <w:szCs w:val="14"/>
          <w:color w:val="auto"/>
        </w:rPr>
        <w:t>table presents a reconciliation of CRC's net cash provided by operating activities to free cash flow. CRC supplemented its non-GAAP measure of free cash flow with free cash flow of its exploration and production and corporate items (Free Cash Flow for E&amp;P, Corporate &amp; Other) which it believes is a useful measure for investors to</w:t>
      </w:r>
    </w:p>
    <w:p>
      <w:pPr>
        <w:ind w:left="20" w:right="660"/>
        <w:spacing w:after="0" w:line="244" w:lineRule="auto"/>
        <w:rPr>
          <w:sz w:val="20"/>
          <w:szCs w:val="20"/>
          <w:color w:val="auto"/>
        </w:rPr>
      </w:pPr>
      <w:r>
        <w:rPr>
          <w:rFonts w:ascii="Arial" w:cs="Arial" w:eastAsia="Arial" w:hAnsi="Arial"/>
          <w:sz w:val="14"/>
          <w:szCs w:val="14"/>
          <w:color w:val="auto"/>
        </w:rPr>
        <w:t>understand the results of CRC's core oil and gas business. CRC defines Free Cash Flow for E&amp;P, Corporate &amp; Other as consolidated free cash flow less results attributable to its carbon management business (CMB).</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4"/>
          <w:szCs w:val="14"/>
          <w:color w:val="auto"/>
        </w:rPr>
        <w:t>CRC has also excluded bankruptcy related fees during 2021 as a supplemental measure of its free cash flow.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4th Quarter</w:t>
            </w:r>
          </w:p>
        </w:tc>
        <w:tc>
          <w:tcPr>
            <w:tcW w:w="14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3rd Quarter</w:t>
            </w:r>
          </w:p>
        </w:tc>
        <w:tc>
          <w:tcPr>
            <w:tcW w:w="12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4th Quarter</w:t>
            </w:r>
          </w:p>
        </w:tc>
        <w:tc>
          <w:tcPr>
            <w:tcW w:w="16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Year</w:t>
            </w:r>
          </w:p>
        </w:tc>
        <w:tc>
          <w:tcPr>
            <w:tcW w:w="160" w:type="dxa"/>
            <w:vAlign w:val="bottom"/>
          </w:tcPr>
          <w:p>
            <w:pPr>
              <w:spacing w:after="0"/>
              <w:rPr>
                <w:sz w:val="17"/>
                <w:szCs w:val="17"/>
                <w:color w:val="auto"/>
              </w:rPr>
            </w:pPr>
          </w:p>
        </w:tc>
        <w:tc>
          <w:tcPr>
            <w:tcW w:w="940" w:type="dxa"/>
            <w:vAlign w:val="bottom"/>
          </w:tcPr>
          <w:p>
            <w:pPr>
              <w:jc w:val="right"/>
              <w:ind w:right="148"/>
              <w:spacing w:after="0"/>
              <w:rPr>
                <w:sz w:val="20"/>
                <w:szCs w:val="20"/>
                <w:color w:val="auto"/>
              </w:rPr>
            </w:pPr>
            <w:r>
              <w:rPr>
                <w:rFonts w:ascii="Arial" w:cs="Arial" w:eastAsia="Arial" w:hAnsi="Arial"/>
                <w:sz w:val="14"/>
                <w:szCs w:val="14"/>
                <w:b w:val="1"/>
                <w:bCs w:val="1"/>
                <w:color w:val="auto"/>
              </w:rPr>
              <w:t>Total Year</w:t>
            </w:r>
          </w:p>
        </w:tc>
      </w:tr>
      <w:tr>
        <w:trPr>
          <w:trHeight w:val="203"/>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r>
      <w:tr>
        <w:trPr>
          <w:trHeight w:val="452"/>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114</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235</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204</w:t>
            </w: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690</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660</w:t>
            </w:r>
          </w:p>
        </w:tc>
      </w:tr>
      <w:tr>
        <w:trPr>
          <w:trHeight w:val="203"/>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Capital investments</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(107)</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(379)</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(194)</w:t>
            </w:r>
          </w:p>
        </w:tc>
      </w:tr>
      <w:tr>
        <w:trPr>
          <w:trHeight w:val="196"/>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Free cash flow</w:t>
            </w:r>
          </w:p>
        </w:tc>
        <w:tc>
          <w:tcPr>
            <w:tcW w:w="12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39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128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138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311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466</w:t>
            </w:r>
          </w:p>
        </w:tc>
      </w:tr>
      <w:tr>
        <w:trPr>
          <w:trHeight w:val="204"/>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Bankruptcy related fees</w:t>
            </w:r>
          </w:p>
        </w:tc>
        <w:tc>
          <w:tcPr>
            <w:tcW w:w="12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6</w:t>
            </w:r>
          </w:p>
        </w:tc>
      </w:tr>
      <w:tr>
        <w:trPr>
          <w:trHeight w:val="197"/>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Free cash flow, after special items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39</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128</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139</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311</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472</w:t>
            </w:r>
          </w:p>
        </w:tc>
      </w:tr>
      <w:tr>
        <w:trPr>
          <w:trHeight w:val="21"/>
        </w:trPr>
        <w:tc>
          <w:tcPr>
            <w:tcW w:w="4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37"/>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E&amp;P, Corporate and Other Free Cash Flow</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61</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139</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139</w:t>
            </w: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362</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472</w:t>
            </w:r>
          </w:p>
        </w:tc>
      </w:tr>
      <w:tr>
        <w:trPr>
          <w:trHeight w:val="203"/>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CMB Free Cash Flow</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(51)</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0820"/>
          </w:cols>
          <w:pgMar w:left="540" w:top="1116" w:right="539" w:bottom="1440" w:gutter="0" w:footer="0" w:header="0"/>
        </w:sectPr>
      </w:pPr>
    </w:p>
    <w:bookmarkStart w:id="21" w:name="page22"/>
    <w:bookmarkEnd w:id="21"/>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233680</wp:posOffset>
            </wp:positionH>
            <wp:positionV relativeFrom="page">
              <wp:posOffset>671830</wp:posOffset>
            </wp:positionV>
            <wp:extent cx="70891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697865</wp:posOffset>
            </wp:positionV>
            <wp:extent cx="70891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9140" cy="8255"/>
                    </a:xfrm>
                    <a:prstGeom prst="rect">
                      <a:avLst/>
                    </a:prstGeom>
                    <a:noFill/>
                  </pic:spPr>
                </pic:pic>
              </a:graphicData>
            </a:graphic>
          </wp:anchor>
        </w:drawing>
        <w:t>ADJUSTED GENERAL &amp; ADMINISTRATIVE EXPENSES</w:t>
      </w:r>
    </w:p>
    <w:p>
      <w:pPr>
        <w:spacing w:after="0" w:line="136" w:lineRule="exact"/>
        <w:rPr>
          <w:sz w:val="20"/>
          <w:szCs w:val="20"/>
          <w:color w:val="auto"/>
        </w:rPr>
      </w:pPr>
    </w:p>
    <w:p>
      <w:pPr>
        <w:ind w:left="20" w:right="60"/>
        <w:spacing w:after="0" w:line="252" w:lineRule="auto"/>
        <w:rPr>
          <w:sz w:val="20"/>
          <w:szCs w:val="20"/>
          <w:color w:val="auto"/>
        </w:rPr>
      </w:pPr>
      <w:r>
        <w:rPr>
          <w:rFonts w:ascii="Arial" w:cs="Arial" w:eastAsia="Arial" w:hAnsi="Arial"/>
          <w:sz w:val="14"/>
          <w:szCs w:val="14"/>
          <w:color w:val="auto"/>
        </w:rPr>
        <w:t>Management uses a measure called adjusted general and administrative (G&amp;A) expenses to provide useful information to investors interested in comparing our costs between periods and performance to our peers. CRC supplemented its non-GAAP measure of adjusted general and administrative expenses with adjusted general and administrative expenses of its exploration and production and corporate items (Adjusted General &amp; Administrative Expenses for E&amp;P, Corporate &amp; Other) which it believes is a useful measure for investors to understand the results or CRC's core oil and gas business. CRC defines Adjusted General &amp; Administrative Expenses for E&amp;P, Corporate &amp; Other as consolidated adjusted general and administrative expenses less results attributable to its carbon management business (CMB).</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b w:val="1"/>
                <w:bCs w:val="1"/>
                <w:color w:val="auto"/>
              </w:rPr>
              <w:t>4th Quarter</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3rd Quarter</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4th Quarter</w:t>
            </w:r>
          </w:p>
        </w:tc>
        <w:tc>
          <w:tcPr>
            <w:tcW w:w="160" w:type="dxa"/>
            <w:vAlign w:val="bottom"/>
          </w:tcPr>
          <w:p>
            <w:pPr>
              <w:spacing w:after="0"/>
              <w:rPr>
                <w:sz w:val="17"/>
                <w:szCs w:val="17"/>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 Year</w:t>
            </w:r>
          </w:p>
        </w:tc>
        <w:tc>
          <w:tcPr>
            <w:tcW w:w="160" w:type="dxa"/>
            <w:vAlign w:val="bottom"/>
          </w:tcPr>
          <w:p>
            <w:pPr>
              <w:spacing w:after="0"/>
              <w:rPr>
                <w:sz w:val="17"/>
                <w:szCs w:val="17"/>
                <w:color w:val="auto"/>
              </w:rPr>
            </w:pPr>
          </w:p>
        </w:tc>
        <w:tc>
          <w:tcPr>
            <w:tcW w:w="1040" w:type="dxa"/>
            <w:vAlign w:val="bottom"/>
          </w:tcPr>
          <w:p>
            <w:pPr>
              <w:jc w:val="right"/>
              <w:ind w:right="208"/>
              <w:spacing w:after="0"/>
              <w:rPr>
                <w:sz w:val="20"/>
                <w:szCs w:val="20"/>
                <w:color w:val="auto"/>
              </w:rPr>
            </w:pPr>
            <w:r>
              <w:rPr>
                <w:rFonts w:ascii="Arial" w:cs="Arial" w:eastAsia="Arial" w:hAnsi="Arial"/>
                <w:sz w:val="14"/>
                <w:szCs w:val="14"/>
                <w:b w:val="1"/>
                <w:bCs w:val="1"/>
                <w:color w:val="auto"/>
              </w:rPr>
              <w:t>Total Year</w:t>
            </w:r>
          </w:p>
        </w:tc>
      </w:tr>
      <w:tr>
        <w:trPr>
          <w:trHeight w:val="203"/>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r>
      <w:tr>
        <w:trPr>
          <w:trHeight w:val="195"/>
        </w:trPr>
        <w:tc>
          <w:tcPr>
            <w:tcW w:w="4520" w:type="dxa"/>
            <w:vAlign w:val="bottom"/>
          </w:tcPr>
          <w:p>
            <w:pPr>
              <w:ind w:left="20"/>
              <w:spacing w:after="0"/>
              <w:rPr>
                <w:sz w:val="20"/>
                <w:szCs w:val="20"/>
                <w:color w:val="auto"/>
              </w:rPr>
            </w:pPr>
            <w:r>
              <w:rPr>
                <w:rFonts w:ascii="Arial" w:cs="Arial" w:eastAsia="Arial" w:hAnsi="Arial"/>
                <w:sz w:val="14"/>
                <w:szCs w:val="14"/>
                <w:color w:val="auto"/>
              </w:rPr>
              <w:t>General and administrative expenses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59</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59</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222</w:t>
            </w:r>
          </w:p>
        </w:tc>
        <w:tc>
          <w:tcPr>
            <w:tcW w:w="1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200</w:t>
            </w:r>
          </w:p>
        </w:tc>
      </w:tr>
      <w:tr>
        <w:trPr>
          <w:trHeight w:val="203"/>
        </w:trPr>
        <w:tc>
          <w:tcPr>
            <w:tcW w:w="452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(14)</w:t>
            </w:r>
          </w:p>
        </w:tc>
      </w:tr>
      <w:tr>
        <w:trPr>
          <w:trHeight w:val="204"/>
        </w:trPr>
        <w:tc>
          <w:tcPr>
            <w:tcW w:w="4520" w:type="dxa"/>
            <w:vAlign w:val="bottom"/>
          </w:tcPr>
          <w:p>
            <w:pPr>
              <w:ind w:left="2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r>
      <w:tr>
        <w:trPr>
          <w:trHeight w:val="197"/>
        </w:trPr>
        <w:tc>
          <w:tcPr>
            <w:tcW w:w="4520" w:type="dxa"/>
            <w:vAlign w:val="bottom"/>
          </w:tcPr>
          <w:p>
            <w:pPr>
              <w:ind w:left="20"/>
              <w:spacing w:after="0"/>
              <w:rPr>
                <w:sz w:val="20"/>
                <w:szCs w:val="20"/>
                <w:color w:val="auto"/>
              </w:rPr>
            </w:pPr>
            <w:r>
              <w:rPr>
                <w:rFonts w:ascii="Arial" w:cs="Arial" w:eastAsia="Arial" w:hAnsi="Arial"/>
                <w:sz w:val="14"/>
                <w:szCs w:val="14"/>
                <w:color w:val="auto"/>
              </w:rPr>
              <w:t>Adjusted G&amp;A expenses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53</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53</w:t>
            </w:r>
          </w:p>
        </w:tc>
        <w:tc>
          <w:tcPr>
            <w:tcW w:w="480" w:type="dxa"/>
            <w:vAlign w:val="bottom"/>
            <w:gridSpan w:val="2"/>
          </w:tcPr>
          <w:p>
            <w:pPr>
              <w:jc w:val="right"/>
              <w:ind w:right="60"/>
              <w:spacing w:after="0" w:line="197" w:lineRule="exact"/>
              <w:rPr>
                <w:sz w:val="20"/>
                <w:szCs w:val="20"/>
                <w:color w:val="auto"/>
              </w:rPr>
            </w:pPr>
            <w:r>
              <w:rPr>
                <w:rFonts w:ascii="Arial" w:cs="Arial" w:eastAsia="Arial" w:hAnsi="Arial"/>
                <w:sz w:val="12"/>
                <w:szCs w:val="12"/>
                <w:color w:val="auto"/>
              </w:rPr>
              <w:t xml:space="preserve">$— </w:t>
            </w:r>
            <w:r>
              <w:rPr>
                <w:rFonts w:ascii="Arial" w:cs="Arial" w:eastAsia="Arial" w:hAnsi="Arial"/>
                <w:sz w:val="22"/>
                <w:szCs w:val="22"/>
                <w:b w:val="1"/>
                <w:bCs w:val="1"/>
                <w:color w:val="auto"/>
                <w:vertAlign w:val="superscript"/>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201</w:t>
            </w:r>
          </w:p>
        </w:tc>
        <w:tc>
          <w:tcPr>
            <w:tcW w:w="18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186</w:t>
            </w:r>
          </w:p>
        </w:tc>
      </w:tr>
      <w:tr>
        <w:trPr>
          <w:trHeight w:val="20"/>
        </w:trPr>
        <w:tc>
          <w:tcPr>
            <w:tcW w:w="4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412"/>
        </w:trPr>
        <w:tc>
          <w:tcPr>
            <w:tcW w:w="4520" w:type="dxa"/>
            <w:vAlign w:val="bottom"/>
          </w:tcPr>
          <w:p>
            <w:pPr>
              <w:ind w:left="20"/>
              <w:spacing w:after="0"/>
              <w:rPr>
                <w:sz w:val="20"/>
                <w:szCs w:val="20"/>
                <w:color w:val="auto"/>
              </w:rPr>
            </w:pPr>
            <w:r>
              <w:rPr>
                <w:rFonts w:ascii="Arial" w:cs="Arial" w:eastAsia="Arial" w:hAnsi="Arial"/>
                <w:sz w:val="14"/>
                <w:szCs w:val="14"/>
                <w:color w:val="auto"/>
              </w:rPr>
              <w:t>E&amp;P, Corporate and Other Adjusted G&amp;A expenses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51</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w:t>
            </w:r>
            <w:r>
              <w:rPr>
                <w:rFonts w:ascii="Arial" w:cs="Arial" w:eastAsia="Arial" w:hAnsi="Arial"/>
                <w:sz w:val="14"/>
                <w:szCs w:val="14"/>
                <w:b w:val="1"/>
                <w:bCs w:val="1"/>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48</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49</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189</w:t>
            </w:r>
          </w:p>
        </w:tc>
        <w:tc>
          <w:tcPr>
            <w:tcW w:w="180" w:type="dxa"/>
            <w:vAlign w:val="bottom"/>
          </w:tcPr>
          <w:p>
            <w:pPr>
              <w:spacing w:after="0"/>
              <w:rPr>
                <w:sz w:val="24"/>
                <w:szCs w:val="2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186</w:t>
            </w:r>
          </w:p>
        </w:tc>
      </w:tr>
      <w:tr>
        <w:trPr>
          <w:trHeight w:val="200"/>
        </w:trPr>
        <w:tc>
          <w:tcPr>
            <w:tcW w:w="4520" w:type="dxa"/>
            <w:vAlign w:val="bottom"/>
          </w:tcPr>
          <w:p>
            <w:pPr>
              <w:ind w:left="20"/>
              <w:spacing w:after="0"/>
              <w:rPr>
                <w:sz w:val="20"/>
                <w:szCs w:val="20"/>
                <w:color w:val="auto"/>
              </w:rPr>
            </w:pPr>
            <w:r>
              <w:rPr>
                <w:rFonts w:ascii="Arial" w:cs="Arial" w:eastAsia="Arial" w:hAnsi="Arial"/>
                <w:sz w:val="14"/>
                <w:szCs w:val="14"/>
                <w:color w:val="auto"/>
              </w:rPr>
              <w:t>CMB Adjusted G&amp;A expenses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2</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5</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8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891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0891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OPERATING COSTS PER BOE</w:t>
      </w:r>
    </w:p>
    <w:p>
      <w:pPr>
        <w:spacing w:after="0" w:line="136" w:lineRule="exact"/>
        <w:rPr>
          <w:sz w:val="20"/>
          <w:szCs w:val="20"/>
          <w:color w:val="auto"/>
        </w:rPr>
      </w:pPr>
    </w:p>
    <w:p>
      <w:pPr>
        <w:ind w:left="20" w:right="120"/>
        <w:spacing w:after="0" w:line="264" w:lineRule="auto"/>
        <w:rPr>
          <w:sz w:val="20"/>
          <w:szCs w:val="20"/>
          <w:color w:val="auto"/>
        </w:rPr>
      </w:pPr>
      <w:r>
        <w:rPr>
          <w:rFonts w:ascii="Arial" w:cs="Arial" w:eastAsia="Arial" w:hAnsi="Arial"/>
          <w:sz w:val="14"/>
          <w:szCs w:val="14"/>
          <w:color w:val="auto"/>
        </w:rPr>
        <w:t>The reporting of PSC-type contracts creates a difference between reported operating costs, which are for the full field, and reported volumes, which are only CRC's net share, inflating the per barrel operating costs.The following table presents operating costs after adjusting for the excess costs attributable to PSCs.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4th Quarter</w:t>
            </w:r>
          </w:p>
        </w:tc>
        <w:tc>
          <w:tcPr>
            <w:tcW w:w="14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3rd Quarter</w:t>
            </w:r>
          </w:p>
        </w:tc>
        <w:tc>
          <w:tcPr>
            <w:tcW w:w="160" w:type="dxa"/>
            <w:vAlign w:val="bottom"/>
          </w:tcPr>
          <w:p>
            <w:pPr>
              <w:spacing w:after="0"/>
              <w:rPr>
                <w:sz w:val="17"/>
                <w:szCs w:val="17"/>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4th Quarter</w:t>
            </w:r>
          </w:p>
        </w:tc>
        <w:tc>
          <w:tcPr>
            <w:tcW w:w="160" w:type="dxa"/>
            <w:vAlign w:val="bottom"/>
          </w:tcPr>
          <w:p>
            <w:pPr>
              <w:spacing w:after="0"/>
              <w:rPr>
                <w:sz w:val="17"/>
                <w:szCs w:val="17"/>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 Year</w:t>
            </w:r>
          </w:p>
        </w:tc>
        <w:tc>
          <w:tcPr>
            <w:tcW w:w="160" w:type="dxa"/>
            <w:vAlign w:val="bottom"/>
          </w:tcPr>
          <w:p>
            <w:pPr>
              <w:spacing w:after="0"/>
              <w:rPr>
                <w:sz w:val="17"/>
                <w:szCs w:val="17"/>
                <w:color w:val="auto"/>
              </w:rPr>
            </w:pPr>
          </w:p>
        </w:tc>
        <w:tc>
          <w:tcPr>
            <w:tcW w:w="1040" w:type="dxa"/>
            <w:vAlign w:val="bottom"/>
          </w:tcPr>
          <w:p>
            <w:pPr>
              <w:jc w:val="right"/>
              <w:ind w:right="208"/>
              <w:spacing w:after="0"/>
              <w:rPr>
                <w:sz w:val="20"/>
                <w:szCs w:val="20"/>
                <w:color w:val="auto"/>
              </w:rPr>
            </w:pPr>
            <w:r>
              <w:rPr>
                <w:rFonts w:ascii="Arial" w:cs="Arial" w:eastAsia="Arial" w:hAnsi="Arial"/>
                <w:sz w:val="14"/>
                <w:szCs w:val="14"/>
                <w:b w:val="1"/>
                <w:bCs w:val="1"/>
                <w:color w:val="auto"/>
              </w:rPr>
              <w:t>Total Year</w:t>
            </w:r>
          </w:p>
        </w:tc>
      </w:tr>
      <w:tr>
        <w:trPr>
          <w:trHeight w:val="203"/>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per BOE)</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r>
      <w:tr>
        <w:trPr>
          <w:trHeight w:val="199"/>
        </w:trPr>
        <w:tc>
          <w:tcPr>
            <w:tcW w:w="4520" w:type="dxa"/>
            <w:vAlign w:val="bottom"/>
          </w:tcPr>
          <w:p>
            <w:pPr>
              <w:ind w:left="20"/>
              <w:spacing w:after="0" w:line="199" w:lineRule="exact"/>
              <w:rPr>
                <w:sz w:val="20"/>
                <w:szCs w:val="20"/>
                <w:color w:val="auto"/>
              </w:rPr>
            </w:pPr>
            <w:r>
              <w:rPr>
                <w:rFonts w:ascii="Arial" w:cs="Arial" w:eastAsia="Arial" w:hAnsi="Arial"/>
                <w:sz w:val="14"/>
                <w:szCs w:val="14"/>
                <w:color w:val="auto"/>
              </w:rPr>
              <w:t xml:space="preserve">Energy operating costs </w:t>
            </w:r>
            <w:r>
              <w:rPr>
                <w:rFonts w:ascii="Arial" w:cs="Arial" w:eastAsia="Arial" w:hAnsi="Arial"/>
                <w:sz w:val="18"/>
                <w:szCs w:val="18"/>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9.56</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10.96</w:t>
            </w:r>
          </w:p>
        </w:tc>
        <w:tc>
          <w:tcPr>
            <w:tcW w:w="3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8.04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9.76</w:t>
            </w:r>
          </w:p>
        </w:tc>
        <w:tc>
          <w:tcPr>
            <w:tcW w:w="18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7.01</w:t>
            </w:r>
          </w:p>
        </w:tc>
      </w:tr>
      <w:tr>
        <w:trPr>
          <w:trHeight w:val="203"/>
        </w:trPr>
        <w:tc>
          <w:tcPr>
            <w:tcW w:w="452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Gas processing costs </w:t>
            </w:r>
            <w:r>
              <w:rPr>
                <w:rFonts w:ascii="Arial" w:cs="Arial" w:eastAsia="Arial" w:hAnsi="Arial"/>
                <w:sz w:val="18"/>
                <w:szCs w:val="18"/>
                <w:color w:val="auto"/>
                <w:vertAlign w:val="superscript"/>
              </w:rPr>
              <w:t>(2)</w:t>
            </w:r>
          </w:p>
        </w:tc>
        <w:tc>
          <w:tcPr>
            <w:tcW w:w="14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0.48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0.49</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0.41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0.52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0.54</w:t>
            </w:r>
          </w:p>
        </w:tc>
      </w:tr>
      <w:tr>
        <w:trPr>
          <w:trHeight w:val="201"/>
        </w:trPr>
        <w:tc>
          <w:tcPr>
            <w:tcW w:w="4520" w:type="dxa"/>
            <w:vAlign w:val="bottom"/>
          </w:tcPr>
          <w:p>
            <w:pPr>
              <w:ind w:left="20"/>
              <w:spacing w:after="0" w:line="201" w:lineRule="exact"/>
              <w:rPr>
                <w:sz w:val="20"/>
                <w:szCs w:val="20"/>
                <w:color w:val="auto"/>
              </w:rPr>
            </w:pPr>
            <w:r>
              <w:rPr>
                <w:rFonts w:ascii="Arial" w:cs="Arial" w:eastAsia="Arial" w:hAnsi="Arial"/>
                <w:sz w:val="14"/>
                <w:szCs w:val="14"/>
                <w:color w:val="auto"/>
              </w:rPr>
              <w:t xml:space="preserve">Non-energy operating costs </w:t>
            </w:r>
            <w:r>
              <w:rPr>
                <w:rFonts w:ascii="Arial" w:cs="Arial" w:eastAsia="Arial" w:hAnsi="Arial"/>
                <w:sz w:val="18"/>
                <w:szCs w:val="18"/>
                <w:color w:val="auto"/>
                <w:vertAlign w:val="superscript"/>
              </w:rPr>
              <w:t>(3)</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13.82</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13.82</w:t>
            </w:r>
          </w:p>
        </w:tc>
        <w:tc>
          <w:tcPr>
            <w:tcW w:w="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12.00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13.47</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11.84</w:t>
            </w:r>
          </w:p>
        </w:tc>
      </w:tr>
      <w:tr>
        <w:trPr>
          <w:trHeight w:val="194"/>
        </w:trPr>
        <w:tc>
          <w:tcPr>
            <w:tcW w:w="4520" w:type="dxa"/>
            <w:vAlign w:val="bottom"/>
          </w:tcPr>
          <w:p>
            <w:pPr>
              <w:ind w:left="140"/>
              <w:spacing w:after="0"/>
              <w:rPr>
                <w:sz w:val="20"/>
                <w:szCs w:val="20"/>
                <w:color w:val="auto"/>
              </w:rPr>
            </w:pPr>
            <w:r>
              <w:rPr>
                <w:rFonts w:ascii="Arial" w:cs="Arial" w:eastAsia="Arial" w:hAnsi="Arial"/>
                <w:sz w:val="14"/>
                <w:szCs w:val="14"/>
                <w:b w:val="1"/>
                <w:bCs w:val="1"/>
                <w:color w:val="auto"/>
              </w:rPr>
              <w:t>Operating costs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23.86</w:t>
            </w:r>
          </w:p>
        </w:tc>
        <w:tc>
          <w:tcPr>
            <w:tcW w:w="1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25.27</w:t>
            </w:r>
          </w:p>
        </w:tc>
        <w:tc>
          <w:tcPr>
            <w:tcW w:w="3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20.45</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23.75</w:t>
            </w:r>
          </w:p>
        </w:tc>
        <w:tc>
          <w:tcPr>
            <w:tcW w:w="18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19.39</w:t>
            </w:r>
          </w:p>
        </w:tc>
      </w:tr>
      <w:tr>
        <w:trPr>
          <w:trHeight w:val="392"/>
        </w:trPr>
        <w:tc>
          <w:tcPr>
            <w:tcW w:w="4520" w:type="dxa"/>
            <w:vAlign w:val="bottom"/>
          </w:tcPr>
          <w:p>
            <w:pPr>
              <w:ind w:left="20"/>
              <w:spacing w:after="0"/>
              <w:rPr>
                <w:sz w:val="20"/>
                <w:szCs w:val="20"/>
                <w:color w:val="auto"/>
              </w:rPr>
            </w:pPr>
            <w:r>
              <w:rPr>
                <w:rFonts w:ascii="Arial" w:cs="Arial" w:eastAsia="Arial" w:hAnsi="Arial"/>
                <w:sz w:val="14"/>
                <w:szCs w:val="14"/>
                <w:color w:val="auto"/>
              </w:rPr>
              <w:t>Costs attributable to PSCs</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9"/>
        </w:trPr>
        <w:tc>
          <w:tcPr>
            <w:tcW w:w="4520" w:type="dxa"/>
            <w:vAlign w:val="bottom"/>
          </w:tcPr>
          <w:p>
            <w:pPr>
              <w:ind w:left="140"/>
              <w:spacing w:after="0"/>
              <w:rPr>
                <w:sz w:val="20"/>
                <w:szCs w:val="20"/>
                <w:color w:val="auto"/>
              </w:rPr>
            </w:pPr>
            <w:r>
              <w:rPr>
                <w:rFonts w:ascii="Arial" w:cs="Arial" w:eastAsia="Arial" w:hAnsi="Arial"/>
                <w:sz w:val="14"/>
                <w:szCs w:val="14"/>
                <w:color w:val="auto"/>
              </w:rPr>
              <w:t>Excess energy operating costs attributable to PSCs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(0.76)</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(0.97)</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(0.82)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(0.92)</w:t>
            </w:r>
          </w:p>
        </w:tc>
        <w:tc>
          <w:tcPr>
            <w:tcW w:w="18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(0.68)</w:t>
            </w:r>
          </w:p>
        </w:tc>
      </w:tr>
      <w:tr>
        <w:trPr>
          <w:trHeight w:val="203"/>
        </w:trPr>
        <w:tc>
          <w:tcPr>
            <w:tcW w:w="4520" w:type="dxa"/>
            <w:vAlign w:val="bottom"/>
          </w:tcPr>
          <w:p>
            <w:pPr>
              <w:ind w:left="140"/>
              <w:spacing w:after="0"/>
              <w:rPr>
                <w:sz w:val="20"/>
                <w:szCs w:val="20"/>
                <w:color w:val="auto"/>
              </w:rPr>
            </w:pPr>
            <w:r>
              <w:rPr>
                <w:rFonts w:ascii="Arial" w:cs="Arial" w:eastAsia="Arial" w:hAnsi="Arial"/>
                <w:sz w:val="14"/>
                <w:szCs w:val="14"/>
                <w:color w:val="auto"/>
              </w:rPr>
              <w:t>Excess non-energy operating costs attributable to PSCs</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(1.14)</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(1.19)</w:t>
            </w:r>
          </w:p>
        </w:tc>
        <w:tc>
          <w:tcPr>
            <w:tcW w:w="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(1.15)</w:t>
            </w:r>
          </w:p>
        </w:tc>
      </w:tr>
      <w:tr>
        <w:trPr>
          <w:trHeight w:val="196"/>
        </w:trPr>
        <w:tc>
          <w:tcPr>
            <w:tcW w:w="4520" w:type="dxa"/>
            <w:vAlign w:val="bottom"/>
          </w:tcPr>
          <w:p>
            <w:pPr>
              <w:ind w:left="260"/>
              <w:spacing w:after="0"/>
              <w:rPr>
                <w:sz w:val="20"/>
                <w:szCs w:val="20"/>
                <w:color w:val="auto"/>
              </w:rPr>
            </w:pPr>
            <w:r>
              <w:rPr>
                <w:rFonts w:ascii="Arial" w:cs="Arial" w:eastAsia="Arial" w:hAnsi="Arial"/>
                <w:sz w:val="14"/>
                <w:szCs w:val="14"/>
                <w:b w:val="1"/>
                <w:bCs w:val="1"/>
                <w:color w:val="auto"/>
              </w:rPr>
              <w:t>Excess costs attributable to PSCs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(1.90)</w:t>
            </w: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(2.16)</w:t>
            </w:r>
          </w:p>
        </w:tc>
        <w:tc>
          <w:tcPr>
            <w:tcW w:w="3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(2.23)</w:t>
            </w:r>
          </w:p>
        </w:tc>
        <w:tc>
          <w:tcPr>
            <w:tcW w:w="18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(1.83)</w:t>
            </w:r>
          </w:p>
        </w:tc>
      </w:tr>
      <w:tr>
        <w:trPr>
          <w:trHeight w:val="402"/>
        </w:trPr>
        <w:tc>
          <w:tcPr>
            <w:tcW w:w="4520" w:type="dxa"/>
            <w:vAlign w:val="bottom"/>
          </w:tcPr>
          <w:p>
            <w:pPr>
              <w:ind w:left="140"/>
              <w:spacing w:after="0"/>
              <w:rPr>
                <w:sz w:val="20"/>
                <w:szCs w:val="20"/>
                <w:color w:val="auto"/>
              </w:rPr>
            </w:pPr>
            <w:r>
              <w:rPr>
                <w:rFonts w:ascii="Arial" w:cs="Arial" w:eastAsia="Arial" w:hAnsi="Arial"/>
                <w:sz w:val="14"/>
                <w:szCs w:val="14"/>
                <w:color w:val="auto"/>
              </w:rPr>
              <w:t xml:space="preserve">Energy operating costs, excluding effect of PSCs </w:t>
            </w:r>
            <w:r>
              <w:rPr>
                <w:rFonts w:ascii="Arial" w:cs="Arial" w:eastAsia="Arial" w:hAnsi="Arial"/>
                <w:sz w:val="18"/>
                <w:szCs w:val="18"/>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8.80</w:t>
            </w:r>
          </w:p>
        </w:tc>
        <w:tc>
          <w:tcPr>
            <w:tcW w:w="1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9.99</w:t>
            </w:r>
          </w:p>
        </w:tc>
        <w:tc>
          <w:tcPr>
            <w:tcW w:w="3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7.22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8.84</w:t>
            </w:r>
          </w:p>
        </w:tc>
        <w:tc>
          <w:tcPr>
            <w:tcW w:w="180" w:type="dxa"/>
            <w:vAlign w:val="bottom"/>
          </w:tcPr>
          <w:p>
            <w:pPr>
              <w:spacing w:after="0"/>
              <w:rPr>
                <w:sz w:val="24"/>
                <w:szCs w:val="2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6.33</w:t>
            </w:r>
          </w:p>
        </w:tc>
      </w:tr>
      <w:tr>
        <w:trPr>
          <w:trHeight w:val="203"/>
        </w:trPr>
        <w:tc>
          <w:tcPr>
            <w:tcW w:w="4520" w:type="dxa"/>
            <w:vAlign w:val="bottom"/>
          </w:tcPr>
          <w:p>
            <w:pPr>
              <w:ind w:left="140"/>
              <w:spacing w:after="0" w:line="202" w:lineRule="exact"/>
              <w:rPr>
                <w:sz w:val="20"/>
                <w:szCs w:val="20"/>
                <w:color w:val="auto"/>
              </w:rPr>
            </w:pPr>
            <w:r>
              <w:rPr>
                <w:rFonts w:ascii="Arial" w:cs="Arial" w:eastAsia="Arial" w:hAnsi="Arial"/>
                <w:sz w:val="14"/>
                <w:szCs w:val="14"/>
                <w:color w:val="auto"/>
              </w:rPr>
              <w:t xml:space="preserve">Gas processing costs, excluding effect of PSCs </w:t>
            </w:r>
            <w:r>
              <w:rPr>
                <w:rFonts w:ascii="Arial" w:cs="Arial" w:eastAsia="Arial" w:hAnsi="Arial"/>
                <w:sz w:val="18"/>
                <w:szCs w:val="18"/>
                <w:color w:val="auto"/>
                <w:vertAlign w:val="superscript"/>
              </w:rPr>
              <w:t>(2)</w:t>
            </w:r>
          </w:p>
        </w:tc>
        <w:tc>
          <w:tcPr>
            <w:tcW w:w="14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0.48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0.49</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0.41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0.52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auto"/>
              </w:rPr>
              <w:t>0.54</w:t>
            </w:r>
          </w:p>
        </w:tc>
      </w:tr>
      <w:tr>
        <w:trPr>
          <w:trHeight w:val="201"/>
        </w:trPr>
        <w:tc>
          <w:tcPr>
            <w:tcW w:w="4520" w:type="dxa"/>
            <w:vAlign w:val="bottom"/>
          </w:tcPr>
          <w:p>
            <w:pPr>
              <w:ind w:left="140"/>
              <w:spacing w:after="0" w:line="201" w:lineRule="exact"/>
              <w:rPr>
                <w:sz w:val="20"/>
                <w:szCs w:val="20"/>
                <w:color w:val="auto"/>
              </w:rPr>
            </w:pPr>
            <w:r>
              <w:rPr>
                <w:rFonts w:ascii="Arial" w:cs="Arial" w:eastAsia="Arial" w:hAnsi="Arial"/>
                <w:sz w:val="14"/>
                <w:szCs w:val="14"/>
                <w:color w:val="auto"/>
              </w:rPr>
              <w:t xml:space="preserve">Non-energy operating costs, excluding effect of PSCs </w:t>
            </w:r>
            <w:r>
              <w:rPr>
                <w:rFonts w:ascii="Arial" w:cs="Arial" w:eastAsia="Arial" w:hAnsi="Arial"/>
                <w:sz w:val="18"/>
                <w:szCs w:val="18"/>
                <w:color w:val="auto"/>
                <w:vertAlign w:val="superscript"/>
              </w:rPr>
              <w:t>(3)</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12.68</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12.63</w:t>
            </w:r>
          </w:p>
        </w:tc>
        <w:tc>
          <w:tcPr>
            <w:tcW w:w="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10.69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12.16</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10.69</w:t>
            </w:r>
          </w:p>
        </w:tc>
      </w:tr>
      <w:tr>
        <w:trPr>
          <w:trHeight w:val="196"/>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Operating costs, excluding effects of PSCs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21.96</w:t>
            </w: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23.11</w:t>
            </w:r>
          </w:p>
        </w:tc>
        <w:tc>
          <w:tcPr>
            <w:tcW w:w="3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18.32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21.52</w:t>
            </w:r>
          </w:p>
        </w:tc>
        <w:tc>
          <w:tcPr>
            <w:tcW w:w="18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17.56</w:t>
            </w:r>
          </w:p>
        </w:tc>
      </w:tr>
      <w:tr>
        <w:trPr>
          <w:trHeight w:val="20"/>
        </w:trPr>
        <w:tc>
          <w:tcPr>
            <w:tcW w:w="4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20" w:right="280"/>
        <w:spacing w:after="0" w:line="206" w:lineRule="auto"/>
        <w:tabs>
          <w:tab w:leader="none" w:pos="155" w:val="left"/>
        </w:tabs>
        <w:numPr>
          <w:ilvl w:val="0"/>
          <w:numId w:val="16"/>
        </w:numPr>
        <w:rPr>
          <w:rFonts w:ascii="Arial" w:cs="Arial" w:eastAsia="Arial" w:hAnsi="Arial"/>
          <w:sz w:val="16"/>
          <w:szCs w:val="16"/>
          <w:color w:val="auto"/>
          <w:vertAlign w:val="superscript"/>
        </w:rPr>
      </w:pPr>
      <w:r>
        <w:rPr>
          <w:rFonts w:ascii="Arial" w:cs="Arial" w:eastAsia="Arial" w:hAnsi="Arial"/>
          <w:sz w:val="13"/>
          <w:szCs w:val="13"/>
          <w:color w:val="auto"/>
        </w:rPr>
        <w:t>Energy operating costs consist of purchased natural gas used to generate electricity for operations and steamfloods, purchased electricity and internal costs to generate electricity used in CRC's operations.</w:t>
      </w:r>
    </w:p>
    <w:p>
      <w:pPr>
        <w:spacing w:after="0" w:line="24" w:lineRule="exact"/>
        <w:rPr>
          <w:rFonts w:ascii="Arial" w:cs="Arial" w:eastAsia="Arial" w:hAnsi="Arial"/>
          <w:sz w:val="16"/>
          <w:szCs w:val="16"/>
          <w:color w:val="auto"/>
          <w:vertAlign w:val="superscript"/>
        </w:rPr>
      </w:pPr>
    </w:p>
    <w:p>
      <w:pPr>
        <w:ind w:left="140" w:hanging="120"/>
        <w:spacing w:after="0"/>
        <w:tabs>
          <w:tab w:leader="none" w:pos="140" w:val="left"/>
        </w:tabs>
        <w:numPr>
          <w:ilvl w:val="0"/>
          <w:numId w:val="16"/>
        </w:numPr>
        <w:rPr>
          <w:rFonts w:ascii="Arial" w:cs="Arial" w:eastAsia="Arial" w:hAnsi="Arial"/>
          <w:sz w:val="14"/>
          <w:szCs w:val="14"/>
          <w:color w:val="auto"/>
          <w:vertAlign w:val="superscript"/>
        </w:rPr>
      </w:pPr>
      <w:r>
        <w:rPr>
          <w:rFonts w:ascii="Arial" w:cs="Arial" w:eastAsia="Arial" w:hAnsi="Arial"/>
          <w:sz w:val="11"/>
          <w:szCs w:val="11"/>
          <w:color w:val="auto"/>
        </w:rPr>
        <w:t>Gas processing costs include costs associated with compression, maintenance and other activities needed to run CRC's gas processing facilities at Elk Hills.</w:t>
      </w:r>
    </w:p>
    <w:p>
      <w:pPr>
        <w:spacing w:after="0" w:line="26" w:lineRule="exact"/>
        <w:rPr>
          <w:rFonts w:ascii="Arial" w:cs="Arial" w:eastAsia="Arial" w:hAnsi="Arial"/>
          <w:sz w:val="14"/>
          <w:szCs w:val="14"/>
          <w:color w:val="auto"/>
          <w:vertAlign w:val="superscript"/>
        </w:rPr>
      </w:pPr>
    </w:p>
    <w:p>
      <w:pPr>
        <w:ind w:left="20" w:right="100"/>
        <w:spacing w:after="0" w:line="198" w:lineRule="auto"/>
        <w:tabs>
          <w:tab w:leader="none" w:pos="155" w:val="left"/>
        </w:tabs>
        <w:numPr>
          <w:ilvl w:val="0"/>
          <w:numId w:val="16"/>
        </w:numPr>
        <w:rPr>
          <w:rFonts w:ascii="Arial" w:cs="Arial" w:eastAsia="Arial" w:hAnsi="Arial"/>
          <w:sz w:val="16"/>
          <w:szCs w:val="16"/>
          <w:color w:val="auto"/>
          <w:vertAlign w:val="superscript"/>
        </w:rPr>
      </w:pPr>
      <w:r>
        <w:rPr>
          <w:rFonts w:ascii="Arial" w:cs="Arial" w:eastAsia="Arial" w:hAnsi="Arial"/>
          <w:sz w:val="13"/>
          <w:szCs w:val="13"/>
          <w:color w:val="auto"/>
        </w:rPr>
        <w:t>Non-energy operating costs equal total operating costs less energy operating costs and gas processing costs. Purchased natural gas used to generate steam in CRC's steamfloods was reclassified from non-energy operating costs to energy operating costs beginning in the third quarter of 2022. All prior periods have been updated to conform to this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180"/>
          </w:cols>
          <w:pgMar w:left="360" w:top="1116" w:right="35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7"/>
        </w:trPr>
        <w:tc>
          <w:tcPr>
            <w:tcW w:w="36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Attachment 3</w:t>
            </w:r>
          </w:p>
        </w:tc>
      </w:tr>
      <w:tr>
        <w:trPr>
          <w:trHeight w:val="22"/>
        </w:trPr>
        <w:tc>
          <w:tcPr>
            <w:tcW w:w="3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4"/>
        </w:trPr>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PRODUCTION STATISTICS</w:t>
            </w: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3"/>
        </w:trPr>
        <w:tc>
          <w:tcPr>
            <w:tcW w:w="3660" w:type="dxa"/>
            <w:vAlign w:val="bottom"/>
          </w:tcPr>
          <w:p>
            <w:pPr>
              <w:spacing w:after="0"/>
              <w:rPr>
                <w:sz w:val="17"/>
                <w:szCs w:val="17"/>
                <w:color w:val="auto"/>
              </w:rPr>
            </w:pPr>
          </w:p>
        </w:tc>
        <w:tc>
          <w:tcPr>
            <w:tcW w:w="1100" w:type="dxa"/>
            <w:vAlign w:val="bottom"/>
          </w:tcPr>
          <w:p>
            <w:pPr>
              <w:jc w:val="center"/>
              <w:ind w:left="228"/>
              <w:spacing w:after="0"/>
              <w:rPr>
                <w:sz w:val="20"/>
                <w:szCs w:val="20"/>
                <w:color w:val="auto"/>
              </w:rPr>
            </w:pPr>
            <w:r>
              <w:rPr>
                <w:rFonts w:ascii="Arial" w:cs="Arial" w:eastAsia="Arial" w:hAnsi="Arial"/>
                <w:sz w:val="14"/>
                <w:szCs w:val="14"/>
                <w:b w:val="1"/>
                <w:bCs w:val="1"/>
                <w:color w:val="auto"/>
              </w:rPr>
              <w:t>4th Quarter</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center"/>
              <w:ind w:left="228"/>
              <w:spacing w:after="0"/>
              <w:rPr>
                <w:sz w:val="20"/>
                <w:szCs w:val="20"/>
                <w:color w:val="auto"/>
              </w:rPr>
            </w:pPr>
            <w:r>
              <w:rPr>
                <w:rFonts w:ascii="Arial" w:cs="Arial" w:eastAsia="Arial" w:hAnsi="Arial"/>
                <w:sz w:val="14"/>
                <w:szCs w:val="14"/>
                <w:b w:val="1"/>
                <w:bCs w:val="1"/>
                <w:color w:val="auto"/>
              </w:rPr>
              <w:t>3rd Quarter</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4th Quarter</w:t>
            </w: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Total Year</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7"/>
              </w:rPr>
              <w:t>Total Year</w:t>
            </w:r>
          </w:p>
        </w:tc>
      </w:tr>
      <w:tr>
        <w:trPr>
          <w:trHeight w:val="204"/>
        </w:trPr>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Net Production Per Day</w:t>
            </w:r>
          </w:p>
        </w:tc>
        <w:tc>
          <w:tcPr>
            <w:tcW w:w="1100" w:type="dxa"/>
            <w:vAlign w:val="bottom"/>
          </w:tcPr>
          <w:p>
            <w:pPr>
              <w:jc w:val="center"/>
              <w:ind w:left="228"/>
              <w:spacing w:after="0"/>
              <w:rPr>
                <w:sz w:val="20"/>
                <w:szCs w:val="20"/>
                <w:color w:val="auto"/>
              </w:rPr>
            </w:pPr>
            <w:r>
              <w:rPr>
                <w:rFonts w:ascii="Arial" w:cs="Arial" w:eastAsia="Arial" w:hAnsi="Arial"/>
                <w:sz w:val="14"/>
                <w:szCs w:val="14"/>
                <w:b w:val="1"/>
                <w:bCs w:val="1"/>
                <w:color w:val="auto"/>
              </w:rPr>
              <w:t>2022</w:t>
            </w:r>
          </w:p>
        </w:tc>
        <w:tc>
          <w:tcPr>
            <w:tcW w:w="1520" w:type="dxa"/>
            <w:vAlign w:val="bottom"/>
            <w:gridSpan w:val="3"/>
          </w:tcPr>
          <w:p>
            <w:pPr>
              <w:jc w:val="center"/>
              <w:ind w:left="648"/>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2021</w:t>
            </w:r>
          </w:p>
        </w:tc>
      </w:tr>
      <w:tr>
        <w:trPr>
          <w:trHeight w:val="195"/>
        </w:trPr>
        <w:tc>
          <w:tcPr>
            <w:tcW w:w="366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Oil (MBbl/d)</w:t>
            </w:r>
          </w:p>
        </w:tc>
        <w:tc>
          <w:tcPr>
            <w:tcW w:w="1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r>
      <w:tr>
        <w:trPr>
          <w:trHeight w:val="203"/>
        </w:trPr>
        <w:tc>
          <w:tcPr>
            <w:tcW w:w="3660" w:type="dxa"/>
            <w:vAlign w:val="bottom"/>
          </w:tcPr>
          <w:p>
            <w:pPr>
              <w:ind w:left="60"/>
              <w:spacing w:after="0"/>
              <w:rPr>
                <w:sz w:val="20"/>
                <w:szCs w:val="20"/>
                <w:color w:val="auto"/>
              </w:rPr>
            </w:pPr>
            <w:r>
              <w:rPr>
                <w:rFonts w:ascii="Arial" w:cs="Arial" w:eastAsia="Arial" w:hAnsi="Arial"/>
                <w:sz w:val="14"/>
                <w:szCs w:val="14"/>
                <w:color w:val="auto"/>
              </w:rPr>
              <w:t>San Joaquin Basin</w:t>
            </w:r>
          </w:p>
        </w:tc>
        <w:tc>
          <w:tcPr>
            <w:tcW w:w="1100" w:type="dxa"/>
            <w:vAlign w:val="bottom"/>
          </w:tcPr>
          <w:p>
            <w:pPr>
              <w:spacing w:after="0"/>
              <w:rPr>
                <w:sz w:val="17"/>
                <w:szCs w:val="17"/>
                <w:color w:val="auto"/>
              </w:rPr>
            </w:pPr>
          </w:p>
        </w:tc>
        <w:tc>
          <w:tcPr>
            <w:tcW w:w="320" w:type="dxa"/>
            <w:vAlign w:val="bottom"/>
          </w:tcPr>
          <w:p>
            <w:pPr>
              <w:jc w:val="right"/>
              <w:ind w:right="8"/>
              <w:spacing w:after="0"/>
              <w:rPr>
                <w:sz w:val="20"/>
                <w:szCs w:val="20"/>
                <w:color w:val="auto"/>
              </w:rPr>
            </w:pPr>
            <w:r>
              <w:rPr>
                <w:rFonts w:ascii="Arial" w:cs="Arial" w:eastAsia="Arial" w:hAnsi="Arial"/>
                <w:sz w:val="14"/>
                <w:szCs w:val="14"/>
                <w:b w:val="1"/>
                <w:bCs w:val="1"/>
                <w:color w:val="auto"/>
              </w:rPr>
              <w:t>36</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36</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40</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37</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39</w:t>
            </w:r>
          </w:p>
        </w:tc>
      </w:tr>
      <w:tr>
        <w:trPr>
          <w:trHeight w:val="203"/>
        </w:trPr>
        <w:tc>
          <w:tcPr>
            <w:tcW w:w="3660" w:type="dxa"/>
            <w:vAlign w:val="bottom"/>
          </w:tcPr>
          <w:p>
            <w:pPr>
              <w:ind w:left="60"/>
              <w:spacing w:after="0"/>
              <w:rPr>
                <w:sz w:val="20"/>
                <w:szCs w:val="20"/>
                <w:color w:val="auto"/>
              </w:rPr>
            </w:pPr>
            <w:r>
              <w:rPr>
                <w:rFonts w:ascii="Arial" w:cs="Arial" w:eastAsia="Arial" w:hAnsi="Arial"/>
                <w:sz w:val="14"/>
                <w:szCs w:val="14"/>
                <w:color w:val="auto"/>
              </w:rPr>
              <w:t>Los Angeles Basin</w:t>
            </w:r>
          </w:p>
        </w:tc>
        <w:tc>
          <w:tcPr>
            <w:tcW w:w="1100" w:type="dxa"/>
            <w:vAlign w:val="bottom"/>
          </w:tcPr>
          <w:p>
            <w:pPr>
              <w:spacing w:after="0"/>
              <w:rPr>
                <w:sz w:val="17"/>
                <w:szCs w:val="17"/>
                <w:color w:val="auto"/>
              </w:rPr>
            </w:pPr>
          </w:p>
        </w:tc>
        <w:tc>
          <w:tcPr>
            <w:tcW w:w="320" w:type="dxa"/>
            <w:vAlign w:val="bottom"/>
          </w:tcPr>
          <w:p>
            <w:pPr>
              <w:jc w:val="right"/>
              <w:ind w:right="8"/>
              <w:spacing w:after="0"/>
              <w:rPr>
                <w:sz w:val="20"/>
                <w:szCs w:val="20"/>
                <w:color w:val="auto"/>
              </w:rPr>
            </w:pPr>
            <w:r>
              <w:rPr>
                <w:rFonts w:ascii="Arial" w:cs="Arial" w:eastAsia="Arial" w:hAnsi="Arial"/>
                <w:sz w:val="14"/>
                <w:szCs w:val="14"/>
                <w:b w:val="1"/>
                <w:bCs w:val="1"/>
                <w:color w:val="auto"/>
              </w:rPr>
              <w:t>19</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19</w:t>
            </w:r>
          </w:p>
        </w:tc>
      </w:tr>
      <w:tr>
        <w:trPr>
          <w:trHeight w:val="203"/>
        </w:trPr>
        <w:tc>
          <w:tcPr>
            <w:tcW w:w="3660" w:type="dxa"/>
            <w:vAlign w:val="bottom"/>
          </w:tcPr>
          <w:p>
            <w:pPr>
              <w:ind w:left="60"/>
              <w:spacing w:after="0"/>
              <w:rPr>
                <w:sz w:val="20"/>
                <w:szCs w:val="20"/>
                <w:color w:val="auto"/>
              </w:rPr>
            </w:pPr>
            <w:r>
              <w:rPr>
                <w:rFonts w:ascii="Arial" w:cs="Arial" w:eastAsia="Arial" w:hAnsi="Arial"/>
                <w:sz w:val="14"/>
                <w:szCs w:val="14"/>
                <w:color w:val="auto"/>
              </w:rPr>
              <w:t>Ventura Basin</w:t>
            </w:r>
          </w:p>
        </w:tc>
        <w:tc>
          <w:tcPr>
            <w:tcW w:w="1100" w:type="dxa"/>
            <w:vAlign w:val="bottom"/>
          </w:tcPr>
          <w:p>
            <w:pPr>
              <w:spacing w:after="0"/>
              <w:rPr>
                <w:sz w:val="17"/>
                <w:szCs w:val="17"/>
                <w:color w:val="auto"/>
              </w:rPr>
            </w:pPr>
          </w:p>
        </w:tc>
        <w:tc>
          <w:tcPr>
            <w:tcW w:w="1520" w:type="dxa"/>
            <w:vAlign w:val="bottom"/>
            <w:gridSpan w:val="3"/>
          </w:tcPr>
          <w:p>
            <w:pPr>
              <w:jc w:val="right"/>
              <w:ind w:right="1208"/>
              <w:spacing w:after="0"/>
              <w:rPr>
                <w:sz w:val="20"/>
                <w:szCs w:val="20"/>
                <w:color w:val="auto"/>
              </w:rPr>
            </w:pPr>
            <w:r>
              <w:rPr>
                <w:rFonts w:ascii="Arial" w:cs="Arial" w:eastAsia="Arial" w:hAnsi="Arial"/>
                <w:sz w:val="14"/>
                <w:szCs w:val="14"/>
                <w:b w:val="1"/>
                <w:bCs w:val="1"/>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8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r>
        <w:trPr>
          <w:trHeight w:val="196"/>
        </w:trPr>
        <w:tc>
          <w:tcPr>
            <w:tcW w:w="3660" w:type="dxa"/>
            <w:vAlign w:val="bottom"/>
          </w:tcPr>
          <w:p>
            <w:pPr>
              <w:ind w:left="60"/>
              <w:spacing w:after="0"/>
              <w:rPr>
                <w:sz w:val="20"/>
                <w:szCs w:val="20"/>
                <w:color w:val="auto"/>
              </w:rPr>
            </w:pPr>
            <w:r>
              <w:rPr>
                <w:rFonts w:ascii="Arial" w:cs="Arial" w:eastAsia="Arial" w:hAnsi="Arial"/>
                <w:sz w:val="14"/>
                <w:szCs w:val="14"/>
                <w:color w:val="auto"/>
              </w:rPr>
              <w:t>Total</w:t>
            </w:r>
          </w:p>
        </w:tc>
        <w:tc>
          <w:tcPr>
            <w:tcW w:w="1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55</w:t>
            </w:r>
          </w:p>
        </w:tc>
        <w:tc>
          <w:tcPr>
            <w:tcW w:w="8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55</w:t>
            </w:r>
          </w:p>
        </w:tc>
        <w:tc>
          <w:tcPr>
            <w:tcW w:w="100" w:type="dxa"/>
            <w:vAlign w:val="bottom"/>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59</w:t>
            </w:r>
          </w:p>
        </w:tc>
        <w:tc>
          <w:tcPr>
            <w:tcW w:w="280" w:type="dxa"/>
            <w:vAlign w:val="bottom"/>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55</w:t>
            </w:r>
          </w:p>
        </w:tc>
        <w:tc>
          <w:tcPr>
            <w:tcW w:w="100" w:type="dxa"/>
            <w:vAlign w:val="bottom"/>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60</w:t>
            </w:r>
          </w:p>
        </w:tc>
      </w:tr>
      <w:tr>
        <w:trPr>
          <w:trHeight w:val="364"/>
        </w:trPr>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NGLs (MBbl/d)</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3660" w:type="dxa"/>
            <w:vAlign w:val="bottom"/>
          </w:tcPr>
          <w:p>
            <w:pPr>
              <w:ind w:left="60"/>
              <w:spacing w:after="0"/>
              <w:rPr>
                <w:sz w:val="20"/>
                <w:szCs w:val="20"/>
                <w:color w:val="auto"/>
              </w:rPr>
            </w:pPr>
            <w:r>
              <w:rPr>
                <w:rFonts w:ascii="Arial" w:cs="Arial" w:eastAsia="Arial" w:hAnsi="Arial"/>
                <w:sz w:val="14"/>
                <w:szCs w:val="14"/>
                <w:color w:val="auto"/>
              </w:rPr>
              <w:t>San Joaquin Basin</w:t>
            </w:r>
          </w:p>
        </w:tc>
        <w:tc>
          <w:tcPr>
            <w:tcW w:w="1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w:t>
            </w:r>
          </w:p>
        </w:tc>
        <w:tc>
          <w:tcPr>
            <w:tcW w:w="28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w:t>
            </w:r>
          </w:p>
        </w:tc>
      </w:tr>
      <w:tr>
        <w:trPr>
          <w:trHeight w:val="196"/>
        </w:trPr>
        <w:tc>
          <w:tcPr>
            <w:tcW w:w="3660" w:type="dxa"/>
            <w:vAlign w:val="bottom"/>
          </w:tcPr>
          <w:p>
            <w:pPr>
              <w:ind w:left="60"/>
              <w:spacing w:after="0"/>
              <w:rPr>
                <w:sz w:val="20"/>
                <w:szCs w:val="20"/>
                <w:color w:val="auto"/>
              </w:rPr>
            </w:pPr>
            <w:r>
              <w:rPr>
                <w:rFonts w:ascii="Arial" w:cs="Arial" w:eastAsia="Arial" w:hAnsi="Arial"/>
                <w:sz w:val="14"/>
                <w:szCs w:val="14"/>
                <w:color w:val="auto"/>
              </w:rPr>
              <w:t>Total</w:t>
            </w:r>
          </w:p>
        </w:tc>
        <w:tc>
          <w:tcPr>
            <w:tcW w:w="1100" w:type="dxa"/>
            <w:vAlign w:val="bottom"/>
          </w:tcPr>
          <w:p>
            <w:pPr>
              <w:spacing w:after="0"/>
              <w:rPr>
                <w:sz w:val="17"/>
                <w:szCs w:val="17"/>
                <w:color w:val="auto"/>
              </w:rPr>
            </w:pPr>
          </w:p>
        </w:tc>
        <w:tc>
          <w:tcPr>
            <w:tcW w:w="320" w:type="dxa"/>
            <w:vAlign w:val="bottom"/>
          </w:tcPr>
          <w:p>
            <w:pPr>
              <w:jc w:val="right"/>
              <w:ind w:right="8"/>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13</w:t>
            </w:r>
          </w:p>
        </w:tc>
      </w:tr>
      <w:tr>
        <w:trPr>
          <w:trHeight w:val="364"/>
        </w:trPr>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Natural Gas (MMcf/d)</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3660" w:type="dxa"/>
            <w:vAlign w:val="bottom"/>
          </w:tcPr>
          <w:p>
            <w:pPr>
              <w:ind w:left="60"/>
              <w:spacing w:after="0"/>
              <w:rPr>
                <w:sz w:val="20"/>
                <w:szCs w:val="20"/>
                <w:color w:val="auto"/>
              </w:rPr>
            </w:pPr>
            <w:r>
              <w:rPr>
                <w:rFonts w:ascii="Arial" w:cs="Arial" w:eastAsia="Arial" w:hAnsi="Arial"/>
                <w:sz w:val="14"/>
                <w:szCs w:val="14"/>
                <w:color w:val="auto"/>
              </w:rPr>
              <w:t>San Joaquin Basin</w:t>
            </w:r>
          </w:p>
        </w:tc>
        <w:tc>
          <w:tcPr>
            <w:tcW w:w="1100" w:type="dxa"/>
            <w:vAlign w:val="bottom"/>
          </w:tcPr>
          <w:p>
            <w:pPr>
              <w:spacing w:after="0"/>
              <w:rPr>
                <w:sz w:val="17"/>
                <w:szCs w:val="17"/>
                <w:color w:val="auto"/>
              </w:rPr>
            </w:pPr>
          </w:p>
        </w:tc>
        <w:tc>
          <w:tcPr>
            <w:tcW w:w="320" w:type="dxa"/>
            <w:vAlign w:val="bottom"/>
          </w:tcPr>
          <w:p>
            <w:pPr>
              <w:jc w:val="right"/>
              <w:ind w:right="8"/>
              <w:spacing w:after="0"/>
              <w:rPr>
                <w:sz w:val="20"/>
                <w:szCs w:val="20"/>
                <w:color w:val="auto"/>
              </w:rPr>
            </w:pPr>
            <w:r>
              <w:rPr>
                <w:rFonts w:ascii="Arial" w:cs="Arial" w:eastAsia="Arial" w:hAnsi="Arial"/>
                <w:sz w:val="14"/>
                <w:szCs w:val="14"/>
                <w:b w:val="1"/>
                <w:bCs w:val="1"/>
                <w:color w:val="auto"/>
                <w:w w:val="94"/>
              </w:rPr>
              <w:t>129</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94"/>
              </w:rPr>
              <w:t>131</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131</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129</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135</w:t>
            </w:r>
          </w:p>
        </w:tc>
      </w:tr>
      <w:tr>
        <w:trPr>
          <w:trHeight w:val="203"/>
        </w:trPr>
        <w:tc>
          <w:tcPr>
            <w:tcW w:w="3660" w:type="dxa"/>
            <w:vAlign w:val="bottom"/>
          </w:tcPr>
          <w:p>
            <w:pPr>
              <w:ind w:left="60"/>
              <w:spacing w:after="0"/>
              <w:rPr>
                <w:sz w:val="20"/>
                <w:szCs w:val="20"/>
                <w:color w:val="auto"/>
              </w:rPr>
            </w:pPr>
            <w:r>
              <w:rPr>
                <w:rFonts w:ascii="Arial" w:cs="Arial" w:eastAsia="Arial" w:hAnsi="Arial"/>
                <w:sz w:val="14"/>
                <w:szCs w:val="14"/>
                <w:color w:val="auto"/>
              </w:rPr>
              <w:t>Los Angeles Basin</w:t>
            </w:r>
          </w:p>
        </w:tc>
        <w:tc>
          <w:tcPr>
            <w:tcW w:w="1100" w:type="dxa"/>
            <w:vAlign w:val="bottom"/>
          </w:tcPr>
          <w:p>
            <w:pPr>
              <w:spacing w:after="0"/>
              <w:rPr>
                <w:sz w:val="17"/>
                <w:szCs w:val="17"/>
                <w:color w:val="auto"/>
              </w:rPr>
            </w:pPr>
          </w:p>
        </w:tc>
        <w:tc>
          <w:tcPr>
            <w:tcW w:w="320" w:type="dxa"/>
            <w:vAlign w:val="bottom"/>
          </w:tcPr>
          <w:p>
            <w:pPr>
              <w:jc w:val="right"/>
              <w:ind w:right="8"/>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203"/>
        </w:trPr>
        <w:tc>
          <w:tcPr>
            <w:tcW w:w="3660" w:type="dxa"/>
            <w:vAlign w:val="bottom"/>
          </w:tcPr>
          <w:p>
            <w:pPr>
              <w:ind w:left="60"/>
              <w:spacing w:after="0"/>
              <w:rPr>
                <w:sz w:val="20"/>
                <w:szCs w:val="20"/>
                <w:color w:val="auto"/>
              </w:rPr>
            </w:pPr>
            <w:r>
              <w:rPr>
                <w:rFonts w:ascii="Arial" w:cs="Arial" w:eastAsia="Arial" w:hAnsi="Arial"/>
                <w:sz w:val="14"/>
                <w:szCs w:val="14"/>
                <w:color w:val="auto"/>
              </w:rPr>
              <w:t>Ventura Basin</w:t>
            </w:r>
          </w:p>
        </w:tc>
        <w:tc>
          <w:tcPr>
            <w:tcW w:w="1100" w:type="dxa"/>
            <w:vAlign w:val="bottom"/>
          </w:tcPr>
          <w:p>
            <w:pPr>
              <w:spacing w:after="0"/>
              <w:rPr>
                <w:sz w:val="17"/>
                <w:szCs w:val="17"/>
                <w:color w:val="auto"/>
              </w:rPr>
            </w:pPr>
          </w:p>
        </w:tc>
        <w:tc>
          <w:tcPr>
            <w:tcW w:w="1520" w:type="dxa"/>
            <w:vAlign w:val="bottom"/>
            <w:gridSpan w:val="3"/>
          </w:tcPr>
          <w:p>
            <w:pPr>
              <w:jc w:val="right"/>
              <w:ind w:right="1208"/>
              <w:spacing w:after="0"/>
              <w:rPr>
                <w:sz w:val="20"/>
                <w:szCs w:val="20"/>
                <w:color w:val="auto"/>
              </w:rPr>
            </w:pPr>
            <w:r>
              <w:rPr>
                <w:rFonts w:ascii="Arial" w:cs="Arial" w:eastAsia="Arial" w:hAnsi="Arial"/>
                <w:sz w:val="14"/>
                <w:szCs w:val="14"/>
                <w:b w:val="1"/>
                <w:bCs w:val="1"/>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8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4</w:t>
            </w:r>
          </w:p>
        </w:tc>
      </w:tr>
      <w:tr>
        <w:trPr>
          <w:trHeight w:val="203"/>
        </w:trPr>
        <w:tc>
          <w:tcPr>
            <w:tcW w:w="3660" w:type="dxa"/>
            <w:vAlign w:val="bottom"/>
          </w:tcPr>
          <w:p>
            <w:pPr>
              <w:ind w:left="60"/>
              <w:spacing w:after="0"/>
              <w:rPr>
                <w:sz w:val="20"/>
                <w:szCs w:val="20"/>
                <w:color w:val="auto"/>
              </w:rPr>
            </w:pPr>
            <w:r>
              <w:rPr>
                <w:rFonts w:ascii="Arial" w:cs="Arial" w:eastAsia="Arial" w:hAnsi="Arial"/>
                <w:sz w:val="14"/>
                <w:szCs w:val="14"/>
                <w:color w:val="auto"/>
              </w:rPr>
              <w:t>Sacramento Basin</w:t>
            </w:r>
          </w:p>
        </w:tc>
        <w:tc>
          <w:tcPr>
            <w:tcW w:w="1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17</w:t>
            </w:r>
          </w:p>
        </w:tc>
        <w:tc>
          <w:tcPr>
            <w:tcW w:w="8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w:t>
            </w:r>
          </w:p>
        </w:tc>
        <w:tc>
          <w:tcPr>
            <w:tcW w:w="28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w:t>
            </w:r>
          </w:p>
        </w:tc>
      </w:tr>
      <w:tr>
        <w:trPr>
          <w:trHeight w:val="196"/>
        </w:trPr>
        <w:tc>
          <w:tcPr>
            <w:tcW w:w="3660" w:type="dxa"/>
            <w:vAlign w:val="bottom"/>
          </w:tcPr>
          <w:p>
            <w:pPr>
              <w:ind w:left="60"/>
              <w:spacing w:after="0"/>
              <w:rPr>
                <w:sz w:val="20"/>
                <w:szCs w:val="20"/>
                <w:color w:val="auto"/>
              </w:rPr>
            </w:pPr>
            <w:r>
              <w:rPr>
                <w:rFonts w:ascii="Arial" w:cs="Arial" w:eastAsia="Arial" w:hAnsi="Arial"/>
                <w:sz w:val="14"/>
                <w:szCs w:val="14"/>
                <w:color w:val="auto"/>
              </w:rPr>
              <w:t>Total</w:t>
            </w:r>
          </w:p>
        </w:tc>
        <w:tc>
          <w:tcPr>
            <w:tcW w:w="1100" w:type="dxa"/>
            <w:vAlign w:val="bottom"/>
          </w:tcPr>
          <w:p>
            <w:pPr>
              <w:spacing w:after="0"/>
              <w:rPr>
                <w:sz w:val="17"/>
                <w:szCs w:val="17"/>
                <w:color w:val="auto"/>
              </w:rPr>
            </w:pPr>
          </w:p>
        </w:tc>
        <w:tc>
          <w:tcPr>
            <w:tcW w:w="320" w:type="dxa"/>
            <w:vAlign w:val="bottom"/>
          </w:tcPr>
          <w:p>
            <w:pPr>
              <w:jc w:val="right"/>
              <w:ind w:right="8"/>
              <w:spacing w:after="0"/>
              <w:rPr>
                <w:sz w:val="20"/>
                <w:szCs w:val="20"/>
                <w:color w:val="auto"/>
              </w:rPr>
            </w:pPr>
            <w:r>
              <w:rPr>
                <w:rFonts w:ascii="Arial" w:cs="Arial" w:eastAsia="Arial" w:hAnsi="Arial"/>
                <w:sz w:val="14"/>
                <w:szCs w:val="14"/>
                <w:b w:val="1"/>
                <w:bCs w:val="1"/>
                <w:color w:val="auto"/>
                <w:w w:val="94"/>
              </w:rPr>
              <w:t>147</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94"/>
              </w:rPr>
              <w:t>149</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153</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147</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159</w:t>
            </w:r>
          </w:p>
        </w:tc>
      </w:tr>
      <w:tr>
        <w:trPr>
          <w:trHeight w:val="164"/>
        </w:trPr>
        <w:tc>
          <w:tcPr>
            <w:tcW w:w="366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r>
      <w:tr>
        <w:trPr>
          <w:trHeight w:val="196"/>
        </w:trPr>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Total Production (MBoe/d)</w:t>
            </w:r>
          </w:p>
        </w:tc>
        <w:tc>
          <w:tcPr>
            <w:tcW w:w="1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91</w:t>
            </w:r>
          </w:p>
        </w:tc>
        <w:tc>
          <w:tcPr>
            <w:tcW w:w="8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92</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97</w:t>
            </w:r>
          </w:p>
        </w:tc>
        <w:tc>
          <w:tcPr>
            <w:tcW w:w="28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w:t>
            </w:r>
          </w:p>
        </w:tc>
      </w:tr>
      <w:tr>
        <w:trPr>
          <w:trHeight w:val="21"/>
        </w:trPr>
        <w:tc>
          <w:tcPr>
            <w:tcW w:w="36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748"/>
        </w:trPr>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Gross Operated and Net Non-Operated</w:t>
            </w:r>
          </w:p>
        </w:tc>
        <w:tc>
          <w:tcPr>
            <w:tcW w:w="1100" w:type="dxa"/>
            <w:vAlign w:val="bottom"/>
          </w:tcPr>
          <w:p>
            <w:pPr>
              <w:jc w:val="center"/>
              <w:ind w:left="228"/>
              <w:spacing w:after="0"/>
              <w:rPr>
                <w:sz w:val="20"/>
                <w:szCs w:val="20"/>
                <w:color w:val="auto"/>
              </w:rPr>
            </w:pPr>
            <w:r>
              <w:rPr>
                <w:rFonts w:ascii="Arial" w:cs="Arial" w:eastAsia="Arial" w:hAnsi="Arial"/>
                <w:sz w:val="14"/>
                <w:szCs w:val="14"/>
                <w:b w:val="1"/>
                <w:bCs w:val="1"/>
                <w:color w:val="auto"/>
              </w:rPr>
              <w:t>4th Quarter</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jc w:val="center"/>
              <w:ind w:left="228"/>
              <w:spacing w:after="0"/>
              <w:rPr>
                <w:sz w:val="20"/>
                <w:szCs w:val="20"/>
                <w:color w:val="auto"/>
              </w:rPr>
            </w:pPr>
            <w:r>
              <w:rPr>
                <w:rFonts w:ascii="Arial" w:cs="Arial" w:eastAsia="Arial" w:hAnsi="Arial"/>
                <w:sz w:val="14"/>
                <w:szCs w:val="14"/>
                <w:b w:val="1"/>
                <w:bCs w:val="1"/>
                <w:color w:val="auto"/>
              </w:rPr>
              <w:t>3rd Quarter</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4th Quarter</w:t>
            </w: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Total Year</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7"/>
              </w:rPr>
              <w:t>Total Year</w:t>
            </w:r>
          </w:p>
        </w:tc>
      </w:tr>
      <w:tr>
        <w:trPr>
          <w:trHeight w:val="203"/>
        </w:trPr>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Production Per Day</w:t>
            </w:r>
          </w:p>
        </w:tc>
        <w:tc>
          <w:tcPr>
            <w:tcW w:w="1100" w:type="dxa"/>
            <w:vAlign w:val="bottom"/>
          </w:tcPr>
          <w:p>
            <w:pPr>
              <w:jc w:val="center"/>
              <w:ind w:left="228"/>
              <w:spacing w:after="0"/>
              <w:rPr>
                <w:sz w:val="20"/>
                <w:szCs w:val="20"/>
                <w:color w:val="auto"/>
              </w:rPr>
            </w:pPr>
            <w:r>
              <w:rPr>
                <w:rFonts w:ascii="Arial" w:cs="Arial" w:eastAsia="Arial" w:hAnsi="Arial"/>
                <w:sz w:val="14"/>
                <w:szCs w:val="14"/>
                <w:b w:val="1"/>
                <w:bCs w:val="1"/>
                <w:color w:val="auto"/>
              </w:rPr>
              <w:t>2022</w:t>
            </w:r>
          </w:p>
        </w:tc>
        <w:tc>
          <w:tcPr>
            <w:tcW w:w="1520" w:type="dxa"/>
            <w:vAlign w:val="bottom"/>
            <w:gridSpan w:val="3"/>
          </w:tcPr>
          <w:p>
            <w:pPr>
              <w:jc w:val="center"/>
              <w:ind w:left="648"/>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2021</w:t>
            </w:r>
          </w:p>
        </w:tc>
      </w:tr>
      <w:tr>
        <w:trPr>
          <w:trHeight w:val="195"/>
        </w:trPr>
        <w:tc>
          <w:tcPr>
            <w:tcW w:w="366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Oil (MBbl/d)</w:t>
            </w:r>
          </w:p>
        </w:tc>
        <w:tc>
          <w:tcPr>
            <w:tcW w:w="1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r>
      <w:tr>
        <w:trPr>
          <w:trHeight w:val="203"/>
        </w:trPr>
        <w:tc>
          <w:tcPr>
            <w:tcW w:w="3660" w:type="dxa"/>
            <w:vAlign w:val="bottom"/>
          </w:tcPr>
          <w:p>
            <w:pPr>
              <w:ind w:left="60"/>
              <w:spacing w:after="0"/>
              <w:rPr>
                <w:sz w:val="20"/>
                <w:szCs w:val="20"/>
                <w:color w:val="auto"/>
              </w:rPr>
            </w:pPr>
            <w:r>
              <w:rPr>
                <w:rFonts w:ascii="Arial" w:cs="Arial" w:eastAsia="Arial" w:hAnsi="Arial"/>
                <w:sz w:val="14"/>
                <w:szCs w:val="14"/>
                <w:color w:val="auto"/>
              </w:rPr>
              <w:t>San Joaquin Basin</w:t>
            </w:r>
          </w:p>
        </w:tc>
        <w:tc>
          <w:tcPr>
            <w:tcW w:w="1100" w:type="dxa"/>
            <w:vAlign w:val="bottom"/>
          </w:tcPr>
          <w:p>
            <w:pPr>
              <w:spacing w:after="0"/>
              <w:rPr>
                <w:sz w:val="17"/>
                <w:szCs w:val="17"/>
                <w:color w:val="auto"/>
              </w:rPr>
            </w:pPr>
          </w:p>
        </w:tc>
        <w:tc>
          <w:tcPr>
            <w:tcW w:w="320" w:type="dxa"/>
            <w:vAlign w:val="bottom"/>
          </w:tcPr>
          <w:p>
            <w:pPr>
              <w:jc w:val="right"/>
              <w:ind w:right="8"/>
              <w:spacing w:after="0"/>
              <w:rPr>
                <w:sz w:val="20"/>
                <w:szCs w:val="20"/>
                <w:color w:val="auto"/>
              </w:rPr>
            </w:pPr>
            <w:r>
              <w:rPr>
                <w:rFonts w:ascii="Arial" w:cs="Arial" w:eastAsia="Arial" w:hAnsi="Arial"/>
                <w:sz w:val="14"/>
                <w:szCs w:val="14"/>
                <w:b w:val="1"/>
                <w:bCs w:val="1"/>
                <w:color w:val="auto"/>
              </w:rPr>
              <w:t>40</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40</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45</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41</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45</w:t>
            </w:r>
          </w:p>
        </w:tc>
      </w:tr>
      <w:tr>
        <w:trPr>
          <w:trHeight w:val="203"/>
        </w:trPr>
        <w:tc>
          <w:tcPr>
            <w:tcW w:w="3660" w:type="dxa"/>
            <w:vAlign w:val="bottom"/>
          </w:tcPr>
          <w:p>
            <w:pPr>
              <w:ind w:left="60"/>
              <w:spacing w:after="0"/>
              <w:rPr>
                <w:sz w:val="20"/>
                <w:szCs w:val="20"/>
                <w:color w:val="auto"/>
              </w:rPr>
            </w:pPr>
            <w:r>
              <w:rPr>
                <w:rFonts w:ascii="Arial" w:cs="Arial" w:eastAsia="Arial" w:hAnsi="Arial"/>
                <w:sz w:val="14"/>
                <w:szCs w:val="14"/>
                <w:color w:val="auto"/>
              </w:rPr>
              <w:t>Los Angeles Basin</w:t>
            </w:r>
          </w:p>
        </w:tc>
        <w:tc>
          <w:tcPr>
            <w:tcW w:w="1100" w:type="dxa"/>
            <w:vAlign w:val="bottom"/>
          </w:tcPr>
          <w:p>
            <w:pPr>
              <w:spacing w:after="0"/>
              <w:rPr>
                <w:sz w:val="17"/>
                <w:szCs w:val="17"/>
                <w:color w:val="auto"/>
              </w:rPr>
            </w:pPr>
          </w:p>
        </w:tc>
        <w:tc>
          <w:tcPr>
            <w:tcW w:w="320" w:type="dxa"/>
            <w:vAlign w:val="bottom"/>
          </w:tcPr>
          <w:p>
            <w:pPr>
              <w:jc w:val="right"/>
              <w:ind w:right="8"/>
              <w:spacing w:after="0"/>
              <w:rPr>
                <w:sz w:val="20"/>
                <w:szCs w:val="20"/>
                <w:color w:val="auto"/>
              </w:rPr>
            </w:pPr>
            <w:r>
              <w:rPr>
                <w:rFonts w:ascii="Arial" w:cs="Arial" w:eastAsia="Arial" w:hAnsi="Arial"/>
                <w:sz w:val="14"/>
                <w:szCs w:val="14"/>
                <w:b w:val="1"/>
                <w:bCs w:val="1"/>
                <w:color w:val="auto"/>
              </w:rPr>
              <w:t>25</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27</w:t>
            </w:r>
          </w:p>
        </w:tc>
      </w:tr>
      <w:tr>
        <w:trPr>
          <w:trHeight w:val="203"/>
        </w:trPr>
        <w:tc>
          <w:tcPr>
            <w:tcW w:w="3660" w:type="dxa"/>
            <w:vAlign w:val="bottom"/>
          </w:tcPr>
          <w:p>
            <w:pPr>
              <w:ind w:left="60"/>
              <w:spacing w:after="0"/>
              <w:rPr>
                <w:sz w:val="20"/>
                <w:szCs w:val="20"/>
                <w:color w:val="auto"/>
              </w:rPr>
            </w:pPr>
            <w:r>
              <w:rPr>
                <w:rFonts w:ascii="Arial" w:cs="Arial" w:eastAsia="Arial" w:hAnsi="Arial"/>
                <w:sz w:val="14"/>
                <w:szCs w:val="14"/>
                <w:color w:val="auto"/>
              </w:rPr>
              <w:t>Ventura Basin</w:t>
            </w:r>
          </w:p>
        </w:tc>
        <w:tc>
          <w:tcPr>
            <w:tcW w:w="1100" w:type="dxa"/>
            <w:vAlign w:val="bottom"/>
          </w:tcPr>
          <w:p>
            <w:pPr>
              <w:spacing w:after="0"/>
              <w:rPr>
                <w:sz w:val="17"/>
                <w:szCs w:val="17"/>
                <w:color w:val="auto"/>
              </w:rPr>
            </w:pPr>
          </w:p>
        </w:tc>
        <w:tc>
          <w:tcPr>
            <w:tcW w:w="1520" w:type="dxa"/>
            <w:vAlign w:val="bottom"/>
            <w:gridSpan w:val="3"/>
          </w:tcPr>
          <w:p>
            <w:pPr>
              <w:jc w:val="right"/>
              <w:ind w:right="1208"/>
              <w:spacing w:after="0"/>
              <w:rPr>
                <w:sz w:val="20"/>
                <w:szCs w:val="20"/>
                <w:color w:val="auto"/>
              </w:rPr>
            </w:pPr>
            <w:r>
              <w:rPr>
                <w:rFonts w:ascii="Arial" w:cs="Arial" w:eastAsia="Arial" w:hAnsi="Arial"/>
                <w:sz w:val="14"/>
                <w:szCs w:val="14"/>
                <w:b w:val="1"/>
                <w:bCs w:val="1"/>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8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r>
        <w:trPr>
          <w:trHeight w:val="196"/>
        </w:trPr>
        <w:tc>
          <w:tcPr>
            <w:tcW w:w="3660" w:type="dxa"/>
            <w:vAlign w:val="bottom"/>
          </w:tcPr>
          <w:p>
            <w:pPr>
              <w:ind w:left="60"/>
              <w:spacing w:after="0"/>
              <w:rPr>
                <w:sz w:val="20"/>
                <w:szCs w:val="20"/>
                <w:color w:val="auto"/>
              </w:rPr>
            </w:pPr>
            <w:r>
              <w:rPr>
                <w:rFonts w:ascii="Arial" w:cs="Arial" w:eastAsia="Arial" w:hAnsi="Arial"/>
                <w:sz w:val="14"/>
                <w:szCs w:val="14"/>
                <w:color w:val="auto"/>
              </w:rPr>
              <w:t>Total</w:t>
            </w:r>
          </w:p>
        </w:tc>
        <w:tc>
          <w:tcPr>
            <w:tcW w:w="1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65</w:t>
            </w:r>
          </w:p>
        </w:tc>
        <w:tc>
          <w:tcPr>
            <w:tcW w:w="8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66</w:t>
            </w:r>
          </w:p>
        </w:tc>
        <w:tc>
          <w:tcPr>
            <w:tcW w:w="100" w:type="dxa"/>
            <w:vAlign w:val="bottom"/>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72</w:t>
            </w:r>
          </w:p>
        </w:tc>
        <w:tc>
          <w:tcPr>
            <w:tcW w:w="280" w:type="dxa"/>
            <w:vAlign w:val="bottom"/>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66</w:t>
            </w:r>
          </w:p>
        </w:tc>
        <w:tc>
          <w:tcPr>
            <w:tcW w:w="100" w:type="dxa"/>
            <w:vAlign w:val="bottom"/>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74</w:t>
            </w:r>
          </w:p>
        </w:tc>
      </w:tr>
      <w:tr>
        <w:trPr>
          <w:trHeight w:val="364"/>
        </w:trPr>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NGLs (MBbl/d)</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3660" w:type="dxa"/>
            <w:vAlign w:val="bottom"/>
          </w:tcPr>
          <w:p>
            <w:pPr>
              <w:ind w:left="60"/>
              <w:spacing w:after="0"/>
              <w:rPr>
                <w:sz w:val="20"/>
                <w:szCs w:val="20"/>
                <w:color w:val="auto"/>
              </w:rPr>
            </w:pPr>
            <w:r>
              <w:rPr>
                <w:rFonts w:ascii="Arial" w:cs="Arial" w:eastAsia="Arial" w:hAnsi="Arial"/>
                <w:sz w:val="14"/>
                <w:szCs w:val="14"/>
                <w:color w:val="auto"/>
              </w:rPr>
              <w:t>San Joaquin Basin</w:t>
            </w:r>
          </w:p>
        </w:tc>
        <w:tc>
          <w:tcPr>
            <w:tcW w:w="1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w:t>
            </w:r>
          </w:p>
        </w:tc>
        <w:tc>
          <w:tcPr>
            <w:tcW w:w="8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w:t>
            </w:r>
          </w:p>
        </w:tc>
        <w:tc>
          <w:tcPr>
            <w:tcW w:w="28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w:t>
            </w:r>
          </w:p>
        </w:tc>
      </w:tr>
      <w:tr>
        <w:trPr>
          <w:trHeight w:val="196"/>
        </w:trPr>
        <w:tc>
          <w:tcPr>
            <w:tcW w:w="3660" w:type="dxa"/>
            <w:vAlign w:val="bottom"/>
          </w:tcPr>
          <w:p>
            <w:pPr>
              <w:ind w:left="60"/>
              <w:spacing w:after="0"/>
              <w:rPr>
                <w:sz w:val="20"/>
                <w:szCs w:val="20"/>
                <w:color w:val="auto"/>
              </w:rPr>
            </w:pPr>
            <w:r>
              <w:rPr>
                <w:rFonts w:ascii="Arial" w:cs="Arial" w:eastAsia="Arial" w:hAnsi="Arial"/>
                <w:sz w:val="14"/>
                <w:szCs w:val="14"/>
                <w:color w:val="auto"/>
              </w:rPr>
              <w:t>Total</w:t>
            </w:r>
          </w:p>
        </w:tc>
        <w:tc>
          <w:tcPr>
            <w:tcW w:w="1100" w:type="dxa"/>
            <w:vAlign w:val="bottom"/>
          </w:tcPr>
          <w:p>
            <w:pPr>
              <w:spacing w:after="0"/>
              <w:rPr>
                <w:sz w:val="17"/>
                <w:szCs w:val="17"/>
                <w:color w:val="auto"/>
              </w:rPr>
            </w:pPr>
          </w:p>
        </w:tc>
        <w:tc>
          <w:tcPr>
            <w:tcW w:w="320" w:type="dxa"/>
            <w:vAlign w:val="bottom"/>
          </w:tcPr>
          <w:p>
            <w:pPr>
              <w:jc w:val="right"/>
              <w:ind w:right="8"/>
              <w:spacing w:after="0"/>
              <w:rPr>
                <w:sz w:val="20"/>
                <w:szCs w:val="20"/>
                <w:color w:val="auto"/>
              </w:rPr>
            </w:pPr>
            <w:r>
              <w:rPr>
                <w:rFonts w:ascii="Arial" w:cs="Arial" w:eastAsia="Arial" w:hAnsi="Arial"/>
                <w:sz w:val="14"/>
                <w:szCs w:val="14"/>
                <w:b w:val="1"/>
                <w:bCs w:val="1"/>
                <w:color w:val="auto"/>
              </w:rPr>
              <w:t>12</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13</w:t>
            </w:r>
          </w:p>
        </w:tc>
      </w:tr>
      <w:tr>
        <w:trPr>
          <w:trHeight w:val="365"/>
        </w:trPr>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Natural Gas (MMcf/d)</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2"/>
        </w:trPr>
        <w:tc>
          <w:tcPr>
            <w:tcW w:w="3660" w:type="dxa"/>
            <w:vAlign w:val="bottom"/>
          </w:tcPr>
          <w:p>
            <w:pPr>
              <w:ind w:left="60"/>
              <w:spacing w:after="0"/>
              <w:rPr>
                <w:sz w:val="20"/>
                <w:szCs w:val="20"/>
                <w:color w:val="auto"/>
              </w:rPr>
            </w:pPr>
            <w:r>
              <w:rPr>
                <w:rFonts w:ascii="Arial" w:cs="Arial" w:eastAsia="Arial" w:hAnsi="Arial"/>
                <w:sz w:val="14"/>
                <w:szCs w:val="14"/>
                <w:color w:val="auto"/>
              </w:rPr>
              <w:t>San Joaquin Basin</w:t>
            </w:r>
          </w:p>
        </w:tc>
        <w:tc>
          <w:tcPr>
            <w:tcW w:w="1100" w:type="dxa"/>
            <w:vAlign w:val="bottom"/>
          </w:tcPr>
          <w:p>
            <w:pPr>
              <w:spacing w:after="0"/>
              <w:rPr>
                <w:sz w:val="17"/>
                <w:szCs w:val="17"/>
                <w:color w:val="auto"/>
              </w:rPr>
            </w:pPr>
          </w:p>
        </w:tc>
        <w:tc>
          <w:tcPr>
            <w:tcW w:w="320" w:type="dxa"/>
            <w:vAlign w:val="bottom"/>
          </w:tcPr>
          <w:p>
            <w:pPr>
              <w:jc w:val="right"/>
              <w:ind w:right="8"/>
              <w:spacing w:after="0"/>
              <w:rPr>
                <w:sz w:val="20"/>
                <w:szCs w:val="20"/>
                <w:color w:val="auto"/>
              </w:rPr>
            </w:pPr>
            <w:r>
              <w:rPr>
                <w:rFonts w:ascii="Arial" w:cs="Arial" w:eastAsia="Arial" w:hAnsi="Arial"/>
                <w:sz w:val="14"/>
                <w:szCs w:val="14"/>
                <w:b w:val="1"/>
                <w:bCs w:val="1"/>
                <w:color w:val="auto"/>
                <w:w w:val="94"/>
              </w:rPr>
              <w:t>136</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94"/>
              </w:rPr>
              <w:t>140</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138</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136</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142</w:t>
            </w:r>
          </w:p>
        </w:tc>
      </w:tr>
      <w:tr>
        <w:trPr>
          <w:trHeight w:val="203"/>
        </w:trPr>
        <w:tc>
          <w:tcPr>
            <w:tcW w:w="3660" w:type="dxa"/>
            <w:vAlign w:val="bottom"/>
          </w:tcPr>
          <w:p>
            <w:pPr>
              <w:ind w:left="60"/>
              <w:spacing w:after="0"/>
              <w:rPr>
                <w:sz w:val="20"/>
                <w:szCs w:val="20"/>
                <w:color w:val="auto"/>
              </w:rPr>
            </w:pPr>
            <w:r>
              <w:rPr>
                <w:rFonts w:ascii="Arial" w:cs="Arial" w:eastAsia="Arial" w:hAnsi="Arial"/>
                <w:sz w:val="14"/>
                <w:szCs w:val="14"/>
                <w:color w:val="auto"/>
              </w:rPr>
              <w:t>Los Angeles Basin</w:t>
            </w:r>
          </w:p>
        </w:tc>
        <w:tc>
          <w:tcPr>
            <w:tcW w:w="1100" w:type="dxa"/>
            <w:vAlign w:val="bottom"/>
          </w:tcPr>
          <w:p>
            <w:pPr>
              <w:spacing w:after="0"/>
              <w:rPr>
                <w:sz w:val="17"/>
                <w:szCs w:val="17"/>
                <w:color w:val="auto"/>
              </w:rPr>
            </w:pPr>
          </w:p>
        </w:tc>
        <w:tc>
          <w:tcPr>
            <w:tcW w:w="320" w:type="dxa"/>
            <w:vAlign w:val="bottom"/>
          </w:tcPr>
          <w:p>
            <w:pPr>
              <w:jc w:val="right"/>
              <w:ind w:right="8"/>
              <w:spacing w:after="0"/>
              <w:rPr>
                <w:sz w:val="20"/>
                <w:szCs w:val="20"/>
                <w:color w:val="auto"/>
              </w:rPr>
            </w:pPr>
            <w:r>
              <w:rPr>
                <w:rFonts w:ascii="Arial" w:cs="Arial" w:eastAsia="Arial" w:hAnsi="Arial"/>
                <w:sz w:val="14"/>
                <w:szCs w:val="14"/>
                <w:b w:val="1"/>
                <w:bCs w:val="1"/>
                <w:color w:val="auto"/>
              </w:rPr>
              <w:t>8</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8</w:t>
            </w:r>
          </w:p>
        </w:tc>
      </w:tr>
      <w:tr>
        <w:trPr>
          <w:trHeight w:val="203"/>
        </w:trPr>
        <w:tc>
          <w:tcPr>
            <w:tcW w:w="3660" w:type="dxa"/>
            <w:vAlign w:val="bottom"/>
          </w:tcPr>
          <w:p>
            <w:pPr>
              <w:ind w:left="60"/>
              <w:spacing w:after="0"/>
              <w:rPr>
                <w:sz w:val="20"/>
                <w:szCs w:val="20"/>
                <w:color w:val="auto"/>
              </w:rPr>
            </w:pPr>
            <w:r>
              <w:rPr>
                <w:rFonts w:ascii="Arial" w:cs="Arial" w:eastAsia="Arial" w:hAnsi="Arial"/>
                <w:sz w:val="14"/>
                <w:szCs w:val="14"/>
                <w:color w:val="auto"/>
              </w:rPr>
              <w:t>Ventura Basin</w:t>
            </w:r>
          </w:p>
        </w:tc>
        <w:tc>
          <w:tcPr>
            <w:tcW w:w="1100" w:type="dxa"/>
            <w:vAlign w:val="bottom"/>
          </w:tcPr>
          <w:p>
            <w:pPr>
              <w:spacing w:after="0"/>
              <w:rPr>
                <w:sz w:val="17"/>
                <w:szCs w:val="17"/>
                <w:color w:val="auto"/>
              </w:rPr>
            </w:pPr>
          </w:p>
        </w:tc>
        <w:tc>
          <w:tcPr>
            <w:tcW w:w="1520" w:type="dxa"/>
            <w:vAlign w:val="bottom"/>
            <w:gridSpan w:val="3"/>
          </w:tcPr>
          <w:p>
            <w:pPr>
              <w:jc w:val="right"/>
              <w:ind w:right="1208"/>
              <w:spacing w:after="0"/>
              <w:rPr>
                <w:sz w:val="20"/>
                <w:szCs w:val="20"/>
                <w:color w:val="auto"/>
              </w:rPr>
            </w:pPr>
            <w:r>
              <w:rPr>
                <w:rFonts w:ascii="Arial" w:cs="Arial" w:eastAsia="Arial" w:hAnsi="Arial"/>
                <w:sz w:val="14"/>
                <w:szCs w:val="14"/>
                <w:b w:val="1"/>
                <w:bCs w:val="1"/>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8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4</w:t>
            </w:r>
          </w:p>
        </w:tc>
      </w:tr>
      <w:tr>
        <w:trPr>
          <w:trHeight w:val="203"/>
        </w:trPr>
        <w:tc>
          <w:tcPr>
            <w:tcW w:w="3660" w:type="dxa"/>
            <w:vAlign w:val="bottom"/>
          </w:tcPr>
          <w:p>
            <w:pPr>
              <w:ind w:left="60"/>
              <w:spacing w:after="0"/>
              <w:rPr>
                <w:sz w:val="20"/>
                <w:szCs w:val="20"/>
                <w:color w:val="auto"/>
              </w:rPr>
            </w:pPr>
            <w:r>
              <w:rPr>
                <w:rFonts w:ascii="Arial" w:cs="Arial" w:eastAsia="Arial" w:hAnsi="Arial"/>
                <w:sz w:val="14"/>
                <w:szCs w:val="14"/>
                <w:color w:val="auto"/>
              </w:rPr>
              <w:t>Sacramento Basin</w:t>
            </w:r>
          </w:p>
        </w:tc>
        <w:tc>
          <w:tcPr>
            <w:tcW w:w="1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21</w:t>
            </w:r>
          </w:p>
        </w:tc>
        <w:tc>
          <w:tcPr>
            <w:tcW w:w="8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w:t>
            </w:r>
          </w:p>
        </w:tc>
        <w:tc>
          <w:tcPr>
            <w:tcW w:w="28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w:t>
            </w:r>
          </w:p>
        </w:tc>
      </w:tr>
      <w:tr>
        <w:trPr>
          <w:trHeight w:val="196"/>
        </w:trPr>
        <w:tc>
          <w:tcPr>
            <w:tcW w:w="3660" w:type="dxa"/>
            <w:vAlign w:val="bottom"/>
          </w:tcPr>
          <w:p>
            <w:pPr>
              <w:ind w:left="60"/>
              <w:spacing w:after="0"/>
              <w:rPr>
                <w:sz w:val="20"/>
                <w:szCs w:val="20"/>
                <w:color w:val="auto"/>
              </w:rPr>
            </w:pPr>
            <w:r>
              <w:rPr>
                <w:rFonts w:ascii="Arial" w:cs="Arial" w:eastAsia="Arial" w:hAnsi="Arial"/>
                <w:sz w:val="14"/>
                <w:szCs w:val="14"/>
                <w:color w:val="auto"/>
              </w:rPr>
              <w:t>Total</w:t>
            </w:r>
          </w:p>
        </w:tc>
        <w:tc>
          <w:tcPr>
            <w:tcW w:w="1100" w:type="dxa"/>
            <w:vAlign w:val="bottom"/>
          </w:tcPr>
          <w:p>
            <w:pPr>
              <w:spacing w:after="0"/>
              <w:rPr>
                <w:sz w:val="17"/>
                <w:szCs w:val="17"/>
                <w:color w:val="auto"/>
              </w:rPr>
            </w:pPr>
          </w:p>
        </w:tc>
        <w:tc>
          <w:tcPr>
            <w:tcW w:w="320" w:type="dxa"/>
            <w:vAlign w:val="bottom"/>
          </w:tcPr>
          <w:p>
            <w:pPr>
              <w:jc w:val="right"/>
              <w:ind w:right="8"/>
              <w:spacing w:after="0"/>
              <w:rPr>
                <w:sz w:val="20"/>
                <w:szCs w:val="20"/>
                <w:color w:val="auto"/>
              </w:rPr>
            </w:pPr>
            <w:r>
              <w:rPr>
                <w:rFonts w:ascii="Arial" w:cs="Arial" w:eastAsia="Arial" w:hAnsi="Arial"/>
                <w:sz w:val="14"/>
                <w:szCs w:val="14"/>
                <w:b w:val="1"/>
                <w:bCs w:val="1"/>
                <w:color w:val="auto"/>
                <w:w w:val="94"/>
              </w:rPr>
              <w:t>165</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94"/>
              </w:rPr>
              <w:t>168</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171</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165</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178</w:t>
            </w:r>
          </w:p>
        </w:tc>
      </w:tr>
      <w:tr>
        <w:trPr>
          <w:trHeight w:val="164"/>
        </w:trPr>
        <w:tc>
          <w:tcPr>
            <w:tcW w:w="366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r>
      <w:tr>
        <w:trPr>
          <w:trHeight w:val="196"/>
        </w:trPr>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Total Production (MBoe/d)</w:t>
            </w:r>
          </w:p>
        </w:tc>
        <w:tc>
          <w:tcPr>
            <w:tcW w:w="1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4"/>
              </w:rPr>
              <w:t>105</w:t>
            </w:r>
          </w:p>
        </w:tc>
        <w:tc>
          <w:tcPr>
            <w:tcW w:w="8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107</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114</w:t>
            </w:r>
          </w:p>
        </w:tc>
        <w:tc>
          <w:tcPr>
            <w:tcW w:w="28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106</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117</w:t>
            </w:r>
          </w:p>
        </w:tc>
      </w:tr>
      <w:tr>
        <w:trPr>
          <w:trHeight w:val="21"/>
        </w:trPr>
        <w:tc>
          <w:tcPr>
            <w:tcW w:w="36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Note: MBbl/d refers to thousands of barrels per day; MMcf/d refers to millions of cubic feet per day; MBoe/d refers to thousands of barrels of oil equivalent (Boe) per day.</w:t>
      </w:r>
    </w:p>
    <w:p>
      <w:pPr>
        <w:spacing w:after="0" w:line="2" w:lineRule="exact"/>
        <w:rPr>
          <w:sz w:val="20"/>
          <w:szCs w:val="20"/>
          <w:color w:val="auto"/>
        </w:rPr>
      </w:pPr>
    </w:p>
    <w:p>
      <w:pPr>
        <w:ind w:left="20" w:right="580"/>
        <w:spacing w:after="0" w:line="231" w:lineRule="auto"/>
        <w:rPr>
          <w:sz w:val="20"/>
          <w:szCs w:val="20"/>
          <w:color w:val="auto"/>
        </w:rPr>
      </w:pPr>
      <w:r>
        <w:rPr>
          <w:rFonts w:ascii="Arial" w:cs="Arial" w:eastAsia="Arial" w:hAnsi="Arial"/>
          <w:sz w:val="14"/>
          <w:szCs w:val="14"/>
          <w:color w:val="auto"/>
        </w:rPr>
        <w:t>Natural gas volumes have been converted to Boe based on the equivalence of energy content of six thousand cubic feet of natural gas to one barrel of oil. Barrels of oil equivalence does not necessarily result in price equivalence.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240"/>
          </w:cols>
          <w:pgMar w:left="320" w:top="1305"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97"/>
        </w:trPr>
        <w:tc>
          <w:tcPr>
            <w:tcW w:w="35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Attachment 4</w:t>
            </w:r>
          </w:p>
        </w:tc>
      </w:tr>
      <w:tr>
        <w:trPr>
          <w:trHeight w:val="22"/>
        </w:trPr>
        <w:tc>
          <w:tcPr>
            <w:tcW w:w="3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4"/>
        </w:trPr>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PRICE STATISTICS</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3"/>
        </w:trPr>
        <w:tc>
          <w:tcPr>
            <w:tcW w:w="3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4th Quarter</w:t>
            </w:r>
          </w:p>
        </w:tc>
        <w:tc>
          <w:tcPr>
            <w:tcW w:w="200" w:type="dxa"/>
            <w:vAlign w:val="bottom"/>
          </w:tcPr>
          <w:p>
            <w:pPr>
              <w:spacing w:after="0"/>
              <w:rPr>
                <w:sz w:val="17"/>
                <w:szCs w:val="17"/>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3rd Quarter</w:t>
            </w:r>
          </w:p>
        </w:tc>
        <w:tc>
          <w:tcPr>
            <w:tcW w:w="240" w:type="dxa"/>
            <w:vAlign w:val="bottom"/>
          </w:tcPr>
          <w:p>
            <w:pPr>
              <w:spacing w:after="0"/>
              <w:rPr>
                <w:sz w:val="17"/>
                <w:szCs w:val="17"/>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4th Quarter</w:t>
            </w:r>
          </w:p>
        </w:tc>
        <w:tc>
          <w:tcPr>
            <w:tcW w:w="220" w:type="dxa"/>
            <w:vAlign w:val="bottom"/>
          </w:tcPr>
          <w:p>
            <w:pPr>
              <w:spacing w:after="0"/>
              <w:rPr>
                <w:sz w:val="17"/>
                <w:szCs w:val="17"/>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 Year</w:t>
            </w:r>
          </w:p>
        </w:tc>
        <w:tc>
          <w:tcPr>
            <w:tcW w:w="260" w:type="dxa"/>
            <w:vAlign w:val="bottom"/>
          </w:tcPr>
          <w:p>
            <w:pPr>
              <w:spacing w:after="0"/>
              <w:rPr>
                <w:sz w:val="17"/>
                <w:szCs w:val="17"/>
                <w:color w:val="auto"/>
              </w:rPr>
            </w:pPr>
          </w:p>
        </w:tc>
        <w:tc>
          <w:tcPr>
            <w:tcW w:w="1240" w:type="dxa"/>
            <w:vAlign w:val="bottom"/>
          </w:tcPr>
          <w:p>
            <w:pPr>
              <w:jc w:val="right"/>
              <w:ind w:right="348"/>
              <w:spacing w:after="0"/>
              <w:rPr>
                <w:sz w:val="20"/>
                <w:szCs w:val="20"/>
                <w:color w:val="auto"/>
              </w:rPr>
            </w:pPr>
            <w:r>
              <w:rPr>
                <w:rFonts w:ascii="Arial" w:cs="Arial" w:eastAsia="Arial" w:hAnsi="Arial"/>
                <w:sz w:val="14"/>
                <w:szCs w:val="14"/>
                <w:b w:val="1"/>
                <w:bCs w:val="1"/>
                <w:color w:val="auto"/>
              </w:rPr>
              <w:t>Total Year</w:t>
            </w:r>
          </w:p>
        </w:tc>
      </w:tr>
      <w:tr>
        <w:trPr>
          <w:trHeight w:val="203"/>
        </w:trPr>
        <w:tc>
          <w:tcPr>
            <w:tcW w:w="3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r>
      <w:tr>
        <w:trPr>
          <w:trHeight w:val="183"/>
        </w:trPr>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Oil ($ per Bbl)</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03"/>
        </w:trPr>
        <w:tc>
          <w:tcPr>
            <w:tcW w:w="3520" w:type="dxa"/>
            <w:vAlign w:val="bottom"/>
          </w:tcPr>
          <w:p>
            <w:pPr>
              <w:ind w:left="20"/>
              <w:spacing w:after="0"/>
              <w:rPr>
                <w:sz w:val="20"/>
                <w:szCs w:val="20"/>
                <w:color w:val="auto"/>
              </w:rPr>
            </w:pPr>
            <w:r>
              <w:rPr>
                <w:rFonts w:ascii="Arial" w:cs="Arial" w:eastAsia="Arial" w:hAnsi="Arial"/>
                <w:sz w:val="14"/>
                <w:szCs w:val="14"/>
                <w:color w:val="auto"/>
              </w:rPr>
              <w:t>Realized price with derivative settlements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28"/>
              <w:spacing w:after="0"/>
              <w:rPr>
                <w:sz w:val="20"/>
                <w:szCs w:val="20"/>
                <w:color w:val="auto"/>
              </w:rPr>
            </w:pPr>
            <w:r>
              <w:rPr>
                <w:rFonts w:ascii="Arial" w:cs="Arial" w:eastAsia="Arial" w:hAnsi="Arial"/>
                <w:sz w:val="14"/>
                <w:szCs w:val="14"/>
                <w:b w:val="1"/>
                <w:bCs w:val="1"/>
                <w:color w:val="auto"/>
              </w:rPr>
              <w:t>61.33</w:t>
            </w:r>
          </w:p>
        </w:tc>
        <w:tc>
          <w:tcPr>
            <w:tcW w:w="10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ind w:right="108"/>
              <w:spacing w:after="0"/>
              <w:rPr>
                <w:sz w:val="20"/>
                <w:szCs w:val="20"/>
                <w:color w:val="auto"/>
              </w:rPr>
            </w:pPr>
            <w:r>
              <w:rPr>
                <w:rFonts w:ascii="Arial" w:cs="Arial" w:eastAsia="Arial" w:hAnsi="Arial"/>
                <w:sz w:val="14"/>
                <w:szCs w:val="14"/>
                <w:b w:val="1"/>
                <w:bCs w:val="1"/>
                <w:color w:val="auto"/>
              </w:rPr>
              <w:t>62.45</w:t>
            </w:r>
          </w:p>
        </w:tc>
        <w:tc>
          <w:tcPr>
            <w:tcW w:w="2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08"/>
              <w:spacing w:after="0"/>
              <w:rPr>
                <w:sz w:val="20"/>
                <w:szCs w:val="20"/>
                <w:color w:val="auto"/>
              </w:rPr>
            </w:pPr>
            <w:r>
              <w:rPr>
                <w:rFonts w:ascii="Arial" w:cs="Arial" w:eastAsia="Arial" w:hAnsi="Arial"/>
                <w:sz w:val="14"/>
                <w:szCs w:val="14"/>
                <w:b w:val="1"/>
                <w:bCs w:val="1"/>
                <w:color w:val="auto"/>
              </w:rPr>
              <w:t>61.00</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61.80</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08"/>
              <w:spacing w:after="0"/>
              <w:rPr>
                <w:sz w:val="20"/>
                <w:szCs w:val="20"/>
                <w:color w:val="auto"/>
              </w:rPr>
            </w:pPr>
            <w:r>
              <w:rPr>
                <w:rFonts w:ascii="Arial" w:cs="Arial" w:eastAsia="Arial" w:hAnsi="Arial"/>
                <w:sz w:val="14"/>
                <w:szCs w:val="14"/>
                <w:b w:val="1"/>
                <w:bCs w:val="1"/>
                <w:color w:val="auto"/>
              </w:rPr>
              <w:t>56.05</w:t>
            </w:r>
          </w:p>
        </w:tc>
      </w:tr>
      <w:tr>
        <w:trPr>
          <w:trHeight w:val="203"/>
        </w:trPr>
        <w:tc>
          <w:tcPr>
            <w:tcW w:w="3520" w:type="dxa"/>
            <w:vAlign w:val="bottom"/>
          </w:tcPr>
          <w:p>
            <w:pPr>
              <w:ind w:left="20"/>
              <w:spacing w:after="0"/>
              <w:rPr>
                <w:sz w:val="20"/>
                <w:szCs w:val="20"/>
                <w:color w:val="auto"/>
              </w:rPr>
            </w:pPr>
            <w:r>
              <w:rPr>
                <w:rFonts w:ascii="Arial" w:cs="Arial" w:eastAsia="Arial" w:hAnsi="Arial"/>
                <w:sz w:val="14"/>
                <w:szCs w:val="14"/>
                <w:color w:val="auto"/>
              </w:rPr>
              <w:t>Realized price without derivative settlements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28"/>
              <w:spacing w:after="0"/>
              <w:rPr>
                <w:sz w:val="20"/>
                <w:szCs w:val="20"/>
                <w:color w:val="auto"/>
              </w:rPr>
            </w:pPr>
            <w:r>
              <w:rPr>
                <w:rFonts w:ascii="Arial" w:cs="Arial" w:eastAsia="Arial" w:hAnsi="Arial"/>
                <w:sz w:val="14"/>
                <w:szCs w:val="14"/>
                <w:b w:val="1"/>
                <w:bCs w:val="1"/>
                <w:color w:val="auto"/>
              </w:rPr>
              <w:t>87.15</w:t>
            </w:r>
          </w:p>
        </w:tc>
        <w:tc>
          <w:tcPr>
            <w:tcW w:w="10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ind w:right="108"/>
              <w:spacing w:after="0"/>
              <w:rPr>
                <w:sz w:val="20"/>
                <w:szCs w:val="20"/>
                <w:color w:val="auto"/>
              </w:rPr>
            </w:pPr>
            <w:r>
              <w:rPr>
                <w:rFonts w:ascii="Arial" w:cs="Arial" w:eastAsia="Arial" w:hAnsi="Arial"/>
                <w:sz w:val="14"/>
                <w:szCs w:val="14"/>
                <w:b w:val="1"/>
                <w:bCs w:val="1"/>
                <w:color w:val="auto"/>
              </w:rPr>
              <w:t>97.96</w:t>
            </w:r>
          </w:p>
        </w:tc>
        <w:tc>
          <w:tcPr>
            <w:tcW w:w="2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08"/>
              <w:spacing w:after="0"/>
              <w:rPr>
                <w:sz w:val="20"/>
                <w:szCs w:val="20"/>
                <w:color w:val="auto"/>
              </w:rPr>
            </w:pPr>
            <w:r>
              <w:rPr>
                <w:rFonts w:ascii="Arial" w:cs="Arial" w:eastAsia="Arial" w:hAnsi="Arial"/>
                <w:sz w:val="14"/>
                <w:szCs w:val="14"/>
                <w:b w:val="1"/>
                <w:bCs w:val="1"/>
                <w:color w:val="auto"/>
              </w:rPr>
              <w:t>78.99</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98.26</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08"/>
              <w:spacing w:after="0"/>
              <w:rPr>
                <w:sz w:val="20"/>
                <w:szCs w:val="20"/>
                <w:color w:val="auto"/>
              </w:rPr>
            </w:pPr>
            <w:r>
              <w:rPr>
                <w:rFonts w:ascii="Arial" w:cs="Arial" w:eastAsia="Arial" w:hAnsi="Arial"/>
                <w:sz w:val="14"/>
                <w:szCs w:val="14"/>
                <w:b w:val="1"/>
                <w:bCs w:val="1"/>
                <w:color w:val="auto"/>
              </w:rPr>
              <w:t>70.43</w:t>
            </w:r>
          </w:p>
        </w:tc>
      </w:tr>
      <w:tr>
        <w:trPr>
          <w:trHeight w:val="257"/>
        </w:trPr>
        <w:tc>
          <w:tcPr>
            <w:tcW w:w="3520" w:type="dxa"/>
            <w:vAlign w:val="bottom"/>
          </w:tcPr>
          <w:p>
            <w:pPr>
              <w:ind w:left="20"/>
              <w:spacing w:after="0"/>
              <w:rPr>
                <w:sz w:val="20"/>
                <w:szCs w:val="20"/>
                <w:color w:val="auto"/>
              </w:rPr>
            </w:pPr>
            <w:r>
              <w:rPr>
                <w:rFonts w:ascii="Arial" w:cs="Arial" w:eastAsia="Arial" w:hAnsi="Arial"/>
                <w:sz w:val="14"/>
                <w:szCs w:val="14"/>
                <w:color w:val="auto"/>
              </w:rPr>
              <w:t>NGLs ($/Bbl)</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28"/>
              <w:spacing w:after="0"/>
              <w:rPr>
                <w:sz w:val="20"/>
                <w:szCs w:val="20"/>
                <w:color w:val="auto"/>
              </w:rPr>
            </w:pPr>
            <w:r>
              <w:rPr>
                <w:rFonts w:ascii="Arial" w:cs="Arial" w:eastAsia="Arial" w:hAnsi="Arial"/>
                <w:sz w:val="14"/>
                <w:szCs w:val="14"/>
                <w:b w:val="1"/>
                <w:bCs w:val="1"/>
                <w:color w:val="auto"/>
              </w:rPr>
              <w:t>56.55</w:t>
            </w:r>
          </w:p>
        </w:tc>
        <w:tc>
          <w:tcPr>
            <w:tcW w:w="10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ind w:right="108"/>
              <w:spacing w:after="0"/>
              <w:rPr>
                <w:sz w:val="20"/>
                <w:szCs w:val="20"/>
                <w:color w:val="auto"/>
              </w:rPr>
            </w:pPr>
            <w:r>
              <w:rPr>
                <w:rFonts w:ascii="Arial" w:cs="Arial" w:eastAsia="Arial" w:hAnsi="Arial"/>
                <w:sz w:val="14"/>
                <w:szCs w:val="14"/>
                <w:b w:val="1"/>
                <w:bCs w:val="1"/>
                <w:color w:val="auto"/>
              </w:rPr>
              <w:t>57.68</w:t>
            </w:r>
          </w:p>
        </w:tc>
        <w:tc>
          <w:tcPr>
            <w:tcW w:w="2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08"/>
              <w:spacing w:after="0"/>
              <w:rPr>
                <w:sz w:val="20"/>
                <w:szCs w:val="20"/>
                <w:color w:val="auto"/>
              </w:rPr>
            </w:pPr>
            <w:r>
              <w:rPr>
                <w:rFonts w:ascii="Arial" w:cs="Arial" w:eastAsia="Arial" w:hAnsi="Arial"/>
                <w:sz w:val="14"/>
                <w:szCs w:val="14"/>
                <w:b w:val="1"/>
                <w:bCs w:val="1"/>
                <w:color w:val="auto"/>
              </w:rPr>
              <w:t>67.61</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64.33</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08"/>
              <w:spacing w:after="0"/>
              <w:rPr>
                <w:sz w:val="20"/>
                <w:szCs w:val="20"/>
                <w:color w:val="auto"/>
              </w:rPr>
            </w:pPr>
            <w:r>
              <w:rPr>
                <w:rFonts w:ascii="Arial" w:cs="Arial" w:eastAsia="Arial" w:hAnsi="Arial"/>
                <w:sz w:val="14"/>
                <w:szCs w:val="14"/>
                <w:b w:val="1"/>
                <w:bCs w:val="1"/>
                <w:color w:val="auto"/>
              </w:rPr>
              <w:t>53.62</w:t>
            </w:r>
          </w:p>
        </w:tc>
      </w:tr>
      <w:tr>
        <w:trPr>
          <w:trHeight w:val="251"/>
        </w:trPr>
        <w:tc>
          <w:tcPr>
            <w:tcW w:w="3520" w:type="dxa"/>
            <w:vAlign w:val="bottom"/>
          </w:tcPr>
          <w:p>
            <w:pPr>
              <w:ind w:left="20"/>
              <w:spacing w:after="0"/>
              <w:rPr>
                <w:sz w:val="20"/>
                <w:szCs w:val="20"/>
                <w:color w:val="auto"/>
              </w:rPr>
            </w:pPr>
            <w:r>
              <w:rPr>
                <w:rFonts w:ascii="Arial" w:cs="Arial" w:eastAsia="Arial" w:hAnsi="Arial"/>
                <w:sz w:val="14"/>
                <w:szCs w:val="14"/>
                <w:color w:val="auto"/>
              </w:rPr>
              <w:t>Natural gas ($/Mcf)</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08"/>
        </w:trPr>
        <w:tc>
          <w:tcPr>
            <w:tcW w:w="3520" w:type="dxa"/>
            <w:vAlign w:val="bottom"/>
          </w:tcPr>
          <w:p>
            <w:pPr>
              <w:ind w:left="20"/>
              <w:spacing w:after="0"/>
              <w:rPr>
                <w:sz w:val="20"/>
                <w:szCs w:val="20"/>
                <w:color w:val="auto"/>
              </w:rPr>
            </w:pPr>
            <w:r>
              <w:rPr>
                <w:rFonts w:ascii="Arial" w:cs="Arial" w:eastAsia="Arial" w:hAnsi="Arial"/>
                <w:sz w:val="14"/>
                <w:szCs w:val="14"/>
                <w:color w:val="auto"/>
              </w:rPr>
              <w:t>Realized price with derivative settlements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28"/>
              <w:spacing w:after="0"/>
              <w:rPr>
                <w:sz w:val="20"/>
                <w:szCs w:val="20"/>
                <w:color w:val="auto"/>
              </w:rPr>
            </w:pPr>
            <w:r>
              <w:rPr>
                <w:rFonts w:ascii="Arial" w:cs="Arial" w:eastAsia="Arial" w:hAnsi="Arial"/>
                <w:sz w:val="14"/>
                <w:szCs w:val="14"/>
                <w:b w:val="1"/>
                <w:bCs w:val="1"/>
                <w:color w:val="auto"/>
              </w:rPr>
              <w:t>8.51</w:t>
            </w:r>
          </w:p>
        </w:tc>
        <w:tc>
          <w:tcPr>
            <w:tcW w:w="100" w:type="dxa"/>
            <w:vAlign w:val="bottom"/>
          </w:tcPr>
          <w:p>
            <w:pPr>
              <w:spacing w:after="0"/>
              <w:rPr>
                <w:sz w:val="18"/>
                <w:szCs w:val="18"/>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ind w:right="108"/>
              <w:spacing w:after="0"/>
              <w:rPr>
                <w:sz w:val="20"/>
                <w:szCs w:val="20"/>
                <w:color w:val="auto"/>
              </w:rPr>
            </w:pPr>
            <w:r>
              <w:rPr>
                <w:rFonts w:ascii="Arial" w:cs="Arial" w:eastAsia="Arial" w:hAnsi="Arial"/>
                <w:sz w:val="14"/>
                <w:szCs w:val="14"/>
                <w:b w:val="1"/>
                <w:bCs w:val="1"/>
                <w:color w:val="auto"/>
              </w:rPr>
              <w:t>8.58</w:t>
            </w:r>
          </w:p>
        </w:tc>
        <w:tc>
          <w:tcPr>
            <w:tcW w:w="20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08"/>
              <w:spacing w:after="0"/>
              <w:rPr>
                <w:sz w:val="20"/>
                <w:szCs w:val="20"/>
                <w:color w:val="auto"/>
              </w:rPr>
            </w:pPr>
            <w:r>
              <w:rPr>
                <w:rFonts w:ascii="Arial" w:cs="Arial" w:eastAsia="Arial" w:hAnsi="Arial"/>
                <w:sz w:val="14"/>
                <w:szCs w:val="14"/>
                <w:b w:val="1"/>
                <w:bCs w:val="1"/>
                <w:color w:val="auto"/>
              </w:rPr>
              <w:t>5.94</w:t>
            </w:r>
          </w:p>
        </w:tc>
        <w:tc>
          <w:tcPr>
            <w:tcW w:w="10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7.54</w:t>
            </w:r>
          </w:p>
        </w:tc>
        <w:tc>
          <w:tcPr>
            <w:tcW w:w="10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08"/>
              <w:spacing w:after="0"/>
              <w:rPr>
                <w:sz w:val="20"/>
                <w:szCs w:val="20"/>
                <w:color w:val="auto"/>
              </w:rPr>
            </w:pPr>
            <w:r>
              <w:rPr>
                <w:rFonts w:ascii="Arial" w:cs="Arial" w:eastAsia="Arial" w:hAnsi="Arial"/>
                <w:sz w:val="14"/>
                <w:szCs w:val="14"/>
                <w:b w:val="1"/>
                <w:bCs w:val="1"/>
                <w:color w:val="auto"/>
              </w:rPr>
              <w:t>4.20</w:t>
            </w:r>
          </w:p>
        </w:tc>
      </w:tr>
      <w:tr>
        <w:trPr>
          <w:trHeight w:val="203"/>
        </w:trPr>
        <w:tc>
          <w:tcPr>
            <w:tcW w:w="3520" w:type="dxa"/>
            <w:vAlign w:val="bottom"/>
          </w:tcPr>
          <w:p>
            <w:pPr>
              <w:ind w:left="20"/>
              <w:spacing w:after="0"/>
              <w:rPr>
                <w:sz w:val="20"/>
                <w:szCs w:val="20"/>
                <w:color w:val="auto"/>
              </w:rPr>
            </w:pPr>
            <w:r>
              <w:rPr>
                <w:rFonts w:ascii="Arial" w:cs="Arial" w:eastAsia="Arial" w:hAnsi="Arial"/>
                <w:sz w:val="14"/>
                <w:szCs w:val="14"/>
                <w:color w:val="auto"/>
              </w:rPr>
              <w:t>Realized price without derivative settlements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28"/>
              <w:spacing w:after="0"/>
              <w:rPr>
                <w:sz w:val="20"/>
                <w:szCs w:val="20"/>
                <w:color w:val="auto"/>
              </w:rPr>
            </w:pPr>
            <w:r>
              <w:rPr>
                <w:rFonts w:ascii="Arial" w:cs="Arial" w:eastAsia="Arial" w:hAnsi="Arial"/>
                <w:sz w:val="14"/>
                <w:szCs w:val="14"/>
                <w:b w:val="1"/>
                <w:bCs w:val="1"/>
                <w:color w:val="auto"/>
              </w:rPr>
              <w:t>8.73</w:t>
            </w:r>
          </w:p>
        </w:tc>
        <w:tc>
          <w:tcPr>
            <w:tcW w:w="10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ind w:right="108"/>
              <w:spacing w:after="0"/>
              <w:rPr>
                <w:sz w:val="20"/>
                <w:szCs w:val="20"/>
                <w:color w:val="auto"/>
              </w:rPr>
            </w:pPr>
            <w:r>
              <w:rPr>
                <w:rFonts w:ascii="Arial" w:cs="Arial" w:eastAsia="Arial" w:hAnsi="Arial"/>
                <w:sz w:val="14"/>
                <w:szCs w:val="14"/>
                <w:b w:val="1"/>
                <w:bCs w:val="1"/>
                <w:color w:val="auto"/>
              </w:rPr>
              <w:t>8.80</w:t>
            </w:r>
          </w:p>
        </w:tc>
        <w:tc>
          <w:tcPr>
            <w:tcW w:w="2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08"/>
              <w:spacing w:after="0"/>
              <w:rPr>
                <w:sz w:val="20"/>
                <w:szCs w:val="20"/>
                <w:color w:val="auto"/>
              </w:rPr>
            </w:pPr>
            <w:r>
              <w:rPr>
                <w:rFonts w:ascii="Arial" w:cs="Arial" w:eastAsia="Arial" w:hAnsi="Arial"/>
                <w:sz w:val="14"/>
                <w:szCs w:val="14"/>
                <w:b w:val="1"/>
                <w:bCs w:val="1"/>
                <w:color w:val="auto"/>
              </w:rPr>
              <w:t>5.94</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7.68</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08"/>
              <w:spacing w:after="0"/>
              <w:rPr>
                <w:sz w:val="20"/>
                <w:szCs w:val="20"/>
                <w:color w:val="auto"/>
              </w:rPr>
            </w:pPr>
            <w:r>
              <w:rPr>
                <w:rFonts w:ascii="Arial" w:cs="Arial" w:eastAsia="Arial" w:hAnsi="Arial"/>
                <w:sz w:val="14"/>
                <w:szCs w:val="14"/>
                <w:b w:val="1"/>
                <w:bCs w:val="1"/>
                <w:color w:val="auto"/>
              </w:rPr>
              <w:t>4.22</w:t>
            </w:r>
          </w:p>
        </w:tc>
      </w:tr>
    </w:tbl>
    <w:p>
      <w:pPr>
        <w:spacing w:after="0" w:line="22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Index Prices</w:t>
      </w:r>
    </w:p>
    <w:p>
      <w:pPr>
        <w:sectPr>
          <w:pgSz w:w="11900" w:h="16838" w:orient="portrait"/>
          <w:cols w:equalWidth="0" w:num="1">
            <w:col w:w="11240"/>
          </w:cols>
          <w:pgMar w:left="320" w:top="1062" w:right="339" w:bottom="1440" w:gutter="0" w:footer="0" w:header="0"/>
        </w:sectPr>
      </w:pPr>
    </w:p>
    <w:p>
      <w:pPr>
        <w:spacing w:after="0" w:line="42" w:lineRule="exact"/>
        <w:rPr>
          <w:sz w:val="20"/>
          <w:szCs w:val="20"/>
          <w:color w:val="auto"/>
        </w:rPr>
      </w:pPr>
    </w:p>
    <w:p>
      <w:pPr>
        <w:ind w:left="60"/>
        <w:spacing w:after="0"/>
        <w:tabs>
          <w:tab w:leader="none" w:pos="3520" w:val="left"/>
        </w:tabs>
        <w:rPr>
          <w:sz w:val="20"/>
          <w:szCs w:val="20"/>
          <w:color w:val="auto"/>
        </w:rPr>
      </w:pPr>
      <w:r>
        <w:rPr>
          <w:rFonts w:ascii="Arial" w:cs="Arial" w:eastAsia="Arial" w:hAnsi="Arial"/>
          <w:sz w:val="14"/>
          <w:szCs w:val="14"/>
          <w:color w:val="auto"/>
        </w:rPr>
        <w:t>Brent oil ($/Bbl)</w:t>
      </w:r>
      <w:r>
        <w:rPr>
          <w:sz w:val="20"/>
          <w:szCs w:val="20"/>
          <w:color w:val="auto"/>
        </w:rPr>
        <w:tab/>
      </w:r>
      <w:r>
        <w:rPr>
          <w:rFonts w:ascii="Arial" w:cs="Arial" w:eastAsia="Arial" w:hAnsi="Arial"/>
          <w:sz w:val="14"/>
          <w:szCs w:val="14"/>
          <w:b w:val="1"/>
          <w:bCs w:val="1"/>
          <w:color w:val="auto"/>
        </w:rPr>
        <w:t>$</w:t>
      </w:r>
    </w:p>
    <w:p>
      <w:pPr>
        <w:spacing w:after="0" w:line="42" w:lineRule="exact"/>
        <w:rPr>
          <w:sz w:val="20"/>
          <w:szCs w:val="20"/>
          <w:color w:val="auto"/>
        </w:rPr>
      </w:pPr>
    </w:p>
    <w:p>
      <w:pPr>
        <w:ind w:left="60"/>
        <w:spacing w:after="0"/>
        <w:tabs>
          <w:tab w:leader="none" w:pos="3520" w:val="left"/>
        </w:tabs>
        <w:rPr>
          <w:sz w:val="20"/>
          <w:szCs w:val="20"/>
          <w:color w:val="auto"/>
        </w:rPr>
      </w:pPr>
      <w:r>
        <w:rPr>
          <w:rFonts w:ascii="Arial" w:cs="Arial" w:eastAsia="Arial" w:hAnsi="Arial"/>
          <w:sz w:val="14"/>
          <w:szCs w:val="14"/>
          <w:color w:val="auto"/>
        </w:rPr>
        <w:t>WTI oil ($/Bbl)</w:t>
      </w:r>
      <w:r>
        <w:rPr>
          <w:sz w:val="20"/>
          <w:szCs w:val="20"/>
          <w:color w:val="auto"/>
        </w:rPr>
        <w:tab/>
      </w:r>
      <w:r>
        <w:rPr>
          <w:rFonts w:ascii="Arial" w:cs="Arial" w:eastAsia="Arial" w:hAnsi="Arial"/>
          <w:sz w:val="14"/>
          <w:szCs w:val="14"/>
          <w:b w:val="1"/>
          <w:bCs w:val="1"/>
          <w:color w:val="auto"/>
        </w:rPr>
        <w:t>$</w:t>
      </w:r>
    </w:p>
    <w:p>
      <w:pPr>
        <w:spacing w:after="0" w:line="42" w:lineRule="exact"/>
        <w:rPr>
          <w:sz w:val="20"/>
          <w:szCs w:val="20"/>
          <w:color w:val="auto"/>
        </w:rPr>
      </w:pPr>
    </w:p>
    <w:p>
      <w:pPr>
        <w:ind w:left="60"/>
        <w:spacing w:after="0"/>
        <w:tabs>
          <w:tab w:leader="none" w:pos="3520" w:val="left"/>
        </w:tabs>
        <w:rPr>
          <w:sz w:val="20"/>
          <w:szCs w:val="20"/>
          <w:color w:val="auto"/>
        </w:rPr>
      </w:pPr>
      <w:r>
        <w:rPr>
          <w:rFonts w:ascii="Arial" w:cs="Arial" w:eastAsia="Arial" w:hAnsi="Arial"/>
          <w:sz w:val="14"/>
          <w:szCs w:val="14"/>
          <w:color w:val="auto"/>
        </w:rPr>
        <w:t>NYMEX contract month average ($/MMBtu)</w:t>
      </w:r>
      <w:r>
        <w:rPr>
          <w:sz w:val="20"/>
          <w:szCs w:val="20"/>
          <w:color w:val="auto"/>
        </w:rPr>
        <w:tab/>
      </w:r>
      <w:r>
        <w:rPr>
          <w:rFonts w:ascii="Arial" w:cs="Arial" w:eastAsia="Arial" w:hAnsi="Arial"/>
          <w:sz w:val="14"/>
          <w:szCs w:val="14"/>
          <w:b w:val="1"/>
          <w:bCs w:val="1"/>
          <w:color w:val="auto"/>
        </w:rPr>
        <w:t>$</w:t>
      </w:r>
    </w:p>
    <w:p>
      <w:pPr>
        <w:spacing w:after="0" w:line="42" w:lineRule="exact"/>
        <w:rPr>
          <w:sz w:val="20"/>
          <w:szCs w:val="20"/>
          <w:color w:val="auto"/>
        </w:rPr>
      </w:pPr>
    </w:p>
    <w:p>
      <w:pPr>
        <w:ind w:left="60"/>
        <w:spacing w:after="0"/>
        <w:tabs>
          <w:tab w:leader="none" w:pos="3520" w:val="left"/>
        </w:tabs>
        <w:rPr>
          <w:sz w:val="20"/>
          <w:szCs w:val="20"/>
          <w:color w:val="auto"/>
        </w:rPr>
      </w:pPr>
      <w:r>
        <w:rPr>
          <w:rFonts w:ascii="Arial" w:cs="Arial" w:eastAsia="Arial" w:hAnsi="Arial"/>
          <w:sz w:val="14"/>
          <w:szCs w:val="14"/>
          <w:color w:val="auto"/>
        </w:rPr>
        <w:t>NYMEX average monthly settled price ($/MMBtu)</w:t>
      </w:r>
      <w:r>
        <w:rPr>
          <w:sz w:val="20"/>
          <w:szCs w:val="20"/>
          <w:color w:val="auto"/>
        </w:rPr>
        <w:tab/>
      </w:r>
      <w:r>
        <w:rPr>
          <w:rFonts w:ascii="Arial" w:cs="Arial" w:eastAsia="Arial" w:hAnsi="Arial"/>
          <w:sz w:val="14"/>
          <w:szCs w:val="14"/>
          <w:b w:val="1"/>
          <w:bCs w:val="1"/>
          <w:color w:val="auto"/>
        </w:rPr>
        <w:t>$</w:t>
      </w:r>
    </w:p>
    <w:p>
      <w:pPr>
        <w:spacing w:after="0" w:line="25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Realized Prices as Percentage of Index Prices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Oil with derivative settlements as a percentage of</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color w:val="auto"/>
        </w:rPr>
        <w:t>Brent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Oil without derivative settlements as a percentage of</w:t>
      </w:r>
    </w:p>
    <w:p>
      <w:pPr>
        <w:ind w:left="20"/>
        <w:spacing w:after="0"/>
        <w:rPr>
          <w:sz w:val="20"/>
          <w:szCs w:val="20"/>
          <w:color w:val="auto"/>
        </w:rPr>
      </w:pPr>
      <w:r>
        <w:rPr>
          <w:rFonts w:ascii="Arial" w:cs="Arial" w:eastAsia="Arial" w:hAnsi="Arial"/>
          <w:sz w:val="14"/>
          <w:szCs w:val="14"/>
          <w:color w:val="auto"/>
        </w:rPr>
        <w:t>Brent</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4"/>
          <w:szCs w:val="14"/>
          <w:color w:val="auto"/>
        </w:rPr>
        <w:t>Oil with derivative settlements as a percentage of WTI</w:t>
      </w:r>
    </w:p>
    <w:p>
      <w:pPr>
        <w:spacing w:after="0" w:line="42" w:lineRule="exact"/>
        <w:rPr>
          <w:sz w:val="20"/>
          <w:szCs w:val="20"/>
          <w:color w:val="auto"/>
        </w:rPr>
      </w:pPr>
    </w:p>
    <w:p>
      <w:pPr>
        <w:ind w:left="20" w:right="340"/>
        <w:spacing w:after="0" w:line="264" w:lineRule="auto"/>
        <w:rPr>
          <w:sz w:val="20"/>
          <w:szCs w:val="20"/>
          <w:color w:val="auto"/>
        </w:rPr>
      </w:pPr>
      <w:r>
        <w:rPr>
          <w:rFonts w:ascii="Arial" w:cs="Arial" w:eastAsia="Arial" w:hAnsi="Arial"/>
          <w:sz w:val="14"/>
          <w:szCs w:val="14"/>
          <w:color w:val="auto"/>
        </w:rPr>
        <w:t>Oil without derivative settlements as a percentage of WTI</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color w:val="auto"/>
        </w:rPr>
        <w:t>NGLs as a percentage of Brent</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NGLs as a percentage of WTI</w:t>
      </w:r>
    </w:p>
    <w:p>
      <w:pPr>
        <w:spacing w:after="0" w:line="96" w:lineRule="exact"/>
        <w:rPr>
          <w:sz w:val="20"/>
          <w:szCs w:val="20"/>
          <w:color w:val="auto"/>
        </w:rPr>
      </w:pPr>
    </w:p>
    <w:p>
      <w:pPr>
        <w:ind w:left="20" w:right="700"/>
        <w:spacing w:after="0" w:line="252" w:lineRule="auto"/>
        <w:rPr>
          <w:sz w:val="20"/>
          <w:szCs w:val="20"/>
          <w:color w:val="auto"/>
        </w:rPr>
      </w:pPr>
      <w:r>
        <w:rPr>
          <w:rFonts w:ascii="Arial" w:cs="Arial" w:eastAsia="Arial" w:hAnsi="Arial"/>
          <w:sz w:val="14"/>
          <w:szCs w:val="14"/>
          <w:color w:val="auto"/>
        </w:rPr>
        <w:t>Natural gas with derivative settlements as a percentage of NYMEX contract month average</w:t>
      </w:r>
    </w:p>
    <w:p>
      <w:pPr>
        <w:spacing w:after="0" w:line="1" w:lineRule="exact"/>
        <w:rPr>
          <w:sz w:val="20"/>
          <w:szCs w:val="20"/>
          <w:color w:val="auto"/>
        </w:rPr>
      </w:pPr>
    </w:p>
    <w:p>
      <w:pPr>
        <w:ind w:left="20" w:right="320"/>
        <w:spacing w:after="0" w:line="263" w:lineRule="auto"/>
        <w:rPr>
          <w:sz w:val="20"/>
          <w:szCs w:val="20"/>
          <w:color w:val="auto"/>
        </w:rPr>
      </w:pPr>
      <w:r>
        <w:rPr>
          <w:rFonts w:ascii="Arial" w:cs="Arial" w:eastAsia="Arial" w:hAnsi="Arial"/>
          <w:sz w:val="14"/>
          <w:szCs w:val="14"/>
          <w:color w:val="auto"/>
        </w:rPr>
        <w:t>Natural gas with derivative settlements as a percentage of NYMEX average monthly settled price</w:t>
      </w:r>
    </w:p>
    <w:p>
      <w:pPr>
        <w:spacing w:after="0" w:line="37" w:lineRule="exact"/>
        <w:rPr>
          <w:sz w:val="20"/>
          <w:szCs w:val="20"/>
          <w:color w:val="auto"/>
        </w:rPr>
      </w:pPr>
    </w:p>
    <w:p>
      <w:pPr>
        <w:ind w:left="20" w:right="700"/>
        <w:spacing w:after="0" w:line="252" w:lineRule="auto"/>
        <w:rPr>
          <w:sz w:val="20"/>
          <w:szCs w:val="20"/>
          <w:color w:val="auto"/>
        </w:rPr>
      </w:pPr>
      <w:r>
        <w:rPr>
          <w:rFonts w:ascii="Arial" w:cs="Arial" w:eastAsia="Arial" w:hAnsi="Arial"/>
          <w:sz w:val="14"/>
          <w:szCs w:val="14"/>
          <w:color w:val="auto"/>
        </w:rPr>
        <w:t>Natural gas without derivative settlements as a percentage of NYMEX contract month average</w:t>
      </w:r>
    </w:p>
    <w:p>
      <w:pPr>
        <w:spacing w:after="0" w:line="1" w:lineRule="exact"/>
        <w:rPr>
          <w:sz w:val="20"/>
          <w:szCs w:val="20"/>
          <w:color w:val="auto"/>
        </w:rPr>
      </w:pPr>
    </w:p>
    <w:p>
      <w:pPr>
        <w:ind w:left="20" w:right="320"/>
        <w:spacing w:after="0" w:line="263" w:lineRule="auto"/>
        <w:rPr>
          <w:sz w:val="20"/>
          <w:szCs w:val="20"/>
          <w:color w:val="auto"/>
        </w:rPr>
      </w:pPr>
      <w:r>
        <w:rPr>
          <w:rFonts w:ascii="Arial" w:cs="Arial" w:eastAsia="Arial" w:hAnsi="Arial"/>
          <w:sz w:val="14"/>
          <w:szCs w:val="14"/>
          <w:color w:val="auto"/>
        </w:rPr>
        <w:t>Natural gas without derivative settlements as a percentage of NYMEX average monthly settled price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600" w:type="dxa"/>
            <w:vAlign w:val="bottom"/>
          </w:tcPr>
          <w:p>
            <w:pPr>
              <w:jc w:val="right"/>
              <w:ind w:right="168"/>
              <w:spacing w:after="0"/>
              <w:rPr>
                <w:sz w:val="20"/>
                <w:szCs w:val="20"/>
                <w:color w:val="auto"/>
              </w:rPr>
            </w:pPr>
            <w:r>
              <w:rPr>
                <w:rFonts w:ascii="Arial" w:cs="Arial" w:eastAsia="Arial" w:hAnsi="Arial"/>
                <w:sz w:val="14"/>
                <w:szCs w:val="14"/>
                <w:b w:val="1"/>
                <w:bCs w:val="1"/>
                <w:color w:val="auto"/>
                <w:w w:val="96"/>
              </w:rPr>
              <w:t>88.60</w:t>
            </w:r>
          </w:p>
        </w:tc>
        <w:tc>
          <w:tcPr>
            <w:tcW w:w="56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208"/>
              <w:spacing w:after="0"/>
              <w:rPr>
                <w:sz w:val="20"/>
                <w:szCs w:val="20"/>
                <w:color w:val="auto"/>
              </w:rPr>
            </w:pPr>
            <w:r>
              <w:rPr>
                <w:rFonts w:ascii="Arial" w:cs="Arial" w:eastAsia="Arial" w:hAnsi="Arial"/>
                <w:sz w:val="14"/>
                <w:szCs w:val="14"/>
                <w:b w:val="1"/>
                <w:bCs w:val="1"/>
                <w:color w:val="auto"/>
              </w:rPr>
              <w:t>97.81</w:t>
            </w:r>
          </w:p>
        </w:tc>
        <w:tc>
          <w:tcPr>
            <w:tcW w:w="62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68"/>
              <w:spacing w:after="0"/>
              <w:rPr>
                <w:sz w:val="20"/>
                <w:szCs w:val="20"/>
                <w:color w:val="auto"/>
              </w:rPr>
            </w:pPr>
            <w:r>
              <w:rPr>
                <w:rFonts w:ascii="Arial" w:cs="Arial" w:eastAsia="Arial" w:hAnsi="Arial"/>
                <w:sz w:val="14"/>
                <w:szCs w:val="14"/>
                <w:b w:val="1"/>
                <w:bCs w:val="1"/>
                <w:color w:val="auto"/>
              </w:rPr>
              <w:t>79.80</w:t>
            </w:r>
          </w:p>
        </w:tc>
        <w:tc>
          <w:tcPr>
            <w:tcW w:w="480" w:type="dxa"/>
            <w:vAlign w:val="bottom"/>
          </w:tcPr>
          <w:p>
            <w:pPr>
              <w:jc w:val="right"/>
              <w:ind w:right="26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68"/>
              <w:spacing w:after="0"/>
              <w:rPr>
                <w:sz w:val="20"/>
                <w:szCs w:val="20"/>
                <w:color w:val="auto"/>
              </w:rPr>
            </w:pPr>
            <w:r>
              <w:rPr>
                <w:rFonts w:ascii="Arial" w:cs="Arial" w:eastAsia="Arial" w:hAnsi="Arial"/>
                <w:sz w:val="14"/>
                <w:szCs w:val="14"/>
                <w:b w:val="1"/>
                <w:bCs w:val="1"/>
                <w:color w:val="auto"/>
              </w:rPr>
              <w:t>98.89</w:t>
            </w:r>
          </w:p>
        </w:tc>
        <w:tc>
          <w:tcPr>
            <w:tcW w:w="56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70.79</w:t>
            </w:r>
          </w:p>
        </w:tc>
      </w:tr>
      <w:tr>
        <w:trPr>
          <w:trHeight w:val="203"/>
        </w:trPr>
        <w:tc>
          <w:tcPr>
            <w:tcW w:w="600" w:type="dxa"/>
            <w:vAlign w:val="bottom"/>
          </w:tcPr>
          <w:p>
            <w:pPr>
              <w:jc w:val="right"/>
              <w:ind w:right="168"/>
              <w:spacing w:after="0"/>
              <w:rPr>
                <w:sz w:val="20"/>
                <w:szCs w:val="20"/>
                <w:color w:val="auto"/>
              </w:rPr>
            </w:pPr>
            <w:r>
              <w:rPr>
                <w:rFonts w:ascii="Arial" w:cs="Arial" w:eastAsia="Arial" w:hAnsi="Arial"/>
                <w:sz w:val="14"/>
                <w:szCs w:val="14"/>
                <w:b w:val="1"/>
                <w:bCs w:val="1"/>
                <w:color w:val="auto"/>
                <w:w w:val="96"/>
              </w:rPr>
              <w:t>82.64</w:t>
            </w:r>
          </w:p>
        </w:tc>
        <w:tc>
          <w:tcPr>
            <w:tcW w:w="56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208"/>
              <w:spacing w:after="0"/>
              <w:rPr>
                <w:sz w:val="20"/>
                <w:szCs w:val="20"/>
                <w:color w:val="auto"/>
              </w:rPr>
            </w:pPr>
            <w:r>
              <w:rPr>
                <w:rFonts w:ascii="Arial" w:cs="Arial" w:eastAsia="Arial" w:hAnsi="Arial"/>
                <w:sz w:val="14"/>
                <w:szCs w:val="14"/>
                <w:b w:val="1"/>
                <w:bCs w:val="1"/>
                <w:color w:val="auto"/>
              </w:rPr>
              <w:t>91.56</w:t>
            </w:r>
          </w:p>
        </w:tc>
        <w:tc>
          <w:tcPr>
            <w:tcW w:w="62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68"/>
              <w:spacing w:after="0"/>
              <w:rPr>
                <w:sz w:val="20"/>
                <w:szCs w:val="20"/>
                <w:color w:val="auto"/>
              </w:rPr>
            </w:pPr>
            <w:r>
              <w:rPr>
                <w:rFonts w:ascii="Arial" w:cs="Arial" w:eastAsia="Arial" w:hAnsi="Arial"/>
                <w:sz w:val="14"/>
                <w:szCs w:val="14"/>
                <w:b w:val="1"/>
                <w:bCs w:val="1"/>
                <w:color w:val="auto"/>
              </w:rPr>
              <w:t>77.19</w:t>
            </w:r>
          </w:p>
        </w:tc>
        <w:tc>
          <w:tcPr>
            <w:tcW w:w="480" w:type="dxa"/>
            <w:vAlign w:val="bottom"/>
          </w:tcPr>
          <w:p>
            <w:pPr>
              <w:jc w:val="right"/>
              <w:ind w:right="26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68"/>
              <w:spacing w:after="0"/>
              <w:rPr>
                <w:sz w:val="20"/>
                <w:szCs w:val="20"/>
                <w:color w:val="auto"/>
              </w:rPr>
            </w:pPr>
            <w:r>
              <w:rPr>
                <w:rFonts w:ascii="Arial" w:cs="Arial" w:eastAsia="Arial" w:hAnsi="Arial"/>
                <w:sz w:val="14"/>
                <w:szCs w:val="14"/>
                <w:b w:val="1"/>
                <w:bCs w:val="1"/>
                <w:color w:val="auto"/>
              </w:rPr>
              <w:t>94.23</w:t>
            </w:r>
          </w:p>
        </w:tc>
        <w:tc>
          <w:tcPr>
            <w:tcW w:w="56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67.91</w:t>
            </w:r>
          </w:p>
        </w:tc>
      </w:tr>
      <w:tr>
        <w:trPr>
          <w:trHeight w:val="203"/>
        </w:trPr>
        <w:tc>
          <w:tcPr>
            <w:tcW w:w="600" w:type="dxa"/>
            <w:vAlign w:val="bottom"/>
          </w:tcPr>
          <w:p>
            <w:pPr>
              <w:jc w:val="right"/>
              <w:ind w:right="168"/>
              <w:spacing w:after="0"/>
              <w:rPr>
                <w:sz w:val="20"/>
                <w:szCs w:val="20"/>
                <w:color w:val="auto"/>
              </w:rPr>
            </w:pPr>
            <w:r>
              <w:rPr>
                <w:rFonts w:ascii="Arial" w:cs="Arial" w:eastAsia="Arial" w:hAnsi="Arial"/>
                <w:sz w:val="14"/>
                <w:szCs w:val="14"/>
                <w:b w:val="1"/>
                <w:bCs w:val="1"/>
                <w:color w:val="auto"/>
              </w:rPr>
              <w:t>6.76</w:t>
            </w:r>
          </w:p>
        </w:tc>
        <w:tc>
          <w:tcPr>
            <w:tcW w:w="56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208"/>
              <w:spacing w:after="0"/>
              <w:rPr>
                <w:sz w:val="20"/>
                <w:szCs w:val="20"/>
                <w:color w:val="auto"/>
              </w:rPr>
            </w:pPr>
            <w:r>
              <w:rPr>
                <w:rFonts w:ascii="Arial" w:cs="Arial" w:eastAsia="Arial" w:hAnsi="Arial"/>
                <w:sz w:val="14"/>
                <w:szCs w:val="14"/>
                <w:b w:val="1"/>
                <w:bCs w:val="1"/>
                <w:color w:val="auto"/>
              </w:rPr>
              <w:t>7.85</w:t>
            </w:r>
          </w:p>
        </w:tc>
        <w:tc>
          <w:tcPr>
            <w:tcW w:w="62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68"/>
              <w:spacing w:after="0"/>
              <w:rPr>
                <w:sz w:val="20"/>
                <w:szCs w:val="20"/>
                <w:color w:val="auto"/>
              </w:rPr>
            </w:pPr>
            <w:r>
              <w:rPr>
                <w:rFonts w:ascii="Arial" w:cs="Arial" w:eastAsia="Arial" w:hAnsi="Arial"/>
                <w:sz w:val="14"/>
                <w:szCs w:val="14"/>
                <w:b w:val="1"/>
                <w:bCs w:val="1"/>
                <w:color w:val="auto"/>
              </w:rPr>
              <w:t>5.27</w:t>
            </w:r>
          </w:p>
        </w:tc>
        <w:tc>
          <w:tcPr>
            <w:tcW w:w="480" w:type="dxa"/>
            <w:vAlign w:val="bottom"/>
          </w:tcPr>
          <w:p>
            <w:pPr>
              <w:jc w:val="right"/>
              <w:ind w:right="26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68"/>
              <w:spacing w:after="0"/>
              <w:rPr>
                <w:sz w:val="20"/>
                <w:szCs w:val="20"/>
                <w:color w:val="auto"/>
              </w:rPr>
            </w:pPr>
            <w:r>
              <w:rPr>
                <w:rFonts w:ascii="Arial" w:cs="Arial" w:eastAsia="Arial" w:hAnsi="Arial"/>
                <w:sz w:val="14"/>
                <w:szCs w:val="14"/>
                <w:b w:val="1"/>
                <w:bCs w:val="1"/>
                <w:color w:val="auto"/>
              </w:rPr>
              <w:t>6.36</w:t>
            </w:r>
          </w:p>
        </w:tc>
        <w:tc>
          <w:tcPr>
            <w:tcW w:w="56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3.61</w:t>
            </w:r>
          </w:p>
        </w:tc>
      </w:tr>
      <w:tr>
        <w:trPr>
          <w:trHeight w:val="203"/>
        </w:trPr>
        <w:tc>
          <w:tcPr>
            <w:tcW w:w="600" w:type="dxa"/>
            <w:vAlign w:val="bottom"/>
          </w:tcPr>
          <w:p>
            <w:pPr>
              <w:jc w:val="right"/>
              <w:ind w:right="168"/>
              <w:spacing w:after="0"/>
              <w:rPr>
                <w:sz w:val="20"/>
                <w:szCs w:val="20"/>
                <w:color w:val="auto"/>
              </w:rPr>
            </w:pPr>
            <w:r>
              <w:rPr>
                <w:rFonts w:ascii="Arial" w:cs="Arial" w:eastAsia="Arial" w:hAnsi="Arial"/>
                <w:sz w:val="14"/>
                <w:szCs w:val="14"/>
                <w:b w:val="1"/>
                <w:bCs w:val="1"/>
                <w:color w:val="auto"/>
              </w:rPr>
              <w:t>6.26</w:t>
            </w:r>
          </w:p>
        </w:tc>
        <w:tc>
          <w:tcPr>
            <w:tcW w:w="56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208"/>
              <w:spacing w:after="0"/>
              <w:rPr>
                <w:sz w:val="20"/>
                <w:szCs w:val="20"/>
                <w:color w:val="auto"/>
              </w:rPr>
            </w:pPr>
            <w:r>
              <w:rPr>
                <w:rFonts w:ascii="Arial" w:cs="Arial" w:eastAsia="Arial" w:hAnsi="Arial"/>
                <w:sz w:val="14"/>
                <w:szCs w:val="14"/>
                <w:b w:val="1"/>
                <w:bCs w:val="1"/>
                <w:color w:val="auto"/>
              </w:rPr>
              <w:t>8.20</w:t>
            </w:r>
          </w:p>
        </w:tc>
        <w:tc>
          <w:tcPr>
            <w:tcW w:w="62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68"/>
              <w:spacing w:after="0"/>
              <w:rPr>
                <w:sz w:val="20"/>
                <w:szCs w:val="20"/>
                <w:color w:val="auto"/>
              </w:rPr>
            </w:pPr>
            <w:r>
              <w:rPr>
                <w:rFonts w:ascii="Arial" w:cs="Arial" w:eastAsia="Arial" w:hAnsi="Arial"/>
                <w:sz w:val="14"/>
                <w:szCs w:val="14"/>
                <w:b w:val="1"/>
                <w:bCs w:val="1"/>
                <w:color w:val="auto"/>
              </w:rPr>
              <w:t>5.83</w:t>
            </w:r>
          </w:p>
        </w:tc>
        <w:tc>
          <w:tcPr>
            <w:tcW w:w="480" w:type="dxa"/>
            <w:vAlign w:val="bottom"/>
          </w:tcPr>
          <w:p>
            <w:pPr>
              <w:jc w:val="right"/>
              <w:ind w:right="26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68"/>
              <w:spacing w:after="0"/>
              <w:rPr>
                <w:sz w:val="20"/>
                <w:szCs w:val="20"/>
                <w:color w:val="auto"/>
              </w:rPr>
            </w:pPr>
            <w:r>
              <w:rPr>
                <w:rFonts w:ascii="Arial" w:cs="Arial" w:eastAsia="Arial" w:hAnsi="Arial"/>
                <w:sz w:val="14"/>
                <w:szCs w:val="14"/>
                <w:b w:val="1"/>
                <w:bCs w:val="1"/>
                <w:color w:val="auto"/>
              </w:rPr>
              <w:t>6.64</w:t>
            </w:r>
          </w:p>
        </w:tc>
        <w:tc>
          <w:tcPr>
            <w:tcW w:w="56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3.84</w:t>
            </w:r>
          </w:p>
        </w:tc>
      </w:tr>
      <w:tr>
        <w:trPr>
          <w:trHeight w:val="756"/>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69 %</w:t>
            </w:r>
          </w:p>
        </w:tc>
        <w:tc>
          <w:tcPr>
            <w:tcW w:w="56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64 %</w:t>
            </w:r>
          </w:p>
        </w:tc>
        <w:tc>
          <w:tcPr>
            <w:tcW w:w="6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76 %</w:t>
            </w:r>
          </w:p>
        </w:tc>
        <w:tc>
          <w:tcPr>
            <w:tcW w:w="48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62 %</w:t>
            </w:r>
          </w:p>
        </w:tc>
        <w:tc>
          <w:tcPr>
            <w:tcW w:w="5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79 %</w:t>
            </w:r>
          </w:p>
        </w:tc>
      </w:tr>
      <w:tr>
        <w:trPr>
          <w:trHeight w:val="338"/>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98 %</w:t>
            </w:r>
          </w:p>
        </w:tc>
        <w:tc>
          <w:tcPr>
            <w:tcW w:w="56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100 %</w:t>
            </w:r>
          </w:p>
        </w:tc>
        <w:tc>
          <w:tcPr>
            <w:tcW w:w="6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99 %</w:t>
            </w:r>
          </w:p>
        </w:tc>
        <w:tc>
          <w:tcPr>
            <w:tcW w:w="48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99 %</w:t>
            </w:r>
          </w:p>
        </w:tc>
        <w:tc>
          <w:tcPr>
            <w:tcW w:w="5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99 %</w:t>
            </w:r>
          </w:p>
        </w:tc>
      </w:tr>
      <w:tr>
        <w:trPr>
          <w:trHeight w:val="257"/>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74 %</w:t>
            </w:r>
          </w:p>
        </w:tc>
        <w:tc>
          <w:tcPr>
            <w:tcW w:w="56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68 %</w:t>
            </w:r>
          </w:p>
        </w:tc>
        <w:tc>
          <w:tcPr>
            <w:tcW w:w="6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79 %</w:t>
            </w:r>
          </w:p>
        </w:tc>
        <w:tc>
          <w:tcPr>
            <w:tcW w:w="48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66 %</w:t>
            </w:r>
          </w:p>
        </w:tc>
        <w:tc>
          <w:tcPr>
            <w:tcW w:w="5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83 %</w:t>
            </w:r>
          </w:p>
        </w:tc>
      </w:tr>
      <w:tr>
        <w:trPr>
          <w:trHeight w:val="338"/>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105 %</w:t>
            </w:r>
          </w:p>
        </w:tc>
        <w:tc>
          <w:tcPr>
            <w:tcW w:w="56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107 %</w:t>
            </w:r>
          </w:p>
        </w:tc>
        <w:tc>
          <w:tcPr>
            <w:tcW w:w="6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102 %</w:t>
            </w:r>
          </w:p>
        </w:tc>
        <w:tc>
          <w:tcPr>
            <w:tcW w:w="48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104 %</w:t>
            </w:r>
          </w:p>
        </w:tc>
        <w:tc>
          <w:tcPr>
            <w:tcW w:w="5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104 %</w:t>
            </w:r>
          </w:p>
        </w:tc>
      </w:tr>
      <w:tr>
        <w:trPr>
          <w:trHeight w:val="256"/>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64 %</w:t>
            </w:r>
          </w:p>
        </w:tc>
        <w:tc>
          <w:tcPr>
            <w:tcW w:w="56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59 %</w:t>
            </w:r>
          </w:p>
        </w:tc>
        <w:tc>
          <w:tcPr>
            <w:tcW w:w="6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85 %</w:t>
            </w:r>
          </w:p>
        </w:tc>
        <w:tc>
          <w:tcPr>
            <w:tcW w:w="48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65 %</w:t>
            </w:r>
          </w:p>
        </w:tc>
        <w:tc>
          <w:tcPr>
            <w:tcW w:w="5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76 %</w:t>
            </w:r>
          </w:p>
        </w:tc>
      </w:tr>
      <w:tr>
        <w:trPr>
          <w:trHeight w:val="203"/>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68 %</w:t>
            </w:r>
          </w:p>
        </w:tc>
        <w:tc>
          <w:tcPr>
            <w:tcW w:w="56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63 %</w:t>
            </w:r>
          </w:p>
        </w:tc>
        <w:tc>
          <w:tcPr>
            <w:tcW w:w="6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88 %</w:t>
            </w:r>
          </w:p>
        </w:tc>
        <w:tc>
          <w:tcPr>
            <w:tcW w:w="4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68 %</w:t>
            </w:r>
          </w:p>
        </w:tc>
        <w:tc>
          <w:tcPr>
            <w:tcW w:w="5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79 %</w:t>
            </w:r>
          </w:p>
        </w:tc>
      </w:tr>
      <w:tr>
        <w:trPr>
          <w:trHeight w:val="391"/>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126 %</w:t>
            </w:r>
          </w:p>
        </w:tc>
        <w:tc>
          <w:tcPr>
            <w:tcW w:w="56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109 %</w:t>
            </w:r>
          </w:p>
        </w:tc>
        <w:tc>
          <w:tcPr>
            <w:tcW w:w="6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113 %</w:t>
            </w:r>
          </w:p>
        </w:tc>
        <w:tc>
          <w:tcPr>
            <w:tcW w:w="48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119 %</w:t>
            </w:r>
          </w:p>
        </w:tc>
        <w:tc>
          <w:tcPr>
            <w:tcW w:w="5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116 %</w:t>
            </w:r>
          </w:p>
        </w:tc>
      </w:tr>
      <w:tr>
        <w:trPr>
          <w:trHeight w:val="338"/>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136 %</w:t>
            </w:r>
          </w:p>
        </w:tc>
        <w:tc>
          <w:tcPr>
            <w:tcW w:w="56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105 %</w:t>
            </w:r>
          </w:p>
        </w:tc>
        <w:tc>
          <w:tcPr>
            <w:tcW w:w="6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102 %</w:t>
            </w:r>
          </w:p>
        </w:tc>
        <w:tc>
          <w:tcPr>
            <w:tcW w:w="48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114 %</w:t>
            </w:r>
          </w:p>
        </w:tc>
        <w:tc>
          <w:tcPr>
            <w:tcW w:w="5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109 %</w:t>
            </w:r>
          </w:p>
        </w:tc>
      </w:tr>
      <w:tr>
        <w:trPr>
          <w:trHeight w:val="392"/>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129 %</w:t>
            </w:r>
          </w:p>
        </w:tc>
        <w:tc>
          <w:tcPr>
            <w:tcW w:w="56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112 %</w:t>
            </w:r>
          </w:p>
        </w:tc>
        <w:tc>
          <w:tcPr>
            <w:tcW w:w="6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113 %</w:t>
            </w:r>
          </w:p>
        </w:tc>
        <w:tc>
          <w:tcPr>
            <w:tcW w:w="48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121 %</w:t>
            </w:r>
          </w:p>
        </w:tc>
        <w:tc>
          <w:tcPr>
            <w:tcW w:w="5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117 %</w:t>
            </w:r>
          </w:p>
        </w:tc>
      </w:tr>
      <w:tr>
        <w:trPr>
          <w:trHeight w:val="338"/>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139 %</w:t>
            </w:r>
          </w:p>
        </w:tc>
        <w:tc>
          <w:tcPr>
            <w:tcW w:w="56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107 %</w:t>
            </w:r>
          </w:p>
        </w:tc>
        <w:tc>
          <w:tcPr>
            <w:tcW w:w="6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102 %</w:t>
            </w:r>
          </w:p>
        </w:tc>
        <w:tc>
          <w:tcPr>
            <w:tcW w:w="48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116 %</w:t>
            </w:r>
          </w:p>
        </w:tc>
        <w:tc>
          <w:tcPr>
            <w:tcW w:w="5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110 %</w:t>
            </w:r>
          </w:p>
        </w:tc>
      </w:tr>
    </w:tbl>
    <w:p>
      <w:pPr>
        <w:spacing w:after="0" w:line="222" w:lineRule="exact"/>
        <w:rPr>
          <w:sz w:val="20"/>
          <w:szCs w:val="20"/>
          <w:color w:val="auto"/>
        </w:rPr>
      </w:pPr>
    </w:p>
    <w:p>
      <w:pPr>
        <w:sectPr>
          <w:pgSz w:w="11900" w:h="16838" w:orient="portrait"/>
          <w:cols w:equalWidth="0" w:num="2">
            <w:col w:w="3700" w:space="720"/>
            <w:col w:w="6820"/>
          </w:cols>
          <w:pgMar w:left="320" w:top="106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240"/>
          </w:cols>
          <w:pgMar w:left="320" w:top="1062" w:right="33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197"/>
        </w:trPr>
        <w:tc>
          <w:tcPr>
            <w:tcW w:w="4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Attachment 5</w:t>
            </w:r>
          </w:p>
        </w:tc>
        <w:tc>
          <w:tcPr>
            <w:tcW w:w="0" w:type="dxa"/>
            <w:vAlign w:val="bottom"/>
          </w:tcPr>
          <w:p>
            <w:pPr>
              <w:spacing w:after="0"/>
              <w:rPr>
                <w:sz w:val="1"/>
                <w:szCs w:val="1"/>
                <w:color w:val="auto"/>
              </w:rPr>
            </w:pPr>
          </w:p>
        </w:tc>
      </w:tr>
      <w:tr>
        <w:trPr>
          <w:trHeight w:val="22"/>
        </w:trPr>
        <w:tc>
          <w:tcPr>
            <w:tcW w:w="4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4260" w:type="dxa"/>
            <w:vAlign w:val="bottom"/>
          </w:tcPr>
          <w:p>
            <w:pPr>
              <w:ind w:left="20"/>
              <w:spacing w:after="0"/>
              <w:rPr>
                <w:sz w:val="20"/>
                <w:szCs w:val="20"/>
                <w:color w:val="auto"/>
              </w:rPr>
            </w:pPr>
            <w:r>
              <w:rPr>
                <w:rFonts w:ascii="Arial" w:cs="Arial" w:eastAsia="Arial" w:hAnsi="Arial"/>
                <w:sz w:val="14"/>
                <w:szCs w:val="14"/>
                <w:b w:val="1"/>
                <w:bCs w:val="1"/>
                <w:color w:val="auto"/>
              </w:rPr>
              <w:t>FOURTH QUARTER 2022 DRILLING ACTIVITY</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60" w:type="dxa"/>
            <w:vAlign w:val="bottom"/>
          </w:tcPr>
          <w:p>
            <w:pPr>
              <w:spacing w:after="0"/>
              <w:rPr>
                <w:sz w:val="17"/>
                <w:szCs w:val="17"/>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San Joaquin</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Los Angeles</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Ventura</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Sacramento</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60" w:type="dxa"/>
            <w:vAlign w:val="bottom"/>
          </w:tcPr>
          <w:p>
            <w:pPr>
              <w:ind w:left="20"/>
              <w:spacing w:after="0"/>
              <w:rPr>
                <w:sz w:val="20"/>
                <w:szCs w:val="20"/>
                <w:color w:val="auto"/>
              </w:rPr>
            </w:pPr>
            <w:r>
              <w:rPr>
                <w:rFonts w:ascii="Arial" w:cs="Arial" w:eastAsia="Arial" w:hAnsi="Arial"/>
                <w:sz w:val="14"/>
                <w:szCs w:val="14"/>
                <w:b w:val="1"/>
                <w:bCs w:val="1"/>
                <w:color w:val="auto"/>
              </w:rPr>
              <w:t>Wells Drilled</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Basin</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Basin</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Basin</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Basin</w:t>
            </w:r>
          </w:p>
        </w:tc>
        <w:tc>
          <w:tcPr>
            <w:tcW w:w="1240" w:type="dxa"/>
            <w:vAlign w:val="bottom"/>
          </w:tcPr>
          <w:p>
            <w:pPr>
              <w:ind w:lef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38"/>
        </w:trPr>
        <w:tc>
          <w:tcPr>
            <w:tcW w:w="426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Development Wells</w:t>
            </w: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260" w:type="dxa"/>
            <w:vAlign w:val="bottom"/>
          </w:tcPr>
          <w:p>
            <w:pPr>
              <w:ind w:left="140"/>
              <w:spacing w:after="0"/>
              <w:rPr>
                <w:sz w:val="20"/>
                <w:szCs w:val="20"/>
                <w:color w:val="auto"/>
              </w:rPr>
            </w:pPr>
            <w:r>
              <w:rPr>
                <w:rFonts w:ascii="Arial" w:cs="Arial" w:eastAsia="Arial" w:hAnsi="Arial"/>
                <w:sz w:val="14"/>
                <w:szCs w:val="14"/>
                <w:color w:val="auto"/>
              </w:rPr>
              <w:t>Primary</w:t>
            </w:r>
          </w:p>
        </w:tc>
        <w:tc>
          <w:tcPr>
            <w:tcW w:w="1320" w:type="dxa"/>
            <w:vAlign w:val="bottom"/>
          </w:tcPr>
          <w:p>
            <w:pPr>
              <w:jc w:val="center"/>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4260" w:type="dxa"/>
            <w:vAlign w:val="bottom"/>
          </w:tcPr>
          <w:p>
            <w:pPr>
              <w:ind w:left="140"/>
              <w:spacing w:after="0"/>
              <w:rPr>
                <w:sz w:val="20"/>
                <w:szCs w:val="20"/>
                <w:color w:val="auto"/>
              </w:rPr>
            </w:pPr>
            <w:r>
              <w:rPr>
                <w:rFonts w:ascii="Arial" w:cs="Arial" w:eastAsia="Arial" w:hAnsi="Arial"/>
                <w:sz w:val="14"/>
                <w:szCs w:val="14"/>
                <w:color w:val="auto"/>
              </w:rPr>
              <w:t>Waterflood</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7"/>
        </w:trPr>
        <w:tc>
          <w:tcPr>
            <w:tcW w:w="4260" w:type="dxa"/>
            <w:vAlign w:val="bottom"/>
          </w:tcPr>
          <w:p>
            <w:pPr>
              <w:ind w:left="140"/>
              <w:spacing w:after="0"/>
              <w:rPr>
                <w:sz w:val="20"/>
                <w:szCs w:val="20"/>
                <w:color w:val="auto"/>
              </w:rPr>
            </w:pPr>
            <w:r>
              <w:rPr>
                <w:rFonts w:ascii="Arial" w:cs="Arial" w:eastAsia="Arial" w:hAnsi="Arial"/>
                <w:sz w:val="14"/>
                <w:szCs w:val="14"/>
                <w:color w:val="auto"/>
              </w:rPr>
              <w:t>Steamflood</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0"/>
        </w:trPr>
        <w:tc>
          <w:tcPr>
            <w:tcW w:w="4260" w:type="dxa"/>
            <w:vAlign w:val="bottom"/>
          </w:tcPr>
          <w:p>
            <w:pPr>
              <w:ind w:left="20"/>
              <w:spacing w:after="0" w:line="200" w:lineRule="exact"/>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8"/>
                <w:szCs w:val="18"/>
                <w:b w:val="1"/>
                <w:bCs w:val="1"/>
                <w:color w:val="auto"/>
                <w:vertAlign w:val="superscript"/>
              </w:rPr>
              <w:t>(1)</w:t>
            </w:r>
          </w:p>
        </w:tc>
        <w:tc>
          <w:tcPr>
            <w:tcW w:w="1320" w:type="dxa"/>
            <w:vAlign w:val="bottom"/>
          </w:tcPr>
          <w:p>
            <w:pPr>
              <w:jc w:val="center"/>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1"/>
        </w:trPr>
        <w:tc>
          <w:tcPr>
            <w:tcW w:w="4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TOTAL YEAR 2022 DRILLING ACTIVITY</w:t>
            </w: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0"/>
        </w:trPr>
        <w:tc>
          <w:tcPr>
            <w:tcW w:w="426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260" w:type="dxa"/>
            <w:vAlign w:val="bottom"/>
          </w:tcPr>
          <w:p>
            <w:pPr>
              <w:spacing w:after="0"/>
              <w:rPr>
                <w:sz w:val="17"/>
                <w:szCs w:val="17"/>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San Joaquin</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Los Angeles</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Ventura</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Sacramento</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60" w:type="dxa"/>
            <w:vAlign w:val="bottom"/>
          </w:tcPr>
          <w:p>
            <w:pPr>
              <w:ind w:left="20"/>
              <w:spacing w:after="0"/>
              <w:rPr>
                <w:sz w:val="20"/>
                <w:szCs w:val="20"/>
                <w:color w:val="auto"/>
              </w:rPr>
            </w:pPr>
            <w:r>
              <w:rPr>
                <w:rFonts w:ascii="Arial" w:cs="Arial" w:eastAsia="Arial" w:hAnsi="Arial"/>
                <w:sz w:val="14"/>
                <w:szCs w:val="14"/>
                <w:b w:val="1"/>
                <w:bCs w:val="1"/>
                <w:color w:val="auto"/>
              </w:rPr>
              <w:t>Wells Drilled</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Basin</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Basin</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Basin</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Basin</w:t>
            </w:r>
          </w:p>
        </w:tc>
        <w:tc>
          <w:tcPr>
            <w:tcW w:w="1240" w:type="dxa"/>
            <w:vAlign w:val="bottom"/>
          </w:tcPr>
          <w:p>
            <w:pPr>
              <w:ind w:lef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38"/>
        </w:trPr>
        <w:tc>
          <w:tcPr>
            <w:tcW w:w="426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Development Wells</w:t>
            </w: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260" w:type="dxa"/>
            <w:vAlign w:val="bottom"/>
          </w:tcPr>
          <w:p>
            <w:pPr>
              <w:ind w:left="140"/>
              <w:spacing w:after="0"/>
              <w:rPr>
                <w:sz w:val="20"/>
                <w:szCs w:val="20"/>
                <w:color w:val="auto"/>
              </w:rPr>
            </w:pPr>
            <w:r>
              <w:rPr>
                <w:rFonts w:ascii="Arial" w:cs="Arial" w:eastAsia="Arial" w:hAnsi="Arial"/>
                <w:sz w:val="14"/>
                <w:szCs w:val="14"/>
                <w:color w:val="auto"/>
              </w:rPr>
              <w:t>Primary</w:t>
            </w:r>
          </w:p>
        </w:tc>
        <w:tc>
          <w:tcPr>
            <w:tcW w:w="1320" w:type="dxa"/>
            <w:vAlign w:val="bottom"/>
          </w:tcPr>
          <w:p>
            <w:pPr>
              <w:jc w:val="center"/>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3"/>
        </w:trPr>
        <w:tc>
          <w:tcPr>
            <w:tcW w:w="4260" w:type="dxa"/>
            <w:vAlign w:val="bottom"/>
          </w:tcPr>
          <w:p>
            <w:pPr>
              <w:ind w:left="140"/>
              <w:spacing w:after="0"/>
              <w:rPr>
                <w:sz w:val="20"/>
                <w:szCs w:val="20"/>
                <w:color w:val="auto"/>
              </w:rPr>
            </w:pPr>
            <w:r>
              <w:rPr>
                <w:rFonts w:ascii="Arial" w:cs="Arial" w:eastAsia="Arial" w:hAnsi="Arial"/>
                <w:sz w:val="14"/>
                <w:szCs w:val="14"/>
                <w:color w:val="auto"/>
              </w:rPr>
              <w:t>Waterflood</w:t>
            </w:r>
          </w:p>
        </w:tc>
        <w:tc>
          <w:tcPr>
            <w:tcW w:w="1320" w:type="dxa"/>
            <w:vAlign w:val="bottom"/>
          </w:tcPr>
          <w:p>
            <w:pPr>
              <w:jc w:val="center"/>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07"/>
        </w:trPr>
        <w:tc>
          <w:tcPr>
            <w:tcW w:w="4260" w:type="dxa"/>
            <w:vAlign w:val="bottom"/>
          </w:tcPr>
          <w:p>
            <w:pPr>
              <w:ind w:left="140"/>
              <w:spacing w:after="0"/>
              <w:rPr>
                <w:sz w:val="20"/>
                <w:szCs w:val="20"/>
                <w:color w:val="auto"/>
              </w:rPr>
            </w:pPr>
            <w:r>
              <w:rPr>
                <w:rFonts w:ascii="Arial" w:cs="Arial" w:eastAsia="Arial" w:hAnsi="Arial"/>
                <w:sz w:val="14"/>
                <w:szCs w:val="14"/>
                <w:color w:val="auto"/>
              </w:rPr>
              <w:t>Steamflood</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00"/>
        </w:trPr>
        <w:tc>
          <w:tcPr>
            <w:tcW w:w="4260" w:type="dxa"/>
            <w:vAlign w:val="bottom"/>
          </w:tcPr>
          <w:p>
            <w:pPr>
              <w:ind w:left="20"/>
              <w:spacing w:after="0" w:line="200" w:lineRule="exact"/>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8"/>
                <w:szCs w:val="18"/>
                <w:b w:val="1"/>
                <w:bCs w:val="1"/>
                <w:color w:val="auto"/>
                <w:vertAlign w:val="superscript"/>
              </w:rPr>
              <w:t>(1)</w:t>
            </w:r>
          </w:p>
        </w:tc>
        <w:tc>
          <w:tcPr>
            <w:tcW w:w="1320" w:type="dxa"/>
            <w:vAlign w:val="bottom"/>
          </w:tcPr>
          <w:p>
            <w:pPr>
              <w:jc w:val="center"/>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60" w:hanging="147"/>
        <w:spacing w:after="0"/>
        <w:tabs>
          <w:tab w:leader="none" w:pos="1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Includes steam injectors and drilled but uncompleted wells, which are not included in the SEC definition of wells drilled.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140"/>
          </w:cols>
          <w:pgMar w:left="380" w:top="1062" w:right="37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97"/>
        </w:trPr>
        <w:tc>
          <w:tcPr>
            <w:tcW w:w="5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Attachment 6</w:t>
            </w:r>
          </w:p>
        </w:tc>
      </w:tr>
      <w:tr>
        <w:trPr>
          <w:trHeight w:val="22"/>
        </w:trPr>
        <w:tc>
          <w:tcPr>
            <w:tcW w:w="540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4"/>
        </w:trPr>
        <w:tc>
          <w:tcPr>
            <w:tcW w:w="5400" w:type="dxa"/>
            <w:vAlign w:val="bottom"/>
            <w:gridSpan w:val="2"/>
          </w:tcPr>
          <w:p>
            <w:pPr>
              <w:ind w:left="20"/>
              <w:spacing w:after="0"/>
              <w:rPr>
                <w:sz w:val="20"/>
                <w:szCs w:val="20"/>
                <w:color w:val="auto"/>
              </w:rPr>
            </w:pPr>
            <w:r>
              <w:rPr>
                <w:rFonts w:ascii="Arial" w:cs="Arial" w:eastAsia="Arial" w:hAnsi="Arial"/>
                <w:sz w:val="14"/>
                <w:szCs w:val="14"/>
                <w:b w:val="1"/>
                <w:bCs w:val="1"/>
                <w:color w:val="auto"/>
              </w:rPr>
              <w:t>OIL HEDGES AS OF DECEMBER 31, 2022</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420"/>
        </w:trPr>
        <w:tc>
          <w:tcPr>
            <w:tcW w:w="5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Q1 2023</w:t>
            </w:r>
          </w:p>
        </w:tc>
        <w:tc>
          <w:tcPr>
            <w:tcW w:w="10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Q2 2023</w:t>
            </w:r>
          </w:p>
        </w:tc>
        <w:tc>
          <w:tcPr>
            <w:tcW w:w="10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Q3 2023</w:t>
            </w:r>
          </w:p>
        </w:tc>
        <w:tc>
          <w:tcPr>
            <w:tcW w:w="10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Q4 2023</w:t>
            </w:r>
          </w:p>
        </w:tc>
        <w:tc>
          <w:tcPr>
            <w:tcW w:w="8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r>
      <w:tr>
        <w:trPr>
          <w:trHeight w:val="438"/>
        </w:trPr>
        <w:tc>
          <w:tcPr>
            <w:tcW w:w="5400" w:type="dxa"/>
            <w:vAlign w:val="bottom"/>
            <w:gridSpan w:val="2"/>
          </w:tcPr>
          <w:p>
            <w:pPr>
              <w:ind w:left="20"/>
              <w:spacing w:after="0"/>
              <w:rPr>
                <w:sz w:val="20"/>
                <w:szCs w:val="20"/>
                <w:color w:val="auto"/>
              </w:rPr>
            </w:pPr>
            <w:r>
              <w:rPr>
                <w:rFonts w:ascii="Arial" w:cs="Arial" w:eastAsia="Arial" w:hAnsi="Arial"/>
                <w:sz w:val="14"/>
                <w:szCs w:val="14"/>
                <w:b w:val="1"/>
                <w:bCs w:val="1"/>
                <w:color w:val="auto"/>
              </w:rPr>
              <w:t>Sold Calls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7"/>
        </w:trPr>
        <w:tc>
          <w:tcPr>
            <w:tcW w:w="5400" w:type="dxa"/>
            <w:vAlign w:val="bottom"/>
            <w:gridSpan w:val="2"/>
          </w:tcPr>
          <w:p>
            <w:pPr>
              <w:ind w:left="140"/>
              <w:spacing w:after="0"/>
              <w:rPr>
                <w:sz w:val="20"/>
                <w:szCs w:val="20"/>
                <w:color w:val="auto"/>
              </w:rPr>
            </w:pPr>
            <w:r>
              <w:rPr>
                <w:rFonts w:ascii="Arial" w:cs="Arial" w:eastAsia="Arial" w:hAnsi="Arial"/>
                <w:sz w:val="14"/>
                <w:szCs w:val="14"/>
                <w:color w:val="auto"/>
              </w:rPr>
              <w:t>Barrels per day</w:t>
            </w:r>
          </w:p>
        </w:tc>
        <w:tc>
          <w:tcPr>
            <w:tcW w:w="1080" w:type="dxa"/>
            <w:vAlign w:val="bottom"/>
          </w:tcPr>
          <w:p>
            <w:pPr>
              <w:jc w:val="center"/>
              <w:spacing w:after="0"/>
              <w:rPr>
                <w:sz w:val="20"/>
                <w:szCs w:val="20"/>
                <w:color w:val="auto"/>
              </w:rPr>
            </w:pPr>
            <w:r>
              <w:rPr>
                <w:rFonts w:ascii="Arial" w:cs="Arial" w:eastAsia="Arial" w:hAnsi="Arial"/>
                <w:sz w:val="14"/>
                <w:szCs w:val="14"/>
                <w:color w:val="auto"/>
              </w:rPr>
              <w:t>18,322</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17,837</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17,363</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5,747</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203"/>
        </w:trPr>
        <w:tc>
          <w:tcPr>
            <w:tcW w:w="5400" w:type="dxa"/>
            <w:vAlign w:val="bottom"/>
            <w:gridSpan w:val="2"/>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1080" w:type="dxa"/>
            <w:vAlign w:val="bottom"/>
          </w:tcPr>
          <w:p>
            <w:pPr>
              <w:jc w:val="center"/>
              <w:spacing w:after="0"/>
              <w:rPr>
                <w:sz w:val="20"/>
                <w:szCs w:val="20"/>
                <w:color w:val="auto"/>
              </w:rPr>
            </w:pPr>
            <w:r>
              <w:rPr>
                <w:rFonts w:ascii="Arial" w:cs="Arial" w:eastAsia="Arial" w:hAnsi="Arial"/>
                <w:sz w:val="14"/>
                <w:szCs w:val="14"/>
                <w:color w:val="auto"/>
              </w:rPr>
              <w:t>$57.28</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$60.00</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$57.06</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$57.06</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465"/>
        </w:trPr>
        <w:tc>
          <w:tcPr>
            <w:tcW w:w="5400" w:type="dxa"/>
            <w:vAlign w:val="bottom"/>
            <w:gridSpan w:val="2"/>
          </w:tcPr>
          <w:p>
            <w:pPr>
              <w:ind w:left="20"/>
              <w:spacing w:after="0"/>
              <w:rPr>
                <w:sz w:val="20"/>
                <w:szCs w:val="20"/>
                <w:color w:val="auto"/>
              </w:rPr>
            </w:pPr>
            <w:r>
              <w:rPr>
                <w:rFonts w:ascii="Arial" w:cs="Arial" w:eastAsia="Arial" w:hAnsi="Arial"/>
                <w:sz w:val="14"/>
                <w:szCs w:val="14"/>
                <w:b w:val="1"/>
                <w:bCs w:val="1"/>
                <w:color w:val="auto"/>
              </w:rPr>
              <w:t>Swaps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7"/>
        </w:trPr>
        <w:tc>
          <w:tcPr>
            <w:tcW w:w="5400" w:type="dxa"/>
            <w:vAlign w:val="bottom"/>
            <w:gridSpan w:val="2"/>
          </w:tcPr>
          <w:p>
            <w:pPr>
              <w:ind w:left="140"/>
              <w:spacing w:after="0"/>
              <w:rPr>
                <w:sz w:val="20"/>
                <w:szCs w:val="20"/>
                <w:color w:val="auto"/>
              </w:rPr>
            </w:pPr>
            <w:r>
              <w:rPr>
                <w:rFonts w:ascii="Arial" w:cs="Arial" w:eastAsia="Arial" w:hAnsi="Arial"/>
                <w:sz w:val="14"/>
                <w:szCs w:val="14"/>
                <w:color w:val="auto"/>
              </w:rPr>
              <w:t>Barrels per day</w:t>
            </w:r>
          </w:p>
        </w:tc>
        <w:tc>
          <w:tcPr>
            <w:tcW w:w="1080" w:type="dxa"/>
            <w:vAlign w:val="bottom"/>
          </w:tcPr>
          <w:p>
            <w:pPr>
              <w:jc w:val="center"/>
              <w:spacing w:after="0"/>
              <w:rPr>
                <w:sz w:val="20"/>
                <w:szCs w:val="20"/>
                <w:color w:val="auto"/>
              </w:rPr>
            </w:pPr>
            <w:r>
              <w:rPr>
                <w:rFonts w:ascii="Arial" w:cs="Arial" w:eastAsia="Arial" w:hAnsi="Arial"/>
                <w:sz w:val="14"/>
                <w:szCs w:val="14"/>
                <w:color w:val="auto"/>
              </w:rPr>
              <w:t>16,620</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16,475</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16,697</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26,094</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1,492</w:t>
            </w:r>
          </w:p>
        </w:tc>
      </w:tr>
      <w:tr>
        <w:trPr>
          <w:trHeight w:val="203"/>
        </w:trPr>
        <w:tc>
          <w:tcPr>
            <w:tcW w:w="5400" w:type="dxa"/>
            <w:vAlign w:val="bottom"/>
            <w:gridSpan w:val="2"/>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1080" w:type="dxa"/>
            <w:vAlign w:val="bottom"/>
          </w:tcPr>
          <w:p>
            <w:pPr>
              <w:jc w:val="center"/>
              <w:spacing w:after="0"/>
              <w:rPr>
                <w:sz w:val="20"/>
                <w:szCs w:val="20"/>
                <w:color w:val="auto"/>
              </w:rPr>
            </w:pPr>
            <w:r>
              <w:rPr>
                <w:rFonts w:ascii="Arial" w:cs="Arial" w:eastAsia="Arial" w:hAnsi="Arial"/>
                <w:sz w:val="14"/>
                <w:szCs w:val="14"/>
                <w:color w:val="auto"/>
              </w:rPr>
              <w:t>$69.46</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$68.53</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$68.33</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$70.18</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$79.06</w:t>
            </w:r>
          </w:p>
        </w:tc>
      </w:tr>
      <w:tr>
        <w:trPr>
          <w:trHeight w:val="471"/>
        </w:trPr>
        <w:tc>
          <w:tcPr>
            <w:tcW w:w="540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Net Purchased Puts </w:t>
            </w:r>
            <w:r>
              <w:rPr>
                <w:rFonts w:ascii="Arial" w:cs="Arial" w:eastAsia="Arial" w:hAnsi="Arial"/>
                <w:sz w:val="18"/>
                <w:szCs w:val="18"/>
                <w:b w:val="1"/>
                <w:bCs w:val="1"/>
                <w:color w:val="auto"/>
                <w:vertAlign w:val="superscript"/>
              </w:rPr>
              <w:t>(1)</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0"/>
        </w:trPr>
        <w:tc>
          <w:tcPr>
            <w:tcW w:w="5400" w:type="dxa"/>
            <w:vAlign w:val="bottom"/>
            <w:gridSpan w:val="2"/>
          </w:tcPr>
          <w:p>
            <w:pPr>
              <w:ind w:left="140"/>
              <w:spacing w:after="0"/>
              <w:rPr>
                <w:sz w:val="20"/>
                <w:szCs w:val="20"/>
                <w:color w:val="auto"/>
              </w:rPr>
            </w:pPr>
            <w:r>
              <w:rPr>
                <w:rFonts w:ascii="Arial" w:cs="Arial" w:eastAsia="Arial" w:hAnsi="Arial"/>
                <w:sz w:val="14"/>
                <w:szCs w:val="14"/>
                <w:color w:val="auto"/>
              </w:rPr>
              <w:t>Barrels per day</w:t>
            </w:r>
          </w:p>
        </w:tc>
        <w:tc>
          <w:tcPr>
            <w:tcW w:w="1080" w:type="dxa"/>
            <w:vAlign w:val="bottom"/>
          </w:tcPr>
          <w:p>
            <w:pPr>
              <w:jc w:val="center"/>
              <w:spacing w:after="0"/>
              <w:rPr>
                <w:sz w:val="20"/>
                <w:szCs w:val="20"/>
                <w:color w:val="auto"/>
              </w:rPr>
            </w:pPr>
            <w:r>
              <w:rPr>
                <w:rFonts w:ascii="Arial" w:cs="Arial" w:eastAsia="Arial" w:hAnsi="Arial"/>
                <w:sz w:val="14"/>
                <w:szCs w:val="14"/>
                <w:color w:val="auto"/>
              </w:rPr>
              <w:t>18,322</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17,837</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17,363</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5,747</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1,724</w:t>
            </w:r>
          </w:p>
        </w:tc>
      </w:tr>
      <w:tr>
        <w:trPr>
          <w:trHeight w:val="203"/>
        </w:trPr>
        <w:tc>
          <w:tcPr>
            <w:tcW w:w="5400" w:type="dxa"/>
            <w:vAlign w:val="bottom"/>
            <w:gridSpan w:val="2"/>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1080" w:type="dxa"/>
            <w:vAlign w:val="bottom"/>
          </w:tcPr>
          <w:p>
            <w:pPr>
              <w:jc w:val="center"/>
              <w:spacing w:after="0"/>
              <w:rPr>
                <w:sz w:val="20"/>
                <w:szCs w:val="20"/>
                <w:color w:val="auto"/>
              </w:rPr>
            </w:pPr>
            <w:r>
              <w:rPr>
                <w:rFonts w:ascii="Arial" w:cs="Arial" w:eastAsia="Arial" w:hAnsi="Arial"/>
                <w:sz w:val="14"/>
                <w:szCs w:val="14"/>
                <w:color w:val="auto"/>
              </w:rPr>
              <w:t>$76.25</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$76.25</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$76.25</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$76.25</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$75.00</w:t>
            </w:r>
          </w:p>
        </w:tc>
      </w:tr>
    </w:tbl>
    <w:p>
      <w:pPr>
        <w:spacing w:after="0" w:line="242" w:lineRule="exact"/>
        <w:rPr>
          <w:sz w:val="20"/>
          <w:szCs w:val="20"/>
          <w:color w:val="auto"/>
        </w:rPr>
      </w:pPr>
    </w:p>
    <w:p>
      <w:pPr>
        <w:ind w:left="160" w:hanging="134"/>
        <w:spacing w:after="0"/>
        <w:tabs>
          <w:tab w:leader="none" w:pos="160" w:val="left"/>
        </w:tabs>
        <w:numPr>
          <w:ilvl w:val="0"/>
          <w:numId w:val="18"/>
        </w:numPr>
        <w:rPr>
          <w:rFonts w:ascii="Arial" w:cs="Arial" w:eastAsia="Arial" w:hAnsi="Arial"/>
          <w:sz w:val="16"/>
          <w:szCs w:val="16"/>
          <w:color w:val="auto"/>
          <w:vertAlign w:val="superscript"/>
        </w:rPr>
      </w:pPr>
      <w:r>
        <w:rPr>
          <w:rFonts w:ascii="Arial" w:cs="Arial" w:eastAsia="Arial" w:hAnsi="Arial"/>
          <w:sz w:val="13"/>
          <w:szCs w:val="13"/>
          <w:color w:val="auto"/>
        </w:rPr>
        <w:t>Purchased puts and sold puts with the same strike price have been presented on a net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240"/>
          </w:cols>
          <w:pgMar w:left="320" w:top="1305" w:right="339" w:bottom="1440" w:gutter="0" w:footer="0" w:header="0"/>
        </w:sectPr>
      </w:pPr>
    </w:p>
    <w:bookmarkStart w:id="26" w:name="page27"/>
    <w:bookmarkEnd w:id="26"/>
    <w:p>
      <w:pPr>
        <w:ind w:left="10320"/>
        <w:spacing w:after="0"/>
        <w:rPr>
          <w:sz w:val="20"/>
          <w:szCs w:val="20"/>
          <w:color w:val="auto"/>
        </w:rPr>
      </w:pPr>
      <w:r>
        <w:rPr>
          <w:rFonts w:ascii="Arial" w:cs="Arial" w:eastAsia="Arial" w:hAnsi="Arial"/>
          <w:sz w:val="14"/>
          <w:szCs w:val="14"/>
          <w:b w:val="1"/>
          <w:bCs w:val="1"/>
          <w:color w:val="auto"/>
        </w:rPr>
        <w:t>Attachment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880" w:type="dxa"/>
            <w:vAlign w:val="bottom"/>
            <w:tcBorders>
              <w:top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 Estimated</w:t>
            </w: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r>
      <w:tr>
        <w:trPr>
          <w:trHeight w:val="198"/>
        </w:trPr>
        <w:tc>
          <w:tcPr>
            <w:tcW w:w="5880" w:type="dxa"/>
            <w:vAlign w:val="bottom"/>
            <w:tcBorders>
              <w:bottom w:val="single" w:sz="8" w:color="auto"/>
            </w:tcBorders>
          </w:tcPr>
          <w:p>
            <w:pPr>
              <w:ind w:left="20"/>
              <w:spacing w:after="0" w:line="198" w:lineRule="exact"/>
              <w:rPr>
                <w:sz w:val="20"/>
                <w:szCs w:val="20"/>
                <w:color w:val="auto"/>
              </w:rPr>
            </w:pPr>
            <w:r>
              <w:rPr>
                <w:rFonts w:ascii="Arial" w:cs="Arial" w:eastAsia="Arial" w:hAnsi="Arial"/>
                <w:sz w:val="14"/>
                <w:szCs w:val="14"/>
                <w:b w:val="1"/>
                <w:bCs w:val="1"/>
                <w:color w:val="auto"/>
              </w:rPr>
              <w:t>TOTAL CRC GUIDANCE</w:t>
            </w:r>
            <w:r>
              <w:rPr>
                <w:rFonts w:ascii="Arial" w:cs="Arial" w:eastAsia="Arial" w:hAnsi="Arial"/>
                <w:sz w:val="18"/>
                <w:szCs w:val="18"/>
                <w:b w:val="1"/>
                <w:bCs w:val="1"/>
                <w:color w:val="auto"/>
                <w:vertAlign w:val="superscript"/>
              </w:rPr>
              <w:t>1</w:t>
            </w:r>
          </w:p>
        </w:tc>
        <w:tc>
          <w:tcPr>
            <w:tcW w:w="1720" w:type="dxa"/>
            <w:vAlign w:val="bottom"/>
            <w:tcBorders>
              <w:bottom w:val="single" w:sz="8" w:color="auto"/>
            </w:tcBorders>
            <w:gridSpan w:val="2"/>
            <w:shd w:val="clear" w:color="auto" w:fill="DBDBDB"/>
          </w:tcPr>
          <w:p>
            <w:pPr>
              <w:jc w:val="center"/>
              <w:spacing w:after="0"/>
              <w:rPr>
                <w:sz w:val="20"/>
                <w:szCs w:val="20"/>
                <w:color w:val="auto"/>
              </w:rPr>
            </w:pPr>
            <w:r>
              <w:rPr>
                <w:rFonts w:ascii="Arial" w:cs="Arial" w:eastAsia="Arial" w:hAnsi="Arial"/>
                <w:sz w:val="14"/>
                <w:szCs w:val="14"/>
                <w:b w:val="1"/>
                <w:bCs w:val="1"/>
                <w:color w:val="auto"/>
              </w:rPr>
              <w:t>Consolidated</w:t>
            </w:r>
          </w:p>
        </w:tc>
        <w:tc>
          <w:tcPr>
            <w:tcW w:w="100" w:type="dxa"/>
            <w:vAlign w:val="bottom"/>
          </w:tcPr>
          <w:p>
            <w:pPr>
              <w:spacing w:after="0"/>
              <w:rPr>
                <w:sz w:val="17"/>
                <w:szCs w:val="17"/>
                <w:color w:val="auto"/>
              </w:rPr>
            </w:pPr>
          </w:p>
        </w:tc>
        <w:tc>
          <w:tcPr>
            <w:tcW w:w="172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CMB</w:t>
            </w:r>
          </w:p>
        </w:tc>
        <w:tc>
          <w:tcPr>
            <w:tcW w:w="100" w:type="dxa"/>
            <w:vAlign w:val="bottom"/>
          </w:tcPr>
          <w:p>
            <w:pPr>
              <w:spacing w:after="0"/>
              <w:rPr>
                <w:sz w:val="17"/>
                <w:szCs w:val="17"/>
                <w:color w:val="auto"/>
              </w:rPr>
            </w:pPr>
          </w:p>
        </w:tc>
        <w:tc>
          <w:tcPr>
            <w:tcW w:w="1720" w:type="dxa"/>
            <w:vAlign w:val="bottom"/>
            <w:tcBorders>
              <w:bottom w:val="single" w:sz="8" w:color="auto"/>
            </w:tcBorders>
            <w:gridSpan w:val="2"/>
            <w:shd w:val="clear" w:color="auto" w:fill="DBDBDB"/>
          </w:tcPr>
          <w:p>
            <w:pPr>
              <w:jc w:val="center"/>
              <w:spacing w:after="0"/>
              <w:rPr>
                <w:sz w:val="20"/>
                <w:szCs w:val="20"/>
                <w:color w:val="auto"/>
              </w:rPr>
            </w:pPr>
            <w:r>
              <w:rPr>
                <w:rFonts w:ascii="Arial" w:cs="Arial" w:eastAsia="Arial" w:hAnsi="Arial"/>
                <w:sz w:val="14"/>
                <w:szCs w:val="14"/>
                <w:b w:val="1"/>
                <w:bCs w:val="1"/>
                <w:color w:val="auto"/>
              </w:rPr>
              <w:t>E&amp;P, Corporate &amp; Other</w:t>
            </w:r>
          </w:p>
        </w:tc>
      </w:tr>
      <w:tr>
        <w:trPr>
          <w:trHeight w:val="192"/>
        </w:trPr>
        <w:tc>
          <w:tcPr>
            <w:tcW w:w="5880" w:type="dxa"/>
            <w:vAlign w:val="bottom"/>
          </w:tcPr>
          <w:p>
            <w:pPr>
              <w:ind w:left="140"/>
              <w:spacing w:after="0"/>
              <w:rPr>
                <w:sz w:val="20"/>
                <w:szCs w:val="20"/>
                <w:color w:val="auto"/>
              </w:rPr>
            </w:pPr>
            <w:r>
              <w:rPr>
                <w:rFonts w:ascii="Arial" w:cs="Arial" w:eastAsia="Arial" w:hAnsi="Arial"/>
                <w:sz w:val="14"/>
                <w:szCs w:val="14"/>
                <w:color w:val="auto"/>
              </w:rPr>
              <w:t>Net Total Production (MBoe/d)</w:t>
            </w:r>
          </w:p>
        </w:tc>
        <w:tc>
          <w:tcPr>
            <w:tcW w:w="820" w:type="dxa"/>
            <w:vAlign w:val="bottom"/>
          </w:tcPr>
          <w:p>
            <w:pPr>
              <w:jc w:val="right"/>
              <w:spacing w:after="0"/>
              <w:rPr>
                <w:sz w:val="20"/>
                <w:szCs w:val="20"/>
                <w:color w:val="auto"/>
              </w:rPr>
            </w:pPr>
            <w:r>
              <w:rPr>
                <w:rFonts w:ascii="Arial" w:cs="Arial" w:eastAsia="Arial" w:hAnsi="Arial"/>
                <w:sz w:val="14"/>
                <w:szCs w:val="14"/>
                <w:color w:val="auto"/>
              </w:rPr>
              <w:t>85</w:t>
            </w:r>
          </w:p>
        </w:tc>
        <w:tc>
          <w:tcPr>
            <w:tcW w:w="900" w:type="dxa"/>
            <w:vAlign w:val="bottom"/>
          </w:tcPr>
          <w:p>
            <w:pPr>
              <w:ind w:left="20"/>
              <w:spacing w:after="0"/>
              <w:rPr>
                <w:sz w:val="20"/>
                <w:szCs w:val="20"/>
                <w:color w:val="auto"/>
              </w:rPr>
            </w:pPr>
            <w:r>
              <w:rPr>
                <w:rFonts w:ascii="Arial" w:cs="Arial" w:eastAsia="Arial" w:hAnsi="Arial"/>
                <w:sz w:val="14"/>
                <w:szCs w:val="14"/>
                <w:color w:val="auto"/>
              </w:rPr>
              <w:t>- 91</w:t>
            </w: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85</w:t>
            </w:r>
          </w:p>
        </w:tc>
        <w:tc>
          <w:tcPr>
            <w:tcW w:w="900" w:type="dxa"/>
            <w:vAlign w:val="bottom"/>
          </w:tcPr>
          <w:p>
            <w:pPr>
              <w:ind w:left="20"/>
              <w:spacing w:after="0"/>
              <w:rPr>
                <w:sz w:val="20"/>
                <w:szCs w:val="20"/>
                <w:color w:val="auto"/>
              </w:rPr>
            </w:pPr>
            <w:r>
              <w:rPr>
                <w:rFonts w:ascii="Arial" w:cs="Arial" w:eastAsia="Arial" w:hAnsi="Arial"/>
                <w:sz w:val="14"/>
                <w:szCs w:val="14"/>
                <w:color w:val="auto"/>
              </w:rPr>
              <w:t>- 91</w:t>
            </w:r>
          </w:p>
        </w:tc>
      </w:tr>
      <w:tr>
        <w:trPr>
          <w:trHeight w:val="207"/>
        </w:trPr>
        <w:tc>
          <w:tcPr>
            <w:tcW w:w="58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Net Oil Production (MBbl/d)</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51</w:t>
            </w:r>
          </w:p>
        </w:tc>
        <w:tc>
          <w:tcPr>
            <w:tcW w:w="900" w:type="dxa"/>
            <w:vAlign w:val="bottom"/>
            <w:shd w:val="clear" w:color="auto" w:fill="DBDBDB"/>
          </w:tcPr>
          <w:p>
            <w:pPr>
              <w:ind w:left="20"/>
              <w:spacing w:after="0"/>
              <w:rPr>
                <w:sz w:val="20"/>
                <w:szCs w:val="20"/>
                <w:color w:val="auto"/>
              </w:rPr>
            </w:pPr>
            <w:r>
              <w:rPr>
                <w:rFonts w:ascii="Arial" w:cs="Arial" w:eastAsia="Arial" w:hAnsi="Arial"/>
                <w:sz w:val="14"/>
                <w:szCs w:val="14"/>
                <w:color w:val="auto"/>
              </w:rPr>
              <w:t>- 55</w:t>
            </w:r>
          </w:p>
        </w:tc>
        <w:tc>
          <w:tcPr>
            <w:tcW w:w="100" w:type="dxa"/>
            <w:vAlign w:val="bottom"/>
          </w:tcPr>
          <w:p>
            <w:pPr>
              <w:spacing w:after="0"/>
              <w:rPr>
                <w:sz w:val="17"/>
                <w:szCs w:val="17"/>
                <w:color w:val="auto"/>
              </w:rPr>
            </w:pPr>
          </w:p>
        </w:tc>
        <w:tc>
          <w:tcPr>
            <w:tcW w:w="172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51</w:t>
            </w:r>
          </w:p>
        </w:tc>
        <w:tc>
          <w:tcPr>
            <w:tcW w:w="900" w:type="dxa"/>
            <w:vAlign w:val="bottom"/>
            <w:shd w:val="clear" w:color="auto" w:fill="DBDBDB"/>
          </w:tcPr>
          <w:p>
            <w:pPr>
              <w:ind w:left="20"/>
              <w:spacing w:after="0"/>
              <w:rPr>
                <w:sz w:val="20"/>
                <w:szCs w:val="20"/>
                <w:color w:val="auto"/>
              </w:rPr>
            </w:pPr>
            <w:r>
              <w:rPr>
                <w:rFonts w:ascii="Arial" w:cs="Arial" w:eastAsia="Arial" w:hAnsi="Arial"/>
                <w:sz w:val="14"/>
                <w:szCs w:val="14"/>
                <w:color w:val="auto"/>
              </w:rPr>
              <w:t>- 55</w:t>
            </w:r>
          </w:p>
        </w:tc>
      </w:tr>
      <w:tr>
        <w:trPr>
          <w:trHeight w:val="198"/>
        </w:trPr>
        <w:tc>
          <w:tcPr>
            <w:tcW w:w="5880" w:type="dxa"/>
            <w:vAlign w:val="bottom"/>
          </w:tcPr>
          <w:p>
            <w:pPr>
              <w:ind w:left="140"/>
              <w:spacing w:after="0"/>
              <w:rPr>
                <w:sz w:val="20"/>
                <w:szCs w:val="20"/>
                <w:color w:val="auto"/>
              </w:rPr>
            </w:pPr>
            <w:r>
              <w:rPr>
                <w:rFonts w:ascii="Arial" w:cs="Arial" w:eastAsia="Arial" w:hAnsi="Arial"/>
                <w:sz w:val="14"/>
                <w:szCs w:val="14"/>
                <w:color w:val="auto"/>
              </w:rPr>
              <w:t>Operating Costs ($ millions)</w:t>
            </w:r>
          </w:p>
        </w:tc>
        <w:tc>
          <w:tcPr>
            <w:tcW w:w="820" w:type="dxa"/>
            <w:vAlign w:val="bottom"/>
          </w:tcPr>
          <w:p>
            <w:pPr>
              <w:jc w:val="right"/>
              <w:spacing w:after="0"/>
              <w:rPr>
                <w:sz w:val="20"/>
                <w:szCs w:val="20"/>
                <w:color w:val="auto"/>
              </w:rPr>
            </w:pPr>
            <w:r>
              <w:rPr>
                <w:rFonts w:ascii="Arial" w:cs="Arial" w:eastAsia="Arial" w:hAnsi="Arial"/>
                <w:sz w:val="14"/>
                <w:szCs w:val="14"/>
                <w:color w:val="auto"/>
              </w:rPr>
              <w:t>$845</w:t>
            </w:r>
          </w:p>
        </w:tc>
        <w:tc>
          <w:tcPr>
            <w:tcW w:w="900" w:type="dxa"/>
            <w:vAlign w:val="bottom"/>
          </w:tcPr>
          <w:p>
            <w:pPr>
              <w:ind w:left="20"/>
              <w:spacing w:after="0"/>
              <w:rPr>
                <w:sz w:val="20"/>
                <w:szCs w:val="20"/>
                <w:color w:val="auto"/>
              </w:rPr>
            </w:pPr>
            <w:r>
              <w:rPr>
                <w:rFonts w:ascii="Arial" w:cs="Arial" w:eastAsia="Arial" w:hAnsi="Arial"/>
                <w:sz w:val="14"/>
                <w:szCs w:val="14"/>
                <w:color w:val="auto"/>
              </w:rPr>
              <w:t>- $895</w:t>
            </w: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$845</w:t>
            </w:r>
          </w:p>
        </w:tc>
        <w:tc>
          <w:tcPr>
            <w:tcW w:w="900" w:type="dxa"/>
            <w:vAlign w:val="bottom"/>
          </w:tcPr>
          <w:p>
            <w:pPr>
              <w:ind w:left="20"/>
              <w:spacing w:after="0"/>
              <w:rPr>
                <w:sz w:val="20"/>
                <w:szCs w:val="20"/>
                <w:color w:val="auto"/>
              </w:rPr>
            </w:pPr>
            <w:r>
              <w:rPr>
                <w:rFonts w:ascii="Arial" w:cs="Arial" w:eastAsia="Arial" w:hAnsi="Arial"/>
                <w:sz w:val="14"/>
                <w:szCs w:val="14"/>
                <w:color w:val="auto"/>
              </w:rPr>
              <w:t>- $895</w:t>
            </w:r>
          </w:p>
        </w:tc>
      </w:tr>
      <w:tr>
        <w:trPr>
          <w:trHeight w:val="207"/>
        </w:trPr>
        <w:tc>
          <w:tcPr>
            <w:tcW w:w="58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CMB Expenses</w:t>
            </w:r>
            <w:r>
              <w:rPr>
                <w:rFonts w:ascii="Arial" w:cs="Arial" w:eastAsia="Arial" w:hAnsi="Arial"/>
                <w:sz w:val="18"/>
                <w:szCs w:val="18"/>
                <w:color w:val="auto"/>
                <w:vertAlign w:val="superscript"/>
              </w:rPr>
              <w:t>2</w:t>
            </w:r>
            <w:r>
              <w:rPr>
                <w:rFonts w:ascii="Arial" w:cs="Arial" w:eastAsia="Arial" w:hAnsi="Arial"/>
                <w:sz w:val="14"/>
                <w:szCs w:val="14"/>
                <w:color w:val="auto"/>
              </w:rPr>
              <w:t xml:space="preserve"> ($ millions)</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w:t>
            </w:r>
          </w:p>
        </w:tc>
        <w:tc>
          <w:tcPr>
            <w:tcW w:w="900" w:type="dxa"/>
            <w:vAlign w:val="bottom"/>
            <w:shd w:val="clear" w:color="auto" w:fill="DBDBDB"/>
          </w:tcPr>
          <w:p>
            <w:pPr>
              <w:ind w:left="20"/>
              <w:spacing w:after="0"/>
              <w:rPr>
                <w:sz w:val="20"/>
                <w:szCs w:val="20"/>
                <w:color w:val="auto"/>
              </w:rPr>
            </w:pPr>
            <w:r>
              <w:rPr>
                <w:rFonts w:ascii="Arial" w:cs="Arial" w:eastAsia="Arial" w:hAnsi="Arial"/>
                <w:sz w:val="14"/>
                <w:szCs w:val="14"/>
                <w:color w:val="auto"/>
              </w:rPr>
              <w:t>- $35</w:t>
            </w:r>
          </w:p>
        </w:tc>
        <w:tc>
          <w:tcPr>
            <w:tcW w:w="100" w:type="dxa"/>
            <w:vAlign w:val="bottom"/>
          </w:tcPr>
          <w:p>
            <w:pPr>
              <w:spacing w:after="0"/>
              <w:rPr>
                <w:sz w:val="17"/>
                <w:szCs w:val="17"/>
                <w:color w:val="auto"/>
              </w:rPr>
            </w:pPr>
          </w:p>
        </w:tc>
        <w:tc>
          <w:tcPr>
            <w:tcW w:w="172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$25 - $35</w:t>
            </w:r>
          </w:p>
        </w:tc>
        <w:tc>
          <w:tcPr>
            <w:tcW w:w="100" w:type="dxa"/>
            <w:vAlign w:val="bottom"/>
          </w:tcPr>
          <w:p>
            <w:pPr>
              <w:spacing w:after="0"/>
              <w:rPr>
                <w:sz w:val="17"/>
                <w:szCs w:val="17"/>
                <w:color w:val="auto"/>
              </w:rPr>
            </w:pPr>
          </w:p>
        </w:tc>
        <w:tc>
          <w:tcPr>
            <w:tcW w:w="82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r>
      <w:tr>
        <w:trPr>
          <w:trHeight w:val="198"/>
        </w:trPr>
        <w:tc>
          <w:tcPr>
            <w:tcW w:w="5880" w:type="dxa"/>
            <w:vAlign w:val="bottom"/>
          </w:tcPr>
          <w:p>
            <w:pPr>
              <w:ind w:left="140"/>
              <w:spacing w:after="0"/>
              <w:rPr>
                <w:sz w:val="20"/>
                <w:szCs w:val="20"/>
                <w:color w:val="auto"/>
              </w:rPr>
            </w:pPr>
            <w:r>
              <w:rPr>
                <w:rFonts w:ascii="Arial" w:cs="Arial" w:eastAsia="Arial" w:hAnsi="Arial"/>
                <w:sz w:val="14"/>
                <w:szCs w:val="14"/>
                <w:color w:val="auto"/>
              </w:rPr>
              <w:t>Adjusted General and Administrative Expenses ($ millions)</w:t>
            </w:r>
          </w:p>
        </w:tc>
        <w:tc>
          <w:tcPr>
            <w:tcW w:w="820" w:type="dxa"/>
            <w:vAlign w:val="bottom"/>
          </w:tcPr>
          <w:p>
            <w:pPr>
              <w:jc w:val="right"/>
              <w:spacing w:after="0"/>
              <w:rPr>
                <w:sz w:val="20"/>
                <w:szCs w:val="20"/>
                <w:color w:val="auto"/>
              </w:rPr>
            </w:pPr>
            <w:r>
              <w:rPr>
                <w:rFonts w:ascii="Arial" w:cs="Arial" w:eastAsia="Arial" w:hAnsi="Arial"/>
                <w:sz w:val="14"/>
                <w:szCs w:val="14"/>
                <w:color w:val="auto"/>
              </w:rPr>
              <w:t>$195</w:t>
            </w:r>
          </w:p>
        </w:tc>
        <w:tc>
          <w:tcPr>
            <w:tcW w:w="900" w:type="dxa"/>
            <w:vAlign w:val="bottom"/>
          </w:tcPr>
          <w:p>
            <w:pPr>
              <w:ind w:left="20"/>
              <w:spacing w:after="0"/>
              <w:rPr>
                <w:sz w:val="20"/>
                <w:szCs w:val="20"/>
                <w:color w:val="auto"/>
              </w:rPr>
            </w:pPr>
            <w:r>
              <w:rPr>
                <w:rFonts w:ascii="Arial" w:cs="Arial" w:eastAsia="Arial" w:hAnsi="Arial"/>
                <w:sz w:val="14"/>
                <w:szCs w:val="14"/>
                <w:color w:val="auto"/>
              </w:rPr>
              <w:t>- $225</w:t>
            </w:r>
          </w:p>
        </w:tc>
        <w:tc>
          <w:tcPr>
            <w:tcW w:w="1820" w:type="dxa"/>
            <w:vAlign w:val="bottom"/>
            <w:gridSpan w:val="2"/>
          </w:tcPr>
          <w:p>
            <w:pPr>
              <w:jc w:val="center"/>
              <w:ind w:left="28"/>
              <w:spacing w:after="0"/>
              <w:rPr>
                <w:sz w:val="20"/>
                <w:szCs w:val="20"/>
                <w:color w:val="auto"/>
              </w:rPr>
            </w:pPr>
            <w:r>
              <w:rPr>
                <w:rFonts w:ascii="Arial" w:cs="Arial" w:eastAsia="Arial" w:hAnsi="Arial"/>
                <w:sz w:val="14"/>
                <w:szCs w:val="14"/>
                <w:color w:val="auto"/>
              </w:rPr>
              <w:t>$10 - $15</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$185</w:t>
            </w:r>
          </w:p>
        </w:tc>
        <w:tc>
          <w:tcPr>
            <w:tcW w:w="900" w:type="dxa"/>
            <w:vAlign w:val="bottom"/>
          </w:tcPr>
          <w:p>
            <w:pPr>
              <w:ind w:left="20"/>
              <w:spacing w:after="0"/>
              <w:rPr>
                <w:sz w:val="20"/>
                <w:szCs w:val="20"/>
                <w:color w:val="auto"/>
              </w:rPr>
            </w:pPr>
            <w:r>
              <w:rPr>
                <w:rFonts w:ascii="Arial" w:cs="Arial" w:eastAsia="Arial" w:hAnsi="Arial"/>
                <w:sz w:val="14"/>
                <w:szCs w:val="14"/>
                <w:color w:val="auto"/>
              </w:rPr>
              <w:t>- $210</w:t>
            </w:r>
          </w:p>
        </w:tc>
      </w:tr>
      <w:tr>
        <w:trPr>
          <w:trHeight w:val="207"/>
        </w:trPr>
        <w:tc>
          <w:tcPr>
            <w:tcW w:w="58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Total Capital ($ millions)</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$200</w:t>
            </w:r>
          </w:p>
        </w:tc>
        <w:tc>
          <w:tcPr>
            <w:tcW w:w="900" w:type="dxa"/>
            <w:vAlign w:val="bottom"/>
            <w:shd w:val="clear" w:color="auto" w:fill="DBDBDB"/>
          </w:tcPr>
          <w:p>
            <w:pPr>
              <w:ind w:left="20"/>
              <w:spacing w:after="0"/>
              <w:rPr>
                <w:sz w:val="20"/>
                <w:szCs w:val="20"/>
                <w:color w:val="auto"/>
              </w:rPr>
            </w:pPr>
            <w:r>
              <w:rPr>
                <w:rFonts w:ascii="Arial" w:cs="Arial" w:eastAsia="Arial" w:hAnsi="Arial"/>
                <w:sz w:val="14"/>
                <w:szCs w:val="14"/>
                <w:color w:val="auto"/>
              </w:rPr>
              <w:t>- $245</w:t>
            </w:r>
          </w:p>
        </w:tc>
        <w:tc>
          <w:tcPr>
            <w:tcW w:w="100" w:type="dxa"/>
            <w:vAlign w:val="bottom"/>
          </w:tcPr>
          <w:p>
            <w:pPr>
              <w:spacing w:after="0"/>
              <w:rPr>
                <w:sz w:val="17"/>
                <w:szCs w:val="17"/>
                <w:color w:val="auto"/>
              </w:rPr>
            </w:pPr>
          </w:p>
        </w:tc>
        <w:tc>
          <w:tcPr>
            <w:tcW w:w="172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$5 - $15</w:t>
            </w:r>
          </w:p>
        </w:tc>
        <w:tc>
          <w:tcPr>
            <w:tcW w:w="100" w:type="dxa"/>
            <w:vAlign w:val="bottom"/>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$195</w:t>
            </w:r>
          </w:p>
        </w:tc>
        <w:tc>
          <w:tcPr>
            <w:tcW w:w="900" w:type="dxa"/>
            <w:vAlign w:val="bottom"/>
            <w:shd w:val="clear" w:color="auto" w:fill="DBDBDB"/>
          </w:tcPr>
          <w:p>
            <w:pPr>
              <w:ind w:left="20"/>
              <w:spacing w:after="0"/>
              <w:rPr>
                <w:sz w:val="20"/>
                <w:szCs w:val="20"/>
                <w:color w:val="auto"/>
              </w:rPr>
            </w:pPr>
            <w:r>
              <w:rPr>
                <w:rFonts w:ascii="Arial" w:cs="Arial" w:eastAsia="Arial" w:hAnsi="Arial"/>
                <w:sz w:val="14"/>
                <w:szCs w:val="14"/>
                <w:color w:val="auto"/>
              </w:rPr>
              <w:t>- $230</w:t>
            </w:r>
          </w:p>
        </w:tc>
      </w:tr>
      <w:tr>
        <w:trPr>
          <w:trHeight w:val="203"/>
        </w:trPr>
        <w:tc>
          <w:tcPr>
            <w:tcW w:w="5880" w:type="dxa"/>
            <w:vAlign w:val="bottom"/>
          </w:tcPr>
          <w:p>
            <w:pPr>
              <w:ind w:left="140"/>
              <w:spacing w:after="0" w:line="202" w:lineRule="exact"/>
              <w:rPr>
                <w:sz w:val="20"/>
                <w:szCs w:val="20"/>
                <w:color w:val="auto"/>
              </w:rPr>
            </w:pPr>
            <w:r>
              <w:rPr>
                <w:rFonts w:ascii="Arial" w:cs="Arial" w:eastAsia="Arial" w:hAnsi="Arial"/>
                <w:sz w:val="14"/>
                <w:szCs w:val="14"/>
                <w:color w:val="auto"/>
              </w:rPr>
              <w:t>Adjusted Total Capital</w:t>
            </w:r>
            <w:r>
              <w:rPr>
                <w:rFonts w:ascii="Arial" w:cs="Arial" w:eastAsia="Arial" w:hAnsi="Arial"/>
                <w:sz w:val="18"/>
                <w:szCs w:val="18"/>
                <w:color w:val="auto"/>
                <w:vertAlign w:val="superscript"/>
              </w:rPr>
              <w:t>3</w:t>
            </w:r>
            <w:r>
              <w:rPr>
                <w:rFonts w:ascii="Arial" w:cs="Arial" w:eastAsia="Arial" w:hAnsi="Arial"/>
                <w:sz w:val="14"/>
                <w:szCs w:val="14"/>
                <w:color w:val="auto"/>
              </w:rPr>
              <w:t xml:space="preserve"> ($ millions)</w:t>
            </w:r>
          </w:p>
        </w:tc>
        <w:tc>
          <w:tcPr>
            <w:tcW w:w="820" w:type="dxa"/>
            <w:vAlign w:val="bottom"/>
          </w:tcPr>
          <w:p>
            <w:pPr>
              <w:jc w:val="right"/>
              <w:spacing w:after="0"/>
              <w:rPr>
                <w:sz w:val="20"/>
                <w:szCs w:val="20"/>
                <w:color w:val="auto"/>
              </w:rPr>
            </w:pPr>
            <w:r>
              <w:rPr>
                <w:rFonts w:ascii="Arial" w:cs="Arial" w:eastAsia="Arial" w:hAnsi="Arial"/>
                <w:sz w:val="14"/>
                <w:szCs w:val="14"/>
                <w:color w:val="auto"/>
              </w:rPr>
              <w:t>$200</w:t>
            </w:r>
          </w:p>
        </w:tc>
        <w:tc>
          <w:tcPr>
            <w:tcW w:w="900" w:type="dxa"/>
            <w:vAlign w:val="bottom"/>
          </w:tcPr>
          <w:p>
            <w:pPr>
              <w:ind w:left="20"/>
              <w:spacing w:after="0"/>
              <w:rPr>
                <w:sz w:val="20"/>
                <w:szCs w:val="20"/>
                <w:color w:val="auto"/>
              </w:rPr>
            </w:pPr>
            <w:r>
              <w:rPr>
                <w:rFonts w:ascii="Arial" w:cs="Arial" w:eastAsia="Arial" w:hAnsi="Arial"/>
                <w:sz w:val="14"/>
                <w:szCs w:val="14"/>
                <w:color w:val="auto"/>
              </w:rPr>
              <w:t>- $245</w:t>
            </w:r>
          </w:p>
        </w:tc>
        <w:tc>
          <w:tcPr>
            <w:tcW w:w="1820" w:type="dxa"/>
            <w:vAlign w:val="bottom"/>
            <w:gridSpan w:val="2"/>
          </w:tcPr>
          <w:p>
            <w:pPr>
              <w:jc w:val="center"/>
              <w:ind w:left="28"/>
              <w:spacing w:after="0"/>
              <w:rPr>
                <w:sz w:val="20"/>
                <w:szCs w:val="20"/>
                <w:color w:val="auto"/>
              </w:rPr>
            </w:pPr>
            <w:r>
              <w:rPr>
                <w:rFonts w:ascii="Arial" w:cs="Arial" w:eastAsia="Arial" w:hAnsi="Arial"/>
                <w:sz w:val="14"/>
                <w:szCs w:val="14"/>
                <w:color w:val="auto"/>
              </w:rPr>
              <w:t>$15 - $25</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$185</w:t>
            </w:r>
          </w:p>
        </w:tc>
        <w:tc>
          <w:tcPr>
            <w:tcW w:w="900" w:type="dxa"/>
            <w:vAlign w:val="bottom"/>
          </w:tcPr>
          <w:p>
            <w:pPr>
              <w:ind w:left="20"/>
              <w:spacing w:after="0"/>
              <w:rPr>
                <w:sz w:val="20"/>
                <w:szCs w:val="20"/>
                <w:color w:val="auto"/>
              </w:rPr>
            </w:pPr>
            <w:r>
              <w:rPr>
                <w:rFonts w:ascii="Arial" w:cs="Arial" w:eastAsia="Arial" w:hAnsi="Arial"/>
                <w:sz w:val="14"/>
                <w:szCs w:val="14"/>
                <w:color w:val="auto"/>
              </w:rPr>
              <w:t>- $220</w:t>
            </w:r>
          </w:p>
        </w:tc>
      </w:tr>
      <w:tr>
        <w:trPr>
          <w:trHeight w:val="203"/>
        </w:trPr>
        <w:tc>
          <w:tcPr>
            <w:tcW w:w="58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Free Cash Flow ($ millions)</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$330</w:t>
            </w:r>
          </w:p>
        </w:tc>
        <w:tc>
          <w:tcPr>
            <w:tcW w:w="900" w:type="dxa"/>
            <w:vAlign w:val="bottom"/>
            <w:shd w:val="clear" w:color="auto" w:fill="DBDBDB"/>
          </w:tcPr>
          <w:p>
            <w:pPr>
              <w:ind w:left="20"/>
              <w:spacing w:after="0"/>
              <w:rPr>
                <w:sz w:val="20"/>
                <w:szCs w:val="20"/>
                <w:color w:val="auto"/>
              </w:rPr>
            </w:pPr>
            <w:r>
              <w:rPr>
                <w:rFonts w:ascii="Arial" w:cs="Arial" w:eastAsia="Arial" w:hAnsi="Arial"/>
                <w:sz w:val="14"/>
                <w:szCs w:val="14"/>
                <w:color w:val="auto"/>
              </w:rPr>
              <w:t>- $440</w:t>
            </w:r>
          </w:p>
        </w:tc>
        <w:tc>
          <w:tcPr>
            <w:tcW w:w="100" w:type="dxa"/>
            <w:vAlign w:val="bottom"/>
          </w:tcPr>
          <w:p>
            <w:pPr>
              <w:spacing w:after="0"/>
              <w:rPr>
                <w:sz w:val="17"/>
                <w:szCs w:val="17"/>
                <w:color w:val="auto"/>
              </w:rPr>
            </w:pPr>
          </w:p>
        </w:tc>
        <w:tc>
          <w:tcPr>
            <w:tcW w:w="172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($60) - ($80)</w:t>
            </w:r>
          </w:p>
        </w:tc>
        <w:tc>
          <w:tcPr>
            <w:tcW w:w="100" w:type="dxa"/>
            <w:vAlign w:val="bottom"/>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$410</w:t>
            </w:r>
          </w:p>
        </w:tc>
        <w:tc>
          <w:tcPr>
            <w:tcW w:w="900" w:type="dxa"/>
            <w:vAlign w:val="bottom"/>
            <w:shd w:val="clear" w:color="auto" w:fill="DBDBDB"/>
          </w:tcPr>
          <w:p>
            <w:pPr>
              <w:ind w:left="20"/>
              <w:spacing w:after="0"/>
              <w:rPr>
                <w:sz w:val="20"/>
                <w:szCs w:val="20"/>
                <w:color w:val="auto"/>
              </w:rPr>
            </w:pPr>
            <w:r>
              <w:rPr>
                <w:rFonts w:ascii="Arial" w:cs="Arial" w:eastAsia="Arial" w:hAnsi="Arial"/>
                <w:sz w:val="14"/>
                <w:szCs w:val="14"/>
                <w:color w:val="auto"/>
              </w:rPr>
              <w:t>- $500</w:t>
            </w:r>
          </w:p>
        </w:tc>
      </w:tr>
      <w:tr>
        <w:trPr>
          <w:trHeight w:val="198"/>
        </w:trPr>
        <w:tc>
          <w:tcPr>
            <w:tcW w:w="5880" w:type="dxa"/>
            <w:vAlign w:val="bottom"/>
          </w:tcPr>
          <w:p>
            <w:pPr>
              <w:ind w:left="140"/>
              <w:spacing w:after="0"/>
              <w:rPr>
                <w:sz w:val="20"/>
                <w:szCs w:val="20"/>
                <w:color w:val="auto"/>
              </w:rPr>
            </w:pPr>
            <w:r>
              <w:rPr>
                <w:rFonts w:ascii="Arial" w:cs="Arial" w:eastAsia="Arial" w:hAnsi="Arial"/>
                <w:sz w:val="14"/>
                <w:szCs w:val="14"/>
                <w:color w:val="auto"/>
              </w:rPr>
              <w:t>Natural Gas Trading, Net ($ millions)</w:t>
            </w:r>
          </w:p>
        </w:tc>
        <w:tc>
          <w:tcPr>
            <w:tcW w:w="820" w:type="dxa"/>
            <w:vAlign w:val="bottom"/>
          </w:tcPr>
          <w:p>
            <w:pPr>
              <w:jc w:val="right"/>
              <w:spacing w:after="0"/>
              <w:rPr>
                <w:sz w:val="20"/>
                <w:szCs w:val="20"/>
                <w:color w:val="auto"/>
              </w:rPr>
            </w:pPr>
            <w:r>
              <w:rPr>
                <w:rFonts w:ascii="Arial" w:cs="Arial" w:eastAsia="Arial" w:hAnsi="Arial"/>
                <w:sz w:val="14"/>
                <w:szCs w:val="14"/>
                <w:color w:val="auto"/>
              </w:rPr>
              <w:t>$60</w:t>
            </w:r>
          </w:p>
        </w:tc>
        <w:tc>
          <w:tcPr>
            <w:tcW w:w="900" w:type="dxa"/>
            <w:vAlign w:val="bottom"/>
          </w:tcPr>
          <w:p>
            <w:pPr>
              <w:ind w:left="20"/>
              <w:spacing w:after="0"/>
              <w:rPr>
                <w:sz w:val="20"/>
                <w:szCs w:val="20"/>
                <w:color w:val="auto"/>
              </w:rPr>
            </w:pPr>
            <w:r>
              <w:rPr>
                <w:rFonts w:ascii="Arial" w:cs="Arial" w:eastAsia="Arial" w:hAnsi="Arial"/>
                <w:sz w:val="14"/>
                <w:szCs w:val="14"/>
                <w:color w:val="auto"/>
              </w:rPr>
              <w:t>- $70</w:t>
            </w: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$60</w:t>
            </w:r>
          </w:p>
        </w:tc>
        <w:tc>
          <w:tcPr>
            <w:tcW w:w="900" w:type="dxa"/>
            <w:vAlign w:val="bottom"/>
          </w:tcPr>
          <w:p>
            <w:pPr>
              <w:ind w:left="20"/>
              <w:spacing w:after="0"/>
              <w:rPr>
                <w:sz w:val="20"/>
                <w:szCs w:val="20"/>
                <w:color w:val="auto"/>
              </w:rPr>
            </w:pPr>
            <w:r>
              <w:rPr>
                <w:rFonts w:ascii="Arial" w:cs="Arial" w:eastAsia="Arial" w:hAnsi="Arial"/>
                <w:sz w:val="14"/>
                <w:szCs w:val="14"/>
                <w:color w:val="auto"/>
              </w:rPr>
              <w:t>- $70</w:t>
            </w:r>
          </w:p>
        </w:tc>
      </w:tr>
      <w:tr>
        <w:trPr>
          <w:trHeight w:val="207"/>
        </w:trPr>
        <w:tc>
          <w:tcPr>
            <w:tcW w:w="58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Net Electricity ($ millions)</w:t>
            </w:r>
          </w:p>
        </w:tc>
        <w:tc>
          <w:tcPr>
            <w:tcW w:w="1720" w:type="dxa"/>
            <w:vAlign w:val="bottom"/>
            <w:gridSpan w:val="2"/>
            <w:shd w:val="clear" w:color="auto" w:fill="DBDBDB"/>
          </w:tcPr>
          <w:p>
            <w:pPr>
              <w:jc w:val="center"/>
              <w:spacing w:after="0"/>
              <w:rPr>
                <w:sz w:val="20"/>
                <w:szCs w:val="20"/>
                <w:color w:val="auto"/>
              </w:rPr>
            </w:pPr>
            <w:r>
              <w:rPr>
                <w:rFonts w:ascii="Arial" w:cs="Arial" w:eastAsia="Arial" w:hAnsi="Arial"/>
                <w:sz w:val="14"/>
                <w:szCs w:val="14"/>
                <w:color w:val="auto"/>
              </w:rPr>
              <w:t>$80 - $120</w:t>
            </w:r>
          </w:p>
        </w:tc>
        <w:tc>
          <w:tcPr>
            <w:tcW w:w="100" w:type="dxa"/>
            <w:vAlign w:val="bottom"/>
          </w:tcPr>
          <w:p>
            <w:pPr>
              <w:spacing w:after="0"/>
              <w:rPr>
                <w:sz w:val="17"/>
                <w:szCs w:val="17"/>
                <w:color w:val="auto"/>
              </w:rPr>
            </w:pPr>
          </w:p>
        </w:tc>
        <w:tc>
          <w:tcPr>
            <w:tcW w:w="172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shd w:val="clear" w:color="auto" w:fill="DBDBDB"/>
          </w:tcPr>
          <w:p>
            <w:pPr>
              <w:jc w:val="center"/>
              <w:spacing w:after="0"/>
              <w:rPr>
                <w:sz w:val="20"/>
                <w:szCs w:val="20"/>
                <w:color w:val="auto"/>
              </w:rPr>
            </w:pPr>
            <w:r>
              <w:rPr>
                <w:rFonts w:ascii="Arial" w:cs="Arial" w:eastAsia="Arial" w:hAnsi="Arial"/>
                <w:sz w:val="14"/>
                <w:szCs w:val="14"/>
                <w:color w:val="auto"/>
              </w:rPr>
              <w:t>$80 - $120</w:t>
            </w:r>
          </w:p>
        </w:tc>
      </w:tr>
      <w:tr>
        <w:trPr>
          <w:trHeight w:val="198"/>
        </w:trPr>
        <w:tc>
          <w:tcPr>
            <w:tcW w:w="5880" w:type="dxa"/>
            <w:vAlign w:val="bottom"/>
          </w:tcPr>
          <w:p>
            <w:pPr>
              <w:ind w:left="140"/>
              <w:spacing w:after="0"/>
              <w:rPr>
                <w:sz w:val="20"/>
                <w:szCs w:val="20"/>
                <w:color w:val="auto"/>
              </w:rPr>
            </w:pPr>
            <w:r>
              <w:rPr>
                <w:rFonts w:ascii="Arial" w:cs="Arial" w:eastAsia="Arial" w:hAnsi="Arial"/>
                <w:sz w:val="14"/>
                <w:szCs w:val="14"/>
                <w:color w:val="auto"/>
              </w:rPr>
              <w:t>Transportation Expense ($ millions)</w:t>
            </w:r>
          </w:p>
        </w:tc>
        <w:tc>
          <w:tcPr>
            <w:tcW w:w="820" w:type="dxa"/>
            <w:vAlign w:val="bottom"/>
          </w:tcPr>
          <w:p>
            <w:pPr>
              <w:jc w:val="right"/>
              <w:spacing w:after="0"/>
              <w:rPr>
                <w:sz w:val="20"/>
                <w:szCs w:val="20"/>
                <w:color w:val="auto"/>
              </w:rPr>
            </w:pPr>
            <w:r>
              <w:rPr>
                <w:rFonts w:ascii="Arial" w:cs="Arial" w:eastAsia="Arial" w:hAnsi="Arial"/>
                <w:sz w:val="14"/>
                <w:szCs w:val="14"/>
                <w:color w:val="auto"/>
              </w:rPr>
              <w:t>$50</w:t>
            </w:r>
          </w:p>
        </w:tc>
        <w:tc>
          <w:tcPr>
            <w:tcW w:w="900" w:type="dxa"/>
            <w:vAlign w:val="bottom"/>
          </w:tcPr>
          <w:p>
            <w:pPr>
              <w:ind w:left="20"/>
              <w:spacing w:after="0"/>
              <w:rPr>
                <w:sz w:val="20"/>
                <w:szCs w:val="20"/>
                <w:color w:val="auto"/>
              </w:rPr>
            </w:pPr>
            <w:r>
              <w:rPr>
                <w:rFonts w:ascii="Arial" w:cs="Arial" w:eastAsia="Arial" w:hAnsi="Arial"/>
                <w:sz w:val="14"/>
                <w:szCs w:val="14"/>
                <w:color w:val="auto"/>
              </w:rPr>
              <w:t>- $70</w:t>
            </w: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$50</w:t>
            </w:r>
          </w:p>
        </w:tc>
        <w:tc>
          <w:tcPr>
            <w:tcW w:w="900" w:type="dxa"/>
            <w:vAlign w:val="bottom"/>
          </w:tcPr>
          <w:p>
            <w:pPr>
              <w:ind w:left="20"/>
              <w:spacing w:after="0"/>
              <w:rPr>
                <w:sz w:val="20"/>
                <w:szCs w:val="20"/>
                <w:color w:val="auto"/>
              </w:rPr>
            </w:pPr>
            <w:r>
              <w:rPr>
                <w:rFonts w:ascii="Arial" w:cs="Arial" w:eastAsia="Arial" w:hAnsi="Arial"/>
                <w:sz w:val="14"/>
                <w:szCs w:val="14"/>
                <w:color w:val="auto"/>
              </w:rPr>
              <w:t>- $70</w:t>
            </w:r>
          </w:p>
        </w:tc>
      </w:tr>
      <w:tr>
        <w:trPr>
          <w:trHeight w:val="207"/>
        </w:trPr>
        <w:tc>
          <w:tcPr>
            <w:tcW w:w="58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ARO Settlement Payments* ($ millions)</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$55</w:t>
            </w:r>
          </w:p>
        </w:tc>
        <w:tc>
          <w:tcPr>
            <w:tcW w:w="900" w:type="dxa"/>
            <w:vAlign w:val="bottom"/>
            <w:shd w:val="clear" w:color="auto" w:fill="DBDBDB"/>
          </w:tcPr>
          <w:p>
            <w:pPr>
              <w:ind w:left="20"/>
              <w:spacing w:after="0"/>
              <w:rPr>
                <w:sz w:val="20"/>
                <w:szCs w:val="20"/>
                <w:color w:val="auto"/>
              </w:rPr>
            </w:pPr>
            <w:r>
              <w:rPr>
                <w:rFonts w:ascii="Arial" w:cs="Arial" w:eastAsia="Arial" w:hAnsi="Arial"/>
                <w:sz w:val="14"/>
                <w:szCs w:val="14"/>
                <w:color w:val="auto"/>
              </w:rPr>
              <w:t>- $60</w:t>
            </w:r>
          </w:p>
        </w:tc>
        <w:tc>
          <w:tcPr>
            <w:tcW w:w="100" w:type="dxa"/>
            <w:vAlign w:val="bottom"/>
          </w:tcPr>
          <w:p>
            <w:pPr>
              <w:spacing w:after="0"/>
              <w:rPr>
                <w:sz w:val="17"/>
                <w:szCs w:val="17"/>
                <w:color w:val="auto"/>
              </w:rPr>
            </w:pPr>
          </w:p>
        </w:tc>
        <w:tc>
          <w:tcPr>
            <w:tcW w:w="172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$55</w:t>
            </w:r>
          </w:p>
        </w:tc>
        <w:tc>
          <w:tcPr>
            <w:tcW w:w="900" w:type="dxa"/>
            <w:vAlign w:val="bottom"/>
            <w:shd w:val="clear" w:color="auto" w:fill="DBDBDB"/>
          </w:tcPr>
          <w:p>
            <w:pPr>
              <w:ind w:left="20"/>
              <w:spacing w:after="0"/>
              <w:rPr>
                <w:sz w:val="20"/>
                <w:szCs w:val="20"/>
                <w:color w:val="auto"/>
              </w:rPr>
            </w:pPr>
            <w:r>
              <w:rPr>
                <w:rFonts w:ascii="Arial" w:cs="Arial" w:eastAsia="Arial" w:hAnsi="Arial"/>
                <w:sz w:val="14"/>
                <w:szCs w:val="14"/>
                <w:color w:val="auto"/>
              </w:rPr>
              <w:t>- $60</w:t>
            </w:r>
          </w:p>
        </w:tc>
      </w:tr>
      <w:tr>
        <w:trPr>
          <w:trHeight w:val="198"/>
        </w:trPr>
        <w:tc>
          <w:tcPr>
            <w:tcW w:w="5880" w:type="dxa"/>
            <w:vAlign w:val="bottom"/>
          </w:tcPr>
          <w:p>
            <w:pPr>
              <w:ind w:left="140"/>
              <w:spacing w:after="0"/>
              <w:rPr>
                <w:sz w:val="20"/>
                <w:szCs w:val="20"/>
                <w:color w:val="auto"/>
              </w:rPr>
            </w:pPr>
            <w:r>
              <w:rPr>
                <w:rFonts w:ascii="Arial" w:cs="Arial" w:eastAsia="Arial" w:hAnsi="Arial"/>
                <w:sz w:val="14"/>
                <w:szCs w:val="14"/>
                <w:color w:val="auto"/>
              </w:rPr>
              <w:t>Taxes Other Than on Income* ($ millions)</w:t>
            </w:r>
          </w:p>
        </w:tc>
        <w:tc>
          <w:tcPr>
            <w:tcW w:w="820" w:type="dxa"/>
            <w:vAlign w:val="bottom"/>
          </w:tcPr>
          <w:p>
            <w:pPr>
              <w:jc w:val="right"/>
              <w:spacing w:after="0"/>
              <w:rPr>
                <w:sz w:val="20"/>
                <w:szCs w:val="20"/>
                <w:color w:val="auto"/>
              </w:rPr>
            </w:pPr>
            <w:r>
              <w:rPr>
                <w:rFonts w:ascii="Arial" w:cs="Arial" w:eastAsia="Arial" w:hAnsi="Arial"/>
                <w:sz w:val="14"/>
                <w:szCs w:val="14"/>
                <w:color w:val="auto"/>
              </w:rPr>
              <w:t>$175</w:t>
            </w:r>
          </w:p>
        </w:tc>
        <w:tc>
          <w:tcPr>
            <w:tcW w:w="900" w:type="dxa"/>
            <w:vAlign w:val="bottom"/>
          </w:tcPr>
          <w:p>
            <w:pPr>
              <w:ind w:left="20"/>
              <w:spacing w:after="0"/>
              <w:rPr>
                <w:sz w:val="20"/>
                <w:szCs w:val="20"/>
                <w:color w:val="auto"/>
              </w:rPr>
            </w:pPr>
            <w:r>
              <w:rPr>
                <w:rFonts w:ascii="Arial" w:cs="Arial" w:eastAsia="Arial" w:hAnsi="Arial"/>
                <w:sz w:val="14"/>
                <w:szCs w:val="14"/>
                <w:color w:val="auto"/>
              </w:rPr>
              <w:t>- $185</w:t>
            </w: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$175</w:t>
            </w:r>
          </w:p>
        </w:tc>
        <w:tc>
          <w:tcPr>
            <w:tcW w:w="900" w:type="dxa"/>
            <w:vAlign w:val="bottom"/>
          </w:tcPr>
          <w:p>
            <w:pPr>
              <w:ind w:left="20"/>
              <w:spacing w:after="0"/>
              <w:rPr>
                <w:sz w:val="20"/>
                <w:szCs w:val="20"/>
                <w:color w:val="auto"/>
              </w:rPr>
            </w:pPr>
            <w:r>
              <w:rPr>
                <w:rFonts w:ascii="Arial" w:cs="Arial" w:eastAsia="Arial" w:hAnsi="Arial"/>
                <w:sz w:val="14"/>
                <w:szCs w:val="14"/>
                <w:color w:val="auto"/>
              </w:rPr>
              <w:t>- $185</w:t>
            </w:r>
          </w:p>
        </w:tc>
      </w:tr>
      <w:tr>
        <w:trPr>
          <w:trHeight w:val="207"/>
        </w:trPr>
        <w:tc>
          <w:tcPr>
            <w:tcW w:w="58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Interest and Debt Expense* ($ millions)</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$55</w:t>
            </w:r>
          </w:p>
        </w:tc>
        <w:tc>
          <w:tcPr>
            <w:tcW w:w="900" w:type="dxa"/>
            <w:vAlign w:val="bottom"/>
            <w:shd w:val="clear" w:color="auto" w:fill="DBDBDB"/>
          </w:tcPr>
          <w:p>
            <w:pPr>
              <w:ind w:left="20"/>
              <w:spacing w:after="0"/>
              <w:rPr>
                <w:sz w:val="20"/>
                <w:szCs w:val="20"/>
                <w:color w:val="auto"/>
              </w:rPr>
            </w:pPr>
            <w:r>
              <w:rPr>
                <w:rFonts w:ascii="Arial" w:cs="Arial" w:eastAsia="Arial" w:hAnsi="Arial"/>
                <w:sz w:val="14"/>
                <w:szCs w:val="14"/>
                <w:color w:val="auto"/>
              </w:rPr>
              <w:t>- $60</w:t>
            </w:r>
          </w:p>
        </w:tc>
        <w:tc>
          <w:tcPr>
            <w:tcW w:w="100" w:type="dxa"/>
            <w:vAlign w:val="bottom"/>
          </w:tcPr>
          <w:p>
            <w:pPr>
              <w:spacing w:after="0"/>
              <w:rPr>
                <w:sz w:val="17"/>
                <w:szCs w:val="17"/>
                <w:color w:val="auto"/>
              </w:rPr>
            </w:pPr>
          </w:p>
        </w:tc>
        <w:tc>
          <w:tcPr>
            <w:tcW w:w="172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$55</w:t>
            </w:r>
          </w:p>
        </w:tc>
        <w:tc>
          <w:tcPr>
            <w:tcW w:w="900" w:type="dxa"/>
            <w:vAlign w:val="bottom"/>
            <w:shd w:val="clear" w:color="auto" w:fill="DBDBDB"/>
          </w:tcPr>
          <w:p>
            <w:pPr>
              <w:ind w:left="20"/>
              <w:spacing w:after="0"/>
              <w:rPr>
                <w:sz w:val="20"/>
                <w:szCs w:val="20"/>
                <w:color w:val="auto"/>
              </w:rPr>
            </w:pPr>
            <w:r>
              <w:rPr>
                <w:rFonts w:ascii="Arial" w:cs="Arial" w:eastAsia="Arial" w:hAnsi="Arial"/>
                <w:sz w:val="14"/>
                <w:szCs w:val="14"/>
                <w:color w:val="auto"/>
              </w:rPr>
              <w:t>- $60</w:t>
            </w:r>
          </w:p>
        </w:tc>
      </w:tr>
      <w:tr>
        <w:trPr>
          <w:trHeight w:val="198"/>
        </w:trPr>
        <w:tc>
          <w:tcPr>
            <w:tcW w:w="5880" w:type="dxa"/>
            <w:vAlign w:val="bottom"/>
          </w:tcPr>
          <w:p>
            <w:pPr>
              <w:ind w:left="140"/>
              <w:spacing w:after="0"/>
              <w:rPr>
                <w:sz w:val="20"/>
                <w:szCs w:val="20"/>
                <w:color w:val="auto"/>
              </w:rPr>
            </w:pPr>
            <w:r>
              <w:rPr>
                <w:rFonts w:ascii="Arial" w:cs="Arial" w:eastAsia="Arial" w:hAnsi="Arial"/>
                <w:sz w:val="14"/>
                <w:szCs w:val="14"/>
                <w:color w:val="auto"/>
              </w:rPr>
              <w:t>Cash Income Taxes* ($ millions)</w:t>
            </w:r>
          </w:p>
        </w:tc>
        <w:tc>
          <w:tcPr>
            <w:tcW w:w="1720" w:type="dxa"/>
            <w:vAlign w:val="bottom"/>
            <w:gridSpan w:val="2"/>
          </w:tcPr>
          <w:p>
            <w:pPr>
              <w:jc w:val="center"/>
              <w:spacing w:after="0"/>
              <w:rPr>
                <w:sz w:val="20"/>
                <w:szCs w:val="20"/>
                <w:color w:val="auto"/>
              </w:rPr>
            </w:pPr>
            <w:r>
              <w:rPr>
                <w:rFonts w:ascii="Arial" w:cs="Arial" w:eastAsia="Arial" w:hAnsi="Arial"/>
                <w:sz w:val="14"/>
                <w:szCs w:val="14"/>
                <w:color w:val="auto"/>
              </w:rPr>
              <w:t>$80 - $100</w:t>
            </w: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20" w:type="dxa"/>
            <w:vAlign w:val="bottom"/>
            <w:gridSpan w:val="3"/>
          </w:tcPr>
          <w:p>
            <w:pPr>
              <w:jc w:val="center"/>
              <w:ind w:left="28"/>
              <w:spacing w:after="0"/>
              <w:rPr>
                <w:sz w:val="20"/>
                <w:szCs w:val="20"/>
                <w:color w:val="auto"/>
              </w:rPr>
            </w:pPr>
            <w:r>
              <w:rPr>
                <w:rFonts w:ascii="Arial" w:cs="Arial" w:eastAsia="Arial" w:hAnsi="Arial"/>
                <w:sz w:val="14"/>
                <w:szCs w:val="14"/>
                <w:color w:val="auto"/>
              </w:rPr>
              <w:t>$80 - $100</w:t>
            </w:r>
          </w:p>
        </w:tc>
      </w:tr>
      <w:tr>
        <w:trPr>
          <w:trHeight w:val="261"/>
        </w:trPr>
        <w:tc>
          <w:tcPr>
            <w:tcW w:w="5880" w:type="dxa"/>
            <w:vAlign w:val="bottom"/>
            <w:shd w:val="clear" w:color="auto" w:fill="DBDBDB"/>
          </w:tcPr>
          <w:p>
            <w:pPr>
              <w:spacing w:after="0"/>
              <w:rPr>
                <w:sz w:val="22"/>
                <w:szCs w:val="22"/>
                <w:color w:val="auto"/>
              </w:rPr>
            </w:pPr>
          </w:p>
        </w:tc>
        <w:tc>
          <w:tcPr>
            <w:tcW w:w="820" w:type="dxa"/>
            <w:vAlign w:val="bottom"/>
            <w:shd w:val="clear" w:color="auto" w:fill="DBDBDB"/>
          </w:tcPr>
          <w:p>
            <w:pPr>
              <w:spacing w:after="0"/>
              <w:rPr>
                <w:sz w:val="22"/>
                <w:szCs w:val="22"/>
                <w:color w:val="auto"/>
              </w:rPr>
            </w:pPr>
          </w:p>
        </w:tc>
        <w:tc>
          <w:tcPr>
            <w:tcW w:w="900" w:type="dxa"/>
            <w:vAlign w:val="bottom"/>
            <w:shd w:val="clear" w:color="auto" w:fill="DBDBDB"/>
          </w:tcPr>
          <w:p>
            <w:pPr>
              <w:spacing w:after="0"/>
              <w:rPr>
                <w:sz w:val="22"/>
                <w:szCs w:val="22"/>
                <w:color w:val="auto"/>
              </w:rPr>
            </w:pPr>
          </w:p>
        </w:tc>
        <w:tc>
          <w:tcPr>
            <w:tcW w:w="100" w:type="dxa"/>
            <w:vAlign w:val="bottom"/>
          </w:tcPr>
          <w:p>
            <w:pPr>
              <w:spacing w:after="0"/>
              <w:rPr>
                <w:sz w:val="22"/>
                <w:szCs w:val="22"/>
                <w:color w:val="auto"/>
              </w:rPr>
            </w:pPr>
          </w:p>
        </w:tc>
        <w:tc>
          <w:tcPr>
            <w:tcW w:w="1720" w:type="dxa"/>
            <w:vAlign w:val="bottom"/>
            <w:shd w:val="clear" w:color="auto" w:fill="DBDBDB"/>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shd w:val="clear" w:color="auto" w:fill="DBDBDB"/>
          </w:tcPr>
          <w:p>
            <w:pPr>
              <w:spacing w:after="0"/>
              <w:rPr>
                <w:sz w:val="22"/>
                <w:szCs w:val="22"/>
                <w:color w:val="auto"/>
              </w:rPr>
            </w:pPr>
          </w:p>
        </w:tc>
        <w:tc>
          <w:tcPr>
            <w:tcW w:w="900" w:type="dxa"/>
            <w:vAlign w:val="bottom"/>
            <w:shd w:val="clear" w:color="auto" w:fill="DBDBDB"/>
          </w:tcPr>
          <w:p>
            <w:pPr>
              <w:spacing w:after="0"/>
              <w:rPr>
                <w:sz w:val="22"/>
                <w:szCs w:val="22"/>
                <w:color w:val="auto"/>
              </w:rPr>
            </w:pPr>
          </w:p>
        </w:tc>
      </w:tr>
      <w:tr>
        <w:trPr>
          <w:trHeight w:val="198"/>
        </w:trPr>
        <w:tc>
          <w:tcPr>
            <w:tcW w:w="5880" w:type="dxa"/>
            <w:vAlign w:val="bottom"/>
          </w:tcPr>
          <w:p>
            <w:pPr>
              <w:ind w:left="140"/>
              <w:spacing w:after="0"/>
              <w:rPr>
                <w:sz w:val="20"/>
                <w:szCs w:val="20"/>
                <w:color w:val="auto"/>
              </w:rPr>
            </w:pPr>
            <w:r>
              <w:rPr>
                <w:rFonts w:ascii="Arial" w:cs="Arial" w:eastAsia="Arial" w:hAnsi="Arial"/>
                <w:sz w:val="14"/>
                <w:szCs w:val="14"/>
                <w:color w:val="auto"/>
              </w:rPr>
              <w:t>Commodity Realizations:</w:t>
            </w: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7"/>
        </w:trPr>
        <w:tc>
          <w:tcPr>
            <w:tcW w:w="5880" w:type="dxa"/>
            <w:vAlign w:val="bottom"/>
            <w:shd w:val="clear" w:color="auto" w:fill="DBDBDB"/>
          </w:tcPr>
          <w:p>
            <w:pPr>
              <w:ind w:left="220"/>
              <w:spacing w:after="0"/>
              <w:rPr>
                <w:sz w:val="20"/>
                <w:szCs w:val="20"/>
                <w:color w:val="auto"/>
              </w:rPr>
            </w:pPr>
            <w:r>
              <w:rPr>
                <w:rFonts w:ascii="Arial" w:cs="Arial" w:eastAsia="Arial" w:hAnsi="Arial"/>
                <w:sz w:val="14"/>
                <w:szCs w:val="14"/>
                <w:color w:val="auto"/>
              </w:rPr>
              <w:t>Oil - % of Brent:</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97%</w:t>
            </w:r>
          </w:p>
        </w:tc>
        <w:tc>
          <w:tcPr>
            <w:tcW w:w="900" w:type="dxa"/>
            <w:vAlign w:val="bottom"/>
            <w:shd w:val="clear" w:color="auto" w:fill="DBDBDB"/>
          </w:tcPr>
          <w:p>
            <w:pPr>
              <w:ind w:left="20"/>
              <w:spacing w:after="0"/>
              <w:rPr>
                <w:sz w:val="20"/>
                <w:szCs w:val="20"/>
                <w:color w:val="auto"/>
              </w:rPr>
            </w:pPr>
            <w:r>
              <w:rPr>
                <w:rFonts w:ascii="Arial" w:cs="Arial" w:eastAsia="Arial" w:hAnsi="Arial"/>
                <w:sz w:val="14"/>
                <w:szCs w:val="14"/>
                <w:color w:val="auto"/>
              </w:rPr>
              <w:t>- 99%</w:t>
            </w:r>
          </w:p>
        </w:tc>
        <w:tc>
          <w:tcPr>
            <w:tcW w:w="100" w:type="dxa"/>
            <w:vAlign w:val="bottom"/>
          </w:tcPr>
          <w:p>
            <w:pPr>
              <w:spacing w:after="0"/>
              <w:rPr>
                <w:sz w:val="17"/>
                <w:szCs w:val="17"/>
                <w:color w:val="auto"/>
              </w:rPr>
            </w:pPr>
          </w:p>
        </w:tc>
        <w:tc>
          <w:tcPr>
            <w:tcW w:w="172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97%</w:t>
            </w:r>
          </w:p>
        </w:tc>
        <w:tc>
          <w:tcPr>
            <w:tcW w:w="900" w:type="dxa"/>
            <w:vAlign w:val="bottom"/>
            <w:shd w:val="clear" w:color="auto" w:fill="DBDBDB"/>
          </w:tcPr>
          <w:p>
            <w:pPr>
              <w:ind w:left="20"/>
              <w:spacing w:after="0"/>
              <w:rPr>
                <w:sz w:val="20"/>
                <w:szCs w:val="20"/>
                <w:color w:val="auto"/>
              </w:rPr>
            </w:pPr>
            <w:r>
              <w:rPr>
                <w:rFonts w:ascii="Arial" w:cs="Arial" w:eastAsia="Arial" w:hAnsi="Arial"/>
                <w:sz w:val="14"/>
                <w:szCs w:val="14"/>
                <w:color w:val="auto"/>
              </w:rPr>
              <w:t>- 99%</w:t>
            </w:r>
          </w:p>
        </w:tc>
      </w:tr>
      <w:tr>
        <w:trPr>
          <w:trHeight w:val="198"/>
        </w:trPr>
        <w:tc>
          <w:tcPr>
            <w:tcW w:w="5880" w:type="dxa"/>
            <w:vAlign w:val="bottom"/>
          </w:tcPr>
          <w:p>
            <w:pPr>
              <w:ind w:left="220"/>
              <w:spacing w:after="0"/>
              <w:rPr>
                <w:sz w:val="20"/>
                <w:szCs w:val="20"/>
                <w:color w:val="auto"/>
              </w:rPr>
            </w:pPr>
            <w:r>
              <w:rPr>
                <w:rFonts w:ascii="Arial" w:cs="Arial" w:eastAsia="Arial" w:hAnsi="Arial"/>
                <w:sz w:val="14"/>
                <w:szCs w:val="14"/>
                <w:color w:val="auto"/>
              </w:rPr>
              <w:t>NGL - % of Brent:</w:t>
            </w:r>
          </w:p>
        </w:tc>
        <w:tc>
          <w:tcPr>
            <w:tcW w:w="820" w:type="dxa"/>
            <w:vAlign w:val="bottom"/>
          </w:tcPr>
          <w:p>
            <w:pPr>
              <w:jc w:val="right"/>
              <w:spacing w:after="0"/>
              <w:rPr>
                <w:sz w:val="20"/>
                <w:szCs w:val="20"/>
                <w:color w:val="auto"/>
              </w:rPr>
            </w:pPr>
            <w:r>
              <w:rPr>
                <w:rFonts w:ascii="Arial" w:cs="Arial" w:eastAsia="Arial" w:hAnsi="Arial"/>
                <w:sz w:val="14"/>
                <w:szCs w:val="14"/>
                <w:color w:val="auto"/>
              </w:rPr>
              <w:t>58%</w:t>
            </w:r>
          </w:p>
        </w:tc>
        <w:tc>
          <w:tcPr>
            <w:tcW w:w="900" w:type="dxa"/>
            <w:vAlign w:val="bottom"/>
          </w:tcPr>
          <w:p>
            <w:pPr>
              <w:ind w:left="20"/>
              <w:spacing w:after="0"/>
              <w:rPr>
                <w:sz w:val="20"/>
                <w:szCs w:val="20"/>
                <w:color w:val="auto"/>
              </w:rPr>
            </w:pPr>
            <w:r>
              <w:rPr>
                <w:rFonts w:ascii="Arial" w:cs="Arial" w:eastAsia="Arial" w:hAnsi="Arial"/>
                <w:sz w:val="14"/>
                <w:szCs w:val="14"/>
                <w:color w:val="auto"/>
              </w:rPr>
              <w:t>- 64%</w:t>
            </w: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58%</w:t>
            </w:r>
          </w:p>
        </w:tc>
        <w:tc>
          <w:tcPr>
            <w:tcW w:w="900" w:type="dxa"/>
            <w:vAlign w:val="bottom"/>
          </w:tcPr>
          <w:p>
            <w:pPr>
              <w:ind w:left="20"/>
              <w:spacing w:after="0"/>
              <w:rPr>
                <w:sz w:val="20"/>
                <w:szCs w:val="20"/>
                <w:color w:val="auto"/>
              </w:rPr>
            </w:pPr>
            <w:r>
              <w:rPr>
                <w:rFonts w:ascii="Arial" w:cs="Arial" w:eastAsia="Arial" w:hAnsi="Arial"/>
                <w:sz w:val="14"/>
                <w:szCs w:val="14"/>
                <w:color w:val="auto"/>
              </w:rPr>
              <w:t>- 64%</w:t>
            </w:r>
          </w:p>
        </w:tc>
      </w:tr>
      <w:tr>
        <w:trPr>
          <w:trHeight w:val="207"/>
        </w:trPr>
        <w:tc>
          <w:tcPr>
            <w:tcW w:w="5880" w:type="dxa"/>
            <w:vAlign w:val="bottom"/>
            <w:shd w:val="clear" w:color="auto" w:fill="DBDBDB"/>
          </w:tcPr>
          <w:p>
            <w:pPr>
              <w:ind w:left="220"/>
              <w:spacing w:after="0"/>
              <w:rPr>
                <w:sz w:val="20"/>
                <w:szCs w:val="20"/>
                <w:color w:val="auto"/>
              </w:rPr>
            </w:pPr>
            <w:r>
              <w:rPr>
                <w:rFonts w:ascii="Arial" w:cs="Arial" w:eastAsia="Arial" w:hAnsi="Arial"/>
                <w:sz w:val="14"/>
                <w:szCs w:val="14"/>
                <w:color w:val="auto"/>
              </w:rPr>
              <w:t>Natural Gas - % of NYMEX*:</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150%</w:t>
            </w:r>
          </w:p>
        </w:tc>
        <w:tc>
          <w:tcPr>
            <w:tcW w:w="900" w:type="dxa"/>
            <w:vAlign w:val="bottom"/>
            <w:shd w:val="clear" w:color="auto" w:fill="DBDBDB"/>
          </w:tcPr>
          <w:p>
            <w:pPr>
              <w:ind w:left="20"/>
              <w:spacing w:after="0"/>
              <w:rPr>
                <w:sz w:val="20"/>
                <w:szCs w:val="20"/>
                <w:color w:val="auto"/>
              </w:rPr>
            </w:pPr>
            <w:r>
              <w:rPr>
                <w:rFonts w:ascii="Arial" w:cs="Arial" w:eastAsia="Arial" w:hAnsi="Arial"/>
                <w:sz w:val="14"/>
                <w:szCs w:val="14"/>
                <w:color w:val="auto"/>
              </w:rPr>
              <w:t>- 250%</w:t>
            </w:r>
          </w:p>
        </w:tc>
        <w:tc>
          <w:tcPr>
            <w:tcW w:w="100" w:type="dxa"/>
            <w:vAlign w:val="bottom"/>
          </w:tcPr>
          <w:p>
            <w:pPr>
              <w:spacing w:after="0"/>
              <w:rPr>
                <w:sz w:val="17"/>
                <w:szCs w:val="17"/>
                <w:color w:val="auto"/>
              </w:rPr>
            </w:pPr>
          </w:p>
        </w:tc>
        <w:tc>
          <w:tcPr>
            <w:tcW w:w="172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150%</w:t>
            </w:r>
          </w:p>
        </w:tc>
        <w:tc>
          <w:tcPr>
            <w:tcW w:w="900" w:type="dxa"/>
            <w:vAlign w:val="bottom"/>
            <w:shd w:val="clear" w:color="auto" w:fill="DBDBDB"/>
          </w:tcPr>
          <w:p>
            <w:pPr>
              <w:ind w:left="20"/>
              <w:spacing w:after="0"/>
              <w:rPr>
                <w:sz w:val="20"/>
                <w:szCs w:val="20"/>
                <w:color w:val="auto"/>
              </w:rPr>
            </w:pPr>
            <w:r>
              <w:rPr>
                <w:rFonts w:ascii="Arial" w:cs="Arial" w:eastAsia="Arial" w:hAnsi="Arial"/>
                <w:sz w:val="14"/>
                <w:szCs w:val="14"/>
                <w:color w:val="auto"/>
              </w:rPr>
              <w:t>- 250%</w:t>
            </w:r>
          </w:p>
        </w:tc>
      </w:tr>
    </w:tbl>
    <w:p>
      <w:pPr>
        <w:spacing w:after="0" w:line="4"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*Notes:</w:t>
      </w:r>
    </w:p>
    <w:p>
      <w:pPr>
        <w:ind w:left="380" w:hanging="111"/>
        <w:spacing w:after="0" w:line="203" w:lineRule="auto"/>
        <w:tabs>
          <w:tab w:leader="none" w:pos="3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2023E ARO Settlement Payments: ~25% of estimated annual amount is paid every quarter</w:t>
      </w:r>
    </w:p>
    <w:p>
      <w:pPr>
        <w:ind w:left="380" w:hanging="111"/>
        <w:spacing w:after="0" w:line="221" w:lineRule="auto"/>
        <w:tabs>
          <w:tab w:leader="none" w:pos="3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2023E Taxes Other Than on Income: ~30% of estimated annual amount is paid in 1Q and 4Q, respectively</w:t>
      </w:r>
    </w:p>
    <w:p>
      <w:pPr>
        <w:ind w:left="380" w:hanging="111"/>
        <w:spacing w:after="0" w:line="221" w:lineRule="auto"/>
        <w:tabs>
          <w:tab w:leader="none" w:pos="3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2023E Interest Expense: ~46% of estimated annual amount is paid in cash in 1Q and 3Q, respectively</w:t>
      </w:r>
    </w:p>
    <w:p>
      <w:pPr>
        <w:ind w:left="380" w:hanging="111"/>
        <w:spacing w:after="0" w:line="201" w:lineRule="auto"/>
        <w:tabs>
          <w:tab w:leader="none" w:pos="3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Cash Income Taxes aren’t paid evenly throughout 2023</w:t>
      </w:r>
    </w:p>
    <w:p>
      <w:pPr>
        <w:ind w:left="380" w:hanging="111"/>
        <w:spacing w:after="0"/>
        <w:tabs>
          <w:tab w:leader="none" w:pos="3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Note: January and February natural gas average realized prices were ~$47.50 and ~$10.00 per Mcf,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24</w:t>
      </w:r>
    </w:p>
    <w:p>
      <w:pPr>
        <w:sectPr>
          <w:pgSz w:w="11900" w:h="16838" w:orient="portrait"/>
          <w:cols w:equalWidth="0" w:num="1">
            <w:col w:w="11240"/>
          </w:cols>
          <w:pgMar w:left="320" w:top="1305"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5"/>
        </w:trPr>
        <w:tc>
          <w:tcPr>
            <w:tcW w:w="6340" w:type="dxa"/>
            <w:vAlign w:val="bottom"/>
            <w:tcBorders>
              <w:top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1Q23 Estimated</w:t>
            </w: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6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Total CRC GUIDANCE</w:t>
            </w:r>
            <w:r>
              <w:rPr>
                <w:rFonts w:ascii="Arial" w:cs="Arial" w:eastAsia="Arial" w:hAnsi="Arial"/>
                <w:sz w:val="18"/>
                <w:szCs w:val="18"/>
                <w:b w:val="1"/>
                <w:bCs w:val="1"/>
                <w:color w:val="auto"/>
                <w:vertAlign w:val="superscript"/>
              </w:rPr>
              <w:t>1</w:t>
            </w:r>
          </w:p>
        </w:tc>
        <w:tc>
          <w:tcPr>
            <w:tcW w:w="1560" w:type="dxa"/>
            <w:vAlign w:val="bottom"/>
            <w:gridSpan w:val="2"/>
            <w:vMerge w:val="restart"/>
            <w:shd w:val="clear" w:color="auto" w:fill="DBDBDB"/>
          </w:tcPr>
          <w:p>
            <w:pPr>
              <w:jc w:val="center"/>
              <w:spacing w:after="0"/>
              <w:rPr>
                <w:sz w:val="20"/>
                <w:szCs w:val="20"/>
                <w:color w:val="auto"/>
              </w:rPr>
            </w:pPr>
            <w:r>
              <w:rPr>
                <w:rFonts w:ascii="Arial" w:cs="Arial" w:eastAsia="Arial" w:hAnsi="Arial"/>
                <w:sz w:val="14"/>
                <w:szCs w:val="14"/>
                <w:b w:val="1"/>
                <w:bCs w:val="1"/>
                <w:color w:val="auto"/>
              </w:rPr>
              <w:t>Consolidated</w:t>
            </w:r>
          </w:p>
        </w:tc>
        <w:tc>
          <w:tcPr>
            <w:tcW w:w="120" w:type="dxa"/>
            <w:vAlign w:val="bottom"/>
          </w:tcPr>
          <w:p>
            <w:pPr>
              <w:spacing w:after="0"/>
              <w:rPr>
                <w:sz w:val="12"/>
                <w:szCs w:val="12"/>
                <w:color w:val="auto"/>
              </w:rPr>
            </w:pPr>
          </w:p>
        </w:tc>
        <w:tc>
          <w:tcPr>
            <w:tcW w:w="1540" w:type="dxa"/>
            <w:vAlign w:val="bottom"/>
            <w:gridSpan w:val="2"/>
            <w:vMerge w:val="restart"/>
            <w:shd w:val="clear" w:color="auto" w:fill="DBDBDB"/>
          </w:tcPr>
          <w:p>
            <w:pPr>
              <w:jc w:val="center"/>
              <w:spacing w:after="0"/>
              <w:rPr>
                <w:sz w:val="20"/>
                <w:szCs w:val="20"/>
                <w:color w:val="auto"/>
              </w:rPr>
            </w:pPr>
            <w:r>
              <w:rPr>
                <w:rFonts w:ascii="Arial" w:cs="Arial" w:eastAsia="Arial" w:hAnsi="Arial"/>
                <w:sz w:val="14"/>
                <w:szCs w:val="14"/>
                <w:b w:val="1"/>
                <w:bCs w:val="1"/>
                <w:color w:val="auto"/>
              </w:rPr>
              <w:t>CMB</w:t>
            </w:r>
          </w:p>
        </w:tc>
        <w:tc>
          <w:tcPr>
            <w:tcW w:w="120" w:type="dxa"/>
            <w:vAlign w:val="bottom"/>
          </w:tcPr>
          <w:p>
            <w:pPr>
              <w:spacing w:after="0"/>
              <w:rPr>
                <w:sz w:val="12"/>
                <w:szCs w:val="12"/>
                <w:color w:val="auto"/>
              </w:rPr>
            </w:pPr>
          </w:p>
        </w:tc>
        <w:tc>
          <w:tcPr>
            <w:tcW w:w="1560" w:type="dxa"/>
            <w:vAlign w:val="bottom"/>
            <w:gridSpan w:val="2"/>
            <w:shd w:val="clear" w:color="auto" w:fill="DBDBDB"/>
          </w:tcPr>
          <w:p>
            <w:pPr>
              <w:jc w:val="center"/>
              <w:spacing w:after="0" w:line="147" w:lineRule="exact"/>
              <w:rPr>
                <w:sz w:val="20"/>
                <w:szCs w:val="20"/>
                <w:color w:val="auto"/>
              </w:rPr>
            </w:pPr>
            <w:r>
              <w:rPr>
                <w:rFonts w:ascii="Arial" w:cs="Arial" w:eastAsia="Arial" w:hAnsi="Arial"/>
                <w:sz w:val="14"/>
                <w:szCs w:val="14"/>
                <w:b w:val="1"/>
                <w:bCs w:val="1"/>
                <w:color w:val="auto"/>
              </w:rPr>
              <w:t>E&amp;P, Corporate &amp;</w:t>
            </w:r>
          </w:p>
        </w:tc>
        <w:tc>
          <w:tcPr>
            <w:tcW w:w="0" w:type="dxa"/>
            <w:vAlign w:val="bottom"/>
          </w:tcPr>
          <w:p>
            <w:pPr>
              <w:spacing w:after="0"/>
              <w:rPr>
                <w:sz w:val="1"/>
                <w:szCs w:val="1"/>
                <w:color w:val="auto"/>
              </w:rPr>
            </w:pPr>
          </w:p>
        </w:tc>
      </w:tr>
      <w:tr>
        <w:trPr>
          <w:trHeight w:val="185"/>
        </w:trPr>
        <w:tc>
          <w:tcPr>
            <w:tcW w:w="634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gridSpan w:val="2"/>
            <w:vMerge w:val="continue"/>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Borders>
              <w:bottom w:val="single" w:sz="8" w:color="auto"/>
            </w:tcBorders>
            <w:gridSpan w:val="2"/>
            <w:vMerge w:val="continue"/>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bottom w:val="single" w:sz="8" w:color="auto"/>
            </w:tcBorders>
            <w:gridSpan w:val="2"/>
            <w:shd w:val="clear" w:color="auto" w:fill="DBDBDB"/>
          </w:tcPr>
          <w:p>
            <w:pPr>
              <w:jc w:val="center"/>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6340" w:type="dxa"/>
            <w:vAlign w:val="bottom"/>
          </w:tcPr>
          <w:p>
            <w:pPr>
              <w:ind w:left="140"/>
              <w:spacing w:after="0"/>
              <w:rPr>
                <w:sz w:val="20"/>
                <w:szCs w:val="20"/>
                <w:color w:val="auto"/>
              </w:rPr>
            </w:pPr>
            <w:r>
              <w:rPr>
                <w:rFonts w:ascii="Arial" w:cs="Arial" w:eastAsia="Arial" w:hAnsi="Arial"/>
                <w:sz w:val="14"/>
                <w:szCs w:val="14"/>
                <w:color w:val="auto"/>
              </w:rPr>
              <w:t>Net Total Production (MBoe/d)</w:t>
            </w:r>
          </w:p>
        </w:tc>
        <w:tc>
          <w:tcPr>
            <w:tcW w:w="740" w:type="dxa"/>
            <w:vAlign w:val="bottom"/>
          </w:tcPr>
          <w:p>
            <w:pPr>
              <w:jc w:val="right"/>
              <w:spacing w:after="0"/>
              <w:rPr>
                <w:sz w:val="20"/>
                <w:szCs w:val="20"/>
                <w:color w:val="auto"/>
              </w:rPr>
            </w:pPr>
            <w:r>
              <w:rPr>
                <w:rFonts w:ascii="Arial" w:cs="Arial" w:eastAsia="Arial" w:hAnsi="Arial"/>
                <w:sz w:val="14"/>
                <w:szCs w:val="14"/>
                <w:color w:val="auto"/>
              </w:rPr>
              <w:t>89</w:t>
            </w:r>
          </w:p>
        </w:tc>
        <w:tc>
          <w:tcPr>
            <w:tcW w:w="820" w:type="dxa"/>
            <w:vAlign w:val="bottom"/>
          </w:tcPr>
          <w:p>
            <w:pPr>
              <w:ind w:left="20"/>
              <w:spacing w:after="0"/>
              <w:rPr>
                <w:sz w:val="20"/>
                <w:szCs w:val="20"/>
                <w:color w:val="auto"/>
              </w:rPr>
            </w:pPr>
            <w:r>
              <w:rPr>
                <w:rFonts w:ascii="Arial" w:cs="Arial" w:eastAsia="Arial" w:hAnsi="Arial"/>
                <w:sz w:val="14"/>
                <w:szCs w:val="14"/>
                <w:color w:val="auto"/>
              </w:rPr>
              <w:t>- 91</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89</w:t>
            </w:r>
          </w:p>
        </w:tc>
        <w:tc>
          <w:tcPr>
            <w:tcW w:w="820" w:type="dxa"/>
            <w:vAlign w:val="bottom"/>
          </w:tcPr>
          <w:p>
            <w:pPr>
              <w:ind w:left="20"/>
              <w:spacing w:after="0"/>
              <w:rPr>
                <w:sz w:val="20"/>
                <w:szCs w:val="20"/>
                <w:color w:val="auto"/>
              </w:rPr>
            </w:pPr>
            <w:r>
              <w:rPr>
                <w:rFonts w:ascii="Arial" w:cs="Arial" w:eastAsia="Arial" w:hAnsi="Arial"/>
                <w:sz w:val="14"/>
                <w:szCs w:val="14"/>
                <w:color w:val="auto"/>
              </w:rPr>
              <w:t>- 91</w:t>
            </w:r>
          </w:p>
        </w:tc>
        <w:tc>
          <w:tcPr>
            <w:tcW w:w="0" w:type="dxa"/>
            <w:vAlign w:val="bottom"/>
          </w:tcPr>
          <w:p>
            <w:pPr>
              <w:spacing w:after="0"/>
              <w:rPr>
                <w:sz w:val="1"/>
                <w:szCs w:val="1"/>
                <w:color w:val="auto"/>
              </w:rPr>
            </w:pPr>
          </w:p>
        </w:tc>
      </w:tr>
      <w:tr>
        <w:trPr>
          <w:trHeight w:val="207"/>
        </w:trPr>
        <w:tc>
          <w:tcPr>
            <w:tcW w:w="6340" w:type="dxa"/>
            <w:vAlign w:val="bottom"/>
            <w:shd w:val="clear" w:color="auto" w:fill="DBDBDB"/>
          </w:tcPr>
          <w:p>
            <w:pPr>
              <w:ind w:left="140"/>
              <w:spacing w:after="0"/>
              <w:rPr>
                <w:sz w:val="20"/>
                <w:szCs w:val="20"/>
                <w:color w:val="auto"/>
              </w:rPr>
            </w:pPr>
            <w:r>
              <w:rPr>
                <w:rFonts w:ascii="Arial" w:cs="Arial" w:eastAsia="Arial" w:hAnsi="Arial"/>
                <w:sz w:val="14"/>
                <w:szCs w:val="14"/>
                <w:color w:val="auto"/>
              </w:rPr>
              <w:t>Net Oil Production (MBbl/d)</w:t>
            </w: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53</w:t>
            </w:r>
          </w:p>
        </w:tc>
        <w:tc>
          <w:tcPr>
            <w:tcW w:w="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- 54</w:t>
            </w:r>
          </w:p>
        </w:tc>
        <w:tc>
          <w:tcPr>
            <w:tcW w:w="120" w:type="dxa"/>
            <w:vAlign w:val="bottom"/>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82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53</w:t>
            </w:r>
          </w:p>
        </w:tc>
        <w:tc>
          <w:tcPr>
            <w:tcW w:w="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- 54</w:t>
            </w:r>
          </w:p>
        </w:tc>
        <w:tc>
          <w:tcPr>
            <w:tcW w:w="0" w:type="dxa"/>
            <w:vAlign w:val="bottom"/>
          </w:tcPr>
          <w:p>
            <w:pPr>
              <w:spacing w:after="0"/>
              <w:rPr>
                <w:sz w:val="1"/>
                <w:szCs w:val="1"/>
                <w:color w:val="auto"/>
              </w:rPr>
            </w:pPr>
          </w:p>
        </w:tc>
      </w:tr>
      <w:tr>
        <w:trPr>
          <w:trHeight w:val="198"/>
        </w:trPr>
        <w:tc>
          <w:tcPr>
            <w:tcW w:w="6340" w:type="dxa"/>
            <w:vAlign w:val="bottom"/>
          </w:tcPr>
          <w:p>
            <w:pPr>
              <w:ind w:left="140"/>
              <w:spacing w:after="0"/>
              <w:rPr>
                <w:sz w:val="20"/>
                <w:szCs w:val="20"/>
                <w:color w:val="auto"/>
              </w:rPr>
            </w:pPr>
            <w:r>
              <w:rPr>
                <w:rFonts w:ascii="Arial" w:cs="Arial" w:eastAsia="Arial" w:hAnsi="Arial"/>
                <w:sz w:val="14"/>
                <w:szCs w:val="14"/>
                <w:color w:val="auto"/>
              </w:rPr>
              <w:t>Operating Costs ($ millions)</w:t>
            </w:r>
          </w:p>
        </w:tc>
        <w:tc>
          <w:tcPr>
            <w:tcW w:w="740" w:type="dxa"/>
            <w:vAlign w:val="bottom"/>
          </w:tcPr>
          <w:p>
            <w:pPr>
              <w:jc w:val="right"/>
              <w:spacing w:after="0"/>
              <w:rPr>
                <w:sz w:val="20"/>
                <w:szCs w:val="20"/>
                <w:color w:val="auto"/>
              </w:rPr>
            </w:pPr>
            <w:r>
              <w:rPr>
                <w:rFonts w:ascii="Arial" w:cs="Arial" w:eastAsia="Arial" w:hAnsi="Arial"/>
                <w:sz w:val="14"/>
                <w:szCs w:val="14"/>
                <w:color w:val="auto"/>
              </w:rPr>
              <w:t>$260</w:t>
            </w:r>
          </w:p>
        </w:tc>
        <w:tc>
          <w:tcPr>
            <w:tcW w:w="820" w:type="dxa"/>
            <w:vAlign w:val="bottom"/>
          </w:tcPr>
          <w:p>
            <w:pPr>
              <w:ind w:left="20"/>
              <w:spacing w:after="0"/>
              <w:rPr>
                <w:sz w:val="20"/>
                <w:szCs w:val="20"/>
                <w:color w:val="auto"/>
              </w:rPr>
            </w:pPr>
            <w:r>
              <w:rPr>
                <w:rFonts w:ascii="Arial" w:cs="Arial" w:eastAsia="Arial" w:hAnsi="Arial"/>
                <w:sz w:val="14"/>
                <w:szCs w:val="14"/>
                <w:color w:val="auto"/>
              </w:rPr>
              <w:t>- $270</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$260</w:t>
            </w:r>
          </w:p>
        </w:tc>
        <w:tc>
          <w:tcPr>
            <w:tcW w:w="820" w:type="dxa"/>
            <w:vAlign w:val="bottom"/>
          </w:tcPr>
          <w:p>
            <w:pPr>
              <w:ind w:left="20"/>
              <w:spacing w:after="0"/>
              <w:rPr>
                <w:sz w:val="20"/>
                <w:szCs w:val="20"/>
                <w:color w:val="auto"/>
              </w:rPr>
            </w:pPr>
            <w:r>
              <w:rPr>
                <w:rFonts w:ascii="Arial" w:cs="Arial" w:eastAsia="Arial" w:hAnsi="Arial"/>
                <w:sz w:val="14"/>
                <w:szCs w:val="14"/>
                <w:color w:val="auto"/>
              </w:rPr>
              <w:t>- $270</w:t>
            </w:r>
          </w:p>
        </w:tc>
        <w:tc>
          <w:tcPr>
            <w:tcW w:w="0" w:type="dxa"/>
            <w:vAlign w:val="bottom"/>
          </w:tcPr>
          <w:p>
            <w:pPr>
              <w:spacing w:after="0"/>
              <w:rPr>
                <w:sz w:val="1"/>
                <w:szCs w:val="1"/>
                <w:color w:val="auto"/>
              </w:rPr>
            </w:pPr>
          </w:p>
        </w:tc>
      </w:tr>
      <w:tr>
        <w:trPr>
          <w:trHeight w:val="207"/>
        </w:trPr>
        <w:tc>
          <w:tcPr>
            <w:tcW w:w="6340" w:type="dxa"/>
            <w:vAlign w:val="bottom"/>
            <w:shd w:val="clear" w:color="auto" w:fill="DBDBDB"/>
          </w:tcPr>
          <w:p>
            <w:pPr>
              <w:ind w:left="140"/>
              <w:spacing w:after="0"/>
              <w:rPr>
                <w:sz w:val="20"/>
                <w:szCs w:val="20"/>
                <w:color w:val="auto"/>
              </w:rPr>
            </w:pPr>
            <w:r>
              <w:rPr>
                <w:rFonts w:ascii="Arial" w:cs="Arial" w:eastAsia="Arial" w:hAnsi="Arial"/>
                <w:sz w:val="14"/>
                <w:szCs w:val="14"/>
                <w:color w:val="auto"/>
              </w:rPr>
              <w:t>CMB Expenses</w:t>
            </w:r>
            <w:r>
              <w:rPr>
                <w:rFonts w:ascii="Arial" w:cs="Arial" w:eastAsia="Arial" w:hAnsi="Arial"/>
                <w:sz w:val="18"/>
                <w:szCs w:val="18"/>
                <w:color w:val="auto"/>
                <w:vertAlign w:val="superscript"/>
              </w:rPr>
              <w:t>2</w:t>
            </w:r>
            <w:r>
              <w:rPr>
                <w:rFonts w:ascii="Arial" w:cs="Arial" w:eastAsia="Arial" w:hAnsi="Arial"/>
                <w:sz w:val="14"/>
                <w:szCs w:val="14"/>
                <w:color w:val="auto"/>
              </w:rPr>
              <w:t xml:space="preserve"> ($ millions)</w:t>
            </w:r>
          </w:p>
        </w:tc>
        <w:tc>
          <w:tcPr>
            <w:tcW w:w="1560" w:type="dxa"/>
            <w:vAlign w:val="bottom"/>
            <w:gridSpan w:val="2"/>
            <w:shd w:val="clear" w:color="auto" w:fill="DBDBDB"/>
          </w:tcPr>
          <w:p>
            <w:pPr>
              <w:jc w:val="right"/>
              <w:ind w:right="448"/>
              <w:spacing w:after="0"/>
              <w:rPr>
                <w:sz w:val="20"/>
                <w:szCs w:val="20"/>
                <w:color w:val="auto"/>
              </w:rPr>
            </w:pPr>
            <w:r>
              <w:rPr>
                <w:rFonts w:ascii="Arial" w:cs="Arial" w:eastAsia="Arial" w:hAnsi="Arial"/>
                <w:sz w:val="14"/>
                <w:szCs w:val="14"/>
                <w:color w:val="auto"/>
              </w:rPr>
              <w:t>$5 - $10</w:t>
            </w:r>
          </w:p>
        </w:tc>
        <w:tc>
          <w:tcPr>
            <w:tcW w:w="120" w:type="dxa"/>
            <w:vAlign w:val="bottom"/>
          </w:tcPr>
          <w:p>
            <w:pPr>
              <w:spacing w:after="0"/>
              <w:rPr>
                <w:sz w:val="17"/>
                <w:szCs w:val="17"/>
                <w:color w:val="auto"/>
              </w:rPr>
            </w:pPr>
          </w:p>
        </w:tc>
        <w:tc>
          <w:tcPr>
            <w:tcW w:w="1540" w:type="dxa"/>
            <w:vAlign w:val="bottom"/>
            <w:gridSpan w:val="2"/>
            <w:shd w:val="clear" w:color="auto" w:fill="DBDBDB"/>
          </w:tcPr>
          <w:p>
            <w:pPr>
              <w:jc w:val="center"/>
              <w:spacing w:after="0"/>
              <w:rPr>
                <w:sz w:val="20"/>
                <w:szCs w:val="20"/>
                <w:color w:val="auto"/>
              </w:rPr>
            </w:pPr>
            <w:r>
              <w:rPr>
                <w:rFonts w:ascii="Arial" w:cs="Arial" w:eastAsia="Arial" w:hAnsi="Arial"/>
                <w:sz w:val="14"/>
                <w:szCs w:val="14"/>
                <w:color w:val="auto"/>
              </w:rPr>
              <w:t>$5 - $10</w:t>
            </w:r>
          </w:p>
        </w:tc>
        <w:tc>
          <w:tcPr>
            <w:tcW w:w="120" w:type="dxa"/>
            <w:vAlign w:val="bottom"/>
          </w:tcPr>
          <w:p>
            <w:pPr>
              <w:spacing w:after="0"/>
              <w:rPr>
                <w:sz w:val="17"/>
                <w:szCs w:val="17"/>
                <w:color w:val="auto"/>
              </w:rPr>
            </w:pPr>
          </w:p>
        </w:tc>
        <w:tc>
          <w:tcPr>
            <w:tcW w:w="740" w:type="dxa"/>
            <w:vAlign w:val="bottom"/>
            <w:shd w:val="clear" w:color="auto" w:fill="DBDBDB"/>
          </w:tcPr>
          <w:p>
            <w:pPr>
              <w:spacing w:after="0"/>
              <w:rPr>
                <w:sz w:val="17"/>
                <w:szCs w:val="17"/>
                <w:color w:val="auto"/>
              </w:rPr>
            </w:pPr>
          </w:p>
        </w:tc>
        <w:tc>
          <w:tcPr>
            <w:tcW w:w="8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40" w:type="dxa"/>
            <w:vAlign w:val="bottom"/>
          </w:tcPr>
          <w:p>
            <w:pPr>
              <w:ind w:left="140"/>
              <w:spacing w:after="0"/>
              <w:rPr>
                <w:sz w:val="20"/>
                <w:szCs w:val="20"/>
                <w:color w:val="auto"/>
              </w:rPr>
            </w:pPr>
            <w:r>
              <w:rPr>
                <w:rFonts w:ascii="Arial" w:cs="Arial" w:eastAsia="Arial" w:hAnsi="Arial"/>
                <w:sz w:val="14"/>
                <w:szCs w:val="14"/>
                <w:color w:val="auto"/>
              </w:rPr>
              <w:t>Adjusted General and Administrative Expenses ($ millions)</w:t>
            </w:r>
          </w:p>
        </w:tc>
        <w:tc>
          <w:tcPr>
            <w:tcW w:w="740" w:type="dxa"/>
            <w:vAlign w:val="bottom"/>
          </w:tcPr>
          <w:p>
            <w:pPr>
              <w:jc w:val="right"/>
              <w:spacing w:after="0"/>
              <w:rPr>
                <w:sz w:val="20"/>
                <w:szCs w:val="20"/>
                <w:color w:val="auto"/>
              </w:rPr>
            </w:pPr>
            <w:r>
              <w:rPr>
                <w:rFonts w:ascii="Arial" w:cs="Arial" w:eastAsia="Arial" w:hAnsi="Arial"/>
                <w:sz w:val="14"/>
                <w:szCs w:val="14"/>
                <w:color w:val="auto"/>
              </w:rPr>
              <w:t>$50</w:t>
            </w:r>
          </w:p>
        </w:tc>
        <w:tc>
          <w:tcPr>
            <w:tcW w:w="820" w:type="dxa"/>
            <w:vAlign w:val="bottom"/>
          </w:tcPr>
          <w:p>
            <w:pPr>
              <w:ind w:left="20"/>
              <w:spacing w:after="0"/>
              <w:rPr>
                <w:sz w:val="20"/>
                <w:szCs w:val="20"/>
                <w:color w:val="auto"/>
              </w:rPr>
            </w:pPr>
            <w:r>
              <w:rPr>
                <w:rFonts w:ascii="Arial" w:cs="Arial" w:eastAsia="Arial" w:hAnsi="Arial"/>
                <w:sz w:val="14"/>
                <w:szCs w:val="14"/>
                <w:color w:val="auto"/>
              </w:rPr>
              <w:t>- $58</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820" w:type="dxa"/>
            <w:vAlign w:val="bottom"/>
          </w:tcPr>
          <w:p>
            <w:pPr>
              <w:ind w:left="20"/>
              <w:spacing w:after="0"/>
              <w:rPr>
                <w:sz w:val="20"/>
                <w:szCs w:val="20"/>
                <w:color w:val="auto"/>
              </w:rPr>
            </w:pPr>
            <w:r>
              <w:rPr>
                <w:rFonts w:ascii="Arial" w:cs="Arial" w:eastAsia="Arial" w:hAnsi="Arial"/>
                <w:sz w:val="14"/>
                <w:szCs w:val="14"/>
                <w:color w:val="auto"/>
              </w:rPr>
              <w:t>- $5</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$47</w:t>
            </w:r>
          </w:p>
        </w:tc>
        <w:tc>
          <w:tcPr>
            <w:tcW w:w="820" w:type="dxa"/>
            <w:vAlign w:val="bottom"/>
          </w:tcPr>
          <w:p>
            <w:pPr>
              <w:ind w:left="20"/>
              <w:spacing w:after="0"/>
              <w:rPr>
                <w:sz w:val="20"/>
                <w:szCs w:val="20"/>
                <w:color w:val="auto"/>
              </w:rPr>
            </w:pPr>
            <w:r>
              <w:rPr>
                <w:rFonts w:ascii="Arial" w:cs="Arial" w:eastAsia="Arial" w:hAnsi="Arial"/>
                <w:sz w:val="14"/>
                <w:szCs w:val="14"/>
                <w:color w:val="auto"/>
              </w:rPr>
              <w:t>- $53</w:t>
            </w:r>
          </w:p>
        </w:tc>
        <w:tc>
          <w:tcPr>
            <w:tcW w:w="0" w:type="dxa"/>
            <w:vAlign w:val="bottom"/>
          </w:tcPr>
          <w:p>
            <w:pPr>
              <w:spacing w:after="0"/>
              <w:rPr>
                <w:sz w:val="1"/>
                <w:szCs w:val="1"/>
                <w:color w:val="auto"/>
              </w:rPr>
            </w:pPr>
          </w:p>
        </w:tc>
      </w:tr>
      <w:tr>
        <w:trPr>
          <w:trHeight w:val="207"/>
        </w:trPr>
        <w:tc>
          <w:tcPr>
            <w:tcW w:w="6340" w:type="dxa"/>
            <w:vAlign w:val="bottom"/>
            <w:shd w:val="clear" w:color="auto" w:fill="DBDBDB"/>
          </w:tcPr>
          <w:p>
            <w:pPr>
              <w:ind w:left="140"/>
              <w:spacing w:after="0"/>
              <w:rPr>
                <w:sz w:val="20"/>
                <w:szCs w:val="20"/>
                <w:color w:val="auto"/>
              </w:rPr>
            </w:pPr>
            <w:r>
              <w:rPr>
                <w:rFonts w:ascii="Arial" w:cs="Arial" w:eastAsia="Arial" w:hAnsi="Arial"/>
                <w:sz w:val="14"/>
                <w:szCs w:val="14"/>
                <w:color w:val="auto"/>
              </w:rPr>
              <w:t>Total Capital ($ millions)</w:t>
            </w: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$57</w:t>
            </w:r>
          </w:p>
        </w:tc>
        <w:tc>
          <w:tcPr>
            <w:tcW w:w="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 $69</w:t>
            </w:r>
          </w:p>
        </w:tc>
        <w:tc>
          <w:tcPr>
            <w:tcW w:w="120" w:type="dxa"/>
            <w:vAlign w:val="bottom"/>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w:t>
            </w:r>
          </w:p>
        </w:tc>
        <w:tc>
          <w:tcPr>
            <w:tcW w:w="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 $4</w:t>
            </w:r>
          </w:p>
        </w:tc>
        <w:tc>
          <w:tcPr>
            <w:tcW w:w="120" w:type="dxa"/>
            <w:vAlign w:val="bottom"/>
          </w:tcPr>
          <w:p>
            <w:pPr>
              <w:spacing w:after="0"/>
              <w:rPr>
                <w:sz w:val="17"/>
                <w:szCs w:val="17"/>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$55</w:t>
            </w:r>
          </w:p>
        </w:tc>
        <w:tc>
          <w:tcPr>
            <w:tcW w:w="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 $65</w:t>
            </w:r>
          </w:p>
        </w:tc>
        <w:tc>
          <w:tcPr>
            <w:tcW w:w="0" w:type="dxa"/>
            <w:vAlign w:val="bottom"/>
          </w:tcPr>
          <w:p>
            <w:pPr>
              <w:spacing w:after="0"/>
              <w:rPr>
                <w:sz w:val="1"/>
                <w:szCs w:val="1"/>
                <w:color w:val="auto"/>
              </w:rPr>
            </w:pPr>
          </w:p>
        </w:tc>
      </w:tr>
      <w:tr>
        <w:trPr>
          <w:trHeight w:val="203"/>
        </w:trPr>
        <w:tc>
          <w:tcPr>
            <w:tcW w:w="6340" w:type="dxa"/>
            <w:vAlign w:val="bottom"/>
          </w:tcPr>
          <w:p>
            <w:pPr>
              <w:ind w:left="140"/>
              <w:spacing w:after="0" w:line="202" w:lineRule="exact"/>
              <w:rPr>
                <w:sz w:val="20"/>
                <w:szCs w:val="20"/>
                <w:color w:val="auto"/>
              </w:rPr>
            </w:pPr>
            <w:r>
              <w:rPr>
                <w:rFonts w:ascii="Arial" w:cs="Arial" w:eastAsia="Arial" w:hAnsi="Arial"/>
                <w:sz w:val="14"/>
                <w:szCs w:val="14"/>
                <w:color w:val="auto"/>
              </w:rPr>
              <w:t>Adjusted Total Capital</w:t>
            </w:r>
            <w:r>
              <w:rPr>
                <w:rFonts w:ascii="Arial" w:cs="Arial" w:eastAsia="Arial" w:hAnsi="Arial"/>
                <w:sz w:val="18"/>
                <w:szCs w:val="18"/>
                <w:color w:val="auto"/>
                <w:vertAlign w:val="superscript"/>
              </w:rPr>
              <w:t>3</w:t>
            </w:r>
            <w:r>
              <w:rPr>
                <w:rFonts w:ascii="Arial" w:cs="Arial" w:eastAsia="Arial" w:hAnsi="Arial"/>
                <w:sz w:val="14"/>
                <w:szCs w:val="14"/>
                <w:color w:val="auto"/>
              </w:rPr>
              <w:t xml:space="preserve"> ($ millions)</w:t>
            </w:r>
          </w:p>
        </w:tc>
        <w:tc>
          <w:tcPr>
            <w:tcW w:w="740" w:type="dxa"/>
            <w:vAlign w:val="bottom"/>
          </w:tcPr>
          <w:p>
            <w:pPr>
              <w:jc w:val="right"/>
              <w:spacing w:after="0"/>
              <w:rPr>
                <w:sz w:val="20"/>
                <w:szCs w:val="20"/>
                <w:color w:val="auto"/>
              </w:rPr>
            </w:pPr>
            <w:r>
              <w:rPr>
                <w:rFonts w:ascii="Arial" w:cs="Arial" w:eastAsia="Arial" w:hAnsi="Arial"/>
                <w:sz w:val="14"/>
                <w:szCs w:val="14"/>
                <w:color w:val="auto"/>
              </w:rPr>
              <w:t>$57</w:t>
            </w:r>
          </w:p>
        </w:tc>
        <w:tc>
          <w:tcPr>
            <w:tcW w:w="820" w:type="dxa"/>
            <w:vAlign w:val="bottom"/>
          </w:tcPr>
          <w:p>
            <w:pPr>
              <w:ind w:left="20"/>
              <w:spacing w:after="0"/>
              <w:rPr>
                <w:sz w:val="20"/>
                <w:szCs w:val="20"/>
                <w:color w:val="auto"/>
              </w:rPr>
            </w:pPr>
            <w:r>
              <w:rPr>
                <w:rFonts w:ascii="Arial" w:cs="Arial" w:eastAsia="Arial" w:hAnsi="Arial"/>
                <w:sz w:val="14"/>
                <w:szCs w:val="14"/>
                <w:color w:val="auto"/>
              </w:rPr>
              <w:t>- $69</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820" w:type="dxa"/>
            <w:vAlign w:val="bottom"/>
          </w:tcPr>
          <w:p>
            <w:pPr>
              <w:ind w:left="20"/>
              <w:spacing w:after="0"/>
              <w:rPr>
                <w:sz w:val="20"/>
                <w:szCs w:val="20"/>
                <w:color w:val="auto"/>
              </w:rPr>
            </w:pPr>
            <w:r>
              <w:rPr>
                <w:rFonts w:ascii="Arial" w:cs="Arial" w:eastAsia="Arial" w:hAnsi="Arial"/>
                <w:sz w:val="14"/>
                <w:szCs w:val="14"/>
                <w:color w:val="auto"/>
              </w:rPr>
              <w:t>- $4</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$55</w:t>
            </w:r>
          </w:p>
        </w:tc>
        <w:tc>
          <w:tcPr>
            <w:tcW w:w="820" w:type="dxa"/>
            <w:vAlign w:val="bottom"/>
          </w:tcPr>
          <w:p>
            <w:pPr>
              <w:ind w:left="20"/>
              <w:spacing w:after="0"/>
              <w:rPr>
                <w:sz w:val="20"/>
                <w:szCs w:val="20"/>
                <w:color w:val="auto"/>
              </w:rPr>
            </w:pPr>
            <w:r>
              <w:rPr>
                <w:rFonts w:ascii="Arial" w:cs="Arial" w:eastAsia="Arial" w:hAnsi="Arial"/>
                <w:sz w:val="14"/>
                <w:szCs w:val="14"/>
                <w:color w:val="auto"/>
              </w:rPr>
              <w:t>- $65</w:t>
            </w:r>
          </w:p>
        </w:tc>
        <w:tc>
          <w:tcPr>
            <w:tcW w:w="0" w:type="dxa"/>
            <w:vAlign w:val="bottom"/>
          </w:tcPr>
          <w:p>
            <w:pPr>
              <w:spacing w:after="0"/>
              <w:rPr>
                <w:sz w:val="1"/>
                <w:szCs w:val="1"/>
                <w:color w:val="auto"/>
              </w:rPr>
            </w:pPr>
          </w:p>
        </w:tc>
      </w:tr>
      <w:tr>
        <w:trPr>
          <w:trHeight w:val="203"/>
        </w:trPr>
        <w:tc>
          <w:tcPr>
            <w:tcW w:w="6340" w:type="dxa"/>
            <w:vAlign w:val="bottom"/>
            <w:shd w:val="clear" w:color="auto" w:fill="DBDBDB"/>
          </w:tcPr>
          <w:p>
            <w:pPr>
              <w:ind w:left="140"/>
              <w:spacing w:after="0"/>
              <w:rPr>
                <w:sz w:val="20"/>
                <w:szCs w:val="20"/>
                <w:color w:val="auto"/>
              </w:rPr>
            </w:pPr>
            <w:r>
              <w:rPr>
                <w:rFonts w:ascii="Arial" w:cs="Arial" w:eastAsia="Arial" w:hAnsi="Arial"/>
                <w:sz w:val="14"/>
                <w:szCs w:val="14"/>
                <w:color w:val="auto"/>
              </w:rPr>
              <w:t>Free Cash Flow ($ millions)</w:t>
            </w: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$151</w:t>
            </w:r>
          </w:p>
        </w:tc>
        <w:tc>
          <w:tcPr>
            <w:tcW w:w="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 $180</w:t>
            </w:r>
          </w:p>
        </w:tc>
        <w:tc>
          <w:tcPr>
            <w:tcW w:w="84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($15)</w:t>
            </w:r>
          </w:p>
        </w:tc>
        <w:tc>
          <w:tcPr>
            <w:tcW w:w="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 ($24)</w:t>
            </w:r>
          </w:p>
        </w:tc>
        <w:tc>
          <w:tcPr>
            <w:tcW w:w="86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$175</w:t>
            </w:r>
          </w:p>
        </w:tc>
        <w:tc>
          <w:tcPr>
            <w:tcW w:w="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 $195</w:t>
            </w:r>
          </w:p>
        </w:tc>
        <w:tc>
          <w:tcPr>
            <w:tcW w:w="0" w:type="dxa"/>
            <w:vAlign w:val="bottom"/>
          </w:tcPr>
          <w:p>
            <w:pPr>
              <w:spacing w:after="0"/>
              <w:rPr>
                <w:sz w:val="1"/>
                <w:szCs w:val="1"/>
                <w:color w:val="auto"/>
              </w:rPr>
            </w:pPr>
          </w:p>
        </w:tc>
      </w:tr>
      <w:tr>
        <w:trPr>
          <w:trHeight w:val="257"/>
        </w:trPr>
        <w:tc>
          <w:tcPr>
            <w:tcW w:w="6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60" w:type="dxa"/>
            <w:vAlign w:val="bottom"/>
            <w:gridSpan w:val="2"/>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6340" w:type="dxa"/>
            <w:vAlign w:val="bottom"/>
            <w:shd w:val="clear" w:color="auto" w:fill="DBDBDB"/>
          </w:tcPr>
          <w:p>
            <w:pPr>
              <w:ind w:left="140"/>
              <w:spacing w:after="0"/>
              <w:rPr>
                <w:sz w:val="20"/>
                <w:szCs w:val="20"/>
                <w:color w:val="auto"/>
              </w:rPr>
            </w:pPr>
            <w:r>
              <w:rPr>
                <w:rFonts w:ascii="Arial" w:cs="Arial" w:eastAsia="Arial" w:hAnsi="Arial"/>
                <w:sz w:val="14"/>
                <w:szCs w:val="14"/>
                <w:color w:val="auto"/>
              </w:rPr>
              <w:t>Natural Gas Trading, Net ($ millions)</w:t>
            </w: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$35</w:t>
            </w:r>
          </w:p>
        </w:tc>
        <w:tc>
          <w:tcPr>
            <w:tcW w:w="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 $45</w:t>
            </w:r>
          </w:p>
        </w:tc>
        <w:tc>
          <w:tcPr>
            <w:tcW w:w="12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820" w:type="dxa"/>
            <w:vAlign w:val="bottom"/>
            <w:shd w:val="clear" w:color="auto" w:fill="DBDBDB"/>
          </w:tcPr>
          <w:p>
            <w:pPr>
              <w:spacing w:after="0"/>
              <w:rPr>
                <w:sz w:val="17"/>
                <w:szCs w:val="17"/>
                <w:color w:val="auto"/>
              </w:rPr>
            </w:pPr>
          </w:p>
        </w:tc>
        <w:tc>
          <w:tcPr>
            <w:tcW w:w="86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$35</w:t>
            </w:r>
          </w:p>
        </w:tc>
        <w:tc>
          <w:tcPr>
            <w:tcW w:w="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 $45</w:t>
            </w:r>
          </w:p>
        </w:tc>
        <w:tc>
          <w:tcPr>
            <w:tcW w:w="0" w:type="dxa"/>
            <w:vAlign w:val="bottom"/>
          </w:tcPr>
          <w:p>
            <w:pPr>
              <w:spacing w:after="0"/>
              <w:rPr>
                <w:sz w:val="1"/>
                <w:szCs w:val="1"/>
                <w:color w:val="auto"/>
              </w:rPr>
            </w:pPr>
          </w:p>
        </w:tc>
      </w:tr>
      <w:tr>
        <w:trPr>
          <w:trHeight w:val="198"/>
        </w:trPr>
        <w:tc>
          <w:tcPr>
            <w:tcW w:w="6340" w:type="dxa"/>
            <w:vAlign w:val="bottom"/>
          </w:tcPr>
          <w:p>
            <w:pPr>
              <w:ind w:left="140"/>
              <w:spacing w:after="0"/>
              <w:rPr>
                <w:sz w:val="20"/>
                <w:szCs w:val="20"/>
                <w:color w:val="auto"/>
              </w:rPr>
            </w:pPr>
            <w:r>
              <w:rPr>
                <w:rFonts w:ascii="Arial" w:cs="Arial" w:eastAsia="Arial" w:hAnsi="Arial"/>
                <w:sz w:val="14"/>
                <w:szCs w:val="14"/>
                <w:color w:val="auto"/>
              </w:rPr>
              <w:t>Net Electricity ($ millions)</w:t>
            </w:r>
          </w:p>
        </w:tc>
        <w:tc>
          <w:tcPr>
            <w:tcW w:w="740" w:type="dxa"/>
            <w:vAlign w:val="bottom"/>
          </w:tcPr>
          <w:p>
            <w:pPr>
              <w:jc w:val="right"/>
              <w:spacing w:after="0"/>
              <w:rPr>
                <w:sz w:val="20"/>
                <w:szCs w:val="20"/>
                <w:color w:val="auto"/>
              </w:rPr>
            </w:pPr>
            <w:r>
              <w:rPr>
                <w:rFonts w:ascii="Arial" w:cs="Arial" w:eastAsia="Arial" w:hAnsi="Arial"/>
                <w:sz w:val="14"/>
                <w:szCs w:val="14"/>
                <w:color w:val="auto"/>
              </w:rPr>
              <w:t>$25</w:t>
            </w:r>
          </w:p>
        </w:tc>
        <w:tc>
          <w:tcPr>
            <w:tcW w:w="820" w:type="dxa"/>
            <w:vAlign w:val="bottom"/>
          </w:tcPr>
          <w:p>
            <w:pPr>
              <w:ind w:left="20"/>
              <w:spacing w:after="0"/>
              <w:rPr>
                <w:sz w:val="20"/>
                <w:szCs w:val="20"/>
                <w:color w:val="auto"/>
              </w:rPr>
            </w:pPr>
            <w:r>
              <w:rPr>
                <w:rFonts w:ascii="Arial" w:cs="Arial" w:eastAsia="Arial" w:hAnsi="Arial"/>
                <w:sz w:val="14"/>
                <w:szCs w:val="14"/>
                <w:color w:val="auto"/>
              </w:rPr>
              <w:t>- $35</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$25</w:t>
            </w:r>
          </w:p>
        </w:tc>
        <w:tc>
          <w:tcPr>
            <w:tcW w:w="820" w:type="dxa"/>
            <w:vAlign w:val="bottom"/>
          </w:tcPr>
          <w:p>
            <w:pPr>
              <w:ind w:left="20"/>
              <w:spacing w:after="0"/>
              <w:rPr>
                <w:sz w:val="20"/>
                <w:szCs w:val="20"/>
                <w:color w:val="auto"/>
              </w:rPr>
            </w:pPr>
            <w:r>
              <w:rPr>
                <w:rFonts w:ascii="Arial" w:cs="Arial" w:eastAsia="Arial" w:hAnsi="Arial"/>
                <w:sz w:val="14"/>
                <w:szCs w:val="14"/>
                <w:color w:val="auto"/>
              </w:rPr>
              <w:t>- $35</w:t>
            </w:r>
          </w:p>
        </w:tc>
        <w:tc>
          <w:tcPr>
            <w:tcW w:w="0" w:type="dxa"/>
            <w:vAlign w:val="bottom"/>
          </w:tcPr>
          <w:p>
            <w:pPr>
              <w:spacing w:after="0"/>
              <w:rPr>
                <w:sz w:val="1"/>
                <w:szCs w:val="1"/>
                <w:color w:val="auto"/>
              </w:rPr>
            </w:pPr>
          </w:p>
        </w:tc>
      </w:tr>
      <w:tr>
        <w:trPr>
          <w:trHeight w:val="207"/>
        </w:trPr>
        <w:tc>
          <w:tcPr>
            <w:tcW w:w="6340" w:type="dxa"/>
            <w:vAlign w:val="bottom"/>
            <w:shd w:val="clear" w:color="auto" w:fill="DBDBDB"/>
          </w:tcPr>
          <w:p>
            <w:pPr>
              <w:ind w:left="140"/>
              <w:spacing w:after="0"/>
              <w:rPr>
                <w:sz w:val="20"/>
                <w:szCs w:val="20"/>
                <w:color w:val="auto"/>
              </w:rPr>
            </w:pPr>
            <w:r>
              <w:rPr>
                <w:rFonts w:ascii="Arial" w:cs="Arial" w:eastAsia="Arial" w:hAnsi="Arial"/>
                <w:sz w:val="14"/>
                <w:szCs w:val="14"/>
                <w:color w:val="auto"/>
              </w:rPr>
              <w:t>Transportation Expense ($ millions)</w:t>
            </w: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w:t>
            </w:r>
          </w:p>
        </w:tc>
        <w:tc>
          <w:tcPr>
            <w:tcW w:w="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 $16</w:t>
            </w:r>
          </w:p>
        </w:tc>
        <w:tc>
          <w:tcPr>
            <w:tcW w:w="12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820" w:type="dxa"/>
            <w:vAlign w:val="bottom"/>
            <w:shd w:val="clear" w:color="auto" w:fill="DBDBDB"/>
          </w:tcPr>
          <w:p>
            <w:pPr>
              <w:spacing w:after="0"/>
              <w:rPr>
                <w:sz w:val="17"/>
                <w:szCs w:val="17"/>
                <w:color w:val="auto"/>
              </w:rPr>
            </w:pPr>
          </w:p>
        </w:tc>
        <w:tc>
          <w:tcPr>
            <w:tcW w:w="86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$14</w:t>
            </w:r>
          </w:p>
        </w:tc>
        <w:tc>
          <w:tcPr>
            <w:tcW w:w="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 $16</w:t>
            </w:r>
          </w:p>
        </w:tc>
        <w:tc>
          <w:tcPr>
            <w:tcW w:w="0" w:type="dxa"/>
            <w:vAlign w:val="bottom"/>
          </w:tcPr>
          <w:p>
            <w:pPr>
              <w:spacing w:after="0"/>
              <w:rPr>
                <w:sz w:val="1"/>
                <w:szCs w:val="1"/>
                <w:color w:val="auto"/>
              </w:rPr>
            </w:pPr>
          </w:p>
        </w:tc>
      </w:tr>
      <w:tr>
        <w:trPr>
          <w:trHeight w:val="257"/>
        </w:trPr>
        <w:tc>
          <w:tcPr>
            <w:tcW w:w="6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6340" w:type="dxa"/>
            <w:vAlign w:val="bottom"/>
            <w:shd w:val="clear" w:color="auto" w:fill="DBDBDB"/>
          </w:tcPr>
          <w:p>
            <w:pPr>
              <w:ind w:left="140"/>
              <w:spacing w:after="0"/>
              <w:rPr>
                <w:sz w:val="20"/>
                <w:szCs w:val="20"/>
                <w:color w:val="auto"/>
              </w:rPr>
            </w:pPr>
            <w:r>
              <w:rPr>
                <w:rFonts w:ascii="Arial" w:cs="Arial" w:eastAsia="Arial" w:hAnsi="Arial"/>
                <w:sz w:val="14"/>
                <w:szCs w:val="14"/>
                <w:color w:val="auto"/>
              </w:rPr>
              <w:t>Commodity Realizations:</w:t>
            </w:r>
          </w:p>
        </w:tc>
        <w:tc>
          <w:tcPr>
            <w:tcW w:w="740" w:type="dxa"/>
            <w:vAlign w:val="bottom"/>
            <w:shd w:val="clear" w:color="auto" w:fill="DBDBDB"/>
          </w:tcPr>
          <w:p>
            <w:pPr>
              <w:spacing w:after="0"/>
              <w:rPr>
                <w:sz w:val="17"/>
                <w:szCs w:val="17"/>
                <w:color w:val="auto"/>
              </w:rPr>
            </w:pPr>
          </w:p>
        </w:tc>
        <w:tc>
          <w:tcPr>
            <w:tcW w:w="8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8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40" w:type="dxa"/>
            <w:vAlign w:val="bottom"/>
            <w:shd w:val="clear" w:color="auto" w:fill="DBDBDB"/>
          </w:tcPr>
          <w:p>
            <w:pPr>
              <w:spacing w:after="0"/>
              <w:rPr>
                <w:sz w:val="17"/>
                <w:szCs w:val="17"/>
                <w:color w:val="auto"/>
              </w:rPr>
            </w:pPr>
          </w:p>
        </w:tc>
        <w:tc>
          <w:tcPr>
            <w:tcW w:w="8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40" w:type="dxa"/>
            <w:vAlign w:val="bottom"/>
          </w:tcPr>
          <w:p>
            <w:pPr>
              <w:ind w:left="220"/>
              <w:spacing w:after="0"/>
              <w:rPr>
                <w:sz w:val="20"/>
                <w:szCs w:val="20"/>
                <w:color w:val="auto"/>
              </w:rPr>
            </w:pPr>
            <w:r>
              <w:rPr>
                <w:rFonts w:ascii="Arial" w:cs="Arial" w:eastAsia="Arial" w:hAnsi="Arial"/>
                <w:sz w:val="14"/>
                <w:szCs w:val="14"/>
                <w:color w:val="auto"/>
              </w:rPr>
              <w:t>Oil - % of Brent:</w:t>
            </w:r>
          </w:p>
        </w:tc>
        <w:tc>
          <w:tcPr>
            <w:tcW w:w="740" w:type="dxa"/>
            <w:vAlign w:val="bottom"/>
          </w:tcPr>
          <w:p>
            <w:pPr>
              <w:jc w:val="right"/>
              <w:spacing w:after="0"/>
              <w:rPr>
                <w:sz w:val="20"/>
                <w:szCs w:val="20"/>
                <w:color w:val="auto"/>
              </w:rPr>
            </w:pPr>
            <w:r>
              <w:rPr>
                <w:rFonts w:ascii="Arial" w:cs="Arial" w:eastAsia="Arial" w:hAnsi="Arial"/>
                <w:sz w:val="14"/>
                <w:szCs w:val="14"/>
                <w:color w:val="auto"/>
              </w:rPr>
              <w:t>97%</w:t>
            </w:r>
          </w:p>
        </w:tc>
        <w:tc>
          <w:tcPr>
            <w:tcW w:w="820" w:type="dxa"/>
            <w:vAlign w:val="bottom"/>
          </w:tcPr>
          <w:p>
            <w:pPr>
              <w:ind w:left="20"/>
              <w:spacing w:after="0"/>
              <w:rPr>
                <w:sz w:val="20"/>
                <w:szCs w:val="20"/>
                <w:color w:val="auto"/>
              </w:rPr>
            </w:pPr>
            <w:r>
              <w:rPr>
                <w:rFonts w:ascii="Arial" w:cs="Arial" w:eastAsia="Arial" w:hAnsi="Arial"/>
                <w:sz w:val="14"/>
                <w:szCs w:val="14"/>
                <w:color w:val="auto"/>
              </w:rPr>
              <w:t>- 99%</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97%</w:t>
            </w:r>
          </w:p>
        </w:tc>
        <w:tc>
          <w:tcPr>
            <w:tcW w:w="820" w:type="dxa"/>
            <w:vAlign w:val="bottom"/>
          </w:tcPr>
          <w:p>
            <w:pPr>
              <w:ind w:left="20"/>
              <w:spacing w:after="0"/>
              <w:rPr>
                <w:sz w:val="20"/>
                <w:szCs w:val="20"/>
                <w:color w:val="auto"/>
              </w:rPr>
            </w:pPr>
            <w:r>
              <w:rPr>
                <w:rFonts w:ascii="Arial" w:cs="Arial" w:eastAsia="Arial" w:hAnsi="Arial"/>
                <w:sz w:val="14"/>
                <w:szCs w:val="14"/>
                <w:color w:val="auto"/>
              </w:rPr>
              <w:t>- 99%</w:t>
            </w:r>
          </w:p>
        </w:tc>
        <w:tc>
          <w:tcPr>
            <w:tcW w:w="0" w:type="dxa"/>
            <w:vAlign w:val="bottom"/>
          </w:tcPr>
          <w:p>
            <w:pPr>
              <w:spacing w:after="0"/>
              <w:rPr>
                <w:sz w:val="1"/>
                <w:szCs w:val="1"/>
                <w:color w:val="auto"/>
              </w:rPr>
            </w:pPr>
          </w:p>
        </w:tc>
      </w:tr>
      <w:tr>
        <w:trPr>
          <w:trHeight w:val="207"/>
        </w:trPr>
        <w:tc>
          <w:tcPr>
            <w:tcW w:w="6340" w:type="dxa"/>
            <w:vAlign w:val="bottom"/>
            <w:shd w:val="clear" w:color="auto" w:fill="DBDBDB"/>
          </w:tcPr>
          <w:p>
            <w:pPr>
              <w:ind w:left="220"/>
              <w:spacing w:after="0"/>
              <w:rPr>
                <w:sz w:val="20"/>
                <w:szCs w:val="20"/>
                <w:color w:val="auto"/>
              </w:rPr>
            </w:pPr>
            <w:r>
              <w:rPr>
                <w:rFonts w:ascii="Arial" w:cs="Arial" w:eastAsia="Arial" w:hAnsi="Arial"/>
                <w:sz w:val="14"/>
                <w:szCs w:val="14"/>
                <w:color w:val="auto"/>
              </w:rPr>
              <w:t>NGL - % of Brent:</w:t>
            </w: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63%</w:t>
            </w:r>
          </w:p>
        </w:tc>
        <w:tc>
          <w:tcPr>
            <w:tcW w:w="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- 65%</w:t>
            </w:r>
          </w:p>
        </w:tc>
        <w:tc>
          <w:tcPr>
            <w:tcW w:w="12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820" w:type="dxa"/>
            <w:vAlign w:val="bottom"/>
            <w:shd w:val="clear" w:color="auto" w:fill="DBDBDB"/>
          </w:tcPr>
          <w:p>
            <w:pPr>
              <w:spacing w:after="0"/>
              <w:rPr>
                <w:sz w:val="17"/>
                <w:szCs w:val="17"/>
                <w:color w:val="auto"/>
              </w:rPr>
            </w:pPr>
          </w:p>
        </w:tc>
        <w:tc>
          <w:tcPr>
            <w:tcW w:w="86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63%</w:t>
            </w:r>
          </w:p>
        </w:tc>
        <w:tc>
          <w:tcPr>
            <w:tcW w:w="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- 65%</w:t>
            </w:r>
          </w:p>
        </w:tc>
        <w:tc>
          <w:tcPr>
            <w:tcW w:w="0" w:type="dxa"/>
            <w:vAlign w:val="bottom"/>
          </w:tcPr>
          <w:p>
            <w:pPr>
              <w:spacing w:after="0"/>
              <w:rPr>
                <w:sz w:val="1"/>
                <w:szCs w:val="1"/>
                <w:color w:val="auto"/>
              </w:rPr>
            </w:pPr>
          </w:p>
        </w:tc>
      </w:tr>
      <w:tr>
        <w:trPr>
          <w:trHeight w:val="194"/>
        </w:trPr>
        <w:tc>
          <w:tcPr>
            <w:tcW w:w="6340" w:type="dxa"/>
            <w:vAlign w:val="bottom"/>
          </w:tcPr>
          <w:p>
            <w:pPr>
              <w:ind w:left="220"/>
              <w:spacing w:after="0"/>
              <w:rPr>
                <w:sz w:val="20"/>
                <w:szCs w:val="20"/>
                <w:color w:val="auto"/>
              </w:rPr>
            </w:pPr>
            <w:r>
              <w:rPr>
                <w:rFonts w:ascii="Arial" w:cs="Arial" w:eastAsia="Arial" w:hAnsi="Arial"/>
                <w:sz w:val="14"/>
                <w:szCs w:val="14"/>
                <w:color w:val="auto"/>
              </w:rPr>
              <w:t>Natural Gas - % of NYMEX:</w:t>
            </w:r>
          </w:p>
        </w:tc>
        <w:tc>
          <w:tcPr>
            <w:tcW w:w="740" w:type="dxa"/>
            <w:vAlign w:val="bottom"/>
          </w:tcPr>
          <w:p>
            <w:pPr>
              <w:jc w:val="right"/>
              <w:spacing w:after="0"/>
              <w:rPr>
                <w:sz w:val="20"/>
                <w:szCs w:val="20"/>
                <w:color w:val="auto"/>
              </w:rPr>
            </w:pPr>
            <w:r>
              <w:rPr>
                <w:rFonts w:ascii="Arial" w:cs="Arial" w:eastAsia="Arial" w:hAnsi="Arial"/>
                <w:sz w:val="14"/>
                <w:szCs w:val="14"/>
                <w:color w:val="auto"/>
              </w:rPr>
              <w:t>400%</w:t>
            </w:r>
          </w:p>
        </w:tc>
        <w:tc>
          <w:tcPr>
            <w:tcW w:w="820" w:type="dxa"/>
            <w:vAlign w:val="bottom"/>
          </w:tcPr>
          <w:p>
            <w:pPr>
              <w:ind w:left="20"/>
              <w:spacing w:after="0"/>
              <w:rPr>
                <w:sz w:val="20"/>
                <w:szCs w:val="20"/>
                <w:color w:val="auto"/>
              </w:rPr>
            </w:pPr>
            <w:r>
              <w:rPr>
                <w:rFonts w:ascii="Arial" w:cs="Arial" w:eastAsia="Arial" w:hAnsi="Arial"/>
                <w:sz w:val="14"/>
                <w:szCs w:val="14"/>
                <w:color w:val="auto"/>
              </w:rPr>
              <w:t>- 500%</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400%</w:t>
            </w:r>
          </w:p>
        </w:tc>
        <w:tc>
          <w:tcPr>
            <w:tcW w:w="820" w:type="dxa"/>
            <w:vAlign w:val="bottom"/>
          </w:tcPr>
          <w:p>
            <w:pPr>
              <w:ind w:left="20"/>
              <w:spacing w:after="0"/>
              <w:rPr>
                <w:sz w:val="20"/>
                <w:szCs w:val="20"/>
                <w:color w:val="auto"/>
              </w:rPr>
            </w:pPr>
            <w:r>
              <w:rPr>
                <w:rFonts w:ascii="Arial" w:cs="Arial" w:eastAsia="Arial" w:hAnsi="Arial"/>
                <w:sz w:val="14"/>
                <w:szCs w:val="14"/>
                <w:color w:val="auto"/>
              </w:rPr>
              <w:t>- 500%</w:t>
            </w:r>
          </w:p>
        </w:tc>
        <w:tc>
          <w:tcPr>
            <w:tcW w:w="0" w:type="dxa"/>
            <w:vAlign w:val="bottom"/>
          </w:tcPr>
          <w:p>
            <w:pPr>
              <w:spacing w:after="0"/>
              <w:rPr>
                <w:sz w:val="1"/>
                <w:szCs w:val="1"/>
                <w:color w:val="auto"/>
              </w:rPr>
            </w:pPr>
          </w:p>
        </w:tc>
      </w:tr>
    </w:tbl>
    <w:p>
      <w:pPr>
        <w:spacing w:after="0" w:line="3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right="60"/>
        <w:spacing w:after="0" w:line="241" w:lineRule="auto"/>
        <w:rPr>
          <w:sz w:val="20"/>
          <w:szCs w:val="20"/>
          <w:color w:val="auto"/>
        </w:rPr>
      </w:pPr>
      <w:r>
        <w:rPr>
          <w:rFonts w:ascii="Arial" w:cs="Arial" w:eastAsia="Arial" w:hAnsi="Arial"/>
          <w:sz w:val="14"/>
          <w:szCs w:val="14"/>
          <w:color w:val="auto"/>
        </w:rPr>
        <w:t>See Attachment 2 for management's disclosure of its use of these non-GAAP measures and how these measures provide useful information to investors about CRC's results of operations and financial condition. CRC has supplemented its non-GAAP measures of consolidated free cash flow with free cash flow from our exploration and production and corporate items (free cash flow from E&amp;P, Corporate &amp; Other) which CRC believes is a useful measure for investors to understand the results of its core oil and gas business.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CRC defines free cash flow from E&amp;P, Corporate &amp; Other as consolidated free cash flow less free cash flow attributable to CMB.</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80" w:type="dxa"/>
            <w:vAlign w:val="bottom"/>
          </w:tcPr>
          <w:p>
            <w:pPr>
              <w:spacing w:after="0"/>
              <w:rPr>
                <w:sz w:val="20"/>
                <w:szCs w:val="20"/>
                <w:color w:val="auto"/>
              </w:rPr>
            </w:pPr>
            <w:r>
              <w:rPr>
                <w:rFonts w:ascii="Arial" w:cs="Arial" w:eastAsia="Arial" w:hAnsi="Arial"/>
                <w:sz w:val="14"/>
                <w:szCs w:val="14"/>
                <w:b w:val="1"/>
                <w:bCs w:val="1"/>
                <w:color w:val="auto"/>
              </w:rPr>
              <w:t>ESTIMATED FREE CASH FLOW RECONCILIATION</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60"/>
        </w:trPr>
        <w:tc>
          <w:tcPr>
            <w:tcW w:w="47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242424"/>
              </w:rPr>
              <w:t>2023 Estimated</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196"/>
        </w:trPr>
        <w:tc>
          <w:tcPr>
            <w:tcW w:w="4780" w:type="dxa"/>
            <w:vAlign w:val="bottom"/>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1860" w:type="dxa"/>
            <w:vAlign w:val="bottom"/>
            <w:tcBorders>
              <w:bottom w:val="single" w:sz="8" w:color="auto"/>
            </w:tcBorders>
            <w:gridSpan w:val="4"/>
            <w:shd w:val="clear" w:color="auto" w:fill="DBDBDB"/>
          </w:tcPr>
          <w:p>
            <w:pPr>
              <w:ind w:left="360"/>
              <w:spacing w:after="0"/>
              <w:rPr>
                <w:sz w:val="20"/>
                <w:szCs w:val="20"/>
                <w:color w:val="auto"/>
              </w:rPr>
            </w:pPr>
            <w:r>
              <w:rPr>
                <w:rFonts w:ascii="Arial" w:cs="Arial" w:eastAsia="Arial" w:hAnsi="Arial"/>
                <w:sz w:val="14"/>
                <w:szCs w:val="14"/>
                <w:b w:val="1"/>
                <w:bCs w:val="1"/>
                <w:color w:val="242424"/>
              </w:rPr>
              <w:t>Consolidated</w:t>
            </w:r>
          </w:p>
        </w:tc>
        <w:tc>
          <w:tcPr>
            <w:tcW w:w="120" w:type="dxa"/>
            <w:vAlign w:val="bottom"/>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gridSpan w:val="3"/>
            <w:shd w:val="clear" w:color="auto" w:fill="DBDBDB"/>
          </w:tcPr>
          <w:p>
            <w:pPr>
              <w:jc w:val="right"/>
              <w:ind w:right="28"/>
              <w:spacing w:after="0"/>
              <w:rPr>
                <w:sz w:val="20"/>
                <w:szCs w:val="20"/>
                <w:color w:val="auto"/>
              </w:rPr>
            </w:pPr>
            <w:r>
              <w:rPr>
                <w:rFonts w:ascii="Arial" w:cs="Arial" w:eastAsia="Arial" w:hAnsi="Arial"/>
                <w:sz w:val="14"/>
                <w:szCs w:val="14"/>
                <w:b w:val="1"/>
                <w:bCs w:val="1"/>
                <w:color w:val="242424"/>
              </w:rPr>
              <w:t>CMB</w:t>
            </w:r>
          </w:p>
        </w:tc>
        <w:tc>
          <w:tcPr>
            <w:tcW w:w="760" w:type="dxa"/>
            <w:vAlign w:val="bottom"/>
            <w:tcBorders>
              <w:bottom w:val="single" w:sz="8" w:color="auto"/>
            </w:tcBorders>
            <w:shd w:val="clear" w:color="auto" w:fill="DBDBDB"/>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900" w:type="dxa"/>
            <w:vAlign w:val="bottom"/>
            <w:tcBorders>
              <w:bottom w:val="single" w:sz="8" w:color="auto"/>
            </w:tcBorders>
            <w:gridSpan w:val="4"/>
            <w:shd w:val="clear" w:color="auto" w:fill="DBDBDB"/>
          </w:tcPr>
          <w:p>
            <w:pPr>
              <w:ind w:left="60"/>
              <w:spacing w:after="0"/>
              <w:rPr>
                <w:sz w:val="20"/>
                <w:szCs w:val="20"/>
                <w:color w:val="auto"/>
              </w:rPr>
            </w:pPr>
            <w:r>
              <w:rPr>
                <w:rFonts w:ascii="Arial" w:cs="Arial" w:eastAsia="Arial" w:hAnsi="Arial"/>
                <w:sz w:val="14"/>
                <w:szCs w:val="14"/>
                <w:b w:val="1"/>
                <w:bCs w:val="1"/>
                <w:color w:val="242424"/>
              </w:rPr>
              <w:t>E&amp;P, Corporate &amp; Other</w:t>
            </w:r>
          </w:p>
        </w:tc>
      </w:tr>
      <w:tr>
        <w:trPr>
          <w:trHeight w:val="193"/>
        </w:trPr>
        <w:tc>
          <w:tcPr>
            <w:tcW w:w="4780" w:type="dxa"/>
            <w:vAlign w:val="bottom"/>
            <w:tcBorders>
              <w:bottom w:val="single" w:sz="8" w:color="DBDBDB"/>
            </w:tcBorders>
          </w:tcPr>
          <w:p>
            <w:pPr>
              <w:ind w:left="20"/>
              <w:spacing w:after="0"/>
              <w:rPr>
                <w:sz w:val="20"/>
                <w:szCs w:val="20"/>
                <w:color w:val="auto"/>
              </w:rPr>
            </w:pPr>
            <w:r>
              <w:rPr>
                <w:rFonts w:ascii="Arial" w:cs="Arial" w:eastAsia="Arial" w:hAnsi="Arial"/>
                <w:sz w:val="13"/>
                <w:szCs w:val="13"/>
                <w:i w:val="1"/>
                <w:iCs w:val="1"/>
                <w:color w:val="auto"/>
              </w:rPr>
              <w:t>($ millions)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Low</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High</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Low</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High</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Low</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High</w:t>
            </w:r>
          </w:p>
        </w:tc>
      </w:tr>
      <w:tr>
        <w:trPr>
          <w:trHeight w:val="200"/>
        </w:trPr>
        <w:tc>
          <w:tcPr>
            <w:tcW w:w="4780" w:type="dxa"/>
            <w:vAlign w:val="bottom"/>
            <w:shd w:val="clear" w:color="auto" w:fill="DBDBDB"/>
          </w:tcPr>
          <w:p>
            <w:pPr>
              <w:ind w:left="20"/>
              <w:spacing w:after="0"/>
              <w:rPr>
                <w:sz w:val="20"/>
                <w:szCs w:val="20"/>
                <w:color w:val="auto"/>
              </w:rPr>
            </w:pPr>
            <w:r>
              <w:rPr>
                <w:rFonts w:ascii="Arial" w:cs="Arial" w:eastAsia="Arial" w:hAnsi="Arial"/>
                <w:sz w:val="14"/>
                <w:szCs w:val="14"/>
                <w:color w:val="auto"/>
              </w:rPr>
              <w:t>Net cash provided (used) by operating activities</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DBDBDB"/>
          </w:tcPr>
          <w:p>
            <w:pPr>
              <w:jc w:val="center"/>
              <w:ind w:left="308"/>
              <w:spacing w:after="0"/>
              <w:rPr>
                <w:sz w:val="20"/>
                <w:szCs w:val="20"/>
                <w:color w:val="auto"/>
              </w:rPr>
            </w:pPr>
            <w:r>
              <w:rPr>
                <w:rFonts w:ascii="Arial" w:cs="Arial" w:eastAsia="Arial" w:hAnsi="Arial"/>
                <w:sz w:val="14"/>
                <w:szCs w:val="14"/>
                <w:color w:val="auto"/>
              </w:rPr>
              <w:t>575</w:t>
            </w:r>
          </w:p>
        </w:tc>
        <w:tc>
          <w:tcPr>
            <w:tcW w:w="80" w:type="dxa"/>
            <w:vAlign w:val="bottom"/>
          </w:tcPr>
          <w:p>
            <w:pPr>
              <w:spacing w:after="0"/>
              <w:rPr>
                <w:sz w:val="17"/>
                <w:szCs w:val="17"/>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DBDBDB"/>
          </w:tcPr>
          <w:p>
            <w:pPr>
              <w:jc w:val="center"/>
              <w:ind w:left="308"/>
              <w:spacing w:after="0"/>
              <w:rPr>
                <w:sz w:val="20"/>
                <w:szCs w:val="20"/>
                <w:color w:val="auto"/>
              </w:rPr>
            </w:pPr>
            <w:r>
              <w:rPr>
                <w:rFonts w:ascii="Arial" w:cs="Arial" w:eastAsia="Arial" w:hAnsi="Arial"/>
                <w:sz w:val="14"/>
                <w:szCs w:val="14"/>
                <w:color w:val="auto"/>
              </w:rPr>
              <w:t>640</w:t>
            </w:r>
          </w:p>
        </w:tc>
        <w:tc>
          <w:tcPr>
            <w:tcW w:w="120" w:type="dxa"/>
            <w:vAlign w:val="bottom"/>
          </w:tcPr>
          <w:p>
            <w:pPr>
              <w:spacing w:after="0"/>
              <w:rPr>
                <w:sz w:val="17"/>
                <w:szCs w:val="17"/>
                <w:color w:val="auto"/>
              </w:rPr>
            </w:pP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7"/>
                <w:szCs w:val="17"/>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(45)</w:t>
            </w:r>
          </w:p>
        </w:tc>
        <w:tc>
          <w:tcPr>
            <w:tcW w:w="140" w:type="dxa"/>
            <w:vAlign w:val="bottom"/>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DBDBDB"/>
          </w:tcPr>
          <w:p>
            <w:pPr>
              <w:jc w:val="center"/>
              <w:ind w:left="388"/>
              <w:spacing w:after="0"/>
              <w:rPr>
                <w:sz w:val="20"/>
                <w:szCs w:val="20"/>
                <w:color w:val="auto"/>
              </w:rPr>
            </w:pPr>
            <w:r>
              <w:rPr>
                <w:rFonts w:ascii="Arial" w:cs="Arial" w:eastAsia="Arial" w:hAnsi="Arial"/>
                <w:sz w:val="14"/>
                <w:szCs w:val="14"/>
                <w:color w:val="auto"/>
              </w:rPr>
              <w:t>630</w:t>
            </w:r>
          </w:p>
        </w:tc>
        <w:tc>
          <w:tcPr>
            <w:tcW w:w="80" w:type="dxa"/>
            <w:vAlign w:val="bottom"/>
          </w:tcPr>
          <w:p>
            <w:pPr>
              <w:spacing w:after="0"/>
              <w:rPr>
                <w:sz w:val="17"/>
                <w:szCs w:val="17"/>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DBDBDB"/>
          </w:tcPr>
          <w:p>
            <w:pPr>
              <w:jc w:val="center"/>
              <w:ind w:left="348"/>
              <w:spacing w:after="0"/>
              <w:rPr>
                <w:sz w:val="20"/>
                <w:szCs w:val="20"/>
                <w:color w:val="auto"/>
              </w:rPr>
            </w:pPr>
            <w:r>
              <w:rPr>
                <w:rFonts w:ascii="Arial" w:cs="Arial" w:eastAsia="Arial" w:hAnsi="Arial"/>
                <w:sz w:val="14"/>
                <w:szCs w:val="14"/>
                <w:color w:val="auto"/>
              </w:rPr>
              <w:t>685</w:t>
            </w:r>
          </w:p>
        </w:tc>
      </w:tr>
      <w:tr>
        <w:trPr>
          <w:trHeight w:val="198"/>
        </w:trPr>
        <w:tc>
          <w:tcPr>
            <w:tcW w:w="47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Adjusted capital investments</w:t>
            </w:r>
            <w:r>
              <w:rPr>
                <w:rFonts w:ascii="Arial" w:cs="Arial" w:eastAsia="Arial" w:hAnsi="Arial"/>
                <w:sz w:val="9"/>
                <w:szCs w:val="9"/>
                <w:color w:val="auto"/>
              </w:rPr>
              <w:t>3</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color w:val="auto"/>
              </w:rPr>
              <w:t>(245)</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color w:val="auto"/>
              </w:rPr>
              <w:t>(220)</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color w:val="auto"/>
              </w:rPr>
              <w:t>(185)</w:t>
            </w:r>
          </w:p>
        </w:tc>
      </w:tr>
      <w:tr>
        <w:trPr>
          <w:trHeight w:val="220"/>
        </w:trPr>
        <w:tc>
          <w:tcPr>
            <w:tcW w:w="47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Estimated free cash flow</w:t>
            </w:r>
          </w:p>
        </w:tc>
        <w:tc>
          <w:tcPr>
            <w:tcW w:w="220" w:type="dxa"/>
            <w:vAlign w:val="bottom"/>
            <w:tcBorders>
              <w:bottom w:val="single" w:sz="8" w:color="auto"/>
            </w:tcBorders>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DBDBDB"/>
          </w:tcPr>
          <w:p>
            <w:pPr>
              <w:jc w:val="center"/>
              <w:ind w:left="308"/>
              <w:spacing w:after="0"/>
              <w:rPr>
                <w:sz w:val="20"/>
                <w:szCs w:val="20"/>
                <w:color w:val="auto"/>
              </w:rPr>
            </w:pPr>
            <w:r>
              <w:rPr>
                <w:rFonts w:ascii="Arial" w:cs="Arial" w:eastAsia="Arial" w:hAnsi="Arial"/>
                <w:sz w:val="14"/>
                <w:szCs w:val="14"/>
                <w:color w:val="auto"/>
              </w:rPr>
              <w:t>330</w:t>
            </w:r>
          </w:p>
        </w:tc>
        <w:tc>
          <w:tcPr>
            <w:tcW w:w="80" w:type="dxa"/>
            <w:vAlign w:val="bottom"/>
          </w:tcPr>
          <w:p>
            <w:pPr>
              <w:spacing w:after="0"/>
              <w:rPr>
                <w:sz w:val="19"/>
                <w:szCs w:val="19"/>
                <w:color w:val="auto"/>
              </w:rPr>
            </w:pPr>
          </w:p>
        </w:tc>
        <w:tc>
          <w:tcPr>
            <w:tcW w:w="220" w:type="dxa"/>
            <w:vAlign w:val="bottom"/>
            <w:tcBorders>
              <w:bottom w:val="single" w:sz="8" w:color="auto"/>
            </w:tcBorders>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DBDBDB"/>
          </w:tcPr>
          <w:p>
            <w:pPr>
              <w:jc w:val="center"/>
              <w:ind w:left="308"/>
              <w:spacing w:after="0"/>
              <w:rPr>
                <w:sz w:val="20"/>
                <w:szCs w:val="20"/>
                <w:color w:val="auto"/>
              </w:rPr>
            </w:pPr>
            <w:r>
              <w:rPr>
                <w:rFonts w:ascii="Arial" w:cs="Arial" w:eastAsia="Arial" w:hAnsi="Arial"/>
                <w:sz w:val="14"/>
                <w:szCs w:val="14"/>
                <w:color w:val="auto"/>
              </w:rPr>
              <w:t>440</w:t>
            </w:r>
          </w:p>
        </w:tc>
        <w:tc>
          <w:tcPr>
            <w:tcW w:w="120" w:type="dxa"/>
            <w:vAlign w:val="bottom"/>
          </w:tcPr>
          <w:p>
            <w:pPr>
              <w:spacing w:after="0"/>
              <w:rPr>
                <w:sz w:val="19"/>
                <w:szCs w:val="19"/>
                <w:color w:val="auto"/>
              </w:rPr>
            </w:pPr>
          </w:p>
        </w:tc>
        <w:tc>
          <w:tcPr>
            <w:tcW w:w="240" w:type="dxa"/>
            <w:vAlign w:val="bottom"/>
            <w:tcBorders>
              <w:bottom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(80)</w:t>
            </w:r>
          </w:p>
        </w:tc>
        <w:tc>
          <w:tcPr>
            <w:tcW w:w="80" w:type="dxa"/>
            <w:vAlign w:val="bottom"/>
          </w:tcPr>
          <w:p>
            <w:pPr>
              <w:spacing w:after="0"/>
              <w:rPr>
                <w:sz w:val="19"/>
                <w:szCs w:val="19"/>
                <w:color w:val="auto"/>
              </w:rPr>
            </w:pPr>
          </w:p>
        </w:tc>
        <w:tc>
          <w:tcPr>
            <w:tcW w:w="220" w:type="dxa"/>
            <w:vAlign w:val="bottom"/>
            <w:tcBorders>
              <w:bottom w:val="single" w:sz="8" w:color="auto"/>
            </w:tcBorders>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(60)</w:t>
            </w:r>
          </w:p>
        </w:tc>
        <w:tc>
          <w:tcPr>
            <w:tcW w:w="140" w:type="dxa"/>
            <w:vAlign w:val="bottom"/>
          </w:tcPr>
          <w:p>
            <w:pPr>
              <w:spacing w:after="0"/>
              <w:rPr>
                <w:sz w:val="19"/>
                <w:szCs w:val="19"/>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DBDBDB"/>
          </w:tcPr>
          <w:p>
            <w:pPr>
              <w:jc w:val="center"/>
              <w:ind w:left="388"/>
              <w:spacing w:after="0"/>
              <w:rPr>
                <w:sz w:val="20"/>
                <w:szCs w:val="20"/>
                <w:color w:val="auto"/>
              </w:rPr>
            </w:pPr>
            <w:r>
              <w:rPr>
                <w:rFonts w:ascii="Arial" w:cs="Arial" w:eastAsia="Arial" w:hAnsi="Arial"/>
                <w:sz w:val="14"/>
                <w:szCs w:val="14"/>
                <w:color w:val="auto"/>
              </w:rPr>
              <w:t>410</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DBDBDB"/>
          </w:tcPr>
          <w:p>
            <w:pPr>
              <w:jc w:val="center"/>
              <w:ind w:left="348"/>
              <w:spacing w:after="0"/>
              <w:rPr>
                <w:sz w:val="20"/>
                <w:szCs w:val="20"/>
                <w:color w:val="auto"/>
              </w:rPr>
            </w:pPr>
            <w:r>
              <w:rPr>
                <w:rFonts w:ascii="Arial" w:cs="Arial" w:eastAsia="Arial" w:hAnsi="Arial"/>
                <w:sz w:val="14"/>
                <w:szCs w:val="14"/>
                <w:color w:val="auto"/>
              </w:rPr>
              <w:t>500</w:t>
            </w:r>
          </w:p>
        </w:tc>
      </w:tr>
      <w:tr>
        <w:trPr>
          <w:trHeight w:val="20"/>
        </w:trPr>
        <w:tc>
          <w:tcPr>
            <w:tcW w:w="47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242424"/>
              </w:rPr>
              <w:t>1Q23 Estimated</w:t>
            </w:r>
          </w:p>
        </w:tc>
        <w:tc>
          <w:tcPr>
            <w:tcW w:w="3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196"/>
        </w:trPr>
        <w:tc>
          <w:tcPr>
            <w:tcW w:w="4780" w:type="dxa"/>
            <w:vAlign w:val="bottom"/>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1860" w:type="dxa"/>
            <w:vAlign w:val="bottom"/>
            <w:tcBorders>
              <w:bottom w:val="single" w:sz="8" w:color="auto"/>
            </w:tcBorders>
            <w:gridSpan w:val="4"/>
            <w:shd w:val="clear" w:color="auto" w:fill="DBDBDB"/>
          </w:tcPr>
          <w:p>
            <w:pPr>
              <w:jc w:val="right"/>
              <w:ind w:right="528"/>
              <w:spacing w:after="0"/>
              <w:rPr>
                <w:sz w:val="20"/>
                <w:szCs w:val="20"/>
                <w:color w:val="auto"/>
              </w:rPr>
            </w:pPr>
            <w:r>
              <w:rPr>
                <w:rFonts w:ascii="Arial" w:cs="Arial" w:eastAsia="Arial" w:hAnsi="Arial"/>
                <w:sz w:val="14"/>
                <w:szCs w:val="14"/>
                <w:b w:val="1"/>
                <w:bCs w:val="1"/>
                <w:color w:val="242424"/>
              </w:rPr>
              <w:t>Consolidated</w:t>
            </w:r>
          </w:p>
        </w:tc>
        <w:tc>
          <w:tcPr>
            <w:tcW w:w="120" w:type="dxa"/>
            <w:vAlign w:val="bottom"/>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1500" w:type="dxa"/>
            <w:vAlign w:val="bottom"/>
            <w:tcBorders>
              <w:bottom w:val="single" w:sz="8" w:color="auto"/>
            </w:tcBorders>
            <w:gridSpan w:val="3"/>
            <w:shd w:val="clear" w:color="auto" w:fill="DBDBDB"/>
          </w:tcPr>
          <w:p>
            <w:pPr>
              <w:jc w:val="right"/>
              <w:ind w:right="468"/>
              <w:spacing w:after="0"/>
              <w:rPr>
                <w:sz w:val="20"/>
                <w:szCs w:val="20"/>
                <w:color w:val="auto"/>
              </w:rPr>
            </w:pPr>
            <w:r>
              <w:rPr>
                <w:rFonts w:ascii="Arial" w:cs="Arial" w:eastAsia="Arial" w:hAnsi="Arial"/>
                <w:sz w:val="14"/>
                <w:szCs w:val="14"/>
                <w:b w:val="1"/>
                <w:bCs w:val="1"/>
                <w:color w:val="242424"/>
              </w:rPr>
              <w:t>CMB</w:t>
            </w:r>
          </w:p>
        </w:tc>
        <w:tc>
          <w:tcPr>
            <w:tcW w:w="320" w:type="dxa"/>
            <w:vAlign w:val="bottom"/>
            <w:tcBorders>
              <w:bottom w:val="single" w:sz="8" w:color="auto"/>
            </w:tcBorders>
            <w:shd w:val="clear" w:color="auto" w:fill="DBDBDB"/>
          </w:tcPr>
          <w:p>
            <w:pPr>
              <w:spacing w:after="0"/>
              <w:rPr>
                <w:sz w:val="17"/>
                <w:szCs w:val="17"/>
                <w:color w:val="auto"/>
              </w:rPr>
            </w:pPr>
          </w:p>
        </w:tc>
        <w:tc>
          <w:tcPr>
            <w:tcW w:w="140" w:type="dxa"/>
            <w:vAlign w:val="bottom"/>
          </w:tcPr>
          <w:p>
            <w:pPr>
              <w:spacing w:after="0"/>
              <w:rPr>
                <w:sz w:val="17"/>
                <w:szCs w:val="17"/>
                <w:color w:val="auto"/>
              </w:rPr>
            </w:pPr>
          </w:p>
        </w:tc>
        <w:tc>
          <w:tcPr>
            <w:tcW w:w="2060" w:type="dxa"/>
            <w:vAlign w:val="bottom"/>
            <w:tcBorders>
              <w:bottom w:val="single" w:sz="8" w:color="auto"/>
            </w:tcBorders>
            <w:gridSpan w:val="5"/>
            <w:shd w:val="clear" w:color="auto" w:fill="DBDBDB"/>
          </w:tcPr>
          <w:p>
            <w:pPr>
              <w:jc w:val="right"/>
              <w:ind w:right="148"/>
              <w:spacing w:after="0"/>
              <w:rPr>
                <w:sz w:val="20"/>
                <w:szCs w:val="20"/>
                <w:color w:val="auto"/>
              </w:rPr>
            </w:pPr>
            <w:r>
              <w:rPr>
                <w:rFonts w:ascii="Arial" w:cs="Arial" w:eastAsia="Arial" w:hAnsi="Arial"/>
                <w:sz w:val="14"/>
                <w:szCs w:val="14"/>
                <w:b w:val="1"/>
                <w:bCs w:val="1"/>
                <w:color w:val="242424"/>
              </w:rPr>
              <w:t>E&amp;P, Corporate &amp; Other</w:t>
            </w:r>
          </w:p>
        </w:tc>
      </w:tr>
      <w:tr>
        <w:trPr>
          <w:trHeight w:val="193"/>
        </w:trPr>
        <w:tc>
          <w:tcPr>
            <w:tcW w:w="4780" w:type="dxa"/>
            <w:vAlign w:val="bottom"/>
            <w:tcBorders>
              <w:bottom w:val="single" w:sz="8" w:color="DBDBDB"/>
            </w:tcBorders>
          </w:tcPr>
          <w:p>
            <w:pPr>
              <w:ind w:left="20"/>
              <w:spacing w:after="0"/>
              <w:rPr>
                <w:sz w:val="20"/>
                <w:szCs w:val="20"/>
                <w:color w:val="auto"/>
              </w:rPr>
            </w:pPr>
            <w:r>
              <w:rPr>
                <w:rFonts w:ascii="Arial" w:cs="Arial" w:eastAsia="Arial" w:hAnsi="Arial"/>
                <w:sz w:val="13"/>
                <w:szCs w:val="13"/>
                <w:i w:val="1"/>
                <w:iCs w:val="1"/>
                <w:color w:val="auto"/>
              </w:rPr>
              <w:t>($ millions)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Low</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High</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Low</w:t>
            </w:r>
          </w:p>
        </w:tc>
        <w:tc>
          <w:tcPr>
            <w:tcW w:w="8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High</w:t>
            </w:r>
          </w:p>
        </w:tc>
        <w:tc>
          <w:tcPr>
            <w:tcW w:w="3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Low</w:t>
            </w:r>
          </w:p>
        </w:tc>
        <w:tc>
          <w:tcPr>
            <w:tcW w:w="3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High</w:t>
            </w:r>
          </w:p>
        </w:tc>
      </w:tr>
      <w:tr>
        <w:trPr>
          <w:trHeight w:val="200"/>
        </w:trPr>
        <w:tc>
          <w:tcPr>
            <w:tcW w:w="4780" w:type="dxa"/>
            <w:vAlign w:val="bottom"/>
            <w:shd w:val="clear" w:color="auto" w:fill="DBDBDB"/>
          </w:tcPr>
          <w:p>
            <w:pPr>
              <w:ind w:left="20"/>
              <w:spacing w:after="0"/>
              <w:rPr>
                <w:sz w:val="20"/>
                <w:szCs w:val="20"/>
                <w:color w:val="auto"/>
              </w:rPr>
            </w:pPr>
            <w:r>
              <w:rPr>
                <w:rFonts w:ascii="Arial" w:cs="Arial" w:eastAsia="Arial" w:hAnsi="Arial"/>
                <w:sz w:val="14"/>
                <w:szCs w:val="14"/>
                <w:color w:val="auto"/>
              </w:rPr>
              <w:t>Net cash provided (used) by operating activities</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220</w:t>
            </w:r>
          </w:p>
        </w:tc>
        <w:tc>
          <w:tcPr>
            <w:tcW w:w="80" w:type="dxa"/>
            <w:vAlign w:val="bottom"/>
          </w:tcPr>
          <w:p>
            <w:pPr>
              <w:spacing w:after="0"/>
              <w:rPr>
                <w:sz w:val="17"/>
                <w:szCs w:val="17"/>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237</w:t>
            </w:r>
          </w:p>
        </w:tc>
        <w:tc>
          <w:tcPr>
            <w:tcW w:w="120" w:type="dxa"/>
            <w:vAlign w:val="bottom"/>
          </w:tcPr>
          <w:p>
            <w:pPr>
              <w:spacing w:after="0"/>
              <w:rPr>
                <w:sz w:val="17"/>
                <w:szCs w:val="17"/>
                <w:color w:val="auto"/>
              </w:rPr>
            </w:pP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7"/>
                <w:szCs w:val="17"/>
                <w:color w:val="auto"/>
              </w:rPr>
            </w:pPr>
          </w:p>
        </w:tc>
        <w:tc>
          <w:tcPr>
            <w:tcW w:w="660" w:type="dxa"/>
            <w:vAlign w:val="bottom"/>
            <w:shd w:val="clear" w:color="auto" w:fill="DBDBDB"/>
          </w:tcPr>
          <w:p>
            <w:pPr>
              <w:jc w:val="right"/>
              <w:ind w:right="488"/>
              <w:spacing w:after="0"/>
              <w:rPr>
                <w:sz w:val="20"/>
                <w:szCs w:val="20"/>
                <w:color w:val="auto"/>
              </w:rPr>
            </w:pPr>
            <w:r>
              <w:rPr>
                <w:rFonts w:ascii="Arial" w:cs="Arial" w:eastAsia="Arial" w:hAnsi="Arial"/>
                <w:sz w:val="14"/>
                <w:szCs w:val="14"/>
                <w:color w:val="auto"/>
              </w:rPr>
              <w:t>$</w:t>
            </w:r>
          </w:p>
        </w:tc>
        <w:tc>
          <w:tcPr>
            <w:tcW w:w="3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w:t>
            </w:r>
          </w:p>
        </w:tc>
        <w:tc>
          <w:tcPr>
            <w:tcW w:w="140" w:type="dxa"/>
            <w:vAlign w:val="bottom"/>
          </w:tcPr>
          <w:p>
            <w:pPr>
              <w:spacing w:after="0"/>
              <w:rPr>
                <w:sz w:val="17"/>
                <w:szCs w:val="17"/>
                <w:color w:val="auto"/>
              </w:rPr>
            </w:pPr>
          </w:p>
        </w:tc>
        <w:tc>
          <w:tcPr>
            <w:tcW w:w="640" w:type="dxa"/>
            <w:vAlign w:val="bottom"/>
            <w:shd w:val="clear" w:color="auto" w:fill="DBDBDB"/>
          </w:tcPr>
          <w:p>
            <w:pPr>
              <w:jc w:val="right"/>
              <w:ind w:right="468"/>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240</w:t>
            </w:r>
          </w:p>
        </w:tc>
        <w:tc>
          <w:tcPr>
            <w:tcW w:w="80" w:type="dxa"/>
            <w:vAlign w:val="bottom"/>
          </w:tcPr>
          <w:p>
            <w:pPr>
              <w:spacing w:after="0"/>
              <w:rPr>
                <w:sz w:val="17"/>
                <w:szCs w:val="17"/>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250</w:t>
            </w:r>
          </w:p>
        </w:tc>
      </w:tr>
      <w:tr>
        <w:trPr>
          <w:trHeight w:val="198"/>
        </w:trPr>
        <w:tc>
          <w:tcPr>
            <w:tcW w:w="47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Capital investments</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r>
      <w:tr>
        <w:trPr>
          <w:trHeight w:val="220"/>
        </w:trPr>
        <w:tc>
          <w:tcPr>
            <w:tcW w:w="47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Estimated free cash flow</w:t>
            </w:r>
          </w:p>
        </w:tc>
        <w:tc>
          <w:tcPr>
            <w:tcW w:w="220" w:type="dxa"/>
            <w:vAlign w:val="bottom"/>
            <w:tcBorders>
              <w:bottom w:val="single" w:sz="8" w:color="auto"/>
            </w:tcBorders>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151</w:t>
            </w:r>
          </w:p>
        </w:tc>
        <w:tc>
          <w:tcPr>
            <w:tcW w:w="80" w:type="dxa"/>
            <w:vAlign w:val="bottom"/>
          </w:tcPr>
          <w:p>
            <w:pPr>
              <w:spacing w:after="0"/>
              <w:rPr>
                <w:sz w:val="19"/>
                <w:szCs w:val="19"/>
                <w:color w:val="auto"/>
              </w:rPr>
            </w:pPr>
          </w:p>
        </w:tc>
        <w:tc>
          <w:tcPr>
            <w:tcW w:w="220" w:type="dxa"/>
            <w:vAlign w:val="bottom"/>
            <w:tcBorders>
              <w:bottom w:val="single" w:sz="8" w:color="auto"/>
            </w:tcBorders>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19"/>
                <w:szCs w:val="19"/>
                <w:color w:val="auto"/>
              </w:rPr>
            </w:pPr>
          </w:p>
        </w:tc>
        <w:tc>
          <w:tcPr>
            <w:tcW w:w="240" w:type="dxa"/>
            <w:vAlign w:val="bottom"/>
            <w:tcBorders>
              <w:bottom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9"/>
                <w:szCs w:val="19"/>
                <w:color w:val="auto"/>
              </w:rPr>
            </w:pPr>
          </w:p>
        </w:tc>
        <w:tc>
          <w:tcPr>
            <w:tcW w:w="660" w:type="dxa"/>
            <w:vAlign w:val="bottom"/>
            <w:tcBorders>
              <w:bottom w:val="single" w:sz="8" w:color="auto"/>
            </w:tcBorders>
            <w:shd w:val="clear" w:color="auto" w:fill="DBDBDB"/>
          </w:tcPr>
          <w:p>
            <w:pPr>
              <w:jc w:val="right"/>
              <w:ind w:right="4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9"/>
                <w:szCs w:val="19"/>
                <w:color w:val="auto"/>
              </w:rPr>
            </w:pPr>
          </w:p>
        </w:tc>
        <w:tc>
          <w:tcPr>
            <w:tcW w:w="640" w:type="dxa"/>
            <w:vAlign w:val="bottom"/>
            <w:tcBorders>
              <w:bottom w:val="single" w:sz="8" w:color="auto"/>
            </w:tcBorders>
            <w:shd w:val="clear" w:color="auto" w:fill="DBDBDB"/>
          </w:tcPr>
          <w:p>
            <w:pPr>
              <w:jc w:val="right"/>
              <w:ind w:right="4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175</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195</w:t>
            </w:r>
          </w:p>
        </w:tc>
      </w:tr>
      <w:tr>
        <w:trPr>
          <w:trHeight w:val="20"/>
        </w:trPr>
        <w:tc>
          <w:tcPr>
            <w:tcW w:w="47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DBDBDB"/>
              <w:bottom w:val="single" w:sz="8" w:color="auto"/>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25</w:t>
      </w:r>
    </w:p>
    <w:p>
      <w:pPr>
        <w:sectPr>
          <w:pgSz w:w="11900" w:h="16838" w:orient="portrait"/>
          <w:cols w:equalWidth="0" w:num="1">
            <w:col w:w="11240"/>
          </w:cols>
          <w:pgMar w:left="320" w:top="1267" w:right="3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196"/>
        </w:trPr>
        <w:tc>
          <w:tcPr>
            <w:tcW w:w="6140" w:type="dxa"/>
            <w:vAlign w:val="bottom"/>
            <w:gridSpan w:val="5"/>
          </w:tcPr>
          <w:p>
            <w:pPr>
              <w:spacing w:after="0"/>
              <w:rPr>
                <w:sz w:val="20"/>
                <w:szCs w:val="20"/>
                <w:color w:val="auto"/>
              </w:rPr>
            </w:pPr>
            <w:r>
              <w:rPr>
                <w:rFonts w:ascii="Arial" w:cs="Arial" w:eastAsia="Arial" w:hAnsi="Arial"/>
                <w:sz w:val="14"/>
                <w:szCs w:val="14"/>
                <w:b w:val="1"/>
                <w:bCs w:val="1"/>
                <w:color w:val="auto"/>
              </w:rPr>
              <w:t>ESTIMATED ADJUSTED GENERAL AND ADMINISTRATIVE EXPENSES RECONCILIATION</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7"/>
        </w:trPr>
        <w:tc>
          <w:tcPr>
            <w:tcW w:w="47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2023 Estimated</w:t>
            </w: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196"/>
        </w:trPr>
        <w:tc>
          <w:tcPr>
            <w:tcW w:w="4780" w:type="dxa"/>
            <w:vAlign w:val="bottom"/>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1860" w:type="dxa"/>
            <w:vAlign w:val="bottom"/>
            <w:tcBorders>
              <w:bottom w:val="single" w:sz="8" w:color="auto"/>
            </w:tcBorders>
            <w:gridSpan w:val="4"/>
            <w:shd w:val="clear" w:color="auto" w:fill="DBDBDB"/>
          </w:tcPr>
          <w:p>
            <w:pPr>
              <w:jc w:val="right"/>
              <w:ind w:right="528"/>
              <w:spacing w:after="0"/>
              <w:rPr>
                <w:sz w:val="20"/>
                <w:szCs w:val="20"/>
                <w:color w:val="auto"/>
              </w:rPr>
            </w:pPr>
            <w:r>
              <w:rPr>
                <w:rFonts w:ascii="Arial" w:cs="Arial" w:eastAsia="Arial" w:hAnsi="Arial"/>
                <w:sz w:val="14"/>
                <w:szCs w:val="14"/>
                <w:b w:val="1"/>
                <w:bCs w:val="1"/>
                <w:color w:val="auto"/>
              </w:rPr>
              <w:t>Consolidated</w:t>
            </w:r>
          </w:p>
        </w:tc>
        <w:tc>
          <w:tcPr>
            <w:tcW w:w="120" w:type="dxa"/>
            <w:vAlign w:val="bottom"/>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1540" w:type="dxa"/>
            <w:vAlign w:val="bottom"/>
            <w:tcBorders>
              <w:bottom w:val="single" w:sz="8" w:color="auto"/>
            </w:tcBorders>
            <w:gridSpan w:val="3"/>
            <w:shd w:val="clear" w:color="auto" w:fill="DBDBDB"/>
          </w:tcPr>
          <w:p>
            <w:pPr>
              <w:jc w:val="right"/>
              <w:ind w:right="508"/>
              <w:spacing w:after="0"/>
              <w:rPr>
                <w:sz w:val="20"/>
                <w:szCs w:val="20"/>
                <w:color w:val="auto"/>
              </w:rPr>
            </w:pPr>
            <w:r>
              <w:rPr>
                <w:rFonts w:ascii="Arial" w:cs="Arial" w:eastAsia="Arial" w:hAnsi="Arial"/>
                <w:sz w:val="14"/>
                <w:szCs w:val="14"/>
                <w:b w:val="1"/>
                <w:bCs w:val="1"/>
                <w:color w:val="auto"/>
              </w:rPr>
              <w:t>CMB</w:t>
            </w:r>
          </w:p>
        </w:tc>
        <w:tc>
          <w:tcPr>
            <w:tcW w:w="280" w:type="dxa"/>
            <w:vAlign w:val="bottom"/>
            <w:tcBorders>
              <w:bottom w:val="single" w:sz="8" w:color="auto"/>
            </w:tcBorders>
            <w:shd w:val="clear" w:color="auto" w:fill="DBDBDB"/>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900" w:type="dxa"/>
            <w:vAlign w:val="bottom"/>
            <w:tcBorders>
              <w:bottom w:val="single" w:sz="8" w:color="auto"/>
            </w:tcBorders>
            <w:gridSpan w:val="4"/>
            <w:shd w:val="clear" w:color="auto" w:fill="DBDBDB"/>
          </w:tcPr>
          <w:p>
            <w:pPr>
              <w:jc w:val="right"/>
              <w:ind w:right="148"/>
              <w:spacing w:after="0"/>
              <w:rPr>
                <w:sz w:val="20"/>
                <w:szCs w:val="20"/>
                <w:color w:val="auto"/>
              </w:rPr>
            </w:pPr>
            <w:r>
              <w:rPr>
                <w:rFonts w:ascii="Arial" w:cs="Arial" w:eastAsia="Arial" w:hAnsi="Arial"/>
                <w:sz w:val="14"/>
                <w:szCs w:val="14"/>
                <w:b w:val="1"/>
                <w:bCs w:val="1"/>
                <w:color w:val="auto"/>
              </w:rPr>
              <w:t>E&amp;P, Corporate &amp; Other</w:t>
            </w:r>
          </w:p>
        </w:tc>
      </w:tr>
      <w:tr>
        <w:trPr>
          <w:trHeight w:val="193"/>
        </w:trPr>
        <w:tc>
          <w:tcPr>
            <w:tcW w:w="4780" w:type="dxa"/>
            <w:vAlign w:val="bottom"/>
            <w:tcBorders>
              <w:bottom w:val="single" w:sz="8" w:color="DBDBDB"/>
            </w:tcBorders>
          </w:tcPr>
          <w:p>
            <w:pPr>
              <w:ind w:left="20"/>
              <w:spacing w:after="0"/>
              <w:rPr>
                <w:sz w:val="20"/>
                <w:szCs w:val="20"/>
                <w:color w:val="auto"/>
              </w:rPr>
            </w:pPr>
            <w:r>
              <w:rPr>
                <w:rFonts w:ascii="Arial" w:cs="Arial" w:eastAsia="Arial" w:hAnsi="Arial"/>
                <w:sz w:val="13"/>
                <w:szCs w:val="13"/>
                <w:i w:val="1"/>
                <w:iCs w:val="1"/>
                <w:color w:val="auto"/>
              </w:rPr>
              <w:t>($ millions)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Low</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High</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Low</w:t>
            </w: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High</w:t>
            </w:r>
          </w:p>
        </w:tc>
        <w:tc>
          <w:tcPr>
            <w:tcW w:w="2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Low</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High</w:t>
            </w:r>
          </w:p>
        </w:tc>
      </w:tr>
      <w:tr>
        <w:trPr>
          <w:trHeight w:val="200"/>
        </w:trPr>
        <w:tc>
          <w:tcPr>
            <w:tcW w:w="4780" w:type="dxa"/>
            <w:vAlign w:val="bottom"/>
            <w:shd w:val="clear" w:color="auto" w:fill="DBDBDB"/>
          </w:tcPr>
          <w:p>
            <w:pPr>
              <w:ind w:left="20"/>
              <w:spacing w:after="0"/>
              <w:rPr>
                <w:sz w:val="20"/>
                <w:szCs w:val="20"/>
                <w:color w:val="auto"/>
              </w:rPr>
            </w:pPr>
            <w:r>
              <w:rPr>
                <w:rFonts w:ascii="Arial" w:cs="Arial" w:eastAsia="Arial" w:hAnsi="Arial"/>
                <w:sz w:val="14"/>
                <w:szCs w:val="14"/>
                <w:color w:val="auto"/>
              </w:rPr>
              <w:t>General and administrative expenses</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235</w:t>
            </w:r>
          </w:p>
        </w:tc>
        <w:tc>
          <w:tcPr>
            <w:tcW w:w="80" w:type="dxa"/>
            <w:vAlign w:val="bottom"/>
          </w:tcPr>
          <w:p>
            <w:pPr>
              <w:spacing w:after="0"/>
              <w:rPr>
                <w:sz w:val="17"/>
                <w:szCs w:val="17"/>
                <w:color w:val="auto"/>
              </w:rPr>
            </w:pPr>
          </w:p>
        </w:tc>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7"/>
                <w:szCs w:val="17"/>
                <w:color w:val="auto"/>
              </w:rPr>
            </w:pP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7"/>
                <w:szCs w:val="17"/>
                <w:color w:val="auto"/>
              </w:rPr>
            </w:pPr>
          </w:p>
        </w:tc>
        <w:tc>
          <w:tcPr>
            <w:tcW w:w="700" w:type="dxa"/>
            <w:vAlign w:val="bottom"/>
            <w:shd w:val="clear" w:color="auto" w:fill="DBDBDB"/>
          </w:tcPr>
          <w:p>
            <w:pPr>
              <w:jc w:val="right"/>
              <w:ind w:right="528"/>
              <w:spacing w:after="0"/>
              <w:rPr>
                <w:sz w:val="20"/>
                <w:szCs w:val="20"/>
                <w:color w:val="auto"/>
              </w:rPr>
            </w:pPr>
            <w:r>
              <w:rPr>
                <w:rFonts w:ascii="Arial" w:cs="Arial" w:eastAsia="Arial" w:hAnsi="Arial"/>
                <w:sz w:val="14"/>
                <w:szCs w:val="14"/>
                <w:color w:val="auto"/>
              </w:rPr>
              <w:t>$</w:t>
            </w:r>
          </w:p>
        </w:tc>
        <w:tc>
          <w:tcPr>
            <w:tcW w:w="2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225</w:t>
            </w:r>
          </w:p>
        </w:tc>
        <w:tc>
          <w:tcPr>
            <w:tcW w:w="80" w:type="dxa"/>
            <w:vAlign w:val="bottom"/>
          </w:tcPr>
          <w:p>
            <w:pPr>
              <w:spacing w:after="0"/>
              <w:rPr>
                <w:sz w:val="17"/>
                <w:szCs w:val="17"/>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235</w:t>
            </w:r>
          </w:p>
        </w:tc>
      </w:tr>
      <w:tr>
        <w:trPr>
          <w:trHeight w:val="198"/>
        </w:trPr>
        <w:tc>
          <w:tcPr>
            <w:tcW w:w="4780" w:type="dxa"/>
            <w:vAlign w:val="bottom"/>
          </w:tcPr>
          <w:p>
            <w:pPr>
              <w:ind w:left="20"/>
              <w:spacing w:after="0"/>
              <w:rPr>
                <w:sz w:val="20"/>
                <w:szCs w:val="20"/>
                <w:color w:val="auto"/>
              </w:rPr>
            </w:pPr>
            <w:r>
              <w:rPr>
                <w:rFonts w:ascii="Arial" w:cs="Arial" w:eastAsia="Arial" w:hAnsi="Arial"/>
                <w:sz w:val="14"/>
                <w:szCs w:val="14"/>
                <w:color w:val="auto"/>
              </w:rPr>
              <w:t>Equity-settled stock-based compensation</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03"/>
        </w:trPr>
        <w:tc>
          <w:tcPr>
            <w:tcW w:w="4780" w:type="dxa"/>
            <w:vAlign w:val="bottom"/>
            <w:shd w:val="clear" w:color="auto" w:fill="DBDBDB"/>
          </w:tcPr>
          <w:p>
            <w:pPr>
              <w:ind w:left="2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shd w:val="clear" w:color="auto" w:fill="DBDBDB"/>
          </w:tcPr>
          <w:p>
            <w:pPr>
              <w:spacing w:after="0"/>
              <w:rPr>
                <w:sz w:val="17"/>
                <w:szCs w:val="17"/>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7"/>
                <w:szCs w:val="17"/>
                <w:color w:val="auto"/>
              </w:rPr>
            </w:pPr>
          </w:p>
        </w:tc>
        <w:tc>
          <w:tcPr>
            <w:tcW w:w="280" w:type="dxa"/>
            <w:vAlign w:val="bottom"/>
            <w:tcBorders>
              <w:bottom w:val="single" w:sz="8" w:color="auto"/>
            </w:tcBorders>
            <w:shd w:val="clear" w:color="auto" w:fill="DBDBDB"/>
          </w:tcPr>
          <w:p>
            <w:pPr>
              <w:spacing w:after="0"/>
              <w:rPr>
                <w:sz w:val="17"/>
                <w:szCs w:val="17"/>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bottom w:val="single" w:sz="8" w:color="auto"/>
            </w:tcBorders>
            <w:shd w:val="clear" w:color="auto" w:fill="DBDBDB"/>
          </w:tcPr>
          <w:p>
            <w:pPr>
              <w:spacing w:after="0"/>
              <w:rPr>
                <w:sz w:val="17"/>
                <w:szCs w:val="17"/>
                <w:color w:val="auto"/>
              </w:rPr>
            </w:pPr>
          </w:p>
        </w:tc>
        <w:tc>
          <w:tcPr>
            <w:tcW w:w="280" w:type="dxa"/>
            <w:vAlign w:val="bottom"/>
            <w:tcBorders>
              <w:bottom w:val="single" w:sz="8" w:color="auto"/>
            </w:tcBorders>
            <w:shd w:val="clear" w:color="auto" w:fill="DBDBDB"/>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w:t>
            </w:r>
          </w:p>
        </w:tc>
      </w:tr>
      <w:tr>
        <w:trPr>
          <w:trHeight w:val="200"/>
        </w:trPr>
        <w:tc>
          <w:tcPr>
            <w:tcW w:w="4780" w:type="dxa"/>
            <w:vAlign w:val="bottom"/>
          </w:tcPr>
          <w:p>
            <w:pPr>
              <w:ind w:left="20"/>
              <w:spacing w:after="0"/>
              <w:rPr>
                <w:sz w:val="20"/>
                <w:szCs w:val="20"/>
                <w:color w:val="auto"/>
              </w:rPr>
            </w:pPr>
            <w:r>
              <w:rPr>
                <w:rFonts w:ascii="Arial" w:cs="Arial" w:eastAsia="Arial" w:hAnsi="Arial"/>
                <w:sz w:val="14"/>
                <w:szCs w:val="14"/>
                <w:b w:val="1"/>
                <w:bCs w:val="1"/>
                <w:color w:val="auto"/>
              </w:rPr>
              <w:t>Estimated adjusted general and administrative expenses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195</w:t>
            </w:r>
          </w:p>
        </w:tc>
        <w:tc>
          <w:tcPr>
            <w:tcW w:w="3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225</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780" w:type="dxa"/>
            <w:vAlign w:val="bottom"/>
            <w:gridSpan w:val="2"/>
          </w:tcPr>
          <w:p>
            <w:pPr>
              <w:jc w:val="right"/>
              <w:ind w:right="528"/>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15</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185</w:t>
            </w: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210</w:t>
            </w:r>
          </w:p>
        </w:tc>
      </w:tr>
      <w:tr>
        <w:trPr>
          <w:trHeight w:val="21"/>
        </w:trPr>
        <w:tc>
          <w:tcPr>
            <w:tcW w:w="4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1Q23 Estimated</w:t>
            </w: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196"/>
        </w:trPr>
        <w:tc>
          <w:tcPr>
            <w:tcW w:w="4780" w:type="dxa"/>
            <w:vAlign w:val="bottom"/>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1860" w:type="dxa"/>
            <w:vAlign w:val="bottom"/>
            <w:tcBorders>
              <w:bottom w:val="single" w:sz="8" w:color="auto"/>
            </w:tcBorders>
            <w:gridSpan w:val="4"/>
            <w:shd w:val="clear" w:color="auto" w:fill="DBDBDB"/>
          </w:tcPr>
          <w:p>
            <w:pPr>
              <w:jc w:val="right"/>
              <w:ind w:right="528"/>
              <w:spacing w:after="0"/>
              <w:rPr>
                <w:sz w:val="20"/>
                <w:szCs w:val="20"/>
                <w:color w:val="auto"/>
              </w:rPr>
            </w:pPr>
            <w:r>
              <w:rPr>
                <w:rFonts w:ascii="Arial" w:cs="Arial" w:eastAsia="Arial" w:hAnsi="Arial"/>
                <w:sz w:val="14"/>
                <w:szCs w:val="14"/>
                <w:b w:val="1"/>
                <w:bCs w:val="1"/>
                <w:color w:val="auto"/>
              </w:rPr>
              <w:t>Consolidated</w:t>
            </w:r>
          </w:p>
        </w:tc>
        <w:tc>
          <w:tcPr>
            <w:tcW w:w="120" w:type="dxa"/>
            <w:vAlign w:val="bottom"/>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1580" w:type="dxa"/>
            <w:vAlign w:val="bottom"/>
            <w:tcBorders>
              <w:bottom w:val="single" w:sz="8" w:color="auto"/>
            </w:tcBorders>
            <w:gridSpan w:val="3"/>
            <w:shd w:val="clear" w:color="auto" w:fill="DBDBDB"/>
          </w:tcPr>
          <w:p>
            <w:pPr>
              <w:jc w:val="right"/>
              <w:ind w:right="548"/>
              <w:spacing w:after="0"/>
              <w:rPr>
                <w:sz w:val="20"/>
                <w:szCs w:val="20"/>
                <w:color w:val="auto"/>
              </w:rPr>
            </w:pPr>
            <w:r>
              <w:rPr>
                <w:rFonts w:ascii="Arial" w:cs="Arial" w:eastAsia="Arial" w:hAnsi="Arial"/>
                <w:sz w:val="14"/>
                <w:szCs w:val="14"/>
                <w:b w:val="1"/>
                <w:bCs w:val="1"/>
                <w:color w:val="auto"/>
              </w:rPr>
              <w:t>CMB</w:t>
            </w:r>
          </w:p>
        </w:tc>
        <w:tc>
          <w:tcPr>
            <w:tcW w:w="240" w:type="dxa"/>
            <w:vAlign w:val="bottom"/>
            <w:tcBorders>
              <w:bottom w:val="single" w:sz="8" w:color="auto"/>
            </w:tcBorders>
            <w:shd w:val="clear" w:color="auto" w:fill="DBDBDB"/>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900" w:type="dxa"/>
            <w:vAlign w:val="bottom"/>
            <w:tcBorders>
              <w:bottom w:val="single" w:sz="8" w:color="auto"/>
            </w:tcBorders>
            <w:gridSpan w:val="4"/>
            <w:shd w:val="clear" w:color="auto" w:fill="DBDBDB"/>
          </w:tcPr>
          <w:p>
            <w:pPr>
              <w:jc w:val="right"/>
              <w:ind w:right="148"/>
              <w:spacing w:after="0"/>
              <w:rPr>
                <w:sz w:val="20"/>
                <w:szCs w:val="20"/>
                <w:color w:val="auto"/>
              </w:rPr>
            </w:pPr>
            <w:r>
              <w:rPr>
                <w:rFonts w:ascii="Arial" w:cs="Arial" w:eastAsia="Arial" w:hAnsi="Arial"/>
                <w:sz w:val="14"/>
                <w:szCs w:val="14"/>
                <w:b w:val="1"/>
                <w:bCs w:val="1"/>
                <w:color w:val="auto"/>
              </w:rPr>
              <w:t>E&amp;P, Corporate &amp; Other</w:t>
            </w:r>
          </w:p>
        </w:tc>
      </w:tr>
      <w:tr>
        <w:trPr>
          <w:trHeight w:val="193"/>
        </w:trPr>
        <w:tc>
          <w:tcPr>
            <w:tcW w:w="4780" w:type="dxa"/>
            <w:vAlign w:val="bottom"/>
            <w:tcBorders>
              <w:bottom w:val="single" w:sz="8" w:color="DBDBDB"/>
            </w:tcBorders>
          </w:tcPr>
          <w:p>
            <w:pPr>
              <w:ind w:left="20"/>
              <w:spacing w:after="0"/>
              <w:rPr>
                <w:sz w:val="20"/>
                <w:szCs w:val="20"/>
                <w:color w:val="auto"/>
              </w:rPr>
            </w:pPr>
            <w:r>
              <w:rPr>
                <w:rFonts w:ascii="Arial" w:cs="Arial" w:eastAsia="Arial" w:hAnsi="Arial"/>
                <w:sz w:val="13"/>
                <w:szCs w:val="13"/>
                <w:i w:val="1"/>
                <w:iCs w:val="1"/>
                <w:color w:val="auto"/>
              </w:rPr>
              <w:t>($ millions)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Low</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High</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Low</w:t>
            </w: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High</w:t>
            </w:r>
          </w:p>
        </w:tc>
        <w:tc>
          <w:tcPr>
            <w:tcW w:w="2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Low</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High</w:t>
            </w:r>
          </w:p>
        </w:tc>
      </w:tr>
      <w:tr>
        <w:trPr>
          <w:trHeight w:val="200"/>
        </w:trPr>
        <w:tc>
          <w:tcPr>
            <w:tcW w:w="4780" w:type="dxa"/>
            <w:vAlign w:val="bottom"/>
            <w:shd w:val="clear" w:color="auto" w:fill="DBDBDB"/>
          </w:tcPr>
          <w:p>
            <w:pPr>
              <w:ind w:left="20"/>
              <w:spacing w:after="0"/>
              <w:rPr>
                <w:sz w:val="20"/>
                <w:szCs w:val="20"/>
                <w:color w:val="auto"/>
              </w:rPr>
            </w:pPr>
            <w:r>
              <w:rPr>
                <w:rFonts w:ascii="Arial" w:cs="Arial" w:eastAsia="Arial" w:hAnsi="Arial"/>
                <w:sz w:val="14"/>
                <w:szCs w:val="14"/>
                <w:color w:val="auto"/>
              </w:rPr>
              <w:t>General and administrative expenses</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17"/>
                <w:szCs w:val="17"/>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7"/>
                <w:szCs w:val="17"/>
                <w:color w:val="auto"/>
              </w:rPr>
            </w:pP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740" w:type="dxa"/>
            <w:vAlign w:val="bottom"/>
            <w:shd w:val="clear" w:color="auto" w:fill="DBDBDB"/>
          </w:tcPr>
          <w:p>
            <w:pPr>
              <w:jc w:val="right"/>
              <w:ind w:right="568"/>
              <w:spacing w:after="0"/>
              <w:rPr>
                <w:sz w:val="20"/>
                <w:szCs w:val="20"/>
                <w:color w:val="auto"/>
              </w:rPr>
            </w:pPr>
            <w:r>
              <w:rPr>
                <w:rFonts w:ascii="Arial" w:cs="Arial" w:eastAsia="Arial" w:hAnsi="Arial"/>
                <w:sz w:val="14"/>
                <w:szCs w:val="14"/>
                <w:color w:val="auto"/>
              </w:rPr>
              <w:t>$</w:t>
            </w:r>
          </w:p>
        </w:tc>
        <w:tc>
          <w:tcPr>
            <w:tcW w:w="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7"/>
                <w:szCs w:val="17"/>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61</w:t>
            </w:r>
          </w:p>
        </w:tc>
      </w:tr>
      <w:tr>
        <w:trPr>
          <w:trHeight w:val="198"/>
        </w:trPr>
        <w:tc>
          <w:tcPr>
            <w:tcW w:w="4780" w:type="dxa"/>
            <w:vAlign w:val="bottom"/>
          </w:tcPr>
          <w:p>
            <w:pPr>
              <w:ind w:left="20"/>
              <w:spacing w:after="0"/>
              <w:rPr>
                <w:sz w:val="20"/>
                <w:szCs w:val="20"/>
                <w:color w:val="auto"/>
              </w:rPr>
            </w:pPr>
            <w:r>
              <w:rPr>
                <w:rFonts w:ascii="Arial" w:cs="Arial" w:eastAsia="Arial" w:hAnsi="Arial"/>
                <w:sz w:val="14"/>
                <w:szCs w:val="14"/>
                <w:color w:val="auto"/>
              </w:rPr>
              <w:t>Equity-settled stock-based compensation</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03"/>
        </w:trPr>
        <w:tc>
          <w:tcPr>
            <w:tcW w:w="4780" w:type="dxa"/>
            <w:vAlign w:val="bottom"/>
            <w:shd w:val="clear" w:color="auto" w:fill="DBDBDB"/>
          </w:tcPr>
          <w:p>
            <w:pPr>
              <w:ind w:left="2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shd w:val="clear" w:color="auto" w:fill="DBDBDB"/>
          </w:tcPr>
          <w:p>
            <w:pPr>
              <w:spacing w:after="0"/>
              <w:rPr>
                <w:sz w:val="17"/>
                <w:szCs w:val="17"/>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bottom w:val="single" w:sz="8" w:color="auto"/>
            </w:tcBorders>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w:t>
            </w:r>
          </w:p>
        </w:tc>
      </w:tr>
      <w:tr>
        <w:trPr>
          <w:trHeight w:val="200"/>
        </w:trPr>
        <w:tc>
          <w:tcPr>
            <w:tcW w:w="4780" w:type="dxa"/>
            <w:vAlign w:val="bottom"/>
          </w:tcPr>
          <w:p>
            <w:pPr>
              <w:ind w:left="20"/>
              <w:spacing w:after="0"/>
              <w:rPr>
                <w:sz w:val="20"/>
                <w:szCs w:val="20"/>
                <w:color w:val="auto"/>
              </w:rPr>
            </w:pPr>
            <w:r>
              <w:rPr>
                <w:rFonts w:ascii="Arial" w:cs="Arial" w:eastAsia="Arial" w:hAnsi="Arial"/>
                <w:sz w:val="14"/>
                <w:szCs w:val="14"/>
                <w:b w:val="1"/>
                <w:bCs w:val="1"/>
                <w:color w:val="auto"/>
              </w:rPr>
              <w:t>Estimated adjusted general and administrative expenses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50</w:t>
            </w: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58</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820" w:type="dxa"/>
            <w:vAlign w:val="bottom"/>
            <w:gridSpan w:val="2"/>
          </w:tcPr>
          <w:p>
            <w:pPr>
              <w:jc w:val="right"/>
              <w:ind w:right="568"/>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5</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47</w:t>
            </w: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21"/>
        </w:trPr>
        <w:tc>
          <w:tcPr>
            <w:tcW w:w="4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20" w:right="260" w:firstLine="6"/>
        <w:spacing w:after="0" w:line="247" w:lineRule="auto"/>
        <w:tabs>
          <w:tab w:leader="none" w:pos="142" w:val="left"/>
        </w:tabs>
        <w:numPr>
          <w:ilvl w:val="0"/>
          <w:numId w:val="20"/>
        </w:numPr>
        <w:rPr>
          <w:rFonts w:ascii="Arial" w:cs="Arial" w:eastAsia="Arial" w:hAnsi="Arial"/>
          <w:sz w:val="14"/>
          <w:szCs w:val="14"/>
          <w:color w:val="auto"/>
          <w:vertAlign w:val="superscript"/>
        </w:rPr>
      </w:pPr>
      <w:r>
        <w:rPr>
          <w:rFonts w:ascii="Arial" w:cs="Arial" w:eastAsia="Arial" w:hAnsi="Arial"/>
          <w:sz w:val="11"/>
          <w:szCs w:val="11"/>
          <w:color w:val="auto"/>
        </w:rPr>
        <w:t>2023E guidance assumes a 2023 Brent price of $79.12 per barrel of oil, NGL realizations consistent with prior years and an average daily NYMEX gas price of $4.27 per mcf. 1Q23E guidance assumes a 1Q23 Brent price of $79.81 per barrel of oil, NGL realizations consistent with prior years and an average daily NYMEX gas price of $4.46 per mcf. CRC’s share of production under PSCs decreases when commodity prices rise and increases when prices decline.</w:t>
      </w:r>
    </w:p>
    <w:p>
      <w:pPr>
        <w:spacing w:after="0" w:line="248" w:lineRule="exact"/>
        <w:rPr>
          <w:rFonts w:ascii="Arial" w:cs="Arial" w:eastAsia="Arial" w:hAnsi="Arial"/>
          <w:sz w:val="14"/>
          <w:szCs w:val="14"/>
          <w:color w:val="auto"/>
          <w:vertAlign w:val="superscript"/>
        </w:rPr>
      </w:pPr>
    </w:p>
    <w:p>
      <w:pPr>
        <w:ind w:left="140" w:hanging="114"/>
        <w:spacing w:after="0"/>
        <w:tabs>
          <w:tab w:leader="none" w:pos="140" w:val="left"/>
        </w:tabs>
        <w:numPr>
          <w:ilvl w:val="0"/>
          <w:numId w:val="20"/>
        </w:numPr>
        <w:rPr>
          <w:rFonts w:ascii="Arial" w:cs="Arial" w:eastAsia="Arial" w:hAnsi="Arial"/>
          <w:sz w:val="13"/>
          <w:szCs w:val="13"/>
          <w:color w:val="auto"/>
          <w:vertAlign w:val="superscript"/>
        </w:rPr>
      </w:pPr>
      <w:r>
        <w:rPr>
          <w:rFonts w:ascii="Arial" w:cs="Arial" w:eastAsia="Arial" w:hAnsi="Arial"/>
          <w:sz w:val="10"/>
          <w:szCs w:val="10"/>
          <w:color w:val="auto"/>
        </w:rPr>
        <w:t>CMB Expenses includes lease cost for sequestration easements, advocacy, and other startup related costs.</w:t>
      </w:r>
    </w:p>
    <w:p>
      <w:pPr>
        <w:spacing w:after="0" w:line="46" w:lineRule="exact"/>
        <w:rPr>
          <w:rFonts w:ascii="Arial" w:cs="Arial" w:eastAsia="Arial" w:hAnsi="Arial"/>
          <w:sz w:val="13"/>
          <w:szCs w:val="13"/>
          <w:color w:val="auto"/>
          <w:vertAlign w:val="superscript"/>
        </w:rPr>
      </w:pPr>
    </w:p>
    <w:p>
      <w:pPr>
        <w:ind w:left="20" w:right="520" w:firstLine="6"/>
        <w:spacing w:after="0" w:line="228" w:lineRule="auto"/>
        <w:tabs>
          <w:tab w:leader="none" w:pos="142" w:val="left"/>
        </w:tabs>
        <w:numPr>
          <w:ilvl w:val="0"/>
          <w:numId w:val="20"/>
        </w:numPr>
        <w:rPr>
          <w:rFonts w:ascii="Arial" w:cs="Arial" w:eastAsia="Arial" w:hAnsi="Arial"/>
          <w:sz w:val="14"/>
          <w:szCs w:val="14"/>
          <w:color w:val="auto"/>
          <w:vertAlign w:val="superscript"/>
        </w:rPr>
      </w:pPr>
      <w:r>
        <w:rPr>
          <w:rFonts w:ascii="Arial" w:cs="Arial" w:eastAsia="Arial" w:hAnsi="Arial"/>
          <w:sz w:val="10"/>
          <w:szCs w:val="10"/>
          <w:color w:val="auto"/>
        </w:rPr>
        <w:t>Adjusted E&amp;P Capital and Adjusted CMB Capital are Non-GAAP measures. These measures reflect ~$11 million from E&amp;P, Corporate &amp; Other Capital to Adjusted CMB Capital related to the expected 2023 investment in facilities to advance carbon sequestration activities beginning in 2Q23.</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26</w:t>
      </w:r>
    </w:p>
    <w:p>
      <w:pPr>
        <w:sectPr>
          <w:pgSz w:w="11900" w:h="16838" w:orient="portrait"/>
          <w:cols w:equalWidth="0" w:num="1">
            <w:col w:w="11240"/>
          </w:cols>
          <w:pgMar w:left="320" w:top="1251"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20"/>
          <w:szCs w:val="20"/>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702310</wp:posOffset>
            </wp:positionV>
            <wp:extent cx="1645920" cy="4800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4592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 RELEASE</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California Resources Corporation Initiates Strategic Realignment of Business Operations and Corporate Structure to Maximize</w:t>
      </w:r>
    </w:p>
    <w:p>
      <w:pPr>
        <w:ind w:left="4720"/>
        <w:spacing w:after="0"/>
        <w:rPr>
          <w:sz w:val="20"/>
          <w:szCs w:val="20"/>
          <w:color w:val="auto"/>
        </w:rPr>
      </w:pPr>
      <w:r>
        <w:rPr>
          <w:rFonts w:ascii="Arial" w:cs="Arial" w:eastAsia="Arial" w:hAnsi="Arial"/>
          <w:sz w:val="18"/>
          <w:szCs w:val="18"/>
          <w:b w:val="1"/>
          <w:bCs w:val="1"/>
          <w:color w:val="auto"/>
        </w:rPr>
        <w:t>Cash Flow Per Share</w:t>
      </w:r>
    </w:p>
    <w:p>
      <w:pPr>
        <w:spacing w:after="0" w:line="128" w:lineRule="exact"/>
        <w:rPr>
          <w:sz w:val="20"/>
          <w:szCs w:val="20"/>
          <w:color w:val="auto"/>
        </w:rPr>
      </w:pPr>
    </w:p>
    <w:p>
      <w:pPr>
        <w:ind w:left="2020"/>
        <w:spacing w:after="0"/>
        <w:rPr>
          <w:sz w:val="20"/>
          <w:szCs w:val="20"/>
          <w:color w:val="auto"/>
        </w:rPr>
      </w:pPr>
      <w:r>
        <w:rPr>
          <w:rFonts w:ascii="Arial" w:cs="Arial" w:eastAsia="Arial" w:hAnsi="Arial"/>
          <w:sz w:val="18"/>
          <w:szCs w:val="18"/>
          <w:i w:val="1"/>
          <w:iCs w:val="1"/>
          <w:color w:val="auto"/>
        </w:rPr>
        <w:t>Francisco J. Leon to Succeed Mark A. McFarland as President and Chief Executive Officer</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McFarland to Continue as a Non-Executive Director and Chair the Board of Carbon TerraVault, CRC’s Carbon Management Business, to</w:t>
      </w:r>
    </w:p>
    <w:p>
      <w:pPr>
        <w:jc w:val="center"/>
        <w:spacing w:after="0"/>
        <w:rPr>
          <w:sz w:val="20"/>
          <w:szCs w:val="20"/>
          <w:color w:val="auto"/>
        </w:rPr>
      </w:pPr>
      <w:r>
        <w:rPr>
          <w:rFonts w:ascii="Arial" w:cs="Arial" w:eastAsia="Arial" w:hAnsi="Arial"/>
          <w:sz w:val="18"/>
          <w:szCs w:val="18"/>
          <w:i w:val="1"/>
          <w:iCs w:val="1"/>
          <w:color w:val="auto"/>
        </w:rPr>
        <w:t>Oversee its Continued Growth</w:t>
      </w:r>
    </w:p>
    <w:p>
      <w:pPr>
        <w:spacing w:after="0" w:line="180"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LONG BEACH, Calif., Feb. 24, 2023 – California Resources Corporation (NYSE: CRC) (“CRC” or the “Company”) announced today a strategic realignment of the Company’s business operations and structure. The Company intends to reduce costs to align with activity levels, increase its financial flexibility and optimize its portfolio of assets. The Company believes that the combination of these actions will allow it to continue to strengthen shareholder returns. The Company is also repositioning the business to capitalize on future opportunities with Carbon TerraVault. In conjunction with this strategic realignment, the Company also announced that Francisco Leon, currently Chief Financial Officer, will succeed Mark A. (“Mac”) McFarland as President and Chief Executive Officer and join the Company’s Board of Directors, effective at the Company’s 2023 Annual Meeting in April.</w:t>
      </w:r>
    </w:p>
    <w:p>
      <w:pPr>
        <w:spacing w:after="0" w:line="169"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“As demonstrated by our 2022 year-end financial results, CRC has a very resilient and valuable portfolio of assets,” Mr. Leon said. “While the Company’s financial performance has been strong, our market has evolved and therefore we are adjusting accordingly by optimizing our capital plan and increasing our focus on reducing costs. We believe our revised plan will enhance shareholder returns while positioning the Company for continued success into the future.”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revised plan realigns CRC’s operating strategy while adjusting the Company’s corporate and management structure as set forth below:</w:t>
      </w:r>
    </w:p>
    <w:p>
      <w:pPr>
        <w:spacing w:after="0" w:line="198" w:lineRule="exact"/>
        <w:rPr>
          <w:sz w:val="20"/>
          <w:szCs w:val="20"/>
          <w:color w:val="auto"/>
        </w:rPr>
      </w:pPr>
    </w:p>
    <w:p>
      <w:pPr>
        <w:jc w:val="both"/>
        <w:ind w:left="660" w:hanging="328"/>
        <w:spacing w:after="0" w:line="233" w:lineRule="auto"/>
        <w:tabs>
          <w:tab w:leader="none" w:pos="655"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Revised Corporate Structure - </w:t>
      </w:r>
      <w:r>
        <w:rPr>
          <w:rFonts w:ascii="Arial" w:cs="Arial" w:eastAsia="Arial" w:hAnsi="Arial"/>
          <w:sz w:val="18"/>
          <w:szCs w:val="18"/>
          <w:color w:val="auto"/>
        </w:rPr>
        <w:t>CRC will adjust its corporate operating structure to facilitate the separate operations of its E&amp;P and</w:t>
      </w:r>
      <w:r>
        <w:rPr>
          <w:rFonts w:ascii="Arial" w:cs="Arial" w:eastAsia="Arial" w:hAnsi="Arial"/>
          <w:sz w:val="18"/>
          <w:szCs w:val="18"/>
          <w:b w:val="1"/>
          <w:bCs w:val="1"/>
          <w:color w:val="auto"/>
        </w:rPr>
        <w:t xml:space="preserve"> </w:t>
      </w:r>
      <w:r>
        <w:rPr>
          <w:rFonts w:ascii="Arial" w:cs="Arial" w:eastAsia="Arial" w:hAnsi="Arial"/>
          <w:sz w:val="18"/>
          <w:szCs w:val="18"/>
          <w:color w:val="auto"/>
        </w:rPr>
        <w:t>carbon management businesses. This change will allow investors and other CRC stakeholders to garner a better awareness and understanding of the Company’s discrete businesses as CRC’s leadership continues efforts to maximize shareholder value across the portfolio of assets.</w:t>
      </w:r>
    </w:p>
    <w:p>
      <w:pPr>
        <w:spacing w:after="0" w:line="168" w:lineRule="exact"/>
        <w:rPr>
          <w:rFonts w:ascii="Arial" w:cs="Arial" w:eastAsia="Arial" w:hAnsi="Arial"/>
          <w:sz w:val="18"/>
          <w:szCs w:val="18"/>
          <w:b w:val="1"/>
          <w:bCs w:val="1"/>
          <w:color w:val="auto"/>
        </w:rPr>
      </w:pPr>
    </w:p>
    <w:p>
      <w:pPr>
        <w:jc w:val="both"/>
        <w:ind w:left="660" w:hanging="328"/>
        <w:spacing w:after="0" w:line="226" w:lineRule="auto"/>
        <w:tabs>
          <w:tab w:leader="none" w:pos="655"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Accelerate Carbon Management Business - </w:t>
      </w:r>
      <w:r>
        <w:rPr>
          <w:rFonts w:ascii="Arial" w:cs="Arial" w:eastAsia="Arial" w:hAnsi="Arial"/>
          <w:sz w:val="18"/>
          <w:szCs w:val="18"/>
          <w:color w:val="auto"/>
        </w:rPr>
        <w:t>CRC will manage its carbon management business on a standalone basis over time,</w:t>
      </w:r>
      <w:r>
        <w:rPr>
          <w:rFonts w:ascii="Arial" w:cs="Arial" w:eastAsia="Arial" w:hAnsi="Arial"/>
          <w:sz w:val="18"/>
          <w:szCs w:val="18"/>
          <w:b w:val="1"/>
          <w:bCs w:val="1"/>
          <w:color w:val="auto"/>
        </w:rPr>
        <w:t xml:space="preserve"> </w:t>
      </w:r>
      <w:r>
        <w:rPr>
          <w:rFonts w:ascii="Arial" w:cs="Arial" w:eastAsia="Arial" w:hAnsi="Arial"/>
          <w:sz w:val="18"/>
          <w:szCs w:val="18"/>
          <w:color w:val="auto"/>
        </w:rPr>
        <w:t>providing the flexibility to consider strategic options including a potential separation from the E&amp;P business. This is a natural evolution given the great strides made in 2022, including the formation of Carbon TerraVault’s joint venture with Brookfield Renewable. The joint venture was formed to create a partnership focused on carbon capture and sequestration development, along with carbon management service agreements with parties such as Lone Cypress Energy and Grannus, LLC, to provide permanent carbon storage. In 2023, CRC is focused on signing up additional emitter projects, advancing CalCapture and the California Direct Air Capture Hub, and submitting additional Class VI permit applications. CRC has also established a separate board for the Carbon TerraVault subsidiary to focus on growing and developing the carbon management business.</w:t>
      </w:r>
    </w:p>
    <w:p>
      <w:pPr>
        <w:spacing w:after="0" w:line="168" w:lineRule="exact"/>
        <w:rPr>
          <w:rFonts w:ascii="Arial" w:cs="Arial" w:eastAsia="Arial" w:hAnsi="Arial"/>
          <w:sz w:val="18"/>
          <w:szCs w:val="18"/>
          <w:b w:val="1"/>
          <w:bCs w:val="1"/>
          <w:color w:val="auto"/>
        </w:rPr>
      </w:pPr>
    </w:p>
    <w:p>
      <w:pPr>
        <w:jc w:val="both"/>
        <w:ind w:left="660" w:hanging="328"/>
        <w:spacing w:after="0" w:line="227" w:lineRule="auto"/>
        <w:tabs>
          <w:tab w:leader="none" w:pos="655"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Leadership Changes - </w:t>
      </w:r>
      <w:r>
        <w:rPr>
          <w:rFonts w:ascii="Arial" w:cs="Arial" w:eastAsia="Arial" w:hAnsi="Arial"/>
          <w:sz w:val="18"/>
          <w:szCs w:val="18"/>
          <w:color w:val="auto"/>
        </w:rPr>
        <w:t>With the revised corporate structure, Mr. Leon will assume the CEO position, effective at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Annual Meeting. As CFO, Mr. Leon has been instrumental in the creation of the Company’s carbon management business. He also has a deep knowledge and understanding of CRC’s extensive E&amp;P business. As such, Mr. Leon is extremely well positioned to lead CRC in the years ahead. In May, Mr. McFarland will transition to his former role as a non-executive director and will also serve as non-executive Chair of the newly formed Board of the Carbon TerraVault subsidiary. Two existing CRC non-executive directors, Andrew Bremner and James Chapman, will also serve on that subsidiary board. The Company has an ongoing search for a new CFO.</w:t>
      </w:r>
    </w:p>
    <w:p>
      <w:pPr>
        <w:sectPr>
          <w:pgSz w:w="11900" w:h="16838" w:orient="portrait"/>
          <w:cols w:equalWidth="0" w:num="1">
            <w:col w:w="11240"/>
          </w:cols>
          <w:pgMar w:left="320" w:top="100" w:right="339" w:bottom="1440" w:gutter="0" w:footer="0" w:header="0"/>
        </w:sectPr>
      </w:pPr>
    </w:p>
    <w:bookmarkStart w:id="30" w:name="page31"/>
    <w:bookmarkEnd w:id="30"/>
    <w:p>
      <w:pPr>
        <w:jc w:val="both"/>
        <w:ind w:left="660" w:hanging="328"/>
        <w:spacing w:after="0" w:line="222" w:lineRule="auto"/>
        <w:tabs>
          <w:tab w:leader="none" w:pos="655" w:val="left"/>
        </w:tabs>
        <w:numPr>
          <w:ilvl w:val="0"/>
          <w:numId w:val="22"/>
        </w:numPr>
        <w:rPr>
          <w:rFonts w:ascii="Arial" w:cs="Arial" w:eastAsia="Arial" w:hAnsi="Arial"/>
          <w:sz w:val="22"/>
          <w:szCs w:val="22"/>
          <w:color w:val="auto"/>
        </w:rPr>
      </w:pPr>
      <w:r>
        <w:rPr>
          <w:rFonts w:ascii="Arial" w:cs="Arial" w:eastAsia="Arial" w:hAnsi="Arial"/>
          <w:sz w:val="18"/>
          <w:szCs w:val="18"/>
          <w:b w:val="1"/>
          <w:bCs w:val="1"/>
          <w:color w:val="auto"/>
        </w:rPr>
        <w:t xml:space="preserve">Future E&amp;P Development Activity - </w:t>
      </w:r>
      <w:r>
        <w:rPr>
          <w:rFonts w:ascii="Arial" w:cs="Arial" w:eastAsia="Arial" w:hAnsi="Arial"/>
          <w:sz w:val="18"/>
          <w:szCs w:val="18"/>
          <w:color w:val="auto"/>
        </w:rPr>
        <w:t>The Company will reduce its rig count to 1.5 in 2023 with a drilling program focused on</w:t>
      </w:r>
      <w:r>
        <w:rPr>
          <w:rFonts w:ascii="Arial" w:cs="Arial" w:eastAsia="Arial" w:hAnsi="Arial"/>
          <w:sz w:val="18"/>
          <w:szCs w:val="18"/>
          <w:b w:val="1"/>
          <w:bCs w:val="1"/>
          <w:color w:val="auto"/>
        </w:rPr>
        <w:t xml:space="preserve"> </w:t>
      </w:r>
      <w:r>
        <w:rPr>
          <w:rFonts w:ascii="Arial" w:cs="Arial" w:eastAsia="Arial" w:hAnsi="Arial"/>
          <w:sz w:val="18"/>
          <w:szCs w:val="18"/>
          <w:color w:val="auto"/>
        </w:rPr>
        <w:t>developing the highest-returning projects with permits-in-hand in conjunction with a continued focus on well servicing and downhole maintenance to reduce the base production decline to approximately 5 to 7 percent. At the planned rig pace, CRC can enhance the operational and capital efficiency of its rig program and maximize the Company’s ability to return capital to shareholders. On a go-forward basis utilizing a 1.5 rig program, CRC expects to spend ~$155 million in E&amp;P drilling and completions and workover capital. This level of spending excludes one-time items and CMB capital which is anticipated to be funded by projected CTV JV contributions over time.</w:t>
      </w:r>
    </w:p>
    <w:p>
      <w:pPr>
        <w:spacing w:after="0" w:line="169" w:lineRule="exact"/>
        <w:rPr>
          <w:rFonts w:ascii="Arial" w:cs="Arial" w:eastAsia="Arial" w:hAnsi="Arial"/>
          <w:sz w:val="22"/>
          <w:szCs w:val="22"/>
          <w:color w:val="auto"/>
        </w:rPr>
      </w:pPr>
    </w:p>
    <w:p>
      <w:pPr>
        <w:jc w:val="both"/>
        <w:ind w:left="660" w:hanging="328"/>
        <w:spacing w:after="0" w:line="218" w:lineRule="auto"/>
        <w:tabs>
          <w:tab w:leader="none" w:pos="655"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Focus on Cost Reductions and Value Enhancing Portfolio Optimizations – </w:t>
      </w:r>
      <w:r>
        <w:rPr>
          <w:rFonts w:ascii="Arial" w:cs="Arial" w:eastAsia="Arial" w:hAnsi="Arial"/>
          <w:sz w:val="18"/>
          <w:szCs w:val="18"/>
          <w:color w:val="auto"/>
        </w:rPr>
        <w:t>CRC’s leadership team, working closely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Special Finance Committee of the Board, is focused on cost reduction initiatives across the Company that align with the projected level of activity and revised strategic direction. CRC is targeting a 5% - 10% reduction in non- energy operating costs (excluding downhole maintenance) and Adj. E&amp;P Corp &amp; Other G&amp;A</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on a combined basis by year end. These cost reduction initiatives in conjunction with increased downhole maintenance target maintaining margins and driving higher cash flows. CRC’s leadership team and Board have successfully implemented similar strategies and believe the Company is well positioned to identify and achieve cost reductions while maintaining the high operational standards that CRC has achieved. In addition, CRC will continue to pursue the monetization of its Huntington Beach surface acreage as well as other real estate surface ownership in its portfolio.</w:t>
      </w:r>
    </w:p>
    <w:p>
      <w:pPr>
        <w:spacing w:after="0" w:line="171" w:lineRule="exact"/>
        <w:rPr>
          <w:rFonts w:ascii="Arial" w:cs="Arial" w:eastAsia="Arial" w:hAnsi="Arial"/>
          <w:sz w:val="18"/>
          <w:szCs w:val="18"/>
          <w:b w:val="1"/>
          <w:bCs w:val="1"/>
          <w:color w:val="auto"/>
        </w:rPr>
      </w:pPr>
    </w:p>
    <w:p>
      <w:pPr>
        <w:jc w:val="both"/>
        <w:ind w:left="660" w:hanging="328"/>
        <w:spacing w:after="0" w:line="230" w:lineRule="auto"/>
        <w:tabs>
          <w:tab w:leader="none" w:pos="655"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Enhance the Company’s Financial Flexibility - </w:t>
      </w:r>
      <w:r>
        <w:rPr>
          <w:rFonts w:ascii="Arial" w:cs="Arial" w:eastAsia="Arial" w:hAnsi="Arial"/>
          <w:sz w:val="18"/>
          <w:szCs w:val="18"/>
          <w:color w:val="auto"/>
        </w:rPr>
        <w:t>CRC is intending to amend and extend or replace its existing reserve-based</w:t>
      </w:r>
      <w:r>
        <w:rPr>
          <w:rFonts w:ascii="Arial" w:cs="Arial" w:eastAsia="Arial" w:hAnsi="Arial"/>
          <w:sz w:val="18"/>
          <w:szCs w:val="18"/>
          <w:b w:val="1"/>
          <w:bCs w:val="1"/>
          <w:color w:val="auto"/>
        </w:rPr>
        <w:t xml:space="preserve"> </w:t>
      </w:r>
      <w:r>
        <w:rPr>
          <w:rFonts w:ascii="Arial" w:cs="Arial" w:eastAsia="Arial" w:hAnsi="Arial"/>
          <w:sz w:val="18"/>
          <w:szCs w:val="18"/>
          <w:color w:val="auto"/>
        </w:rPr>
        <w:t>lending credit facility, as well as refinance its $600 million senior unsecured notes. This is expected to allow the Company to lengthen its debt maturities and provide financial flexibility to increase the Company’s ongoing shareholder return program. Further, this flexibility is expected to support the potential separation of the carbon management business. Finally, operating Carbon TerraVault on a standalone basis will broaden capital sourcing options for the carbon management business.</w:t>
      </w:r>
    </w:p>
    <w:p>
      <w:pPr>
        <w:spacing w:after="0" w:line="169" w:lineRule="exact"/>
        <w:rPr>
          <w:rFonts w:ascii="Arial" w:cs="Arial" w:eastAsia="Arial" w:hAnsi="Arial"/>
          <w:sz w:val="18"/>
          <w:szCs w:val="18"/>
          <w:b w:val="1"/>
          <w:bCs w:val="1"/>
          <w:color w:val="auto"/>
        </w:rPr>
      </w:pPr>
    </w:p>
    <w:p>
      <w:pPr>
        <w:jc w:val="both"/>
        <w:ind w:left="660" w:hanging="328"/>
        <w:spacing w:after="0" w:line="230" w:lineRule="auto"/>
        <w:tabs>
          <w:tab w:leader="none" w:pos="655"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Boost Shareholder Return Program - </w:t>
      </w:r>
      <w:r>
        <w:rPr>
          <w:rFonts w:ascii="Arial" w:cs="Arial" w:eastAsia="Arial" w:hAnsi="Arial"/>
          <w:sz w:val="18"/>
          <w:szCs w:val="18"/>
          <w:color w:val="auto"/>
        </w:rPr>
        <w:t>CRC intends to optimize capital allocation and focus on cost reduction opportunities in 2023</w:t>
      </w:r>
      <w:r>
        <w:rPr>
          <w:rFonts w:ascii="Arial" w:cs="Arial" w:eastAsia="Arial" w:hAnsi="Arial"/>
          <w:sz w:val="18"/>
          <w:szCs w:val="18"/>
          <w:b w:val="1"/>
          <w:bCs w:val="1"/>
          <w:color w:val="auto"/>
        </w:rPr>
        <w:t xml:space="preserve"> </w:t>
      </w:r>
      <w:r>
        <w:rPr>
          <w:rFonts w:ascii="Arial" w:cs="Arial" w:eastAsia="Arial" w:hAnsi="Arial"/>
          <w:sz w:val="18"/>
          <w:szCs w:val="18"/>
          <w:color w:val="auto"/>
        </w:rPr>
        <w:t>to drive cash flow generation that it believes will allow it to increase shareholder returns. To that end, CRC’s Board has authorized a nearly 30% increase to its shareholder repurchase program for a total of $1.1 billion, with ~$640 million remaining on its authorization as of December 31, 2022, and after taking account the increase. In 2023, CRC is positioning to return approximately 100% of free cash flow through buybacks and dividends.</w:t>
      </w:r>
    </w:p>
    <w:p>
      <w:pPr>
        <w:spacing w:after="0" w:line="169" w:lineRule="exact"/>
        <w:rPr>
          <w:rFonts w:ascii="Arial" w:cs="Arial" w:eastAsia="Arial" w:hAnsi="Arial"/>
          <w:sz w:val="18"/>
          <w:szCs w:val="18"/>
          <w:b w:val="1"/>
          <w:bCs w:val="1"/>
          <w:color w:val="auto"/>
        </w:rPr>
      </w:pPr>
    </w:p>
    <w:p>
      <w:pPr>
        <w:jc w:val="both"/>
        <w:ind w:left="660" w:hanging="328"/>
        <w:spacing w:after="0" w:line="233" w:lineRule="auto"/>
        <w:tabs>
          <w:tab w:leader="none" w:pos="655"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CRC’s strategy is repeatable with a focus on maximizing cash flow per share - </w:t>
      </w:r>
      <w:r>
        <w:rPr>
          <w:rFonts w:ascii="Arial" w:cs="Arial" w:eastAsia="Arial" w:hAnsi="Arial"/>
          <w:sz w:val="18"/>
          <w:szCs w:val="18"/>
          <w:color w:val="auto"/>
        </w:rPr>
        <w:t>So long as the current conditions persist,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expects to repeat its strategy. This means continuously focusing its activity on locations where the Company has permits in hand, re-aligning costs with activity levels and maintaining its financial flexibility. CRC believes that the repeatable nature of the strategy will allow the Company to continue prioritizing returning cash to shareholders through share repurchases and dividends.</w:t>
      </w:r>
    </w:p>
    <w:p>
      <w:pPr>
        <w:spacing w:after="0" w:line="168"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“I am honored to assume the CEO role,” Mr. Leon said. “Over the last few years, the Company has significantly improved its financial profile and optimized its operating portfolio, providing a strong foundation for growth and value creation. Now, as we face new opportunities and challenges, I look forward to working with Mac and the rest of the Board and management team to execute on our new strategic direction to drive cash flow generation, advance and accelerate our carbon management business, and increase our financial flexibility to return more capital to shareholders. I am confident that if we continue to elect to run a lower capital plan (~$155 million of drilling and completion capital) we can make the appropriate reductions to our cost structure that we expect will help ensure we deliver improving operating and financial metrics on a per share basis.”</w:t>
      </w:r>
    </w:p>
    <w:p>
      <w:pPr>
        <w:spacing w:after="0" w:line="16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 am extremely proud of all that our talented team has accomplished over the past two years, successfully transforming the Company into a lean and efficient operator with robust cash flows,” Mr. McFarland said. “We achieved these results while launching an exciting new business in carbon management.” He continued,</w:t>
      </w:r>
    </w:p>
    <w:p>
      <w:pPr>
        <w:sectPr>
          <w:pgSz w:w="11900" w:h="16838" w:orient="portrait"/>
          <w:cols w:equalWidth="0" w:num="1">
            <w:col w:w="11240"/>
          </w:cols>
          <w:pgMar w:left="320" w:top="1430" w:right="339" w:bottom="1440" w:gutter="0" w:footer="0" w:header="0"/>
        </w:sectPr>
      </w:pPr>
    </w:p>
    <w:bookmarkStart w:id="31" w:name="page32"/>
    <w:bookmarkEnd w:id="31"/>
    <w:p>
      <w:pPr>
        <w:spacing w:after="0" w:line="18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“Francisco has been a fabulous partner, with extensive knowledge of CRC’s E&amp;P business while being instrumental in the creation of our carbon business. As such, he is uniquely positioned to lead the Company in its next phase of strategic development.”</w:t>
      </w:r>
    </w:p>
    <w:p>
      <w:pPr>
        <w:spacing w:after="0" w:line="15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“While Mac is stepping down from a day-to-day role at CRC, I look forward to working closely with him as a CRC board member and in his role as Chair of the Board of Carbon TerraVault to accelerate CRC’s carbon management business and help California achieve its ambitious energy transition goals,” said TJ Thom Cepak, Chair of the Company’s Board of Directors.</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 separate release today, the Company disclosed its fourth quarter and full year 2022 financial results. The Company will host a conference call with investors and analysts today at 10:00 a.m. PT / 1:00 p.m. ET to review its financial results.</w:t>
      </w:r>
    </w:p>
    <w:p>
      <w:pPr>
        <w:spacing w:after="0" w:line="153" w:lineRule="exact"/>
        <w:rPr>
          <w:sz w:val="20"/>
          <w:szCs w:val="20"/>
          <w:color w:val="auto"/>
        </w:rPr>
      </w:pPr>
    </w:p>
    <w:p>
      <w:pPr>
        <w:ind w:left="340" w:hanging="332"/>
        <w:spacing w:after="0" w:line="243" w:lineRule="auto"/>
        <w:tabs>
          <w:tab w:leader="none" w:pos="332"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Represents a non-GAAP measure. For all historical non-GAAP financial measures for CRC please see the Investor Relations page at www.crc.com for a reconciliation to the nearest GAAP equivalent and other additional information. See slide 35 of CRC’s 4Q22 earnings presentation for reconciliation.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Francisco J. Leon</w:t>
      </w:r>
    </w:p>
    <w:p>
      <w:pPr>
        <w:spacing w:after="0" w:line="198"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Francisco Leon has served as EVP and CFO of California Resources Corporation since 2020. From 2014 to 2020, he was VP of Business Development, Portfolio Management and Strategic Planning at CRC. He also served as Director of Global Acquisitions and California Resource Assessment / Evaluation at Occidental Petroleum. He began his career at Petrie Parkman in 2001. Mr. Leon holds a bi-national Bachelor of Arts degree in International Business from San Diego State University and CETYS Universidad in Mexico and an Masters of Business Administration from the University of Texas McCombs School of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Mark A. (Mac) McFarland</w:t>
      </w:r>
    </w:p>
    <w:p>
      <w:pPr>
        <w:spacing w:after="0" w:line="19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Mr. McFarland has served as President and Chief Executive Officer of California Resources Corporation since March 2021 and has served on its Board of Directors since October 2020. Beginning in October 2020, he served as Chairman and then Executive Chair of the Board and interim Chief Executive Officer prior to his appointment as President and Chief Executive Officer in March 2021. He previously served as Executive Chairman of GenOn Energy, Inc., an independent power producer, and currently serves as a Director on the Company’s Board. Prior to that, he was the President and Chief Executive Officer of GenOn and served on its Board of Managers. Mr. McFarland served in a succession of management roles, including Chief Executive Officer, Chief Commercial Officer and Executive Vice President, Corporate Development and Strategy of Energy Future Holdings, at Luminant Holding Company, a subsidiary of Energy Future Holdings Corporation, and a large independent power producer. Earlier in his career, Mr. McFarland served in various roles at Exelon Corporation, including as Senior Vice President, Corporate Development. Mr. McFarland earned his Masters of Business Administration from the University of Delaware and a Bachelor of Science degree in Civil Engineering (Environmental Concentration) from Virginia Polytechnic Institute and State University.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California Resources Corporation (CRC)</w:t>
      </w:r>
    </w:p>
    <w:p>
      <w:pPr>
        <w:spacing w:after="0" w:line="198"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 xml:space="preserve">California Resources Corporation (CRC) is an independent oil and natural gas company committed to energy transition in the sector. CRC has some of the lowest carbon intensity production in the US and CRC is focused on maximizing the value of its land, mineral and technical resources for decarbonization by developing CCS and other emissions reducing projects. For more information about CRC, please visit </w:t>
      </w:r>
      <w:r>
        <w:rPr>
          <w:rFonts w:ascii="Arial" w:cs="Arial" w:eastAsia="Arial" w:hAnsi="Arial"/>
          <w:sz w:val="18"/>
          <w:szCs w:val="18"/>
          <w:u w:val="single" w:color="auto"/>
          <w:color w:val="0563C1"/>
        </w:rPr>
        <w:t>www.crc.com</w:t>
      </w:r>
      <w:r>
        <w:rPr>
          <w:rFonts w:ascii="Arial" w:cs="Arial" w:eastAsia="Arial" w:hAnsi="Arial"/>
          <w:sz w:val="18"/>
          <w:szCs w:val="18"/>
          <w:color w:val="000000"/>
        </w:rPr>
        <w: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Carbon TerraVault (CTV)</w:t>
      </w:r>
    </w:p>
    <w:p>
      <w:pPr>
        <w:spacing w:after="0" w:line="198"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 xml:space="preserve">Carbon TerraVault Holdings, LLC (CTV), a subsidiary of CRC, will provide services that include the capture, transport and storage of carbon dioxide for its customers. CTV is engaged in developing a series of CCS projects that inject carbon dioxide (CO2) captured from industrial sources into depleted underground reservoirs and permanently store CO2 deep underground. For more information about CTV, please visit </w:t>
      </w:r>
      <w:r>
        <w:rPr>
          <w:rFonts w:ascii="Arial" w:cs="Arial" w:eastAsia="Arial" w:hAnsi="Arial"/>
          <w:sz w:val="18"/>
          <w:szCs w:val="18"/>
          <w:u w:val="single" w:color="auto"/>
          <w:color w:val="0563C1"/>
        </w:rPr>
        <w:t>www.carbonterravault.com</w:t>
      </w:r>
      <w:r>
        <w:rPr>
          <w:rFonts w:ascii="Arial" w:cs="Arial" w:eastAsia="Arial" w:hAnsi="Arial"/>
          <w:sz w:val="18"/>
          <w:szCs w:val="18"/>
          <w:color w:val="000000"/>
        </w:rPr>
        <w:t>.</w:t>
      </w:r>
    </w:p>
    <w:p>
      <w:pPr>
        <w:sectPr>
          <w:pgSz w:w="11900" w:h="16838" w:orient="portrait"/>
          <w:cols w:equalWidth="0" w:num="1">
            <w:col w:w="11240"/>
          </w:cols>
          <w:pgMar w:left="320" w:top="144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Forward-Looking Statements</w:t>
      </w:r>
    </w:p>
    <w:p>
      <w:pPr>
        <w:spacing w:after="0" w:line="198"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Certain of the statements contained in this document should be considered forward-looking statements. These forward-looking statements may be identified by words such as “may,” “will,” “expect,” “intend,” “anticipate,” “believe,” “estimate,” “plan,” “project,” “could,” “should,” “would,” “continue,” “seek,” “target,” “guidance,” “outlook,” “forecast” and other similar words. Such statements include, but are not limited to, statements about the actions the Company may take to realign its strategy, the Company’s ability to reduce permitting uncertainty, the implications of the Company’s leadership changes, the Company’s ability to amend its debt agreements and strengthen its financial flexibility, the growth of the Company’s carbon management business, the Company’s shareholder return program, the Company’s plans, objectives, expectations, intentions, estimates and strategies for the future, and other statements that are not historical facts. These forward-looking statements are based on the Company’s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legislative or regulatory changes; availability or timing of, or conditions imposed on, permits and approvals; changes in business strategy and the Company’s capital plan; the Company’s ability to realize the benefits contemplated by the business strategies and initiatives related to energy transaction, including carbon capture and storage projects and other renewable energy efforts; the Company’s ability to successfully identify, develop and finance carbon capture and storage projects and other renewable energy efforts, including those in connection with the Carbon TerraVault JV; changes in the Company’s share repurchase program and its ability to repurchase shares under its debt agreements; insufficient cash flow to fund the Company’s capital plan and other planned investments, stock repurchases and dividends; and the other risks and uncertainties set forth in the Company’s Annual Report on Form 10-K for the year ended December 31, 2022 (especially in Part I, Item 1A. Risk Factors and Part II, Item 7. Management’s Discussion and Analysis of Financial Condition and Results of Operations) and in the Company’s other filings with the SEC. There may be other factors of which the Company is not currently aware that may affect matters discussed in the forward-looking statements and may also cause actual results to differ materially from those discussed. The Company does not assume any obligation to publicly update or supplement any forward-looking statement to reflect actual results, changes in assumptions or changes in other factors affecting these forward-looking statements other than as required by law. Any forward-looking statements speak only as of the date hereof or as of the dates indicated in the statement.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Joanna Park</w:t>
      </w:r>
    </w:p>
    <w:p>
      <w:pPr>
        <w:spacing w:after="0" w:line="219" w:lineRule="auto"/>
        <w:rPr>
          <w:sz w:val="20"/>
          <w:szCs w:val="20"/>
          <w:color w:val="auto"/>
        </w:rPr>
      </w:pPr>
      <w:r>
        <w:rPr>
          <w:rFonts w:ascii="Arial" w:cs="Arial" w:eastAsia="Arial" w:hAnsi="Arial"/>
          <w:sz w:val="18"/>
          <w:szCs w:val="18"/>
          <w:color w:val="auto"/>
        </w:rPr>
        <w:t>Investor Relations</w:t>
      </w:r>
    </w:p>
    <w:p>
      <w:pPr>
        <w:spacing w:after="0" w:line="219" w:lineRule="auto"/>
        <w:rPr>
          <w:sz w:val="20"/>
          <w:szCs w:val="20"/>
          <w:color w:val="auto"/>
        </w:rPr>
      </w:pPr>
      <w:r>
        <w:rPr>
          <w:rFonts w:ascii="Arial" w:cs="Arial" w:eastAsia="Arial" w:hAnsi="Arial"/>
          <w:sz w:val="18"/>
          <w:szCs w:val="18"/>
          <w:color w:val="auto"/>
        </w:rPr>
        <w:t>818-661-3731</w:t>
      </w:r>
    </w:p>
    <w:p>
      <w:pPr>
        <w:spacing w:after="0"/>
        <w:rPr>
          <w:sz w:val="20"/>
          <w:szCs w:val="20"/>
          <w:color w:val="auto"/>
        </w:rPr>
      </w:pPr>
      <w:r>
        <w:rPr>
          <w:rFonts w:ascii="Arial" w:cs="Arial" w:eastAsia="Arial" w:hAnsi="Arial"/>
          <w:sz w:val="18"/>
          <w:szCs w:val="18"/>
          <w:u w:val="single" w:color="auto"/>
          <w:color w:val="0563C1"/>
        </w:rPr>
        <w:t>Joanna.Park@crc.com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Richard Venn</w:t>
      </w:r>
    </w:p>
    <w:p>
      <w:pPr>
        <w:spacing w:after="0" w:line="219" w:lineRule="auto"/>
        <w:rPr>
          <w:sz w:val="20"/>
          <w:szCs w:val="20"/>
          <w:color w:val="auto"/>
        </w:rPr>
      </w:pPr>
      <w:r>
        <w:rPr>
          <w:rFonts w:ascii="Arial" w:cs="Arial" w:eastAsia="Arial" w:hAnsi="Arial"/>
          <w:sz w:val="18"/>
          <w:szCs w:val="18"/>
          <w:color w:val="auto"/>
        </w:rPr>
        <w:t>Media</w:t>
      </w:r>
    </w:p>
    <w:p>
      <w:pPr>
        <w:spacing w:after="0" w:line="219" w:lineRule="auto"/>
        <w:rPr>
          <w:sz w:val="20"/>
          <w:szCs w:val="20"/>
          <w:color w:val="auto"/>
        </w:rPr>
      </w:pPr>
      <w:r>
        <w:rPr>
          <w:rFonts w:ascii="Arial" w:cs="Arial" w:eastAsia="Arial" w:hAnsi="Arial"/>
          <w:sz w:val="18"/>
          <w:szCs w:val="18"/>
          <w:color w:val="auto"/>
        </w:rPr>
        <w:t>818-661-6014</w:t>
      </w:r>
    </w:p>
    <w:p>
      <w:pPr>
        <w:spacing w:after="0"/>
        <w:rPr>
          <w:sz w:val="20"/>
          <w:szCs w:val="20"/>
          <w:color w:val="auto"/>
        </w:rPr>
      </w:pPr>
      <w:r>
        <w:rPr>
          <w:rFonts w:ascii="Arial" w:cs="Arial" w:eastAsia="Arial" w:hAnsi="Arial"/>
          <w:sz w:val="18"/>
          <w:szCs w:val="18"/>
          <w:u w:val="single" w:color="auto"/>
          <w:color w:val="0563C1"/>
        </w:rPr>
        <w:t>Richard.Venn@crc.com</w:t>
      </w:r>
    </w:p>
    <w:sectPr>
      <w:pgSz w:w="11900" w:h="16838" w:orient="portrait"/>
      <w:cols w:equalWidth="0" w:num="1">
        <w:col w:w="11240"/>
      </w:cols>
      <w:pgMar w:left="320" w:top="14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104"/>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lvl w:ilvl="1">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2"/>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2023-02-24T06:21:03Z</dcterms:created>
  <dcterms:modified xsi:type="dcterms:W3CDTF">2023-02-24T06:21:03Z</dcterms:modified>
</cp:coreProperties>
</file>