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60" w:type="dxa"/>
            <w:vAlign w:val="bottom"/>
            <w:gridSpan w:val="5"/>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10"/>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4"/>
            <w:vMerge w:val="restart"/>
          </w:tcPr>
          <w:p>
            <w:pPr>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Brooks Douglas E</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060" w:type="dxa"/>
            <w:vAlign w:val="bottom"/>
            <w:gridSpan w:val="5"/>
          </w:tcPr>
          <w:p>
            <w:pPr>
              <w:ind w:left="80"/>
              <w:spacing w:after="0" w:line="107" w:lineRule="exact"/>
              <w:rPr>
                <w:rFonts w:ascii="Arial" w:cs="Arial" w:eastAsia="Arial" w:hAnsi="Arial"/>
                <w:sz w:val="12"/>
                <w:szCs w:val="12"/>
                <w:color w:val="0000EE"/>
              </w:rPr>
            </w:pPr>
            <w:hyperlink r:id="rId14">
              <w:r>
                <w:rPr>
                  <w:rFonts w:ascii="Arial" w:cs="Arial" w:eastAsia="Arial" w:hAnsi="Arial"/>
                  <w:sz w:val="12"/>
                  <w:szCs w:val="12"/>
                  <w:u w:val="single" w:color="auto"/>
                  <w:color w:val="0000EE"/>
                </w:rPr>
                <w:t>California Resources Corp</w:t>
              </w:r>
              <w:r>
                <w:rPr>
                  <w:rFonts w:ascii="Arial" w:cs="Arial" w:eastAsia="Arial" w:hAnsi="Arial"/>
                  <w:sz w:val="12"/>
                  <w:szCs w:val="12"/>
                  <w:color w:val="0000EE"/>
                </w:rPr>
                <w:t xml:space="preserve">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CRC</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00" w:type="dxa"/>
            <w:vAlign w:val="bottom"/>
            <w:gridSpan w:val="4"/>
            <w:vMerge w:val="continue"/>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60" w:type="dxa"/>
            <w:vAlign w:val="bottom"/>
            <w:gridSpan w:val="5"/>
            <w:vMerge w:val="continue"/>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00" w:type="dxa"/>
            <w:vAlign w:val="bottom"/>
            <w:gridSpan w:val="4"/>
            <w:vMerge w:val="continue"/>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5"/>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6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5"/>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EEEEEE"/>
            </w:tcBorders>
          </w:tcPr>
          <w:p>
            <w:pPr>
              <w:spacing w:after="0" w:line="20" w:lineRule="exact"/>
              <w:rPr>
                <w:sz w:val="1"/>
                <w:szCs w:val="1"/>
                <w:color w:val="auto"/>
              </w:rPr>
            </w:pPr>
          </w:p>
        </w:tc>
        <w:tc>
          <w:tcPr>
            <w:tcW w:w="82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76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060" w:type="dxa"/>
            <w:vAlign w:val="bottom"/>
            <w:gridSpan w:val="5"/>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76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3"/>
                <w:szCs w:val="13"/>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60" w:type="dxa"/>
            <w:vAlign w:val="bottom"/>
            <w:gridSpan w:val="5"/>
            <w:vMerge w:val="continue"/>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40" w:type="dxa"/>
            <w:vAlign w:val="bottom"/>
            <w:gridSpan w:val="5"/>
            <w:vMerge w:val="restart"/>
          </w:tcPr>
          <w:p>
            <w:pPr>
              <w:spacing w:after="0"/>
              <w:rPr>
                <w:sz w:val="20"/>
                <w:szCs w:val="20"/>
                <w:color w:val="auto"/>
              </w:rPr>
            </w:pPr>
            <w:r>
              <w:rPr>
                <w:rFonts w:ascii="Arial" w:cs="Arial" w:eastAsia="Arial" w:hAnsi="Arial"/>
                <w:sz w:val="17"/>
                <w:szCs w:val="17"/>
                <w:color w:val="0000FF"/>
              </w:rPr>
              <w:t>27200 TOURNEY ROAD, SUITE 200</w:t>
            </w:r>
          </w:p>
        </w:tc>
        <w:tc>
          <w:tcPr>
            <w:tcW w:w="1640" w:type="dxa"/>
            <w:vAlign w:val="bottom"/>
            <w:gridSpan w:val="5"/>
          </w:tcPr>
          <w:p>
            <w:pPr>
              <w:ind w:left="160"/>
              <w:spacing w:after="0"/>
              <w:rPr>
                <w:sz w:val="20"/>
                <w:szCs w:val="20"/>
                <w:color w:val="auto"/>
              </w:rPr>
            </w:pPr>
            <w:r>
              <w:rPr>
                <w:rFonts w:ascii="Arial" w:cs="Arial" w:eastAsia="Arial" w:hAnsi="Arial"/>
                <w:sz w:val="17"/>
                <w:szCs w:val="17"/>
                <w:color w:val="0000FF"/>
              </w:rPr>
              <w:t>01/25/2021</w:t>
            </w: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40" w:type="dxa"/>
            <w:vAlign w:val="bottom"/>
            <w:gridSpan w:val="5"/>
            <w:vMerge w:val="continue"/>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500" w:type="dxa"/>
            <w:vAlign w:val="bottom"/>
            <w:tcBorders>
              <w:bottom w:val="single" w:sz="8" w:color="2C2C2C"/>
            </w:tcBorders>
            <w:gridSpan w:val="6"/>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3100" w:type="dxa"/>
            <w:vAlign w:val="bottom"/>
            <w:tcBorders>
              <w:bottom w:val="single" w:sz="8" w:color="2C2C2C"/>
            </w:tcBorders>
            <w:gridSpan w:val="6"/>
          </w:tcPr>
          <w:p>
            <w:pPr>
              <w:spacing w:after="0"/>
              <w:rPr>
                <w:sz w:val="12"/>
                <w:szCs w:val="12"/>
                <w:color w:val="auto"/>
              </w:rPr>
            </w:pPr>
          </w:p>
        </w:tc>
        <w:tc>
          <w:tcPr>
            <w:tcW w:w="10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Borders>
              <w:bottom w:val="single" w:sz="8" w:color="9A9A9A"/>
            </w:tcBorders>
          </w:tcPr>
          <w:p>
            <w:pPr>
              <w:spacing w:after="0"/>
              <w:rPr>
                <w:sz w:val="4"/>
                <w:szCs w:val="4"/>
                <w:color w:val="auto"/>
              </w:rPr>
            </w:pPr>
          </w:p>
        </w:tc>
        <w:tc>
          <w:tcPr>
            <w:tcW w:w="560" w:type="dxa"/>
            <w:vAlign w:val="bottom"/>
            <w:tcBorders>
              <w:bottom w:val="single" w:sz="8" w:color="9A9A9A"/>
            </w:tcBorders>
          </w:tcPr>
          <w:p>
            <w:pPr>
              <w:spacing w:after="0"/>
              <w:rPr>
                <w:sz w:val="4"/>
                <w:szCs w:val="4"/>
                <w:color w:val="auto"/>
              </w:rPr>
            </w:pPr>
          </w:p>
        </w:tc>
        <w:tc>
          <w:tcPr>
            <w:tcW w:w="300" w:type="dxa"/>
            <w:vAlign w:val="bottom"/>
            <w:tcBorders>
              <w:bottom w:val="single" w:sz="8" w:color="9A9A9A"/>
            </w:tcBorders>
          </w:tcPr>
          <w:p>
            <w:pPr>
              <w:spacing w:after="0"/>
              <w:rPr>
                <w:sz w:val="4"/>
                <w:szCs w:val="4"/>
                <w:color w:val="auto"/>
              </w:rPr>
            </w:pPr>
          </w:p>
        </w:tc>
        <w:tc>
          <w:tcPr>
            <w:tcW w:w="820" w:type="dxa"/>
            <w:vAlign w:val="bottom"/>
            <w:tcBorders>
              <w:bottom w:val="single" w:sz="8" w:color="9A9A9A"/>
            </w:tcBorders>
          </w:tcPr>
          <w:p>
            <w:pPr>
              <w:spacing w:after="0"/>
              <w:rPr>
                <w:sz w:val="4"/>
                <w:szCs w:val="4"/>
                <w:color w:val="auto"/>
              </w:rPr>
            </w:pPr>
          </w:p>
        </w:tc>
        <w:tc>
          <w:tcPr>
            <w:tcW w:w="1340" w:type="dxa"/>
            <w:vAlign w:val="bottom"/>
            <w:tcBorders>
              <w:bottom w:val="single" w:sz="8" w:color="9A9A9A"/>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500" w:type="dxa"/>
            <w:vAlign w:val="bottom"/>
            <w:gridSpan w:val="6"/>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3420" w:type="dxa"/>
            <w:vAlign w:val="bottom"/>
            <w:gridSpan w:val="10"/>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500" w:type="dxa"/>
            <w:vAlign w:val="bottom"/>
            <w:gridSpan w:val="6"/>
            <w:vMerge w:val="continue"/>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2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gridSpan w:val="3"/>
          </w:tcPr>
          <w:p>
            <w:pPr>
              <w:ind w:left="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20"/>
                <w:szCs w:val="20"/>
                <w:color w:val="auto"/>
              </w:rPr>
            </w:pPr>
            <w:r>
              <w:rPr>
                <w:rFonts w:ascii="Arial" w:cs="Arial" w:eastAsia="Arial" w:hAnsi="Arial"/>
                <w:sz w:val="17"/>
                <w:szCs w:val="17"/>
                <w:color w:val="0000FF"/>
              </w:rPr>
              <w:t>SANTA</w:t>
            </w:r>
          </w:p>
        </w:tc>
        <w:tc>
          <w:tcPr>
            <w:tcW w:w="560" w:type="dxa"/>
            <w:vAlign w:val="bottom"/>
          </w:tcPr>
          <w:p>
            <w:pPr>
              <w:spacing w:after="0"/>
              <w:rPr>
                <w:sz w:val="18"/>
                <w:szCs w:val="18"/>
                <w:color w:val="auto"/>
              </w:rPr>
            </w:pPr>
          </w:p>
        </w:tc>
        <w:tc>
          <w:tcPr>
            <w:tcW w:w="300" w:type="dxa"/>
            <w:vAlign w:val="bottom"/>
            <w:vMerge w:val="restart"/>
          </w:tcPr>
          <w:p>
            <w:pPr>
              <w:ind w:left="40"/>
              <w:spacing w:after="0"/>
              <w:rPr>
                <w:sz w:val="20"/>
                <w:szCs w:val="20"/>
                <w:color w:val="auto"/>
              </w:rPr>
            </w:pPr>
            <w:r>
              <w:rPr>
                <w:rFonts w:ascii="Arial" w:cs="Arial" w:eastAsia="Arial" w:hAnsi="Arial"/>
                <w:sz w:val="17"/>
                <w:szCs w:val="17"/>
                <w:color w:val="0000FF"/>
              </w:rPr>
              <w:t>CA</w:t>
            </w:r>
          </w:p>
        </w:tc>
        <w:tc>
          <w:tcPr>
            <w:tcW w:w="820" w:type="dxa"/>
            <w:vAlign w:val="bottom"/>
          </w:tcPr>
          <w:p>
            <w:pPr>
              <w:spacing w:after="0"/>
              <w:rPr>
                <w:sz w:val="18"/>
                <w:szCs w:val="18"/>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91355</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140" w:type="dxa"/>
            <w:vAlign w:val="bottom"/>
            <w:gridSpan w:val="8"/>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CLARITA</w:t>
            </w:r>
          </w:p>
        </w:tc>
        <w:tc>
          <w:tcPr>
            <w:tcW w:w="30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ind w:left="140"/>
              <w:spacing w:after="0" w:line="134" w:lineRule="exact"/>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3"/>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3820" w:type="dxa"/>
            <w:vAlign w:val="bottom"/>
            <w:tcBorders>
              <w:bottom w:val="single" w:sz="8" w:color="2C2C2C"/>
            </w:tcBorders>
            <w:gridSpan w:val="8"/>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gridSpan w:val="4"/>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7720" w:type="dxa"/>
            <w:vAlign w:val="bottom"/>
            <w:tcBorders>
              <w:top w:val="single" w:sz="8" w:color="2C2C2C"/>
            </w:tcBorders>
            <w:gridSpan w:val="17"/>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gridSpan w:val="2"/>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5"/>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4"/>
          </w:tcPr>
          <w:p>
            <w:pPr>
              <w:ind w:left="82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6"/>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82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60" w:type="dxa"/>
            <w:vAlign w:val="bottom"/>
            <w:gridSpan w:val="2"/>
          </w:tcPr>
          <w:p>
            <w:pPr>
              <w:ind w:left="12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7"/>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4"/>
          </w:tcPr>
          <w:p>
            <w:pPr>
              <w:ind w:left="8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6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4"/>
          </w:tcPr>
          <w:p>
            <w:pPr>
              <w:ind w:left="900"/>
              <w:spacing w:after="0"/>
              <w:rPr>
                <w:sz w:val="20"/>
                <w:szCs w:val="20"/>
                <w:color w:val="auto"/>
              </w:rPr>
            </w:pPr>
            <w:r>
              <w:rPr>
                <w:rFonts w:ascii="Arial" w:cs="Arial" w:eastAsia="Arial" w:hAnsi="Arial"/>
                <w:sz w:val="17"/>
                <w:szCs w:val="17"/>
                <w:color w:val="0000FF"/>
              </w:rPr>
              <w:t>01/25/2021</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A</w:t>
            </w:r>
            <w:r>
              <w:rPr>
                <w:rFonts w:ascii="Arial" w:cs="Arial" w:eastAsia="Arial" w:hAnsi="Arial"/>
                <w:sz w:val="11"/>
                <w:szCs w:val="11"/>
                <w:color w:val="008000"/>
              </w:rPr>
              <w:t>(1)</w:t>
            </w:r>
          </w:p>
        </w:tc>
        <w:tc>
          <w:tcPr>
            <w:tcW w:w="72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w w:val="96"/>
              </w:rPr>
              <w:t>32,711</w:t>
            </w:r>
          </w:p>
        </w:tc>
        <w:tc>
          <w:tcPr>
            <w:tcW w:w="44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32,711</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6"/>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3"/>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3"/>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3"/>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-2874010</wp:posOffset>
            </wp:positionV>
            <wp:extent cx="7031355" cy="29190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1355" cy="2919095"/>
                    </a:xfrm>
                    <a:prstGeom prst="rect">
                      <a:avLst/>
                    </a:prstGeom>
                    <a:noFill/>
                  </pic:spPr>
                </pic:pic>
              </a:graphicData>
            </a:graphic>
          </wp:anchor>
        </w:drawing>
      </w:r>
    </w:p>
    <w:p>
      <w:pPr>
        <w:spacing w:after="0" w:line="7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20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a grant of restricted stock units ("RSUs"). Each RSU represents a contingent right to receive one share of Common Stock. These RSUs will vest in three equal installments on each of January 25, 2022, 2023 and 2024 and, subject to certain exceptions, will be settled in shares of Common Stock on the date that is six months and one day following the Reporting Person's separation from service.</w:t>
      </w:r>
    </w:p>
    <w:p>
      <w:pPr>
        <w:spacing w:after="0" w:line="1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4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6"/>
              </w:rPr>
              <w:t>/s/ Ulrik Damborg, Attorney-</w:t>
            </w:r>
          </w:p>
        </w:tc>
        <w:tc>
          <w:tcPr>
            <w:tcW w:w="120" w:type="dxa"/>
            <w:vAlign w:val="bottom"/>
            <w:gridSpan w:val="2"/>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vMerge w:val="restart"/>
          </w:tcPr>
          <w:p>
            <w:pPr>
              <w:spacing w:after="0"/>
              <w:rPr>
                <w:sz w:val="20"/>
                <w:szCs w:val="20"/>
                <w:color w:val="auto"/>
              </w:rPr>
            </w:pPr>
            <w:r>
              <w:rPr>
                <w:rFonts w:ascii="Arial" w:cs="Arial" w:eastAsia="Arial" w:hAnsi="Arial"/>
                <w:sz w:val="17"/>
                <w:szCs w:val="17"/>
                <w:color w:val="0000FF"/>
                <w:w w:val="91"/>
              </w:rPr>
              <w:t>01/27/2021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2"/>
        </w:trPr>
        <w:tc>
          <w:tcPr>
            <w:tcW w:w="216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w w:val="96"/>
              </w:rPr>
              <w:t>in-Fact for Douglas E. Brooks</w:t>
            </w:r>
          </w:p>
        </w:tc>
        <w:tc>
          <w:tcPr>
            <w:tcW w:w="40" w:type="dxa"/>
            <w:vAlign w:val="bottom"/>
            <w:vMerge w:val="restart"/>
          </w:tcPr>
          <w:p>
            <w:pPr>
              <w:spacing w:after="0"/>
              <w:rPr>
                <w:sz w:val="7"/>
                <w:szCs w:val="7"/>
                <w:color w:val="auto"/>
              </w:rPr>
            </w:pPr>
          </w:p>
        </w:tc>
        <w:tc>
          <w:tcPr>
            <w:tcW w:w="800" w:type="dxa"/>
            <w:vAlign w:val="bottom"/>
            <w:tcBorders>
              <w:bottom w:val="single" w:sz="8" w:color="auto"/>
            </w:tcBorders>
            <w:vMerge w:val="continue"/>
          </w:tcPr>
          <w:p>
            <w:pPr>
              <w:spacing w:after="0"/>
              <w:rPr>
                <w:sz w:val="7"/>
                <w:szCs w:val="7"/>
                <w:color w:val="auto"/>
              </w:rPr>
            </w:pP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60" w:type="dxa"/>
            <w:vAlign w:val="bottom"/>
            <w:gridSpan w:val="3"/>
            <w:vMerge w:val="continue"/>
          </w:tcPr>
          <w:p>
            <w:pPr>
              <w:spacing w:after="0"/>
              <w:rPr>
                <w:sz w:val="7"/>
                <w:szCs w:val="7"/>
                <w:color w:val="auto"/>
              </w:rPr>
            </w:pPr>
          </w:p>
        </w:tc>
        <w:tc>
          <w:tcPr>
            <w:tcW w:w="40" w:type="dxa"/>
            <w:vAlign w:val="bottom"/>
            <w:vMerge w:val="continue"/>
          </w:tcPr>
          <w:p>
            <w:pPr>
              <w:spacing w:after="0"/>
              <w:rPr>
                <w:sz w:val="7"/>
                <w:szCs w:val="7"/>
                <w:color w:val="auto"/>
              </w:rPr>
            </w:pPr>
          </w:p>
        </w:tc>
        <w:tc>
          <w:tcPr>
            <w:tcW w:w="800" w:type="dxa"/>
            <w:vAlign w:val="bottom"/>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100" w:type="dxa"/>
            <w:vAlign w:val="bottom"/>
            <w:tcBorders>
              <w:top w:val="single" w:sz="8" w:color="auto"/>
            </w:tcBorders>
            <w:gridSpan w:val="2"/>
          </w:tcPr>
          <w:p>
            <w:pPr>
              <w:spacing w:after="0"/>
              <w:rPr>
                <w:sz w:val="20"/>
                <w:szCs w:val="20"/>
                <w:color w:val="auto"/>
              </w:rPr>
            </w:pPr>
            <w:r>
              <w:rPr>
                <w:rFonts w:ascii="Arial" w:cs="Arial" w:eastAsia="Arial" w:hAnsi="Arial"/>
                <w:sz w:val="13"/>
                <w:szCs w:val="13"/>
                <w:color w:val="auto"/>
              </w:rPr>
              <w:t>** Signature of Reporting Person</w:t>
            </w:r>
          </w:p>
        </w:tc>
        <w:tc>
          <w:tcPr>
            <w:tcW w:w="60" w:type="dxa"/>
            <w:vAlign w:val="bottom"/>
          </w:tcPr>
          <w:p>
            <w:pPr>
              <w:spacing w:after="0"/>
              <w:rPr>
                <w:sz w:val="20"/>
                <w:szCs w:val="20"/>
                <w:color w:val="auto"/>
              </w:rPr>
            </w:pPr>
          </w:p>
        </w:tc>
        <w:tc>
          <w:tcPr>
            <w:tcW w:w="860" w:type="dxa"/>
            <w:vAlign w:val="bottom"/>
            <w:gridSpan w:val="3"/>
          </w:tcPr>
          <w:p>
            <w:pPr>
              <w:ind w:left="4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548147" TargetMode="External"/><Relationship Id="rId14" Type="http://schemas.openxmlformats.org/officeDocument/2006/relationships/hyperlink" Target="http://www.sec.gov/cgi-bin/browse-edgar?action=getcompany&amp;CIK=00016092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2021-01-27T15:42:38Z</dcterms:created>
  <dcterms:modified xsi:type="dcterms:W3CDTF">2021-01-27T15:42:38Z</dcterms:modified>
</cp:coreProperties>
</file>