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03/25/2022</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jc w:val="center"/>
              <w:ind w:left="1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vMerge w:val="restart"/>
          </w:tcPr>
          <w:p>
            <w:pPr>
              <w:jc w:val="center"/>
              <w:ind w:left="167"/>
              <w:spacing w:after="0"/>
              <w:rPr>
                <w:sz w:val="20"/>
                <w:szCs w:val="20"/>
                <w:color w:val="auto"/>
              </w:rPr>
            </w:pPr>
            <w:r>
              <w:rPr>
                <w:rFonts w:ascii="Arial" w:cs="Arial" w:eastAsia="Arial" w:hAnsi="Arial"/>
                <w:sz w:val="17"/>
                <w:szCs w:val="17"/>
                <w:color w:val="0000FF"/>
                <w:w w:val="91"/>
              </w:rPr>
              <w:t>03/25/2022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197,336</w:t>
            </w:r>
          </w:p>
        </w:tc>
        <w:tc>
          <w:tcPr>
            <w:tcW w:w="320" w:type="dxa"/>
            <w:vAlign w:val="bottom"/>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49.67</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8,515,959</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03/25/2022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200,000</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49.71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8,315,959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03/25/2022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49.78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8,215,959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03/28/2022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45,000</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46.65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8,170,959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03/28/2022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48.5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8,120,959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ind w:left="167"/>
              <w:spacing w:after="0"/>
              <w:rPr>
                <w:sz w:val="20"/>
                <w:szCs w:val="20"/>
                <w:color w:val="auto"/>
              </w:rPr>
            </w:pPr>
            <w:r>
              <w:rPr>
                <w:rFonts w:ascii="Arial" w:cs="Arial" w:eastAsia="Arial" w:hAnsi="Arial"/>
                <w:sz w:val="17"/>
                <w:szCs w:val="17"/>
                <w:color w:val="0000FF"/>
                <w:w w:val="91"/>
              </w:rPr>
              <w:t>03/28/2022</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16,873</w:t>
            </w:r>
          </w:p>
        </w:tc>
        <w:tc>
          <w:tcPr>
            <w:tcW w:w="320" w:type="dxa"/>
            <w:vAlign w:val="bottom"/>
            <w:tcBorders>
              <w:top w:val="single" w:sz="8" w:color="2C2C2C"/>
            </w:tcBorders>
            <w:vMerge w:val="restart"/>
          </w:tcPr>
          <w:p>
            <w:pPr>
              <w:jc w:val="center"/>
              <w:ind w:left="120"/>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48.59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8,104,086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GoldenTree Asset Management LLC</w:t>
        </w:r>
      </w:hyperlink>
    </w:p>
    <w:p>
      <w:pPr>
        <w:sectPr>
          <w:pgSz w:w="11900" w:h="16839"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9"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300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90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290639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03/29/2022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03/29/2022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03/29/2022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5"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2022-03-29T16:13:44Z</dcterms:created>
  <dcterms:modified xsi:type="dcterms:W3CDTF">2022-03-29T16:13:44Z</dcterms:modified>
</cp:coreProperties>
</file>