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March 18, 2021</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111"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001-36478</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46-5670947</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08" w:lineRule="exact"/>
        <w:rPr>
          <w:sz w:val="24"/>
          <w:szCs w:val="24"/>
          <w:color w:val="auto"/>
        </w:rPr>
      </w:pPr>
    </w:p>
    <w:p>
      <w:pPr>
        <w:sectPr>
          <w:pgSz w:w="11900" w:h="16838" w:orient="portrait"/>
          <w:cols w:equalWidth="0" w:num="3">
            <w:col w:w="4380" w:space="720"/>
            <w:col w:w="2860" w:space="720"/>
            <w:col w:w="2420"/>
          </w:cols>
          <w:pgMar w:left="320" w:top="1440" w:right="47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91355</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00" w:space="720"/>
            <w:col w:w="3080"/>
          </w:cols>
          <w:pgMar w:left="320" w:top="1440" w:right="479" w:bottom="1440" w:gutter="0" w:footer="0" w:header="0"/>
          <w:type w:val="continuous"/>
        </w:sect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20"/>
          <w:szCs w:val="20"/>
          <w:color w:val="auto"/>
        </w:rPr>
      </w:pPr>
    </w:p>
    <w:p>
      <w:pPr>
        <w:ind w:right="2700" w:firstLine="8"/>
        <w:spacing w:after="0" w:line="417" w:lineRule="auto"/>
        <w:tabs>
          <w:tab w:leader="none" w:pos="355"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jc w:val="center"/>
        <w:ind w:right="8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New York Stock Exchange</w:t>
      </w:r>
    </w:p>
    <w:p>
      <w:pPr>
        <w:spacing w:after="0" w:line="170" w:lineRule="exact"/>
        <w:rPr>
          <w:sz w:val="24"/>
          <w:szCs w:val="24"/>
          <w:color w:val="auto"/>
        </w:rPr>
      </w:pPr>
    </w:p>
    <w:p>
      <w:pPr>
        <w:sectPr>
          <w:pgSz w:w="11900" w:h="16838" w:orient="portrait"/>
          <w:cols w:equalWidth="0" w:num="3">
            <w:col w:w="3480" w:space="720"/>
            <w:col w:w="2260" w:space="720"/>
            <w:col w:w="3920"/>
          </w:cols>
          <w:pgMar w:left="320" w:top="1440" w:right="47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3"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On March 18, 2021, California Resources Corporation (the “Company”) posted an investor presentation on its website at www.crc.com. The Company expects to use the investor presentation, in whole or in part, and possibly with modifications, in connection with its previously announced Strategy Day to be held on the date of this filing. A copy of the investor presentation is furnished as Exhibit 99.1 to this report and is incorporated herein by reference.</w:t>
      </w:r>
    </w:p>
    <w:p>
      <w:pPr>
        <w:spacing w:after="0" w:line="17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information furnished in this Item 7.01, including Exhibit 99.1 hereto,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specific reference in such filing.</w:t>
      </w:r>
    </w:p>
    <w:p>
      <w:pPr>
        <w:spacing w:after="0" w:line="200" w:lineRule="exact"/>
        <w:rPr>
          <w:sz w:val="20"/>
          <w:szCs w:val="20"/>
          <w:color w:val="auto"/>
        </w:rPr>
      </w:pPr>
    </w:p>
    <w:p>
      <w:pPr>
        <w:spacing w:after="0" w:line="2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(d)  Exhibits</w:t>
            </w:r>
          </w:p>
        </w:tc>
        <w:tc>
          <w:tcPr>
            <w:tcW w:w="9440" w:type="dxa"/>
            <w:vAlign w:val="bottom"/>
          </w:tcPr>
          <w:p>
            <w:pPr>
              <w:spacing w:after="0"/>
              <w:rPr>
                <w:sz w:val="20"/>
                <w:szCs w:val="20"/>
                <w:color w:val="auto"/>
              </w:rPr>
            </w:pPr>
          </w:p>
        </w:tc>
      </w:tr>
      <w:tr>
        <w:trPr>
          <w:trHeight w:val="378"/>
        </w:trPr>
        <w:tc>
          <w:tcPr>
            <w:tcW w:w="1800" w:type="dxa"/>
            <w:vAlign w:val="bottom"/>
          </w:tcPr>
          <w:p>
            <w:pPr>
              <w:ind w:left="520"/>
              <w:spacing w:after="0"/>
              <w:rPr>
                <w:sz w:val="20"/>
                <w:szCs w:val="20"/>
                <w:color w:val="auto"/>
              </w:rPr>
            </w:pPr>
            <w:r>
              <w:rPr>
                <w:rFonts w:ascii="Arial" w:cs="Arial" w:eastAsia="Arial" w:hAnsi="Arial"/>
                <w:sz w:val="18"/>
                <w:szCs w:val="18"/>
                <w:b w:val="1"/>
                <w:bCs w:val="1"/>
                <w:color w:val="auto"/>
              </w:rPr>
              <w:t>Exhibit No.</w:t>
            </w:r>
          </w:p>
        </w:tc>
        <w:tc>
          <w:tcPr>
            <w:tcW w:w="9440" w:type="dxa"/>
            <w:vAlign w:val="bottom"/>
          </w:tcPr>
          <w:p>
            <w:pPr>
              <w:ind w:left="4460"/>
              <w:spacing w:after="0"/>
              <w:rPr>
                <w:sz w:val="20"/>
                <w:szCs w:val="20"/>
                <w:color w:val="auto"/>
              </w:rPr>
            </w:pPr>
            <w:r>
              <w:rPr>
                <w:rFonts w:ascii="Arial" w:cs="Arial" w:eastAsia="Arial" w:hAnsi="Arial"/>
                <w:sz w:val="18"/>
                <w:szCs w:val="18"/>
                <w:b w:val="1"/>
                <w:bCs w:val="1"/>
                <w:color w:val="auto"/>
              </w:rPr>
              <w:t>Description</w:t>
            </w:r>
          </w:p>
        </w:tc>
      </w:tr>
      <w:tr>
        <w:trPr>
          <w:trHeight w:val="270"/>
        </w:trPr>
        <w:tc>
          <w:tcPr>
            <w:tcW w:w="1800" w:type="dxa"/>
            <w:vAlign w:val="bottom"/>
          </w:tcPr>
          <w:p>
            <w:pPr>
              <w:jc w:val="right"/>
              <w:ind w:right="590"/>
              <w:spacing w:after="0"/>
              <w:rPr>
                <w:sz w:val="20"/>
                <w:szCs w:val="20"/>
                <w:color w:val="auto"/>
              </w:rPr>
            </w:pPr>
            <w:r>
              <w:rPr>
                <w:rFonts w:ascii="Arial" w:cs="Arial" w:eastAsia="Arial" w:hAnsi="Arial"/>
                <w:sz w:val="18"/>
                <w:szCs w:val="18"/>
                <w:color w:val="auto"/>
              </w:rPr>
              <w:t>99.1</w:t>
            </w:r>
          </w:p>
        </w:tc>
        <w:tc>
          <w:tcPr>
            <w:tcW w:w="9440" w:type="dxa"/>
            <w:vAlign w:val="bottom"/>
          </w:tcPr>
          <w:p>
            <w:pPr>
              <w:ind w:left="3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Investor Presentation.</w:t>
              </w:r>
            </w:hyperlink>
          </w:p>
        </w:tc>
      </w:tr>
      <w:tr>
        <w:trPr>
          <w:trHeight w:val="270"/>
        </w:trPr>
        <w:tc>
          <w:tcPr>
            <w:tcW w:w="1800" w:type="dxa"/>
            <w:vAlign w:val="bottom"/>
          </w:tcPr>
          <w:p>
            <w:pPr>
              <w:jc w:val="right"/>
              <w:ind w:right="610"/>
              <w:spacing w:after="0"/>
              <w:rPr>
                <w:sz w:val="20"/>
                <w:szCs w:val="20"/>
                <w:color w:val="auto"/>
              </w:rPr>
            </w:pPr>
            <w:r>
              <w:rPr>
                <w:rFonts w:ascii="Arial" w:cs="Arial" w:eastAsia="Arial" w:hAnsi="Arial"/>
                <w:sz w:val="18"/>
                <w:szCs w:val="18"/>
                <w:color w:val="auto"/>
              </w:rPr>
              <w:t>104</w:t>
            </w:r>
          </w:p>
        </w:tc>
        <w:tc>
          <w:tcPr>
            <w:tcW w:w="9440" w:type="dxa"/>
            <w:vAlign w:val="bottom"/>
          </w:tcPr>
          <w:p>
            <w:pPr>
              <w:ind w:left="38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856"/>
        </w:trPr>
        <w:tc>
          <w:tcPr>
            <w:tcW w:w="18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Roy Pineci</w:t>
      </w:r>
    </w:p>
    <w:p>
      <w:pPr>
        <w:spacing w:after="0" w:line="23"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Roy Pineci</w:t>
            </w:r>
          </w:p>
        </w:tc>
      </w:tr>
      <w:tr>
        <w:trPr>
          <w:trHeight w:val="230"/>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DATED: March 18, 2021</w:t>
      </w:r>
    </w:p>
    <w:p>
      <w:pPr>
        <w:sectPr>
          <w:pgSz w:w="11900" w:h="16838" w:orient="portrait"/>
          <w:cols w:equalWidth="0" w:num="1">
            <w:col w:w="11240"/>
          </w:cols>
          <w:pgMar w:left="320" w:top="1417" w:right="339" w:bottom="1440" w:gutter="0" w:footer="0" w:header="0"/>
        </w:sectPr>
      </w:pPr>
    </w:p>
    <w:bookmarkStart w:id="3" w:name="page4"/>
    <w:bookmarkEnd w:id="3"/>
    <w:p>
      <w:pPr>
        <w:ind w:left="8880"/>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168275</wp:posOffset>
            </wp:positionV>
            <wp:extent cx="5349240" cy="3008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3008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2021-03-18T07:43:08Z</dcterms:created>
  <dcterms:modified xsi:type="dcterms:W3CDTF">2021-03-18T07:43:08Z</dcterms:modified>
</cp:coreProperties>
</file>