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23, 2026</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March 23, 2026, California Resources Corporation (the “Company”) completed its previously announced upsized private offering of an additional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$350 million aggregate principal amount of its 7.000% senior unsecured notes due 2034 (the “Notes”). The terms of the Notes are governed by the Indenture,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as of October 8, 2025 (the “Original Indenture”, as amended and supplemented by the First Supplemental Indenture, dated as of January 16, 2026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Supplemental Indenture” and together with the Original Indenture, the “Indenture”)), by and among the Company, the guarantors party thereto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and Wilmington Trust, National Association, as trustee (the “Trustee”). The Notes will mature on January 15, 2034. Interest accrues from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 and will be payable semi-annually on January 15 and July 15 of each year, commencing July 15, 2026.</w:t>
      </w:r>
    </w:p>
    <w:p>
      <w:pPr>
        <w:spacing w:after="0" w:line="200"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The Company intends to use the net proceeds from this offering, together with cash on hand and/or borrowings under its revolving credit facility, to fund the redemption of $350 million in aggregate principal amount of its 8.250% senior unsecured notes due 2029 (the “2029 Notes”) at a redemption price of 100% thereof, plus the Applicable Premium (as defined in the indenture governing the 2029 Notes) as of, and accrued and unpaid interest to, but excluding, the date of redemption. The redemption of the 2029 Notes is expected to close on March 24, 2026.</w:t>
      </w:r>
    </w:p>
    <w:p>
      <w:pPr>
        <w:spacing w:after="0" w:line="180" w:lineRule="exact"/>
        <w:rPr>
          <w:sz w:val="20"/>
          <w:szCs w:val="20"/>
          <w:color w:val="auto"/>
        </w:rPr>
      </w:pPr>
    </w:p>
    <w:p>
      <w:pPr>
        <w:ind w:right="100" w:firstLine="320"/>
        <w:spacing w:after="0" w:line="254" w:lineRule="auto"/>
        <w:rPr>
          <w:sz w:val="20"/>
          <w:szCs w:val="20"/>
          <w:color w:val="auto"/>
        </w:rPr>
      </w:pPr>
      <w:r>
        <w:rPr>
          <w:rFonts w:ascii="Times New Roman" w:cs="Times New Roman" w:eastAsia="Times New Roman" w:hAnsi="Times New Roman"/>
          <w:sz w:val="18"/>
          <w:szCs w:val="18"/>
          <w:color w:val="auto"/>
        </w:rPr>
        <w:t>The Notes were offered as additional notes under the Indenture, pursuant to which the Company previously issued $400 million aggregate principal amount of 7.000% senior notes due 2034 (the “Existing 2034 Notes”). The Notes have substantially identical terms, other than the issue date and issue price, as the Existing 2034 Notes, and the Notes and the Existing 2034 Notes are treated as a single series of securities under the Indenture and vote together as a single class. Except with respect to Notes offered pursuant to Regulation S under the Securities Act of 1933, as amended, the Notes have the same CUSIP and ISIN numbers as, and are fungible with, the Existing 2034 Notes immediately upon issuance.</w:t>
      </w:r>
    </w:p>
    <w:p>
      <w:pPr>
        <w:spacing w:after="0" w:line="184"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The Notes are guaranteed on a senior unsecured basis by all of the Company’s existing subsidiaries that guarantee its obligations under its revolving credit facility and its existing 8.250% senior notes due 2029, and the Notes will be guaranteed by certain of the Company’s future subsidiaries. The Notes and the guarantees thereof are unsecured, rank equally in right of payment with all senior unsecured debt of the Company and the Guarantors and rank senior to all of the existing and future subordinated debt of the Company and the Guarantors.</w:t>
      </w:r>
    </w:p>
    <w:p>
      <w:pPr>
        <w:spacing w:after="0" w:line="180"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The Company may, at its option, redeem some or all of the Notes at any time on or after January 15, 2029 at the redemption prices specified in the Indenture. Prior to such time, the Company may, at its option, redeem up to 40% of the aggregate principal amount of the Notes with an amount of cash not greater than the net cash proceeds from certain equity offerings at the redemption price specified in the Indenture. In addition, before January 15, 2029, the Company may redeem some or all of the Notes at a redemption price equal to 100% of the aggregate principal amount of the Notes redeemed, plus the applicable premium as specified in the Indenture and accrued and unpaid interest, if any, to, but excluding, the redemption date. If the Company experiences certain kinds of change of control trigger events, the Company will be required to offer to repurchase the Notes at 101% of the aggregate principal amount of the Notes repurchased, plus accrued and unpaid interest, if any, on the Notes repurchased to, but excluding, the date of purchase. The Indenture contains other customary terms, events of default and covenants.</w:t>
      </w:r>
    </w:p>
    <w:p>
      <w:pPr>
        <w:spacing w:after="0" w:line="187" w:lineRule="exact"/>
        <w:rPr>
          <w:sz w:val="20"/>
          <w:szCs w:val="20"/>
          <w:color w:val="auto"/>
        </w:rPr>
      </w:pPr>
    </w:p>
    <w:p>
      <w:pPr>
        <w:ind w:right="180" w:firstLine="320"/>
        <w:spacing w:after="0" w:line="276" w:lineRule="auto"/>
        <w:rPr>
          <w:sz w:val="20"/>
          <w:szCs w:val="20"/>
          <w:color w:val="auto"/>
        </w:rPr>
      </w:pPr>
      <w:r>
        <w:rPr>
          <w:rFonts w:ascii="Times New Roman" w:cs="Times New Roman" w:eastAsia="Times New Roman" w:hAnsi="Times New Roman"/>
          <w:sz w:val="18"/>
          <w:szCs w:val="18"/>
          <w:color w:val="auto"/>
        </w:rPr>
        <w:t>The above description of the Indenture is not complete and is qualified in its entirety by reference to the full text of the Original Indenture and the First Supplemental Indenture, which are included in Exhibit 4.1 and 4.2 hereto and incorporated by reference herein.</w:t>
      </w:r>
    </w:p>
    <w:p>
      <w:pPr>
        <w:spacing w:after="0" w:line="3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w:t>
      </w:r>
    </w:p>
    <w:p>
      <w:pPr>
        <w:spacing w:after="0" w:line="221" w:lineRule="exact"/>
        <w:rPr>
          <w:sz w:val="20"/>
          <w:szCs w:val="20"/>
          <w:color w:val="auto"/>
        </w:rPr>
      </w:pPr>
    </w:p>
    <w:p>
      <w:pPr>
        <w:ind w:right="800" w:firstLine="320"/>
        <w:spacing w:after="0" w:line="276" w:lineRule="auto"/>
        <w:rPr>
          <w:sz w:val="20"/>
          <w:szCs w:val="20"/>
          <w:color w:val="auto"/>
        </w:rPr>
      </w:pPr>
      <w:r>
        <w:rPr>
          <w:rFonts w:ascii="Times New Roman" w:cs="Times New Roman" w:eastAsia="Times New Roman" w:hAnsi="Times New Roman"/>
          <w:sz w:val="18"/>
          <w:szCs w:val="18"/>
          <w:color w:val="auto"/>
        </w:rPr>
        <w:t>The information provided under Item 1.01 in this Current Report on Form 8-K regarding the Notes, the Indenture and the related guarantees is incorporated by reference into this Item 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2"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21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600" w:type="dxa"/>
            <w:vAlign w:val="bottom"/>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1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7"/>
              </w:rPr>
              <w:t>4.1</w:t>
            </w:r>
          </w:p>
        </w:tc>
        <w:tc>
          <w:tcPr>
            <w:tcW w:w="86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4">
              <w:r>
                <w:rPr>
                  <w:rFonts w:ascii="Times New Roman" w:cs="Times New Roman" w:eastAsia="Times New Roman" w:hAnsi="Times New Roman"/>
                  <w:sz w:val="18"/>
                  <w:szCs w:val="18"/>
                  <w:color w:val="0000FF"/>
                  <w:w w:val="98"/>
                </w:rPr>
                <w:t>Indenture, dated October 8, 2025, by and among the Company, the Guarantors and the Trustee (filed as Exhibit 4.1 to the</w:t>
              </w:r>
            </w:hyperlink>
          </w:p>
        </w:tc>
      </w:tr>
      <w:tr>
        <w:trPr>
          <w:trHeight w:val="193"/>
        </w:trPr>
        <w:tc>
          <w:tcPr>
            <w:tcW w:w="2120" w:type="dxa"/>
            <w:vAlign w:val="bottom"/>
          </w:tcPr>
          <w:p>
            <w:pPr>
              <w:spacing w:after="0"/>
              <w:rPr>
                <w:sz w:val="16"/>
                <w:szCs w:val="16"/>
                <w:color w:val="auto"/>
              </w:rPr>
            </w:pPr>
          </w:p>
        </w:tc>
        <w:tc>
          <w:tcPr>
            <w:tcW w:w="8600" w:type="dxa"/>
            <w:vAlign w:val="bottom"/>
            <w:gridSpan w:val="3"/>
          </w:tcPr>
          <w:p>
            <w:pPr>
              <w:spacing w:after="0" w:line="194"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Company’s Current Report on Form 8-K filed on October 8, 2025, and incorporated herein by reference).</w:t>
              </w:r>
            </w:hyperlink>
          </w:p>
        </w:tc>
      </w:tr>
      <w:tr>
        <w:trPr>
          <w:trHeight w:val="20"/>
        </w:trPr>
        <w:tc>
          <w:tcPr>
            <w:tcW w:w="2120" w:type="dxa"/>
            <w:vAlign w:val="bottom"/>
          </w:tcPr>
          <w:p>
            <w:pPr>
              <w:spacing w:after="0" w:line="20" w:lineRule="exact"/>
              <w:rPr>
                <w:sz w:val="1"/>
                <w:szCs w:val="1"/>
                <w:color w:val="auto"/>
              </w:rPr>
            </w:pPr>
          </w:p>
        </w:tc>
        <w:tc>
          <w:tcPr>
            <w:tcW w:w="74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21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7"/>
              </w:rPr>
              <w:t>4.2</w:t>
            </w: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First Supplemental Indenture, dated as of January 16, 2026, by and among the Company, the Guarantors and the Trustee.</w:t>
            </w:r>
          </w:p>
        </w:tc>
      </w:tr>
      <w:tr>
        <w:trPr>
          <w:trHeight w:val="287"/>
        </w:trPr>
        <w:tc>
          <w:tcPr>
            <w:tcW w:w="21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rPr>
              <w:t>104</w:t>
            </w:r>
          </w:p>
        </w:tc>
        <w:tc>
          <w:tcPr>
            <w:tcW w:w="8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23, 2026</w:t>
      </w:r>
    </w:p>
    <w:p>
      <w:pPr>
        <w:sectPr>
          <w:pgSz w:w="11900" w:h="16838" w:orient="portrait"/>
          <w:cols w:equalWidth="0" w:num="1">
            <w:col w:w="11240"/>
          </w:cols>
          <w:pgMar w:left="320" w:top="139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SUPPLEMENTAL INDENTURE</w:t>
      </w:r>
    </w:p>
    <w:p>
      <w:pPr>
        <w:spacing w:after="0" w:line="22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Supplemental Indenture (this “</w:t>
      </w:r>
      <w:r>
        <w:rPr>
          <w:rFonts w:ascii="Times New Roman" w:cs="Times New Roman" w:eastAsia="Times New Roman" w:hAnsi="Times New Roman"/>
          <w:sz w:val="20"/>
          <w:szCs w:val="20"/>
          <w:i w:val="1"/>
          <w:iCs w:val="1"/>
          <w:color w:val="auto"/>
        </w:rPr>
        <w:t>Supplemental Indenture</w:t>
      </w:r>
      <w:r>
        <w:rPr>
          <w:rFonts w:ascii="Times New Roman" w:cs="Times New Roman" w:eastAsia="Times New Roman" w:hAnsi="Times New Roman"/>
          <w:sz w:val="20"/>
          <w:szCs w:val="20"/>
          <w:color w:val="auto"/>
        </w:rPr>
        <w:t>”), dated as of January 16, 2025, by and among BERRY CORPORATION (BRY), a Delaware corporation, BERRY PETROLEUM COMPANY, LLC, a Delaware limited liability company, C&amp;J WELL SERVICES, LLC, a Delaware limited liability company, CJ BERRY WELL SERVICES MANAGEMENT, LLC, a Delaware limited liability company, MACPHERSON ENERGY, LLC, a Delaware limited liability company, MACPHERSON OIL COMPANY LLC, a California limited liability company, MACPHERSON GREEN POWER COMPANY, LLC, a California limited liability company, MACPHERSON LAND COMPANY, LLC, a California limited liability company, MACPHERSON LAND COMPANY, L.P., a California limited partnership, MACPHERSON OPERATING COMPANY, LLC, a California limited liability company, MACPHERSON OPERATING COMPANY, L.P., a California limited partnership, MACPHERESON POWER COMMERCIAL SERVICES, LLC, a California limited liability company, MACPHERSON POWER COMMERCIAL SERVICES, L.P., a California limited partnership, MACPHERSON POWER COMPANY, LLC, a California limited liability company, MACPHERSON POWER COMPANY, L.P., a California limited partnership, and MACPHERSON ROUND MOUNTAIN HOLDINGS, LLC, a California limited liability company (collectively, the “</w:t>
      </w:r>
      <w:r>
        <w:rPr>
          <w:rFonts w:ascii="Times New Roman" w:cs="Times New Roman" w:eastAsia="Times New Roman" w:hAnsi="Times New Roman"/>
          <w:sz w:val="20"/>
          <w:szCs w:val="20"/>
          <w:i w:val="1"/>
          <w:iCs w:val="1"/>
          <w:color w:val="auto"/>
        </w:rPr>
        <w:t>Guaranteeing Subsidiaries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i w:val="1"/>
          <w:iCs w:val="1"/>
          <w:color w:val="auto"/>
        </w:rPr>
        <w:t>Guaranteeing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Subsidiary”</w:t>
      </w:r>
      <w:r>
        <w:rPr>
          <w:rFonts w:ascii="Times New Roman" w:cs="Times New Roman" w:eastAsia="Times New Roman" w:hAnsi="Times New Roman"/>
          <w:sz w:val="20"/>
          <w:szCs w:val="20"/>
          <w:color w:val="auto"/>
        </w:rPr>
        <w:t>), each a subsidiary of California Resources Corporation, a Delaware corporation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the other Guarantors (as defined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Base Indenture referred to herein), the Issuer and Wilmington Trust, National Association, as trustee under the Indenture referred to below (the “</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1" w:lineRule="exact"/>
        <w:rPr>
          <w:sz w:val="20"/>
          <w:szCs w:val="20"/>
          <w:color w:val="auto"/>
        </w:rPr>
      </w:pPr>
    </w:p>
    <w:p>
      <w:pPr>
        <w:ind w:right="320"/>
        <w:spacing w:after="0" w:line="319" w:lineRule="auto"/>
        <w:rPr>
          <w:sz w:val="20"/>
          <w:szCs w:val="20"/>
          <w:color w:val="auto"/>
        </w:rPr>
      </w:pPr>
      <w:r>
        <w:rPr>
          <w:rFonts w:ascii="Times New Roman" w:cs="Times New Roman" w:eastAsia="Times New Roman" w:hAnsi="Times New Roman"/>
          <w:sz w:val="18"/>
          <w:szCs w:val="18"/>
          <w:color w:val="auto"/>
        </w:rPr>
        <w:t>WHEREAS, the Issuer, the Guarantors and the Trustee are party to an indenture (the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dated as of October 8, 2025 (as supplemented by this Supplemental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providing for the issuance of 7.000% Senior Notes due 2034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WHEREAS, the Base Indenture provides that under certain circumstances each Guaranteeing Subsidiary shall execute and deliver to the Trustee a supplemental indenture pursuant to which the Guaranteeing Subsidiary shall unconditionally Guarantee all of the Issuer’s Obligations under the Notes and the Base Indenture on the terms and conditions set forth herein (the “</w:t>
      </w:r>
      <w:r>
        <w:rPr>
          <w:rFonts w:ascii="Times New Roman" w:cs="Times New Roman" w:eastAsia="Times New Roman" w:hAnsi="Times New Roman"/>
          <w:sz w:val="20"/>
          <w:szCs w:val="20"/>
          <w:i w:val="1"/>
          <w:iCs w:val="1"/>
          <w:color w:val="auto"/>
        </w:rPr>
        <w:t>Guarantee</w:t>
      </w:r>
      <w:r>
        <w:rPr>
          <w:rFonts w:ascii="Times New Roman" w:cs="Times New Roman" w:eastAsia="Times New Roman" w:hAnsi="Times New Roman"/>
          <w:sz w:val="20"/>
          <w:szCs w:val="20"/>
          <w:color w:val="auto"/>
        </w:rPr>
        <w:t>”); and</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WHEREAS, pursuant to Sections 4.16 and 9.01 of the Base Indenture, the Trustee is authorized to execute and deliver this Supplemental Indenture. NOW, THEREFORE, in consideration of the foregoing and for other good and valuable consideration, the receipt of which is hereby acknowledged, each Guaranteeing Subsidiary, the other Guarantors, the Issuer and the Trustee mutually covenant and agree for the equal and ratable benefit of the Holders of the Notes as follows:</w:t>
      </w:r>
    </w:p>
    <w:p>
      <w:pPr>
        <w:spacing w:after="0" w:line="186" w:lineRule="exact"/>
        <w:rPr>
          <w:sz w:val="20"/>
          <w:szCs w:val="20"/>
          <w:color w:val="auto"/>
        </w:rPr>
      </w:pPr>
    </w:p>
    <w:p>
      <w:pPr>
        <w:ind w:left="200" w:hanging="193"/>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Base Indenture.</w:t>
      </w:r>
    </w:p>
    <w:p>
      <w:pPr>
        <w:spacing w:after="0" w:line="232" w:lineRule="exact"/>
        <w:rPr>
          <w:rFonts w:ascii="Times New Roman" w:cs="Times New Roman" w:eastAsia="Times New Roman" w:hAnsi="Times New Roman"/>
          <w:sz w:val="18"/>
          <w:szCs w:val="18"/>
          <w:color w:val="auto"/>
        </w:rPr>
      </w:pPr>
    </w:p>
    <w:p>
      <w:pPr>
        <w:ind w:right="320" w:firstLine="7"/>
        <w:spacing w:after="0" w:line="332" w:lineRule="auto"/>
        <w:tabs>
          <w:tab w:leader="none" w:pos="1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Each Guaranteeing Subsidiary hereby unconditionally Guarantees all of the Issuer’s Obligations under the Notes and the Base Indenture on the terms and subject to the conditions set forth in the Base Indenture, including, but not limited to, Article 10 thereof.</w:t>
      </w:r>
    </w:p>
    <w:p>
      <w:pPr>
        <w:spacing w:after="0" w:line="120" w:lineRule="exact"/>
        <w:rPr>
          <w:rFonts w:ascii="Times New Roman" w:cs="Times New Roman" w:eastAsia="Times New Roman" w:hAnsi="Times New Roman"/>
          <w:sz w:val="18"/>
          <w:szCs w:val="18"/>
          <w:color w:val="auto"/>
        </w:rPr>
      </w:pPr>
    </w:p>
    <w:p>
      <w:pPr>
        <w:ind w:right="120" w:firstLine="7"/>
        <w:spacing w:after="0" w:line="255" w:lineRule="auto"/>
        <w:tabs>
          <w:tab w:leader="none" w:pos="19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RECOURSE AGAINST OTHERS. No director, officer, partner, employee, incorporator, manager, stockholder or unitholder or other owner of Capital Stock of the Issuer or any Guarantor, as such, will have any liability for any obligations of the Issuer or the Guarantors under the Notes, the Indenture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4" w:right="339" w:bottom="1440" w:gutter="0" w:footer="0" w:header="0"/>
        </w:sectPr>
      </w:pPr>
    </w:p>
    <w:bookmarkStart w:id="5" w:name="page6"/>
    <w:bookmarkEnd w:id="5"/>
    <w:p>
      <w:pPr>
        <w:ind w:right="340"/>
        <w:spacing w:after="0" w:line="275" w:lineRule="auto"/>
        <w:rPr>
          <w:sz w:val="20"/>
          <w:szCs w:val="20"/>
          <w:color w:val="auto"/>
        </w:rPr>
      </w:pPr>
      <w:r>
        <w:rPr>
          <w:rFonts w:ascii="Times New Roman" w:cs="Times New Roman" w:eastAsia="Times New Roman" w:hAnsi="Times New Roman"/>
          <w:sz w:val="20"/>
          <w:szCs w:val="20"/>
          <w:color w:val="auto"/>
        </w:rPr>
        <w:t>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53" w:lineRule="exact"/>
        <w:rPr>
          <w:sz w:val="20"/>
          <w:szCs w:val="20"/>
          <w:color w:val="auto"/>
        </w:rPr>
      </w:pPr>
    </w:p>
    <w:p>
      <w:pPr>
        <w:ind w:right="120" w:firstLine="7"/>
        <w:spacing w:after="0" w:line="297" w:lineRule="auto"/>
        <w:tabs>
          <w:tab w:leader="none" w:pos="1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Indenture; Supplemental Indenture; Part of Indenture. The Base Indenture is in all respects ratified and confirmed and all the terms, conditions and provisions thereof shall remain in full force and effect. This Supplemental Indenture shall form a part of the Base Indenture for all purposes, and every Holder of a Note or New Note heretofore or hereafter authenticated and delivered shall be bound hereby.</w:t>
      </w:r>
    </w:p>
    <w:p>
      <w:pPr>
        <w:spacing w:after="0" w:line="151" w:lineRule="exact"/>
        <w:rPr>
          <w:rFonts w:ascii="Times New Roman" w:cs="Times New Roman" w:eastAsia="Times New Roman" w:hAnsi="Times New Roman"/>
          <w:sz w:val="18"/>
          <w:szCs w:val="18"/>
          <w:color w:val="auto"/>
        </w:rPr>
      </w:pPr>
    </w:p>
    <w:p>
      <w:pPr>
        <w:ind w:right="560" w:firstLine="7"/>
        <w:spacing w:after="0" w:line="255" w:lineRule="auto"/>
        <w:tabs>
          <w:tab w:leader="none" w:pos="19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YORK LAW TO GOVERN. THIS SUPPLEMENTAL INDENTURE, AND ANY CLAIM, CONTROVERSY OR DISPUTE ARISING UNDER OR RELATED TO THIS SUPPLEMENTAL INDENTURE, SHALL BE GOVERNED BY AND CONSTRUED IN ACCORDANCE WITH THE LAWS OF THE STATE OF NEW YORK.</w:t>
      </w:r>
    </w:p>
    <w:p>
      <w:pPr>
        <w:spacing w:after="0" w:line="186" w:lineRule="exact"/>
        <w:rPr>
          <w:rFonts w:ascii="Times New Roman" w:cs="Times New Roman" w:eastAsia="Times New Roman" w:hAnsi="Times New Roman"/>
          <w:sz w:val="20"/>
          <w:szCs w:val="20"/>
          <w:color w:val="auto"/>
        </w:rPr>
      </w:pPr>
    </w:p>
    <w:p>
      <w:pPr>
        <w:ind w:firstLine="7"/>
        <w:spacing w:after="0" w:line="246" w:lineRule="auto"/>
        <w:tabs>
          <w:tab w:leader="none" w:pos="19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The parties may sign any number of copies of this Supplemental Indenture. Each signed copy shall be an original, but all of them together represent the same agreement. Delivery of an executed counterpart of a signature page to this Supplemental Indenture by telecopier, facsimile or other electronic transmission (i.e., a “pdf” or “tif”) shall be effective as delivery of a manually executed counterpart thereof. The words “execution,” “signed,” “signature,” and words of like import in this Supplemental Indenture or in any other certificate, agreement or document related to this Supplemental Indenture or the transactions contemplated hereby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96" w:lineRule="exact"/>
        <w:rPr>
          <w:rFonts w:ascii="Times New Roman" w:cs="Times New Roman" w:eastAsia="Times New Roman" w:hAnsi="Times New Roman"/>
          <w:sz w:val="20"/>
          <w:szCs w:val="20"/>
          <w:color w:val="auto"/>
        </w:rPr>
      </w:pPr>
    </w:p>
    <w:p>
      <w:pPr>
        <w:ind w:left="200" w:hanging="193"/>
        <w:spacing w:after="0"/>
        <w:tabs>
          <w:tab w:leader="none" w:pos="2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OF HEADINGS. The Section headings herein are for convenience only and shall not affect the construction hereof.</w:t>
      </w:r>
    </w:p>
    <w:p>
      <w:pPr>
        <w:spacing w:after="0" w:line="209" w:lineRule="exact"/>
        <w:rPr>
          <w:rFonts w:ascii="Times New Roman" w:cs="Times New Roman" w:eastAsia="Times New Roman" w:hAnsi="Times New Roman"/>
          <w:sz w:val="20"/>
          <w:szCs w:val="20"/>
          <w:color w:val="auto"/>
        </w:rPr>
      </w:pPr>
    </w:p>
    <w:p>
      <w:pPr>
        <w:ind w:right="620" w:firstLine="7"/>
        <w:spacing w:after="0" w:line="262" w:lineRule="auto"/>
        <w:tabs>
          <w:tab w:leader="none" w:pos="19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the other Guarantors and the Issuer.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6" w:right="339" w:bottom="1440" w:gutter="0" w:footer="0" w:header="0"/>
        </w:sectPr>
      </w:pPr>
    </w:p>
    <w:bookmarkStart w:id="6" w:name="page7"/>
    <w:bookmarkEnd w:id="6"/>
    <w:p>
      <w:pPr>
        <w:spacing w:after="0" w:line="275" w:lineRule="auto"/>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and attested, all as of the date first above written.</w:t>
      </w:r>
    </w:p>
    <w:p>
      <w:pPr>
        <w:spacing w:after="0" w:line="15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Arial" w:cs="Arial" w:eastAsia="Arial" w:hAnsi="Arial"/>
          <w:sz w:val="20"/>
          <w:szCs w:val="20"/>
          <w:color w:val="auto"/>
        </w:rPr>
        <w:t>1/16/2026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-12700</wp:posOffset>
            </wp:positionV>
            <wp:extent cx="799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BERRY CORPORATION (BRY),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BERRY PETROLEUM COMPANY,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ENERGY,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19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line="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2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OIL COMPANY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ROUND MOUNTAIN HOLDINGS,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11060"/>
          </w:cols>
          <w:pgMar w:left="320" w:top="139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Supplemental Indenture (2034 Notes)</w:t>
      </w:r>
      <w:r>
        <w:rPr>
          <w:rFonts w:ascii="Times New Roman" w:cs="Times New Roman" w:eastAsia="Times New Roman" w:hAnsi="Times New Roman"/>
          <w:sz w:val="17"/>
          <w:szCs w:val="17"/>
          <w:color w:val="auto"/>
        </w:rPr>
        <w:t>]</w:t>
      </w:r>
    </w:p>
    <w:p>
      <w:pPr>
        <w:sectPr>
          <w:pgSz w:w="11900" w:h="16838" w:orient="portrait"/>
          <w:cols w:equalWidth="0" w:num="1">
            <w:col w:w="11060"/>
          </w:cols>
          <w:pgMar w:left="320" w:top="1396" w:right="5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MACPHERSON POWER COMPANY,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19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POWER COMPANY, 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OPERATING COMPANY,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16"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OPERATING COMPANY, 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19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POWER COMMERCIAL</w:t>
      </w:r>
    </w:p>
    <w:p>
      <w:pPr>
        <w:spacing w:after="0" w:line="228" w:lineRule="auto"/>
        <w:rPr>
          <w:sz w:val="20"/>
          <w:szCs w:val="20"/>
          <w:color w:val="auto"/>
        </w:rPr>
      </w:pPr>
      <w:r>
        <w:rPr>
          <w:rFonts w:ascii="Times New Roman" w:cs="Times New Roman" w:eastAsia="Times New Roman" w:hAnsi="Times New Roman"/>
          <w:sz w:val="20"/>
          <w:szCs w:val="20"/>
          <w:color w:val="auto"/>
        </w:rPr>
        <w:t>SERVICES, LLC,</w:t>
      </w: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16"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24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(2034 Notes)</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39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color w:val="auto"/>
        </w:rPr>
        <w:t>MACPHERSON POWER COMMERCIAL</w:t>
      </w:r>
    </w:p>
    <w:p>
      <w:pPr>
        <w:spacing w:after="0" w:line="228" w:lineRule="auto"/>
        <w:rPr>
          <w:sz w:val="20"/>
          <w:szCs w:val="20"/>
          <w:color w:val="auto"/>
        </w:rPr>
      </w:pPr>
      <w:r>
        <w:rPr>
          <w:rFonts w:ascii="Times New Roman" w:cs="Times New Roman" w:eastAsia="Times New Roman" w:hAnsi="Times New Roman"/>
          <w:sz w:val="20"/>
          <w:szCs w:val="20"/>
          <w:color w:val="auto"/>
        </w:rPr>
        <w:t>SERVICES, L.P.</w:t>
      </w: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LAND COMPANY,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16"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LAND COMPANY, 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19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GREEN POWER COMPANY,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CJ BERRY WELL SERVICES MANAGEMENT,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21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24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(2034 Notes)</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39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C&amp;J WELL SERVICES,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19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line="231" w:lineRule="auto"/>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Officer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Issuer</w:t>
      </w: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0128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Clio C. Crespy</w:t>
      </w: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Trustee</w:t>
      </w: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Barry D. Somrock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-12700</wp:posOffset>
            </wp:positionV>
            <wp:extent cx="11849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Barry D. Somrock</w:t>
      </w: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4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(2034 Notes)</w:t>
      </w:r>
      <w:r>
        <w:rPr>
          <w:rFonts w:ascii="Times New Roman" w:cs="Times New Roman" w:eastAsia="Times New Roman" w:hAnsi="Times New Roman"/>
          <w:sz w:val="18"/>
          <w:szCs w:val="18"/>
          <w:color w:val="auto"/>
        </w:rPr>
        <w:t>]</w:t>
      </w:r>
    </w:p>
    <w:sectPr>
      <w:pgSz w:w="11900" w:h="16838" w:orient="portrait"/>
      <w:cols w:equalWidth="0" w:num="1">
        <w:col w:w="10139"/>
      </w:cols>
      <w:pgMar w:left="320" w:top="13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4" Type="http://schemas.openxmlformats.org/officeDocument/2006/relationships/hyperlink" Target="https://www.sec.gov/Archives/edgar/data/1609253/000119312525234517/d84535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2026-03-23T16:10:47Z</dcterms:created>
  <dcterms:modified xsi:type="dcterms:W3CDTF">2026-03-23T16:10:47Z</dcterms:modified>
</cp:coreProperties>
</file>