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February 4, 2021</w:t>
      </w:r>
    </w:p>
    <w:p>
      <w:pPr>
        <w:spacing w:after="0" w:line="59" w:lineRule="exact"/>
        <w:rPr>
          <w:sz w:val="24"/>
          <w:szCs w:val="24"/>
          <w:color w:val="auto"/>
        </w:rPr>
      </w:pPr>
    </w:p>
    <w:p>
      <w:pPr>
        <w:ind w:left="946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spacing w:after="0" w:line="235"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UNDER</w:t>
      </w: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95" w:lineRule="exact"/>
        <w:rPr>
          <w:sz w:val="24"/>
          <w:szCs w:val="24"/>
          <w:color w:val="auto"/>
        </w:rPr>
      </w:pPr>
    </w:p>
    <w:tbl>
      <w:tblPr>
        <w:tblLayout w:type="fixed"/>
        <w:tblInd w:w="1460" w:type="dxa"/>
        <w:tblCellMar>
          <w:top w:w="0" w:type="dxa"/>
          <w:left w:w="0" w:type="dxa"/>
          <w:bottom w:w="0" w:type="dxa"/>
          <w:right w:w="0" w:type="dxa"/>
        </w:tblCellMar>
      </w:tblPr>
      <w:tr>
        <w:trPr>
          <w:trHeight w:val="224"/>
        </w:trPr>
        <w:tc>
          <w:tcPr>
            <w:tcW w:w="4500" w:type="dxa"/>
            <w:vAlign w:val="bottom"/>
          </w:tcPr>
          <w:p>
            <w:pPr>
              <w:jc w:val="center"/>
              <w:ind w:right="181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46-5670947</w:t>
            </w:r>
          </w:p>
        </w:tc>
      </w:tr>
      <w:tr>
        <w:trPr>
          <w:trHeight w:val="189"/>
        </w:trPr>
        <w:tc>
          <w:tcPr>
            <w:tcW w:w="4500" w:type="dxa"/>
            <w:vAlign w:val="bottom"/>
          </w:tcPr>
          <w:p>
            <w:pPr>
              <w:jc w:val="center"/>
              <w:ind w:right="1815"/>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120" w:type="dxa"/>
            <w:vAlign w:val="bottom"/>
          </w:tcPr>
          <w:p>
            <w:pPr>
              <w:jc w:val="center"/>
              <w:ind w:left="1835"/>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500" w:type="dxa"/>
            <w:vAlign w:val="bottom"/>
          </w:tcPr>
          <w:p>
            <w:pPr>
              <w:jc w:val="center"/>
              <w:ind w:right="1815"/>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120" w:type="dxa"/>
            <w:vAlign w:val="bottom"/>
          </w:tcPr>
          <w:p>
            <w:pPr>
              <w:jc w:val="center"/>
              <w:ind w:left="183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56"/>
        </w:trPr>
        <w:tc>
          <w:tcPr>
            <w:tcW w:w="4500" w:type="dxa"/>
            <w:vAlign w:val="bottom"/>
          </w:tcPr>
          <w:p>
            <w:pPr>
              <w:jc w:val="center"/>
              <w:ind w:right="1835"/>
              <w:spacing w:after="0"/>
              <w:rPr>
                <w:sz w:val="20"/>
                <w:szCs w:val="20"/>
                <w:color w:val="auto"/>
              </w:rPr>
            </w:pPr>
            <w:r>
              <w:rPr>
                <w:rFonts w:ascii="Times New Roman" w:cs="Times New Roman" w:eastAsia="Times New Roman" w:hAnsi="Times New Roman"/>
                <w:sz w:val="18"/>
                <w:szCs w:val="18"/>
                <w:b w:val="1"/>
                <w:bCs w:val="1"/>
                <w:color w:val="auto"/>
                <w:w w:val="98"/>
              </w:rPr>
              <w:t>27200 Tourney Road, Suite 200</w:t>
            </w:r>
          </w:p>
        </w:tc>
        <w:tc>
          <w:tcPr>
            <w:tcW w:w="3120" w:type="dxa"/>
            <w:vAlign w:val="bottom"/>
          </w:tcPr>
          <w:p>
            <w:pPr>
              <w:spacing w:after="0"/>
              <w:rPr>
                <w:sz w:val="24"/>
                <w:szCs w:val="24"/>
                <w:color w:val="auto"/>
              </w:rPr>
            </w:pPr>
          </w:p>
        </w:tc>
      </w:tr>
      <w:tr>
        <w:trPr>
          <w:trHeight w:val="224"/>
        </w:trPr>
        <w:tc>
          <w:tcPr>
            <w:tcW w:w="4500" w:type="dxa"/>
            <w:vAlign w:val="bottom"/>
          </w:tcPr>
          <w:p>
            <w:pPr>
              <w:jc w:val="center"/>
              <w:ind w:right="1815"/>
              <w:spacing w:after="0"/>
              <w:rPr>
                <w:sz w:val="20"/>
                <w:szCs w:val="20"/>
                <w:color w:val="auto"/>
              </w:rPr>
            </w:pPr>
            <w:r>
              <w:rPr>
                <w:rFonts w:ascii="Times New Roman" w:cs="Times New Roman" w:eastAsia="Times New Roman" w:hAnsi="Times New Roman"/>
                <w:sz w:val="18"/>
                <w:szCs w:val="18"/>
                <w:b w:val="1"/>
                <w:bCs w:val="1"/>
                <w:color w:val="auto"/>
              </w:rPr>
              <w:t>Santa Clarita, California</w:t>
            </w:r>
          </w:p>
        </w:tc>
        <w:tc>
          <w:tcPr>
            <w:tcW w:w="312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210"/>
        </w:trPr>
        <w:tc>
          <w:tcPr>
            <w:tcW w:w="4500" w:type="dxa"/>
            <w:vAlign w:val="bottom"/>
          </w:tcPr>
          <w:p>
            <w:pPr>
              <w:jc w:val="center"/>
              <w:ind w:right="1835"/>
              <w:spacing w:after="0"/>
              <w:rPr>
                <w:sz w:val="20"/>
                <w:szCs w:val="20"/>
                <w:color w:val="auto"/>
              </w:rPr>
            </w:pPr>
            <w:r>
              <w:rPr>
                <w:rFonts w:ascii="Times New Roman" w:cs="Times New Roman" w:eastAsia="Times New Roman" w:hAnsi="Times New Roman"/>
                <w:sz w:val="16"/>
                <w:szCs w:val="16"/>
                <w:color w:val="auto"/>
              </w:rPr>
              <w:t>(Address of Principal Executive Office)</w:t>
            </w:r>
          </w:p>
        </w:tc>
        <w:tc>
          <w:tcPr>
            <w:tcW w:w="3120" w:type="dxa"/>
            <w:vAlign w:val="bottom"/>
          </w:tcPr>
          <w:p>
            <w:pPr>
              <w:jc w:val="center"/>
              <w:ind w:left="1835"/>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CALIFORNIA RESOURCES CORPORATION 2021 LONG TERM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(Full title of the plan)</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L. Preston</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Senior Executive Vice President,</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Chief Administrative Officer and General Counsel</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27200 Tourney Road, Suite 200</w:t>
      </w:r>
    </w:p>
    <w:p>
      <w:pPr>
        <w:jc w:val="center"/>
        <w:spacing w:after="0" w:line="222" w:lineRule="auto"/>
        <w:rPr>
          <w:sz w:val="20"/>
          <w:szCs w:val="20"/>
          <w:color w:val="auto"/>
        </w:rPr>
      </w:pPr>
      <w:r>
        <w:rPr>
          <w:rFonts w:ascii="Times New Roman" w:cs="Times New Roman" w:eastAsia="Times New Roman" w:hAnsi="Times New Roman"/>
          <w:sz w:val="18"/>
          <w:szCs w:val="18"/>
          <w:b w:val="1"/>
          <w:bCs w:val="1"/>
          <w:color w:val="auto"/>
        </w:rPr>
        <w:t>Santa Clarita, California 91355</w:t>
      </w:r>
    </w:p>
    <w:p>
      <w:pPr>
        <w:jc w:val="center"/>
        <w:spacing w:after="0"/>
        <w:rPr>
          <w:sz w:val="20"/>
          <w:szCs w:val="20"/>
          <w:color w:val="auto"/>
        </w:rPr>
      </w:pPr>
      <w:r>
        <w:rPr>
          <w:rFonts w:ascii="Times New Roman" w:cs="Times New Roman" w:eastAsia="Times New Roman" w:hAnsi="Times New Roman"/>
          <w:sz w:val="16"/>
          <w:szCs w:val="16"/>
          <w:color w:val="auto"/>
        </w:rPr>
        <w:t>(Name and address of agent for service)</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848-4754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(Telephone number, including area code, of agent for service)</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Copies to:</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Sarah K. Morgan</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Scott D. Rubinsky</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Vinson &amp; Elkins L.L.P.</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1001 Fannin Street, Suite 2500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Houston, Texas 77002</w:t>
      </w:r>
    </w:p>
    <w:p>
      <w:pPr>
        <w:jc w:val="center"/>
        <w:spacing w:after="0"/>
        <w:rPr>
          <w:sz w:val="20"/>
          <w:szCs w:val="20"/>
          <w:color w:val="auto"/>
        </w:rPr>
      </w:pPr>
      <w:r>
        <w:rPr>
          <w:rFonts w:ascii="Times New Roman" w:cs="Times New Roman" w:eastAsia="Times New Roman" w:hAnsi="Times New Roman"/>
          <w:sz w:val="18"/>
          <w:szCs w:val="18"/>
          <w:b w:val="1"/>
          <w:bCs w:val="1"/>
          <w:color w:val="auto"/>
        </w:rPr>
        <w:t>(713) 758-2222</w:t>
      </w:r>
    </w:p>
    <w:p>
      <w:pPr>
        <w:spacing w:after="0" w:line="129" w:lineRule="exact"/>
        <w:rPr>
          <w:sz w:val="24"/>
          <w:szCs w:val="24"/>
          <w:color w:val="auto"/>
        </w:rPr>
      </w:pPr>
    </w:p>
    <w:p>
      <w:pPr>
        <w:ind w:right="80"/>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 (the “Exchange Act”).</w:t>
      </w:r>
    </w:p>
    <w:p>
      <w:pPr>
        <w:spacing w:after="0" w:line="190" w:lineRule="exact"/>
        <w:rPr>
          <w:sz w:val="24"/>
          <w:szCs w:val="24"/>
          <w:color w:val="auto"/>
        </w:rPr>
      </w:pPr>
    </w:p>
    <w:p>
      <w:pPr>
        <w:ind w:left="20"/>
        <w:spacing w:after="0"/>
        <w:tabs>
          <w:tab w:leader="none" w:pos="2860" w:val="left"/>
          <w:tab w:leader="none" w:pos="5720" w:val="left"/>
          <w:tab w:leader="none" w:pos="858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Times New Roman" w:cs="Times New Roman" w:eastAsia="Times New Roman" w:hAnsi="Times New Roman"/>
          <w:sz w:val="16"/>
          <w:szCs w:val="16"/>
          <w:color w:val="auto"/>
        </w:rPr>
        <w:t>Non-accelerated filer</w:t>
      </w:r>
      <w:r>
        <w:rPr>
          <w:sz w:val="20"/>
          <w:szCs w:val="20"/>
          <w:color w:val="auto"/>
        </w:rPr>
        <w:tab/>
      </w:r>
      <w:r>
        <w:rPr>
          <w:rFonts w:ascii="Times New Roman" w:cs="Times New Roman" w:eastAsia="Times New Roman" w:hAnsi="Times New Roman"/>
          <w:sz w:val="16"/>
          <w:szCs w:val="16"/>
          <w:color w:val="auto"/>
        </w:rPr>
        <w:t>Smaller reporting company</w:t>
      </w:r>
    </w:p>
    <w:p>
      <w:pPr>
        <w:spacing w:after="0" w:line="262"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194"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of 1933, as amended (the “Securities Act”).</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3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300" w:type="dxa"/>
            <w:vAlign w:val="bottom"/>
          </w:tcPr>
          <w:p>
            <w:pPr>
              <w:spacing w:after="0"/>
              <w:rPr>
                <w:sz w:val="16"/>
                <w:szCs w:val="16"/>
                <w:color w:val="auto"/>
              </w:rPr>
            </w:pPr>
          </w:p>
        </w:tc>
        <w:tc>
          <w:tcPr>
            <w:tcW w:w="16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38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Title of securities</w:t>
            </w:r>
          </w:p>
        </w:tc>
        <w:tc>
          <w:tcPr>
            <w:tcW w:w="18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 to be</w:t>
            </w:r>
          </w:p>
        </w:tc>
        <w:tc>
          <w:tcPr>
            <w:tcW w:w="260" w:type="dxa"/>
            <w:vAlign w:val="bottom"/>
          </w:tcPr>
          <w:p>
            <w:pPr>
              <w:spacing w:after="0"/>
              <w:rPr>
                <w:sz w:val="16"/>
                <w:szCs w:val="16"/>
                <w:color w:val="auto"/>
              </w:rPr>
            </w:pPr>
          </w:p>
        </w:tc>
        <w:tc>
          <w:tcPr>
            <w:tcW w:w="16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maximum offering</w:t>
            </w:r>
          </w:p>
        </w:tc>
        <w:tc>
          <w:tcPr>
            <w:tcW w:w="300" w:type="dxa"/>
            <w:vAlign w:val="bottom"/>
          </w:tcPr>
          <w:p>
            <w:pPr>
              <w:spacing w:after="0"/>
              <w:rPr>
                <w:sz w:val="16"/>
                <w:szCs w:val="16"/>
                <w:color w:val="auto"/>
              </w:rPr>
            </w:pPr>
          </w:p>
        </w:tc>
        <w:tc>
          <w:tcPr>
            <w:tcW w:w="16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8"/>
              </w:rPr>
              <w:t>aggregate</w:t>
            </w:r>
          </w:p>
        </w:tc>
        <w:tc>
          <w:tcPr>
            <w:tcW w:w="320" w:type="dxa"/>
            <w:vAlign w:val="bottom"/>
          </w:tcPr>
          <w:p>
            <w:pPr>
              <w:spacing w:after="0"/>
              <w:rPr>
                <w:sz w:val="16"/>
                <w:szCs w:val="16"/>
                <w:color w:val="auto"/>
              </w:rPr>
            </w:pPr>
          </w:p>
        </w:tc>
        <w:tc>
          <w:tcPr>
            <w:tcW w:w="14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Amount of</w:t>
            </w:r>
          </w:p>
        </w:tc>
      </w:tr>
      <w:tr>
        <w:trPr>
          <w:trHeight w:val="225"/>
        </w:trPr>
        <w:tc>
          <w:tcPr>
            <w:tcW w:w="38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to be registered</w:t>
            </w:r>
          </w:p>
        </w:tc>
        <w:tc>
          <w:tcPr>
            <w:tcW w:w="18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registered (1)(2)</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price per share (3)</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offering price (3)</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registration fee</w:t>
            </w:r>
          </w:p>
        </w:tc>
      </w:tr>
      <w:tr>
        <w:trPr>
          <w:trHeight w:val="202"/>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$0.01 par value per share (“Common</w:t>
            </w: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1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10,183,514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23.05</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234,729,998</w:t>
            </w:r>
          </w:p>
        </w:tc>
        <w:tc>
          <w:tcPr>
            <w:tcW w:w="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25,610</w:t>
            </w:r>
          </w:p>
        </w:tc>
      </w:tr>
      <w:tr>
        <w:trPr>
          <w:trHeight w:val="27"/>
        </w:trPr>
        <w:tc>
          <w:tcPr>
            <w:tcW w:w="3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81" w:lineRule="exact"/>
        <w:rPr>
          <w:sz w:val="24"/>
          <w:szCs w:val="24"/>
          <w:color w:val="auto"/>
        </w:rPr>
      </w:pPr>
    </w:p>
    <w:p>
      <w:pPr>
        <w:jc w:val="both"/>
        <w:ind w:left="340" w:right="40" w:hanging="332"/>
        <w:spacing w:after="0"/>
        <w:tabs>
          <w:tab w:leader="none" w:pos="40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registration statement (the “Registration Statement”) registers 10,183,514 shares of Common Stock that may be delivered with respect to awards under the California Resources Corporation 2021 Long Term Incentive Plan (as amended from time to time, the “Plan”), which shares consist of shares of Common Stock reserved and available for delivery with respect to awards under the Plan and additional shares of Common Stock that may become available or again become available for delivery with respect to awards under the Plan pursuant to the terms and conditions of the Plan.</w:t>
      </w:r>
    </w:p>
    <w:p>
      <w:pPr>
        <w:spacing w:after="0" w:line="74" w:lineRule="exact"/>
        <w:rPr>
          <w:rFonts w:ascii="Times New Roman" w:cs="Times New Roman" w:eastAsia="Times New Roman" w:hAnsi="Times New Roman"/>
          <w:sz w:val="16"/>
          <w:szCs w:val="16"/>
          <w:color w:val="auto"/>
        </w:rPr>
      </w:pPr>
    </w:p>
    <w:p>
      <w:pPr>
        <w:ind w:left="340" w:right="80" w:hanging="332"/>
        <w:spacing w:after="0" w:line="263" w:lineRule="auto"/>
        <w:tabs>
          <w:tab w:leader="none" w:pos="36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416(a) under the Securities Act, the Registration Statement shall be deemed to cover an indeterminate number of additional shares of Common Stock that may become issuable as a result of stock splits, stock dividends or similar transactions pursuant to the adjustment or anti-dilution provisions of the Plan.</w:t>
      </w:r>
    </w:p>
    <w:p>
      <w:pPr>
        <w:spacing w:after="0" w:line="55" w:lineRule="exact"/>
        <w:rPr>
          <w:rFonts w:ascii="Times New Roman" w:cs="Times New Roman" w:eastAsia="Times New Roman" w:hAnsi="Times New Roman"/>
          <w:sz w:val="16"/>
          <w:szCs w:val="16"/>
          <w:color w:val="auto"/>
        </w:rPr>
      </w:pPr>
    </w:p>
    <w:p>
      <w:pPr>
        <w:ind w:left="340" w:right="40" w:hanging="332"/>
        <w:spacing w:after="0" w:line="246" w:lineRule="auto"/>
        <w:tabs>
          <w:tab w:leader="none" w:pos="40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proposed maximum offering price per share and proposed maximum aggregate offering price for the shares of Common Stock have been estimated solely for purposes of calculating the registration fee pursuant to Rule 457(h) under the Securities Act based upon the average of the high and low prices of the Common Stock as reported by the New York Stock Exchange on January 28, 2021.</w:t>
      </w:r>
    </w:p>
    <w:p>
      <w:pPr>
        <w:sectPr>
          <w:pgSz w:w="11900" w:h="16838" w:orient="portrait"/>
          <w:cols w:equalWidth="0" w:num="1">
            <w:col w:w="11240"/>
          </w:cols>
          <w:pgMar w:left="320" w:top="866" w:right="339" w:bottom="0" w:gutter="0" w:footer="0" w:header="0"/>
        </w:sectPr>
      </w:pPr>
    </w:p>
    <w:bookmarkStart w:id="1" w:name="page2"/>
    <w:bookmarkEnd w:id="1"/>
    <w:p>
      <w:pPr>
        <w:spacing w:after="0" w:line="246" w:lineRule="auto"/>
        <w:tabs>
          <w:tab w:leader="none" w:pos="40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192"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California Resources Corporation (the “Registrant”) will provide all participants in the Plan with the document(s) containing the information required by Part I of Form S-8, as specified in Rule 428(b)(1) promulgated by the Securities and Exchange Commission (the “Commission”) under the Securities Act. In accordance with Rule 428 of the Securities Act, the Registrant has not filed such document(s) with the Commission, but such documents (along with the documents incorporated by reference into this Registration Statement pursuant to Item 3 of Part II hereof) shall constitute a prospectus that meets the requirements of Section 10(a) of the Securities Act. The Registrant shall maintain a file of such documents in accordance with the provisions of Rule 428(a)(2) of the Securities Act. Upon request, the Registrant shall furnish to the Commission or its staff a copy or copies of all of the documents included in such file.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Incorporation of Documents by Reference.</w:t>
      </w:r>
    </w:p>
    <w:p>
      <w:pPr>
        <w:spacing w:after="0" w:line="216" w:lineRule="exact"/>
        <w:rPr>
          <w:sz w:val="20"/>
          <w:szCs w:val="20"/>
          <w:color w:val="auto"/>
        </w:rPr>
      </w:pPr>
    </w:p>
    <w:p>
      <w:pPr>
        <w:ind w:right="760" w:firstLine="648"/>
        <w:spacing w:after="0" w:line="266" w:lineRule="auto"/>
        <w:rPr>
          <w:sz w:val="20"/>
          <w:szCs w:val="20"/>
          <w:color w:val="auto"/>
        </w:rPr>
      </w:pPr>
      <w:r>
        <w:rPr>
          <w:rFonts w:ascii="Times New Roman" w:cs="Times New Roman" w:eastAsia="Times New Roman" w:hAnsi="Times New Roman"/>
          <w:sz w:val="18"/>
          <w:szCs w:val="18"/>
          <w:color w:val="auto"/>
        </w:rPr>
        <w:t>Except to the extent that information is deemed furnished and not filed pursuant to securities laws and regulations, the Registrant hereby incorporates by reference into the Registration Statement the following documents:</w:t>
      </w:r>
    </w:p>
    <w:p>
      <w:pPr>
        <w:spacing w:after="0" w:line="162" w:lineRule="exact"/>
        <w:rPr>
          <w:sz w:val="20"/>
          <w:szCs w:val="20"/>
          <w:color w:val="auto"/>
        </w:rPr>
      </w:pPr>
    </w:p>
    <w:p>
      <w:pPr>
        <w:ind w:left="1140" w:right="60" w:hanging="452"/>
        <w:spacing w:after="0" w:line="250" w:lineRule="auto"/>
        <w:tabs>
          <w:tab w:leader="none" w:pos="106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(File No. 001-36478) for the year ended December 31, 2019, filed with the Commission on February 26, 2020, including information specifically incorporated by reference into such Annual Report on Form 10-K from the definitive proxy statement for the Company’s Annual Meeting of Stockholders filed with the Commission on March 24, 2020;</w:t>
      </w:r>
    </w:p>
    <w:p>
      <w:pPr>
        <w:spacing w:after="0" w:line="176" w:lineRule="exact"/>
        <w:rPr>
          <w:rFonts w:ascii="Times New Roman" w:cs="Times New Roman" w:eastAsia="Times New Roman" w:hAnsi="Times New Roman"/>
          <w:sz w:val="18"/>
          <w:szCs w:val="18"/>
          <w:color w:val="auto"/>
        </w:rPr>
      </w:pPr>
    </w:p>
    <w:p>
      <w:pPr>
        <w:ind w:left="1140" w:right="180" w:hanging="452"/>
        <w:spacing w:after="0" w:line="250" w:lineRule="auto"/>
        <w:tabs>
          <w:tab w:leader="none" w:pos="107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Quarterly Reports on Form 10-Q (File No. 001-36478) for the quarters ended March 31, 2020, filed with the Commission on June 25, 2020, June 30, 2020, filed with the Commission on August 6, 2020, and September 30, 2020, filed with the Commission on November 5, 2020;</w:t>
      </w:r>
    </w:p>
    <w:p>
      <w:pPr>
        <w:spacing w:after="0" w:line="176" w:lineRule="exact"/>
        <w:rPr>
          <w:rFonts w:ascii="Times New Roman" w:cs="Times New Roman" w:eastAsia="Times New Roman" w:hAnsi="Times New Roman"/>
          <w:sz w:val="18"/>
          <w:szCs w:val="18"/>
          <w:color w:val="auto"/>
        </w:rPr>
      </w:pPr>
    </w:p>
    <w:p>
      <w:pPr>
        <w:ind w:left="1140" w:hanging="452"/>
        <w:spacing w:after="0" w:line="242" w:lineRule="auto"/>
        <w:tabs>
          <w:tab w:leader="none" w:pos="106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(File No. 001-36478), other than with respect to Items 2.02 or 7.01, filed with the Commission on February 21, 2020, March 5, 2020, March 10, 2020, March 16, 2020, March 24, 2020, May 6, 2020, May 11, 2020, May 26, 2020, June 8, 2020, June 15, 2020, July 2, 2020, July 8, 2020, July 13, 2020, July 16, 2020, July 17, 2020, July 24, 2020, August 18, 2020, October 19, 2020, October 27, 2020, November 2, 2020, December 4, 2020, December 21, 2020, January 13, 2021, January 15, 2021, January 21, 2021, and January 22, 2021; and</w:t>
      </w:r>
    </w:p>
    <w:p>
      <w:pPr>
        <w:spacing w:after="0" w:line="184" w:lineRule="exact"/>
        <w:rPr>
          <w:rFonts w:ascii="Times New Roman" w:cs="Times New Roman" w:eastAsia="Times New Roman" w:hAnsi="Times New Roman"/>
          <w:sz w:val="18"/>
          <w:szCs w:val="18"/>
          <w:color w:val="auto"/>
        </w:rPr>
      </w:pPr>
    </w:p>
    <w:p>
      <w:pPr>
        <w:ind w:left="1140" w:right="100" w:hanging="452"/>
        <w:spacing w:after="0" w:line="250" w:lineRule="auto"/>
        <w:tabs>
          <w:tab w:leader="none" w:pos="107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contained in its Registration Statement on Form 8-A (File No. 001-36478) filed with the Commission on October 27, 2020, including any subsequent amendments or reports that the Registrant may file in the future for the purpose of updating such description.</w:t>
      </w:r>
    </w:p>
    <w:p>
      <w:pPr>
        <w:spacing w:after="0" w:line="177"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Except to the extent that information is deemed furnished and not filed pursuant to securities laws and regulations, all documents filed by the Registrant pursuant to Sections 13(a), 13(c), 14 and 15(d) of the Exchange Act subsequent to the date hereof and prior to the filing of a post-effective amendment that indicates that all securities offered have been sold or that deregisters all securities then remaining unsold shall also be deemed to be incorporated by reference herein and to be a part hereof from the dates of filing of such documents. Any statement contained in a document incorporated or deemed to be incorporated by reference herein shall be deemed to be modified or superseded for purposes of the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the Registration Statement.</w:t>
      </w:r>
    </w:p>
    <w:p>
      <w:pPr>
        <w:sectPr>
          <w:pgSz w:w="11900" w:h="16838" w:orient="portrait"/>
          <w:cols w:equalWidth="0" w:num="1">
            <w:col w:w="11240"/>
          </w:cols>
          <w:pgMar w:left="320" w:top="1440" w:right="339" w:bottom="1440" w:gutter="0" w:footer="0" w:header="0"/>
        </w:sectPr>
      </w:pPr>
    </w:p>
    <w:bookmarkStart w:id="3" w:name="page4"/>
    <w:bookmarkEnd w:id="3"/>
    <w:p>
      <w:pPr>
        <w:spacing w:after="0" w:line="1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Description of Securities.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Interests of Named Experts and Counsel.</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Indemnification of Directors and Officers.</w:t>
      </w:r>
    </w:p>
    <w:p>
      <w:pPr>
        <w:spacing w:after="0" w:line="216"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General Corporation Law of the State of Delaware (the “DGCL”) authorizes corporations to limit or eliminate the personal liability of directors to corporations and their stockholders for monetary damages for breaches of directors’ fiduciary duties. The DGCL does not permit exculpation for liability:</w:t>
      </w:r>
    </w:p>
    <w:p>
      <w:pPr>
        <w:spacing w:after="0" w:line="177" w:lineRule="exact"/>
        <w:rPr>
          <w:sz w:val="20"/>
          <w:szCs w:val="20"/>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breach of duty of loyalty;</w:t>
      </w:r>
    </w:p>
    <w:p>
      <w:pPr>
        <w:spacing w:after="0" w:line="21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involving intentional misconduct or knowing violation of law;</w:t>
      </w:r>
    </w:p>
    <w:p>
      <w:pPr>
        <w:spacing w:after="0" w:line="21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(which deals generally with unlawful payments of dividends, stock repurchases and redemptions); and</w:t>
      </w:r>
    </w:p>
    <w:p>
      <w:pPr>
        <w:spacing w:after="0" w:line="21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transactions from which the director derived improper personal benefit.</w:t>
      </w:r>
    </w:p>
    <w:p>
      <w:pPr>
        <w:spacing w:after="0" w:line="212" w:lineRule="exact"/>
        <w:rPr>
          <w:sz w:val="20"/>
          <w:szCs w:val="20"/>
          <w:color w:val="auto"/>
        </w:rPr>
      </w:pPr>
    </w:p>
    <w:p>
      <w:pPr>
        <w:jc w:val="both"/>
        <w:ind w:right="120" w:firstLine="648"/>
        <w:spacing w:after="0" w:line="250"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dated as of October 27, 2020, and the Amended and Restated Bylaws of the Registrant, dated as of October 27, 2020, provide that the Registrant shall indemnify its executive officers and directors to the fullest extent authorized by the DGCL.</w:t>
      </w:r>
    </w:p>
    <w:p>
      <w:pPr>
        <w:spacing w:after="0" w:line="17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the Registrant’s directors and executive officers will be further limited to the fullest extent permitted by the DGCL.</w:t>
      </w:r>
    </w:p>
    <w:p>
      <w:pPr>
        <w:spacing w:after="0" w:line="181"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In addition, the Registrant has entered into indemnification agreements with its current directors and executive officers containing provisions that are in some respects broader than the specific indemnification provisions contained in the DGCL. The indemnification agreements require the Registrant, among other things, to (i) indemnify these individuals to the fullest extent permitted under Delaware law against liabilities that may arise by reason of their service to the Registrant and (ii) advance expenses, to the extent not prohibited by law, incurred in connection with any proceeding not initiated by the indemnitee as to which they could be indemnified. The Registrant also intends to enter into indemnification agreements with its future directors and executive officers.</w:t>
      </w:r>
    </w:p>
    <w:p>
      <w:pPr>
        <w:spacing w:after="0" w:line="184"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Section 145 of the DGCL permits a corporation to purchase and maintain insurance on behalf of any person who is or was a director, officer, employee or agent of the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 The Registrant maintains such liability insurance policies to cover its directors and executive officers against various liabilities, including certain liabilities arising under the Securities Act and the Exchange Act, that may be incurred by them in their capacity as such.</w:t>
      </w:r>
    </w:p>
    <w:p>
      <w:pPr>
        <w:spacing w:after="0" w:line="184"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4" w:name="page5"/>
    <w:bookmarkEnd w:id="4"/>
    <w:p>
      <w:pPr>
        <w:spacing w:after="0" w:line="194"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The Plan also provides that the committee administering the Plan and all members thereof are entitled to, in good faith, rely or act upon any report or other information furnished to them by any officer or employee of the Registrant or any of its affiliates, or the Registrant’s legal counsel, independent auditors, consultants or any other agents assisting in the administration of the Plan. Members of the committee and any officer or employee of the Registrant or any of its affiliates acting at the direction of or on behalf of the committee shall not be personally liable for any action or determination taken or made in good faith with respect to the Plan, and shall, to the fullest extent permitted by law, be indemnified and held harmless by the Registrant with respect to any such action or determination.</w:t>
      </w:r>
    </w:p>
    <w:p>
      <w:pPr>
        <w:spacing w:after="0" w:line="1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Exhibits.</w:t>
      </w:r>
    </w:p>
    <w:p>
      <w:pPr>
        <w:spacing w:after="0" w:line="17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 including those exhibits incorporated herein by reference to a prior filing of the Registrant under the Securities Act or the Exchange Act as indicated in parentheses: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8"/>
        </w:trPr>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00" w:type="dxa"/>
            <w:vAlign w:val="bottom"/>
            <w:gridSpan w:val="7"/>
          </w:tcPr>
          <w:p>
            <w:pPr>
              <w:ind w:left="39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1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37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Amended Debtors’ Joint Plan of Reorganization of the Registrant and certain of its subsidiaries, dated as of October 8, 2020</w:t>
              </w:r>
            </w:hyperlink>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7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8"/>
          </w:tcPr>
          <w:p>
            <w:pPr>
              <w:spacing w:after="0" w:line="19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(incorporated by reference to Exhibit 2.1 of the Registrant’s Current Report on Form 8-K filed with the Commission on October 19,</w:t>
              </w:r>
            </w:hyperlink>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7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gridSpan w:val="2"/>
          </w:tcPr>
          <w:p>
            <w:pPr>
              <w:ind w:left="20"/>
              <w:spacing w:after="0" w:line="196" w:lineRule="exact"/>
              <w:rPr>
                <w:rFonts w:ascii="Times New Roman" w:cs="Times New Roman" w:eastAsia="Times New Roman" w:hAnsi="Times New Roman"/>
                <w:sz w:val="18"/>
                <w:szCs w:val="18"/>
                <w:color w:val="0000FF"/>
                <w:w w:val="94"/>
              </w:rPr>
            </w:pPr>
            <w:hyperlink r:id="rId14">
              <w:r>
                <w:rPr>
                  <w:rFonts w:ascii="Times New Roman" w:cs="Times New Roman" w:eastAsia="Times New Roman" w:hAnsi="Times New Roman"/>
                  <w:sz w:val="18"/>
                  <w:szCs w:val="18"/>
                  <w:color w:val="0000FF"/>
                  <w:w w:val="94"/>
                </w:rPr>
                <w:t>2020).</w:t>
              </w:r>
            </w:hyperlink>
          </w:p>
        </w:tc>
        <w:tc>
          <w:tcPr>
            <w:tcW w:w="5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Amended and Restated Certificate of Incorporation of the Registrant dated as of October 27, 2020 (incorporated by reference to</w:t>
              </w:r>
            </w:hyperlink>
          </w:p>
        </w:tc>
      </w:tr>
      <w:tr>
        <w:trPr>
          <w:trHeight w:val="237"/>
        </w:trPr>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80" w:type="dxa"/>
            <w:vAlign w:val="bottom"/>
            <w:tcBorders>
              <w:top w:val="single" w:sz="8" w:color="0000FF"/>
            </w:tcBorders>
            <w:gridSpan w:val="6"/>
          </w:tcPr>
          <w:p>
            <w:pPr>
              <w:spacing w:after="0"/>
              <w:rPr>
                <w:rFonts w:ascii="Times New Roman" w:cs="Times New Roman" w:eastAsia="Times New Roman" w:hAnsi="Times New Roman"/>
                <w:sz w:val="18"/>
                <w:szCs w:val="18"/>
                <w:u w:val="single" w:color="auto"/>
                <w:color w:val="0000FF"/>
              </w:rPr>
            </w:pPr>
            <w:hyperlink r:id="rId15">
              <w:r>
                <w:rPr>
                  <w:rFonts w:ascii="Times New Roman" w:cs="Times New Roman" w:eastAsia="Times New Roman" w:hAnsi="Times New Roman"/>
                  <w:sz w:val="18"/>
                  <w:szCs w:val="18"/>
                  <w:u w:val="single" w:color="auto"/>
                  <w:color w:val="0000FF"/>
                </w:rPr>
                <w:t>Exhibit 3.1 to the Registrant's Registration Statement on Form 8-A filed with the Commission on October 27, 2020).</w:t>
              </w:r>
            </w:hyperlink>
          </w:p>
        </w:tc>
        <w:tc>
          <w:tcPr>
            <w:tcW w:w="580" w:type="dxa"/>
            <w:vAlign w:val="bottom"/>
            <w:gridSpan w:val="2"/>
          </w:tcPr>
          <w:p>
            <w:pPr>
              <w:spacing w:after="0"/>
              <w:rPr>
                <w:sz w:val="20"/>
                <w:szCs w:val="20"/>
                <w:color w:val="auto"/>
              </w:rPr>
            </w:pPr>
          </w:p>
        </w:tc>
      </w:tr>
      <w:tr>
        <w:trPr>
          <w:trHeight w:val="39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Amended and Restated Bylaws of the Registrant dated as of October 27, 2020 (incorporated by reference to Exhibit 3.2 to the</w:t>
              </w:r>
            </w:hyperlink>
          </w:p>
        </w:tc>
      </w:tr>
      <w:tr>
        <w:trPr>
          <w:trHeight w:val="196"/>
        </w:trPr>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4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Registration Statement on Form 8-A filed with the Commission on October 27, 2020).</w:t>
              </w:r>
            </w:hyperlink>
          </w:p>
        </w:tc>
        <w:tc>
          <w:tcPr>
            <w:tcW w:w="720" w:type="dxa"/>
            <w:vAlign w:val="bottom"/>
            <w:gridSpan w:val="3"/>
          </w:tcPr>
          <w:p>
            <w:pPr>
              <w:spacing w:after="0"/>
              <w:rPr>
                <w:sz w:val="17"/>
                <w:szCs w:val="17"/>
                <w:color w:val="auto"/>
              </w:rPr>
            </w:pPr>
          </w:p>
        </w:tc>
      </w:tr>
      <w:tr>
        <w:trPr>
          <w:trHeight w:val="453"/>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tcBorders>
              <w:top w:val="single" w:sz="8" w:color="0000FF"/>
            </w:tcBorders>
            <w:gridSpan w:val="2"/>
          </w:tcPr>
          <w:p>
            <w:pPr>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Opinion of Vinson &amp; Elkins L.L.P.</w:t>
              </w:r>
            </w:hyperlink>
          </w:p>
        </w:tc>
        <w:tc>
          <w:tcPr>
            <w:tcW w:w="3560" w:type="dxa"/>
            <w:vAlign w:val="bottom"/>
            <w:gridSpan w:val="6"/>
          </w:tcPr>
          <w:p>
            <w:pPr>
              <w:spacing w:after="0"/>
              <w:rPr>
                <w:sz w:val="24"/>
                <w:szCs w:val="24"/>
                <w:color w:val="auto"/>
              </w:rPr>
            </w:pPr>
          </w:p>
        </w:tc>
      </w:tr>
      <w:tr>
        <w:trPr>
          <w:trHeight w:val="43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Consent of Independent Registered Public Accounting Firm, KPMG LLP.</w:t>
              </w:r>
            </w:hyperlink>
          </w:p>
        </w:tc>
      </w:tr>
      <w:tr>
        <w:trPr>
          <w:trHeight w:val="43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Consent of Ryder Scott Company, LP.</w:t>
              </w:r>
            </w:hyperlink>
          </w:p>
        </w:tc>
      </w:tr>
      <w:tr>
        <w:trPr>
          <w:trHeight w:val="43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23.3*</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rFonts w:ascii="Times New Roman" w:cs="Times New Roman" w:eastAsia="Times New Roman" w:hAnsi="Times New Roman"/>
                <w:sz w:val="18"/>
                <w:szCs w:val="18"/>
                <w:u w:val="single" w:color="auto"/>
                <w:color w:val="0000FF"/>
              </w:rPr>
            </w:pPr>
            <w:hyperlink w:anchor="page13">
              <w:r>
                <w:rPr>
                  <w:rFonts w:ascii="Times New Roman" w:cs="Times New Roman" w:eastAsia="Times New Roman" w:hAnsi="Times New Roman"/>
                  <w:sz w:val="18"/>
                  <w:szCs w:val="18"/>
                  <w:u w:val="single" w:color="auto"/>
                  <w:color w:val="0000FF"/>
                </w:rPr>
                <w:t>Consent of Netherland, Sewell &amp; Associates, Inc.</w:t>
              </w:r>
            </w:hyperlink>
          </w:p>
        </w:tc>
      </w:tr>
      <w:tr>
        <w:trPr>
          <w:trHeight w:val="43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23.4*</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Consent of Vinson &amp; Elkins L.L.P. (included in the opinion filed as Exhibit 5.1 to the Registration Statement).</w:t>
              </w:r>
            </w:hyperlink>
          </w:p>
        </w:tc>
      </w:tr>
      <w:tr>
        <w:trPr>
          <w:trHeight w:val="43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8"/>
          </w:tcPr>
          <w:p>
            <w:pPr>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Power of Attorney (included on the signature page of the Registration Statement).</w:t>
              </w:r>
            </w:hyperlink>
          </w:p>
        </w:tc>
      </w:tr>
      <w:tr>
        <w:trPr>
          <w:trHeight w:val="39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California Resources Corporation 2021 Long Term Incentive Plan, effective January 18, 2021 (incorporated by reference to Exhibit</w:t>
              </w:r>
            </w:hyperlink>
          </w:p>
        </w:tc>
        <w:tc>
          <w:tcPr>
            <w:tcW w:w="28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8"/>
          </w:tcPr>
          <w:p>
            <w:pPr>
              <w:spacing w:after="0" w:line="19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Current Report on Form 8-K filed with the Commission on January 22, 2021).</w:t>
              </w:r>
            </w:hyperlink>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7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5" w:name="page6"/>
    <w:bookmarkEnd w:id="5"/>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Undertakings.</w:t>
      </w:r>
    </w:p>
    <w:p>
      <w:pPr>
        <w:spacing w:after="0" w:line="148" w:lineRule="exact"/>
        <w:rPr>
          <w:sz w:val="20"/>
          <w:szCs w:val="20"/>
          <w:color w:val="auto"/>
        </w:rPr>
      </w:pPr>
    </w:p>
    <w:p>
      <w:pPr>
        <w:ind w:left="1040" w:hanging="384"/>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44"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the Registration Statement:</w:t>
      </w:r>
    </w:p>
    <w:p>
      <w:pPr>
        <w:spacing w:after="0" w:line="144"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44" w:lineRule="exact"/>
        <w:rPr>
          <w:rFonts w:ascii="Times New Roman" w:cs="Times New Roman" w:eastAsia="Times New Roman" w:hAnsi="Times New Roman"/>
          <w:sz w:val="18"/>
          <w:szCs w:val="18"/>
          <w:color w:val="auto"/>
        </w:rPr>
      </w:pPr>
    </w:p>
    <w:p>
      <w:pPr>
        <w:ind w:left="2600" w:hanging="648"/>
        <w:spacing w:after="0" w:line="225" w:lineRule="auto"/>
        <w:tabs>
          <w:tab w:leader="none" w:pos="2352"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21" w:lineRule="exact"/>
        <w:rPr>
          <w:rFonts w:ascii="Times New Roman" w:cs="Times New Roman" w:eastAsia="Times New Roman" w:hAnsi="Times New Roman"/>
          <w:sz w:val="18"/>
          <w:szCs w:val="18"/>
          <w:color w:val="auto"/>
        </w:rPr>
      </w:pPr>
    </w:p>
    <w:p>
      <w:pPr>
        <w:ind w:left="2600" w:right="300" w:hanging="648"/>
        <w:spacing w:after="0" w:line="250" w:lineRule="auto"/>
        <w:tabs>
          <w:tab w:leader="none" w:pos="2402"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7" w:lineRule="exact"/>
        <w:rPr>
          <w:sz w:val="20"/>
          <w:szCs w:val="20"/>
          <w:color w:val="auto"/>
        </w:rPr>
      </w:pPr>
    </w:p>
    <w:p>
      <w:pPr>
        <w:ind w:left="660" w:right="40"/>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periodic reports filed with or furnished to the Commission by the Registrant pursuant to Section 13 or Section 15(d) of the Exchange Act that are incorporated by reference in the Registration Statement.</w:t>
      </w:r>
    </w:p>
    <w:p>
      <w:pPr>
        <w:spacing w:after="0" w:line="118" w:lineRule="exact"/>
        <w:rPr>
          <w:sz w:val="20"/>
          <w:szCs w:val="20"/>
          <w:color w:val="auto"/>
        </w:rPr>
      </w:pPr>
    </w:p>
    <w:p>
      <w:pPr>
        <w:ind w:left="1960" w:right="120" w:hanging="656"/>
        <w:spacing w:after="0" w:line="236" w:lineRule="auto"/>
        <w:tabs>
          <w:tab w:leader="none" w:pos="169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18" w:lineRule="exact"/>
        <w:rPr>
          <w:rFonts w:ascii="Times New Roman" w:cs="Times New Roman" w:eastAsia="Times New Roman" w:hAnsi="Times New Roman"/>
          <w:sz w:val="18"/>
          <w:szCs w:val="18"/>
          <w:color w:val="auto"/>
        </w:rPr>
      </w:pPr>
    </w:p>
    <w:p>
      <w:pPr>
        <w:ind w:left="1960" w:right="120" w:hanging="656"/>
        <w:spacing w:after="0" w:line="250" w:lineRule="auto"/>
        <w:tabs>
          <w:tab w:leader="none" w:pos="169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8" w:lineRule="exact"/>
        <w:rPr>
          <w:rFonts w:ascii="Times New Roman" w:cs="Times New Roman" w:eastAsia="Times New Roman" w:hAnsi="Times New Roman"/>
          <w:sz w:val="18"/>
          <w:szCs w:val="18"/>
          <w:color w:val="auto"/>
        </w:rPr>
      </w:pPr>
    </w:p>
    <w:p>
      <w:pPr>
        <w:ind w:left="1300" w:hanging="644"/>
        <w:spacing w:after="0" w:line="229" w:lineRule="auto"/>
        <w:tabs>
          <w:tab w:leader="none" w:pos="10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19" w:lineRule="exact"/>
        <w:rPr>
          <w:rFonts w:ascii="Times New Roman" w:cs="Times New Roman" w:eastAsia="Times New Roman" w:hAnsi="Times New Roman"/>
          <w:sz w:val="18"/>
          <w:szCs w:val="18"/>
          <w:color w:val="auto"/>
        </w:rPr>
      </w:pPr>
    </w:p>
    <w:p>
      <w:pPr>
        <w:ind w:left="1300" w:right="20" w:hanging="644"/>
        <w:spacing w:after="0" w:line="225" w:lineRule="auto"/>
        <w:tabs>
          <w:tab w:leader="none" w:pos="10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40" w:right="359" w:bottom="1440" w:gutter="0" w:footer="0" w:header="0"/>
        </w:sectPr>
      </w:pPr>
    </w:p>
    <w:bookmarkStart w:id="6" w:name="page7"/>
    <w:bookmarkEnd w:id="6"/>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right="740" w:firstLine="648"/>
        <w:spacing w:after="0" w:line="23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the Registration Statement to be signed on its behalf by the undersigned, thereunto duly authorized, in the City of Santa Clarita, State of California, on February 3, 2021.</w:t>
      </w:r>
    </w:p>
    <w:p>
      <w:pPr>
        <w:spacing w:after="0" w:line="23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8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Mark A.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34290</wp:posOffset>
            </wp:positionV>
            <wp:extent cx="3505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7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McFarland</w:t>
      </w:r>
    </w:p>
    <w:p>
      <w:pPr>
        <w:spacing w:after="0" w:line="63" w:lineRule="exact"/>
        <w:rPr>
          <w:sz w:val="20"/>
          <w:szCs w:val="20"/>
          <w:color w:val="auto"/>
        </w:rPr>
      </w:pPr>
    </w:p>
    <w:p>
      <w:pPr>
        <w:sectPr>
          <w:pgSz w:w="11900" w:h="16838" w:orient="portrait"/>
          <w:cols w:equalWidth="0" w:num="2">
            <w:col w:w="6220" w:space="360"/>
            <w:col w:w="4660"/>
          </w:cols>
          <w:pgMar w:left="320" w:top="1440" w:right="339" w:bottom="1440" w:gutter="0" w:footer="0" w:header="0"/>
          <w:type w:val="continuous"/>
        </w:sectPr>
      </w:pPr>
    </w:p>
    <w:p>
      <w:pPr>
        <w:ind w:left="57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Chairman of the Board and Interim Chief Executive Officer</w:t>
      </w:r>
    </w:p>
    <w:p>
      <w:pPr>
        <w:spacing w:after="0" w:line="200" w:lineRule="exact"/>
        <w:rPr>
          <w:sz w:val="20"/>
          <w:szCs w:val="20"/>
          <w:color w:val="auto"/>
        </w:rPr>
      </w:pPr>
    </w:p>
    <w:p>
      <w:pPr>
        <w:sectPr>
          <w:pgSz w:w="11900" w:h="16838" w:orient="portrait"/>
          <w:cols w:equalWidth="0" w:num="2">
            <w:col w:w="6120" w:space="460"/>
            <w:col w:w="4660"/>
          </w:cols>
          <w:pgMar w:left="320" w:top="1440" w:right="339" w:bottom="1440" w:gutter="0" w:footer="0" w:header="0"/>
          <w:type w:val="continuous"/>
        </w:sectPr>
      </w:pP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ind w:right="60" w:firstLine="648"/>
        <w:spacing w:after="0" w:line="224" w:lineRule="auto"/>
        <w:rPr>
          <w:sz w:val="20"/>
          <w:szCs w:val="20"/>
          <w:color w:val="auto"/>
        </w:rPr>
      </w:pPr>
      <w:r>
        <w:rPr>
          <w:rFonts w:ascii="Times New Roman" w:cs="Times New Roman" w:eastAsia="Times New Roman" w:hAnsi="Times New Roman"/>
          <w:sz w:val="18"/>
          <w:szCs w:val="18"/>
          <w:color w:val="auto"/>
        </w:rPr>
        <w:t>KNOWN ALL PERSONS BY THESE PRESENTS, that each person whose signature appears below appoints Mark A. McFarland, Francisco J. Leon, Michael L. Preston, Jody L. Johnson and Ulrik Damborg, and each of them, any of whom may act without the joinder of the other, as his true and lawful attorneys-in-fact and agents, with full power of substitution and resubstitution, for him and in his name, place and stead, in any and all capacities, to sign any and all amendments (including post-effective amendments) to the Registration Statement and any Registration Statement (including any amendment thereto) for this offering that is to be effective upon filing pursuant to Rule 462(b) under the Securities Act, and to file the same, with all exhibits thereto, and all other documents in connection therewith, with the Commission, granting unto said attorneys-in-fact and agents full power and authority to do and perform each and every act and thing requisite and necessary to be done, as fully to all intents and purposes as he might or would do in person, hereby ratifying and confirming all that said attorneys-in-fact and agents or any of them or his substitute or substitutes, may lawfully do or cause to be done by virtue hereof.</w:t>
      </w:r>
    </w:p>
    <w:p>
      <w:pPr>
        <w:spacing w:after="0" w:line="124"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Registration Statement has been signed by the following persons in the capacities indicated on February 3,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0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240" w:type="dxa"/>
            <w:vAlign w:val="bottom"/>
          </w:tcPr>
          <w:p>
            <w:pPr>
              <w:spacing w:after="0"/>
              <w:rPr>
                <w:sz w:val="19"/>
                <w:szCs w:val="19"/>
                <w:color w:val="auto"/>
              </w:rPr>
            </w:pPr>
          </w:p>
        </w:tc>
        <w:tc>
          <w:tcPr>
            <w:tcW w:w="570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Mark A. McFarland</w:t>
            </w:r>
          </w:p>
        </w:tc>
        <w:tc>
          <w:tcPr>
            <w:tcW w:w="24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Interim Chief Executive Officer</w:t>
            </w:r>
          </w:p>
        </w:tc>
        <w:tc>
          <w:tcPr>
            <w:tcW w:w="0" w:type="dxa"/>
            <w:vAlign w:val="bottom"/>
          </w:tcPr>
          <w:p>
            <w:pPr>
              <w:spacing w:after="0"/>
              <w:rPr>
                <w:sz w:val="1"/>
                <w:szCs w:val="1"/>
                <w:color w:val="auto"/>
              </w:rPr>
            </w:pPr>
          </w:p>
        </w:tc>
      </w:tr>
      <w:tr>
        <w:trPr>
          <w:trHeight w:val="27"/>
        </w:trPr>
        <w:tc>
          <w:tcPr>
            <w:tcW w:w="5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A. McFarland</w:t>
            </w:r>
          </w:p>
        </w:tc>
        <w:tc>
          <w:tcPr>
            <w:tcW w:w="240" w:type="dxa"/>
            <w:vAlign w:val="bottom"/>
          </w:tcPr>
          <w:p>
            <w:pPr>
              <w:spacing w:after="0"/>
              <w:rPr>
                <w:sz w:val="20"/>
                <w:szCs w:val="20"/>
                <w:color w:val="auto"/>
              </w:rPr>
            </w:pPr>
          </w:p>
        </w:tc>
        <w:tc>
          <w:tcPr>
            <w:tcW w:w="5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Francisco J. Leon</w:t>
            </w:r>
          </w:p>
        </w:tc>
        <w:tc>
          <w:tcPr>
            <w:tcW w:w="24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7"/>
        </w:trPr>
        <w:tc>
          <w:tcPr>
            <w:tcW w:w="5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Francisco J. Leon</w:t>
            </w:r>
          </w:p>
        </w:tc>
        <w:tc>
          <w:tcPr>
            <w:tcW w:w="240" w:type="dxa"/>
            <w:vAlign w:val="bottom"/>
          </w:tcPr>
          <w:p>
            <w:pPr>
              <w:spacing w:after="0"/>
              <w:rPr>
                <w:sz w:val="20"/>
                <w:szCs w:val="20"/>
                <w:color w:val="auto"/>
              </w:rPr>
            </w:pPr>
          </w:p>
        </w:tc>
        <w:tc>
          <w:tcPr>
            <w:tcW w:w="5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Roy Pineci</w:t>
            </w:r>
          </w:p>
        </w:tc>
        <w:tc>
          <w:tcPr>
            <w:tcW w:w="24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w:t>
            </w:r>
          </w:p>
        </w:tc>
        <w:tc>
          <w:tcPr>
            <w:tcW w:w="0" w:type="dxa"/>
            <w:vAlign w:val="bottom"/>
          </w:tcPr>
          <w:p>
            <w:pPr>
              <w:spacing w:after="0"/>
              <w:rPr>
                <w:sz w:val="1"/>
                <w:szCs w:val="1"/>
                <w:color w:val="auto"/>
              </w:rPr>
            </w:pPr>
          </w:p>
        </w:tc>
      </w:tr>
      <w:tr>
        <w:trPr>
          <w:trHeight w:val="27"/>
        </w:trPr>
        <w:tc>
          <w:tcPr>
            <w:tcW w:w="5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 Pineci</w:t>
            </w:r>
          </w:p>
        </w:tc>
        <w:tc>
          <w:tcPr>
            <w:tcW w:w="240" w:type="dxa"/>
            <w:vAlign w:val="bottom"/>
          </w:tcPr>
          <w:p>
            <w:pPr>
              <w:spacing w:after="0"/>
              <w:rPr>
                <w:sz w:val="20"/>
                <w:szCs w:val="20"/>
                <w:color w:val="auto"/>
              </w:rPr>
            </w:pPr>
          </w:p>
        </w:tc>
        <w:tc>
          <w:tcPr>
            <w:tcW w:w="5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Douglas E. Brooks</w:t>
            </w:r>
          </w:p>
        </w:tc>
        <w:tc>
          <w:tcPr>
            <w:tcW w:w="24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5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E. Brooks</w:t>
            </w:r>
          </w:p>
        </w:tc>
        <w:tc>
          <w:tcPr>
            <w:tcW w:w="2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Tiffany (TJ) Thom Cepak</w:t>
            </w:r>
          </w:p>
        </w:tc>
        <w:tc>
          <w:tcPr>
            <w:tcW w:w="24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5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Tiffany (TJ) Thom Cepak</w:t>
            </w:r>
          </w:p>
        </w:tc>
        <w:tc>
          <w:tcPr>
            <w:tcW w:w="2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N. Chapman</w:t>
            </w:r>
          </w:p>
        </w:tc>
        <w:tc>
          <w:tcPr>
            <w:tcW w:w="24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5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N. Chapman</w:t>
            </w:r>
          </w:p>
        </w:tc>
        <w:tc>
          <w:tcPr>
            <w:tcW w:w="2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Julio M. Quintana</w:t>
            </w:r>
          </w:p>
        </w:tc>
        <w:tc>
          <w:tcPr>
            <w:tcW w:w="24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5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Julio M. Quintana</w:t>
            </w:r>
          </w:p>
        </w:tc>
        <w:tc>
          <w:tcPr>
            <w:tcW w:w="2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William B. Roby</w:t>
            </w: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530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Roby</w:t>
            </w:r>
          </w:p>
        </w:tc>
        <w:tc>
          <w:tcPr>
            <w:tcW w:w="860" w:type="dxa"/>
            <w:vAlign w:val="bottom"/>
          </w:tcPr>
          <w:p>
            <w:pPr>
              <w:spacing w:after="0"/>
              <w:rPr>
                <w:sz w:val="20"/>
                <w:szCs w:val="20"/>
                <w:color w:val="auto"/>
              </w:rPr>
            </w:pPr>
          </w:p>
        </w:tc>
      </w:tr>
      <w:tr>
        <w:trPr>
          <w:trHeight w:val="54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Brian Steck</w:t>
            </w: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530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Steck</w:t>
            </w:r>
          </w:p>
        </w:tc>
        <w:tc>
          <w:tcPr>
            <w:tcW w:w="860" w:type="dxa"/>
            <w:vAlign w:val="bottom"/>
          </w:tcPr>
          <w:p>
            <w:pPr>
              <w:spacing w:after="0"/>
              <w:rPr>
                <w:sz w:val="20"/>
                <w:szCs w:val="20"/>
                <w:color w:val="auto"/>
              </w:rPr>
            </w:pPr>
          </w:p>
        </w:tc>
      </w:tr>
    </w:tbl>
    <w:p>
      <w:pPr>
        <w:sectPr>
          <w:pgSz w:w="11900" w:h="16838" w:orient="portrait"/>
          <w:cols w:equalWidth="0" w:num="1">
            <w:col w:w="10139"/>
          </w:cols>
          <w:pgMar w:left="320" w:top="1440" w:right="1440" w:bottom="1440" w:gutter="0" w:footer="0" w:header="0"/>
        </w:sectPr>
      </w:pPr>
    </w:p>
    <w:bookmarkStart w:id="8" w:name="page9"/>
    <w:bookmarkEnd w:id="8"/>
    <w:p>
      <w:pPr>
        <w:ind w:left="1040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5732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27200 Tourney Road, Suite 200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Clarita, California 91355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8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acted as counsel for California Resources Corporation, a Delaware corporation (the “Company”), in connection with the Company’s registration under the Securities Act of 1933, as amended (the “Act”), of the offer and sale of up to an aggregate of 10,183,514 shares of the Company’s common stock, par value $0.01 per share (the “Shares”), pursuant to the Company’s registration statement on Form S-8 (the “Registration Statement”) to be filed with the Securities and Exchange Commission on February 4, 2021, which Shares may be issued from time to time in accordance with the terms of the California Resources Corporation 2021 Long Term Incentive Plan (as amended from time to time, the “Plan”).</w:t>
      </w:r>
    </w:p>
    <w:p>
      <w:pPr>
        <w:spacing w:after="0" w:line="156"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certain resolutions adopted by the board of directors of the Company, (iii) the Plan, and (iv) such other certificates, instruments, and documents as we have considered necessary for purposes of this opinion. As to any facts material to our opinions, we have made no independent investigation or verification of such facts and have relied, to the extent that we deem such reliance proper, upon certificates of public officials and officers or other representatives of the Company.</w:t>
      </w:r>
    </w:p>
    <w:p>
      <w:pPr>
        <w:spacing w:after="0" w:line="14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(vi) that all information contained in all documents reviewed by us is true, correct and complete, and (vii) that the Shares will be issued in accordance with the terms of the Plan.</w:t>
      </w:r>
    </w:p>
    <w:p>
      <w:pPr>
        <w:spacing w:after="0" w:line="139"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Based on the foregoing and subject to the limitations set forth herein, and having due regard for the legal considerations we deem relevant, we are of the opinion that the Shares have been duly authorized and, when the Shares are issued by the Company in accordance with the terms of the Plan and the instruments executed pursuant to the Plan, as applicable, the Shares will be validly issued, fully paid and non-assessable.</w:t>
      </w:r>
    </w:p>
    <w:p>
      <w:pPr>
        <w:spacing w:after="0" w:line="14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This opinion is limited in all respects to the General Corporation Law of the State of Delaware. We express no opinion as to any other law or any matter other than as expressly set forth above, and no opinion as to any other law or matter may be inferred or implied herefrom. The opinions expressed herein are rendered as of the date hereof and we expressly disclaim any obligation to update this letter or advise you of any change in any matter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6100" w:val="left"/>
        </w:tabs>
        <w:rPr>
          <w:sz w:val="20"/>
          <w:szCs w:val="20"/>
          <w:color w:val="auto"/>
        </w:rPr>
      </w:pPr>
      <w:r>
        <w:rPr>
          <w:rFonts w:ascii="Arial" w:cs="Arial" w:eastAsia="Arial" w:hAnsi="Arial"/>
          <w:sz w:val="13"/>
          <w:szCs w:val="13"/>
          <w:color w:val="auto"/>
        </w:rPr>
        <w:t>Vinson &amp; Elkins LLP Attorneys at Law</w:t>
      </w:r>
      <w:r>
        <w:rPr>
          <w:sz w:val="20"/>
          <w:szCs w:val="20"/>
          <w:color w:val="auto"/>
        </w:rPr>
        <w:tab/>
      </w:r>
      <w:r>
        <w:rPr>
          <w:rFonts w:ascii="Arial" w:cs="Arial" w:eastAsia="Arial" w:hAnsi="Arial"/>
          <w:sz w:val="12"/>
          <w:szCs w:val="12"/>
          <w:color w:val="auto"/>
        </w:rPr>
        <w:t>Trammell Crow Center, 2001 Ross Avenue, Suite 3900</w:t>
      </w:r>
    </w:p>
    <w:p>
      <w:pPr>
        <w:spacing w:after="0" w:line="40" w:lineRule="exact"/>
        <w:rPr>
          <w:sz w:val="20"/>
          <w:szCs w:val="20"/>
          <w:color w:val="auto"/>
        </w:rPr>
      </w:pPr>
    </w:p>
    <w:p>
      <w:pPr>
        <w:ind w:left="20"/>
        <w:spacing w:after="0"/>
        <w:tabs>
          <w:tab w:leader="none" w:pos="6100" w:val="left"/>
        </w:tabs>
        <w:rPr>
          <w:sz w:val="20"/>
          <w:szCs w:val="20"/>
          <w:color w:val="auto"/>
        </w:rPr>
      </w:pPr>
      <w:r>
        <w:rPr>
          <w:rFonts w:ascii="Arial" w:cs="Arial" w:eastAsia="Arial" w:hAnsi="Arial"/>
          <w:sz w:val="13"/>
          <w:szCs w:val="13"/>
          <w:color w:val="auto"/>
        </w:rPr>
        <w:t>Austin Dallas Dubai Houston London New York</w:t>
      </w:r>
      <w:r>
        <w:rPr>
          <w:sz w:val="20"/>
          <w:szCs w:val="20"/>
          <w:color w:val="auto"/>
        </w:rPr>
        <w:tab/>
      </w:r>
      <w:r>
        <w:rPr>
          <w:rFonts w:ascii="Arial" w:cs="Arial" w:eastAsia="Arial" w:hAnsi="Arial"/>
          <w:sz w:val="12"/>
          <w:szCs w:val="12"/>
          <w:color w:val="auto"/>
        </w:rPr>
        <w:t>Dallas, TX 75201-2975</w:t>
      </w:r>
    </w:p>
    <w:p>
      <w:pPr>
        <w:spacing w:after="0" w:line="38" w:lineRule="exact"/>
        <w:rPr>
          <w:sz w:val="20"/>
          <w:szCs w:val="20"/>
          <w:color w:val="auto"/>
        </w:rPr>
      </w:pPr>
    </w:p>
    <w:p>
      <w:pPr>
        <w:ind w:left="20"/>
        <w:spacing w:after="0"/>
        <w:tabs>
          <w:tab w:leader="none" w:pos="6100" w:val="left"/>
        </w:tabs>
        <w:rPr>
          <w:sz w:val="20"/>
          <w:szCs w:val="20"/>
          <w:color w:val="auto"/>
        </w:rPr>
      </w:pPr>
      <w:r>
        <w:rPr>
          <w:rFonts w:ascii="Arial" w:cs="Arial" w:eastAsia="Arial" w:hAnsi="Arial"/>
          <w:sz w:val="13"/>
          <w:szCs w:val="13"/>
          <w:color w:val="auto"/>
        </w:rPr>
        <w:t>Richmond Riyadh San Francisco Tokyo Washington</w:t>
      </w:r>
      <w:r>
        <w:rPr>
          <w:sz w:val="20"/>
          <w:szCs w:val="20"/>
          <w:color w:val="auto"/>
        </w:rPr>
        <w:tab/>
      </w:r>
      <w:r>
        <w:rPr>
          <w:rFonts w:ascii="Arial" w:cs="Arial" w:eastAsia="Arial" w:hAnsi="Arial"/>
          <w:sz w:val="12"/>
          <w:szCs w:val="12"/>
          <w:b w:val="1"/>
          <w:bCs w:val="1"/>
          <w:color w:val="auto"/>
        </w:rPr>
        <w:t xml:space="preserve">Tel </w:t>
      </w:r>
      <w:r>
        <w:rPr>
          <w:rFonts w:ascii="Arial" w:cs="Arial" w:eastAsia="Arial" w:hAnsi="Arial"/>
          <w:sz w:val="12"/>
          <w:szCs w:val="12"/>
          <w:color w:val="auto"/>
        </w:rPr>
        <w:t>+1.214.220.7700</w:t>
      </w:r>
      <w:r>
        <w:rPr>
          <w:rFonts w:ascii="Arial" w:cs="Arial" w:eastAsia="Arial" w:hAnsi="Arial"/>
          <w:sz w:val="12"/>
          <w:szCs w:val="12"/>
          <w:b w:val="1"/>
          <w:bCs w:val="1"/>
          <w:color w:val="auto"/>
        </w:rPr>
        <w:t xml:space="preserve"> Fax </w:t>
      </w:r>
      <w:r>
        <w:rPr>
          <w:rFonts w:ascii="Arial" w:cs="Arial" w:eastAsia="Arial" w:hAnsi="Arial"/>
          <w:sz w:val="12"/>
          <w:szCs w:val="12"/>
          <w:color w:val="auto"/>
        </w:rPr>
        <w:t>+1.214.220.7716</w:t>
      </w:r>
      <w:r>
        <w:rPr>
          <w:rFonts w:ascii="Arial" w:cs="Arial" w:eastAsia="Arial" w:hAnsi="Arial"/>
          <w:sz w:val="12"/>
          <w:szCs w:val="12"/>
          <w:b w:val="1"/>
          <w:bCs w:val="1"/>
          <w:color w:val="auto"/>
        </w:rPr>
        <w:t xml:space="preserve"> www.velaw.com</w:t>
      </w:r>
    </w:p>
    <w:p>
      <w:pPr>
        <w:sectPr>
          <w:pgSz w:w="11900" w:h="16838" w:orient="portrait"/>
          <w:cols w:equalWidth="0" w:num="1">
            <w:col w:w="11240"/>
          </w:cols>
          <w:pgMar w:left="320" w:top="104" w:right="33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3"/>
          <w:szCs w:val="13"/>
          <w:color w:val="auto"/>
        </w:rPr>
        <w:t>February 4, 2021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158750</wp:posOffset>
            </wp:positionV>
            <wp:extent cx="4368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4368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This opinion may be filed as an exhibit to the Registration Statement. In giving this consent, we do not thereby admit that we come within the category of persons whose consent is required under Section 7 of the Act.</w:t>
      </w:r>
    </w:p>
    <w:p>
      <w:pPr>
        <w:spacing w:after="0" w:line="1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Vinson &amp; Elkins L.L.P.</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Vinson &amp; Elkins L.L.P.</w:t>
      </w:r>
    </w:p>
    <w:p>
      <w:pPr>
        <w:sectPr>
          <w:pgSz w:w="11900" w:h="16838" w:orient="portrait"/>
          <w:cols w:equalWidth="0" w:num="1">
            <w:col w:w="11240"/>
          </w:cols>
          <w:pgMar w:left="320" w:top="145"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673735</wp:posOffset>
            </wp:positionV>
            <wp:extent cx="3000375" cy="908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300037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30"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consent to the use of our report dated February 26, 2020, with respect to the consolidated balance sheets of California Resources Corporation and subsidiaries as of December 31, 2019 and 2018, the related consolidated statements of operations, comprehensive income, equity, and cash flows for each of the years in the three-year period ended December 31, 2019, and the related notes (collectively, the consolidated financial statements), and the effectiveness of internal control over financial reporting as of December 31, 2019, incorporated herein by reference.</w:t>
      </w:r>
    </w:p>
    <w:p>
      <w:pPr>
        <w:spacing w:after="0" w:line="202"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 xml:space="preserve">Our report refers to a change in the method of accounting for leases in 2019 due to the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February 3, 2021</w:t>
      </w:r>
    </w:p>
    <w:p>
      <w:pPr>
        <w:sectPr>
          <w:pgSz w:w="11900" w:h="16838" w:orient="portrait"/>
          <w:cols w:equalWidth="0" w:num="1">
            <w:col w:w="11240"/>
          </w:cols>
          <w:pgMar w:left="320" w:top="122"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Petroleum Engineers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California Resources Corporation:</w:t>
      </w:r>
    </w:p>
    <w:p>
      <w:pPr>
        <w:spacing w:after="0" w:line="2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We hereby consent to the incorporation by reference into this Registration Statement on Form S-8 of references to our name and to our letter dated January 10, 2020 relating to our audit of California Resources Corporation’s 2019 oil and gas proved reserves.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RYDER SCOTT COMPANY, L.P.</w:t>
      </w:r>
    </w:p>
    <w:p>
      <w:pPr>
        <w:spacing w:after="0" w:line="241"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RYDER SCOTT COMPANY, L.P.</w:t>
      </w:r>
    </w:p>
    <w:p>
      <w:pPr>
        <w:spacing w:after="0" w:line="2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February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260" w:type="dxa"/>
        <w:tblCellMar>
          <w:top w:w="0" w:type="dxa"/>
          <w:left w:w="0" w:type="dxa"/>
          <w:bottom w:w="0" w:type="dxa"/>
          <w:right w:w="0" w:type="dxa"/>
        </w:tblCellMar>
      </w:tblPr>
      <w:tr>
        <w:trPr>
          <w:trHeight w:val="170"/>
        </w:trPr>
        <w:tc>
          <w:tcPr>
            <w:tcW w:w="3280" w:type="dxa"/>
            <w:vAlign w:val="bottom"/>
          </w:tcPr>
          <w:p>
            <w:pPr>
              <w:jc w:val="center"/>
              <w:ind w:right="1097"/>
              <w:spacing w:after="0"/>
              <w:rPr>
                <w:sz w:val="20"/>
                <w:szCs w:val="20"/>
                <w:color w:val="auto"/>
              </w:rPr>
            </w:pPr>
            <w:r>
              <w:rPr>
                <w:rFonts w:ascii="Arial" w:cs="Arial" w:eastAsia="Arial" w:hAnsi="Arial"/>
                <w:sz w:val="13"/>
                <w:szCs w:val="13"/>
                <w:color w:val="auto"/>
                <w:w w:val="96"/>
              </w:rPr>
              <w:t>SUITE 2800, 350 7TH AVENUE, S.W.</w:t>
            </w:r>
          </w:p>
        </w:tc>
        <w:tc>
          <w:tcPr>
            <w:tcW w:w="3800" w:type="dxa"/>
            <w:vAlign w:val="bottom"/>
          </w:tcPr>
          <w:p>
            <w:pPr>
              <w:jc w:val="center"/>
              <w:ind w:left="217"/>
              <w:spacing w:after="0"/>
              <w:rPr>
                <w:sz w:val="20"/>
                <w:szCs w:val="20"/>
                <w:color w:val="auto"/>
              </w:rPr>
            </w:pPr>
            <w:r>
              <w:rPr>
                <w:rFonts w:ascii="Arial" w:cs="Arial" w:eastAsia="Arial" w:hAnsi="Arial"/>
                <w:sz w:val="13"/>
                <w:szCs w:val="13"/>
                <w:color w:val="auto"/>
                <w:w w:val="95"/>
              </w:rPr>
              <w:t>CALGARY, ALBERTA T2P 3N9</w:t>
            </w:r>
          </w:p>
        </w:tc>
        <w:tc>
          <w:tcPr>
            <w:tcW w:w="2000" w:type="dxa"/>
            <w:vAlign w:val="bottom"/>
          </w:tcPr>
          <w:p>
            <w:pPr>
              <w:ind w:left="860"/>
              <w:spacing w:after="0"/>
              <w:rPr>
                <w:sz w:val="20"/>
                <w:szCs w:val="20"/>
                <w:color w:val="auto"/>
              </w:rPr>
            </w:pPr>
            <w:r>
              <w:rPr>
                <w:rFonts w:ascii="Arial" w:cs="Arial" w:eastAsia="Arial" w:hAnsi="Arial"/>
                <w:sz w:val="13"/>
                <w:szCs w:val="13"/>
                <w:color w:val="auto"/>
                <w:w w:val="96"/>
              </w:rPr>
              <w:t>TEL (403) 262-2799</w:t>
            </w:r>
          </w:p>
        </w:tc>
      </w:tr>
      <w:tr>
        <w:trPr>
          <w:trHeight w:val="243"/>
        </w:trPr>
        <w:tc>
          <w:tcPr>
            <w:tcW w:w="3280" w:type="dxa"/>
            <w:vAlign w:val="bottom"/>
          </w:tcPr>
          <w:p>
            <w:pPr>
              <w:jc w:val="center"/>
              <w:ind w:right="1097"/>
              <w:spacing w:after="0"/>
              <w:rPr>
                <w:sz w:val="20"/>
                <w:szCs w:val="20"/>
                <w:color w:val="auto"/>
              </w:rPr>
            </w:pPr>
            <w:r>
              <w:rPr>
                <w:rFonts w:ascii="Arial" w:cs="Arial" w:eastAsia="Arial" w:hAnsi="Arial"/>
                <w:sz w:val="13"/>
                <w:szCs w:val="13"/>
                <w:color w:val="auto"/>
                <w:w w:val="96"/>
              </w:rPr>
              <w:t>633 17TH STREET, SUITE 1700</w:t>
            </w:r>
          </w:p>
        </w:tc>
        <w:tc>
          <w:tcPr>
            <w:tcW w:w="3800" w:type="dxa"/>
            <w:vAlign w:val="bottom"/>
          </w:tcPr>
          <w:p>
            <w:pPr>
              <w:jc w:val="center"/>
              <w:ind w:left="237"/>
              <w:spacing w:after="0"/>
              <w:rPr>
                <w:sz w:val="20"/>
                <w:szCs w:val="20"/>
                <w:color w:val="auto"/>
              </w:rPr>
            </w:pPr>
            <w:r>
              <w:rPr>
                <w:rFonts w:ascii="Arial" w:cs="Arial" w:eastAsia="Arial" w:hAnsi="Arial"/>
                <w:sz w:val="13"/>
                <w:szCs w:val="13"/>
                <w:color w:val="auto"/>
                <w:w w:val="96"/>
              </w:rPr>
              <w:t>DENVER, COLORADO 80202</w:t>
            </w:r>
          </w:p>
        </w:tc>
        <w:tc>
          <w:tcPr>
            <w:tcW w:w="2000" w:type="dxa"/>
            <w:vAlign w:val="bottom"/>
          </w:tcPr>
          <w:p>
            <w:pPr>
              <w:ind w:left="860"/>
              <w:spacing w:after="0"/>
              <w:rPr>
                <w:sz w:val="20"/>
                <w:szCs w:val="20"/>
                <w:color w:val="auto"/>
              </w:rPr>
            </w:pPr>
            <w:r>
              <w:rPr>
                <w:rFonts w:ascii="Arial" w:cs="Arial" w:eastAsia="Arial" w:hAnsi="Arial"/>
                <w:sz w:val="13"/>
                <w:szCs w:val="13"/>
                <w:color w:val="auto"/>
                <w:w w:val="96"/>
              </w:rPr>
              <w:t>TEL (303) 339-8110</w:t>
            </w: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3514725" cy="634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5147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OF INDEPENDENT PETROLEUM ENGINEERS AND GEOLOGISTS</w:t>
      </w:r>
    </w:p>
    <w:p>
      <w:pPr>
        <w:spacing w:after="0" w:line="243" w:lineRule="exact"/>
        <w:rPr>
          <w:sz w:val="20"/>
          <w:szCs w:val="20"/>
          <w:color w:val="auto"/>
        </w:rPr>
      </w:pPr>
    </w:p>
    <w:p>
      <w:pPr>
        <w:jc w:val="both"/>
        <w:ind w:right="340"/>
        <w:spacing w:after="0" w:line="259" w:lineRule="auto"/>
        <w:rPr>
          <w:sz w:val="20"/>
          <w:szCs w:val="20"/>
          <w:color w:val="auto"/>
        </w:rPr>
      </w:pPr>
      <w:r>
        <w:rPr>
          <w:rFonts w:ascii="Arial" w:cs="Arial" w:eastAsia="Arial" w:hAnsi="Arial"/>
          <w:sz w:val="20"/>
          <w:szCs w:val="20"/>
          <w:color w:val="auto"/>
        </w:rPr>
        <w:t>We hereby consent to the incorporation by reference into this Registration Statement on Form S-8 of references to our name and to our letter dated February 12, 2020 relating to our audit of California Resources Corporation’s 2019 oil and gas proved reserves.</w:t>
      </w:r>
    </w:p>
    <w:p>
      <w:pPr>
        <w:spacing w:after="0" w:line="239"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NETHERLAND, SEWELL &amp; ASSOCIATES, INC.</w:t>
      </w:r>
    </w:p>
    <w:p>
      <w:pPr>
        <w:spacing w:after="0" w:line="326" w:lineRule="exact"/>
        <w:rPr>
          <w:sz w:val="20"/>
          <w:szCs w:val="20"/>
          <w:color w:val="auto"/>
        </w:rPr>
      </w:pPr>
    </w:p>
    <w:p>
      <w:pPr>
        <w:ind w:left="7200"/>
        <w:spacing w:after="0"/>
        <w:rPr>
          <w:sz w:val="20"/>
          <w:szCs w:val="20"/>
          <w:color w:val="auto"/>
        </w:rPr>
      </w:pPr>
      <w:r>
        <w:rPr>
          <w:rFonts w:ascii="Arial" w:cs="Arial" w:eastAsia="Arial" w:hAnsi="Arial"/>
          <w:sz w:val="20"/>
          <w:szCs w:val="20"/>
          <w:color w:val="auto"/>
        </w:rPr>
        <w:t>/s/ Danny D. Simmons</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35560</wp:posOffset>
            </wp:positionV>
            <wp:extent cx="30003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4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Danny D. Simmons, P.E.</w:t>
      </w:r>
    </w:p>
    <w:p>
      <w:pPr>
        <w:spacing w:after="0" w:line="54"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February 3, 2021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3D1B58BA"/>
    <w:multiLevelType w:val="hybridMultilevel"/>
    <w:lvl w:ilvl="0">
      <w:lvlJc w:val="left"/>
      <w:lvlText w:val="%1"/>
      <w:numFmt w:val="lowerLetter"/>
      <w:start w:val="1"/>
    </w:lvl>
    <w:lvl w:ilvl="1">
      <w:lvlJc w:val="left"/>
      <w:lvlText w:val="(%2)"/>
      <w:numFmt w:val="decimal"/>
      <w:start w:val="2"/>
    </w:lvl>
  </w:abstractNum>
  <w:abstractNum w:abstractNumId="5">
    <w:nsid w:val="507ED7A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png"/><Relationship Id="rId14" Type="http://schemas.openxmlformats.org/officeDocument/2006/relationships/hyperlink" Target="https://www.sec.gov/Archives/edgar/data/1609253/000160925320000133/a20201013exhibit991.htm" TargetMode="External"/><Relationship Id="rId15" Type="http://schemas.openxmlformats.org/officeDocument/2006/relationships/hyperlink" Target="https://www.sec.gov/Archives/edgar/data/1609253/000160925320000137/a8aex31.htm" TargetMode="External"/><Relationship Id="rId16" Type="http://schemas.openxmlformats.org/officeDocument/2006/relationships/hyperlink" Target="https://www.sec.gov/Archives/edgar/data/1609253/000160925320000137/a8aex32.htm" TargetMode="External"/><Relationship Id="rId17" Type="http://schemas.openxmlformats.org/officeDocument/2006/relationships/hyperlink" Target="https://www.sec.gov/Archives/edgar/data/1609253/000160925321000014/a20210118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2021-02-04T15:45:02Z</dcterms:created>
  <dcterms:modified xsi:type="dcterms:W3CDTF">2021-02-04T15:45:02Z</dcterms:modified>
</cp:coreProperties>
</file>