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May 6,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auto"/>
        </w:rPr>
        <w:t>California Resources Corporation</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held its 2020 Annual Meeting of Stockholders (the “Annual Meeting”) on May 6, 2020.</w:t>
      </w:r>
    </w:p>
    <w:p>
      <w:pPr>
        <w:spacing w:after="0" w:line="171" w:lineRule="exact"/>
        <w:rPr>
          <w:rFonts w:ascii="Arial" w:cs="Arial" w:eastAsia="Arial" w:hAnsi="Arial"/>
          <w:sz w:val="18"/>
          <w:szCs w:val="18"/>
          <w:color w:val="auto"/>
        </w:rPr>
      </w:pPr>
    </w:p>
    <w:p>
      <w:pPr>
        <w:ind w:left="660" w:right="18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actions were taken at the Annual Meeting, for which proxies were solicited pursuant to Regulation 14A under the Securities Exchange Act of 1934, as amended, and the final number of votes cast for, against or withheld, abstentions and broker non-votes for each matter are set forth below:</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The nine director nominees named in the Company's proxy statement were elected with the following votes:</w:t>
      </w: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9"/>
              </w:rPr>
              <w:t>Broker</w:t>
            </w:r>
          </w:p>
        </w:tc>
      </w:tr>
      <w:tr>
        <w:trPr>
          <w:trHeight w:val="20"/>
        </w:trPr>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line="196" w:lineRule="exact"/>
              <w:rPr>
                <w:sz w:val="20"/>
                <w:szCs w:val="20"/>
                <w:color w:val="auto"/>
              </w:rPr>
            </w:pPr>
            <w:r>
              <w:rPr>
                <w:rFonts w:ascii="Arial" w:cs="Arial" w:eastAsia="Arial" w:hAnsi="Arial"/>
                <w:sz w:val="18"/>
                <w:szCs w:val="18"/>
                <w:b w:val="1"/>
                <w:bCs w:val="1"/>
                <w:color w:val="auto"/>
                <w:w w:val="86"/>
              </w:rPr>
              <w:t>Nominee</w:t>
            </w:r>
          </w:p>
        </w:tc>
        <w:tc>
          <w:tcPr>
            <w:tcW w:w="1640" w:type="dxa"/>
            <w:vAlign w:val="bottom"/>
          </w:tcPr>
          <w:p>
            <w:pPr>
              <w:spacing w:after="0"/>
              <w:rPr>
                <w:sz w:val="17"/>
                <w:szCs w:val="17"/>
                <w:color w:val="auto"/>
              </w:rPr>
            </w:pPr>
          </w:p>
        </w:tc>
        <w:tc>
          <w:tcPr>
            <w:tcW w:w="2580" w:type="dxa"/>
            <w:vAlign w:val="bottom"/>
            <w:gridSpan w:val="3"/>
          </w:tcPr>
          <w:p>
            <w:pPr>
              <w:ind w:left="820"/>
              <w:spacing w:after="0" w:line="196" w:lineRule="exact"/>
              <w:rPr>
                <w:sz w:val="20"/>
                <w:szCs w:val="20"/>
                <w:color w:val="auto"/>
              </w:rPr>
            </w:pPr>
            <w:r>
              <w:rPr>
                <w:rFonts w:ascii="Arial" w:cs="Arial" w:eastAsia="Arial" w:hAnsi="Arial"/>
                <w:sz w:val="18"/>
                <w:szCs w:val="18"/>
                <w:b w:val="1"/>
                <w:bCs w:val="1"/>
                <w:color w:val="auto"/>
              </w:rPr>
              <w:t>For</w:t>
            </w:r>
          </w:p>
        </w:tc>
        <w:tc>
          <w:tcPr>
            <w:tcW w:w="1740" w:type="dxa"/>
            <w:vAlign w:val="bottom"/>
            <w:gridSpan w:val="2"/>
          </w:tcPr>
          <w:p>
            <w:pPr>
              <w:jc w:val="right"/>
              <w:ind w:right="1160"/>
              <w:spacing w:after="0" w:line="196" w:lineRule="exact"/>
              <w:rPr>
                <w:sz w:val="20"/>
                <w:szCs w:val="20"/>
                <w:color w:val="auto"/>
              </w:rPr>
            </w:pPr>
            <w:r>
              <w:rPr>
                <w:rFonts w:ascii="Arial" w:cs="Arial" w:eastAsia="Arial" w:hAnsi="Arial"/>
                <w:sz w:val="18"/>
                <w:szCs w:val="18"/>
                <w:b w:val="1"/>
                <w:bCs w:val="1"/>
                <w:color w:val="auto"/>
                <w:w w:val="84"/>
              </w:rPr>
              <w:t>Against</w:t>
            </w:r>
          </w:p>
        </w:tc>
        <w:tc>
          <w:tcPr>
            <w:tcW w:w="1480" w:type="dxa"/>
            <w:vAlign w:val="bottom"/>
            <w:gridSpan w:val="2"/>
          </w:tcPr>
          <w:p>
            <w:pPr>
              <w:jc w:val="right"/>
              <w:ind w:right="580"/>
              <w:spacing w:after="0" w:line="196" w:lineRule="exact"/>
              <w:rPr>
                <w:sz w:val="20"/>
                <w:szCs w:val="20"/>
                <w:color w:val="auto"/>
              </w:rPr>
            </w:pPr>
            <w:r>
              <w:rPr>
                <w:rFonts w:ascii="Arial" w:cs="Arial" w:eastAsia="Arial" w:hAnsi="Arial"/>
                <w:sz w:val="18"/>
                <w:szCs w:val="18"/>
                <w:b w:val="1"/>
                <w:bCs w:val="1"/>
                <w:color w:val="auto"/>
                <w:w w:val="84"/>
              </w:rPr>
              <w:t>Abstentions</w:t>
            </w:r>
          </w:p>
        </w:tc>
        <w:tc>
          <w:tcPr>
            <w:tcW w:w="1560" w:type="dxa"/>
            <w:vAlign w:val="bottom"/>
            <w:gridSpan w:val="5"/>
          </w:tcPr>
          <w:p>
            <w:pPr>
              <w:jc w:val="right"/>
              <w:ind w:right="280"/>
              <w:spacing w:after="0" w:line="196" w:lineRule="exact"/>
              <w:rPr>
                <w:sz w:val="20"/>
                <w:szCs w:val="20"/>
                <w:color w:val="auto"/>
              </w:rPr>
            </w:pPr>
            <w:r>
              <w:rPr>
                <w:rFonts w:ascii="Arial" w:cs="Arial" w:eastAsia="Arial" w:hAnsi="Arial"/>
                <w:sz w:val="18"/>
                <w:szCs w:val="18"/>
                <w:b w:val="1"/>
                <w:bCs w:val="1"/>
                <w:color w:val="auto"/>
              </w:rPr>
              <w:t>Non-Votes</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William E. Albrecht</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11,803,825</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1,709,808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107,991</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Justin A. Gannon</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12,983,900</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524,683</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113,041</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Harry T. McMahon</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13,052,767</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451,102</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117,755</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Richard W. Moncrief</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13,012,121</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488,614</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120,889</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Avedick B. Poladian</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12,862,461</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644,288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114,875</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Anita M. Powers</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12,924,399</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580,694</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116,531</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340" w:type="dxa"/>
            <w:vAlign w:val="bottom"/>
            <w:gridSpan w:val="3"/>
          </w:tcPr>
          <w:p>
            <w:pPr>
              <w:spacing w:after="0"/>
              <w:rPr>
                <w:sz w:val="20"/>
                <w:szCs w:val="20"/>
                <w:color w:val="auto"/>
              </w:rPr>
            </w:pPr>
            <w:r>
              <w:rPr>
                <w:rFonts w:ascii="Arial" w:cs="Arial" w:eastAsia="Arial" w:hAnsi="Arial"/>
                <w:sz w:val="18"/>
                <w:szCs w:val="18"/>
                <w:color w:val="auto"/>
              </w:rPr>
              <w:t>Laurie A. Siegel</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12,970,374</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538,449</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112,801</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12,861,761</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642,618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117,245</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r>
        <w:trPr>
          <w:trHeight w:val="270"/>
        </w:trPr>
        <w:tc>
          <w:tcPr>
            <w:tcW w:w="2340" w:type="dxa"/>
            <w:vAlign w:val="bottom"/>
            <w:gridSpan w:val="3"/>
          </w:tcPr>
          <w:p>
            <w:pPr>
              <w:spacing w:after="0"/>
              <w:rPr>
                <w:sz w:val="20"/>
                <w:szCs w:val="20"/>
                <w:color w:val="auto"/>
              </w:rPr>
            </w:pPr>
            <w:r>
              <w:rPr>
                <w:rFonts w:ascii="Arial" w:cs="Arial" w:eastAsia="Arial" w:hAnsi="Arial"/>
                <w:sz w:val="18"/>
                <w:szCs w:val="18"/>
                <w:color w:val="auto"/>
              </w:rPr>
              <w:t>Todd A. Stevens</w:t>
            </w:r>
          </w:p>
        </w:tc>
        <w:tc>
          <w:tcPr>
            <w:tcW w:w="2580" w:type="dxa"/>
            <w:vAlign w:val="bottom"/>
            <w:gridSpan w:val="3"/>
          </w:tcPr>
          <w:p>
            <w:pPr>
              <w:ind w:left="840"/>
              <w:spacing w:after="0"/>
              <w:rPr>
                <w:sz w:val="20"/>
                <w:szCs w:val="20"/>
                <w:color w:val="auto"/>
              </w:rPr>
            </w:pPr>
            <w:r>
              <w:rPr>
                <w:rFonts w:ascii="Arial" w:cs="Arial" w:eastAsia="Arial" w:hAnsi="Arial"/>
                <w:sz w:val="18"/>
                <w:szCs w:val="18"/>
                <w:color w:val="auto"/>
              </w:rPr>
              <w:t>13,052,027</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434,258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135,339</w:t>
            </w:r>
          </w:p>
        </w:tc>
        <w:tc>
          <w:tcPr>
            <w:tcW w:w="1560" w:type="dxa"/>
            <w:vAlign w:val="bottom"/>
            <w:gridSpan w:val="5"/>
          </w:tcPr>
          <w:p>
            <w:pPr>
              <w:jc w:val="right"/>
              <w:spacing w:after="0"/>
              <w:rPr>
                <w:sz w:val="20"/>
                <w:szCs w:val="20"/>
                <w:color w:val="auto"/>
              </w:rPr>
            </w:pPr>
            <w:r>
              <w:rPr>
                <w:rFonts w:ascii="Arial" w:cs="Arial" w:eastAsia="Arial" w:hAnsi="Arial"/>
                <w:sz w:val="18"/>
                <w:szCs w:val="18"/>
                <w:color w:val="auto"/>
              </w:rPr>
              <w:t>21,758,542</w:t>
            </w:r>
          </w:p>
        </w:tc>
      </w:tr>
    </w:tbl>
    <w:p>
      <w:pPr>
        <w:spacing w:after="0" w:line="175" w:lineRule="exact"/>
        <w:rPr>
          <w:sz w:val="20"/>
          <w:szCs w:val="20"/>
          <w:color w:val="auto"/>
        </w:rPr>
      </w:pPr>
    </w:p>
    <w:p>
      <w:pPr>
        <w:ind w:left="980" w:right="36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ratification of the selection of KPMG LLP as the Company's independent registered public accounting firm for the fiscal year ending December 31, 2020 was approved. The proposal received 33,985,789 votes for; 1,203,582 votes against; and 190,795 abstentions.</w:t>
      </w:r>
    </w:p>
    <w:p>
      <w:pPr>
        <w:spacing w:after="0" w:line="69" w:lineRule="exact"/>
        <w:rPr>
          <w:rFonts w:ascii="Arial" w:cs="Arial" w:eastAsia="Arial" w:hAnsi="Arial"/>
          <w:sz w:val="16"/>
          <w:szCs w:val="16"/>
          <w:color w:val="auto"/>
        </w:rPr>
      </w:pPr>
    </w:p>
    <w:p>
      <w:pPr>
        <w:ind w:left="980" w:right="3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advisory vote to approve named executive officer compensation was approved. The proposal received 12,512,662 votes for; 940,507 votes against; and 168,455 abstentions.</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of Form 10-Q</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relying on the Securities and Exchange Commission’s Order Under Section 36 of the Securities Exchange Act of 1934 Modifying Exemptions from the Reporting and Proxy Delivery Requirements for Public Companies, dated March 25, 2020 (Release No. 34-88465), to delay the filing of its Form 10-Q for the three months ended March 31, 2020 (the “Quarterly Report”).</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unable to meet the filing deadline for its Quarterly Report due to circumstances related to the COVID-19 pandemic and its impact on its business and operations. On March 19, 2020, the Governor of California issued Executive Order N-33-20 mandating that individuals living in the State of California stay at home subject to certain exceptions. As a result, the Company’s management team and substantially all of its office personnel, including its finance and accounting teams, have been working remotely for over 8 weeks. In addition, on April 6, 2020, the Company implemented reduced work hours for nearly all of its office employees. These reductions were made in an effort to preserve liquidity after the further deterioration of commodity prices following the outbreak of the coronavirus pandemic. These actions have resulted in delays in the preparation, review and completion of its financial statements for the quarter ended March 31, 2020 and affected the timely completion of its required internal controls over financial reporting. The Company expects to file its Quarterly Report in mid-June. The COVID-19 pandemic has and will likely continue to affect the Company’s business in adverse ways. In the upcoming Quarterly Report, the Company intends to update one or more risk factors (including the risk factor contained below) to include the risks the Company can foresee associated with COVID-19. The Company is</w:t>
      </w:r>
    </w:p>
    <w:p>
      <w:pPr>
        <w:sectPr>
          <w:pgSz w:w="11900" w:h="16838" w:orient="portrait"/>
          <w:cols w:equalWidth="0" w:num="1">
            <w:col w:w="11240"/>
          </w:cols>
          <w:pgMar w:left="320" w:top="553"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color w:val="auto"/>
        </w:rPr>
        <w:t>supplementing the risk factors previously disclosed in its Annual Report on Form 10-K for the year ended December 31, 2019, with the following risk factor:</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The COVID-19 pandemic has caused crude oil prices to decline significantly in 2020, which has materially and adversely affected the Company’s business, results of operation, financial condition and liquidity.</w:t>
      </w:r>
    </w:p>
    <w:p>
      <w:pPr>
        <w:spacing w:after="0" w:line="11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COVID-19 pandemic has adversely affected the global economy, and has resulted in, among other things, travel restrictions, business closures and the institution of quarantining and other mandated and self-imposed restrictions on movement. As a result, there has been an unprecedented reduction in demand for crude oil. In March 2020, crude oil prices declined significantly as a result of market concerns about the economic impact from the coronavirus pandemic, restrictions and other measures implemented in response to the pandemic as well as certain actions of Russia, Saudi Arabia and other foreign oil producers. In April 2020, oil prices continued to decline precipitously reaching negative prices for spot WTI crude. The severity, magnitude and duration of current or future COVID-19 outbreaks, the extent of actions that have been or may be taken to contain or treat its impact, and the impact on the economy generally and oil prices in particular, is uncertain, rapidly changing and hard to predict. The current futures forward curve for Brent crude indicates that prices may continue at relatively lower prices for an extended period of time. As a result, the Company reduced its operating expenses and planned capital expenditures to those necessary to maintain mechanical integrity of its facilities to operate them in a safe and environmentally responsible manner. In addition, as of May 11, 2020, the Company had shut in approximately 5,000 barrels of oil equivalent per day in production. These recent operational decisions will negatively impact the Company’s production levels in future quarters which, combined with expected lower commodity prices, would materially adversely affect our operating cash flows and may materially and adversely affect the quantity of estimated proved reserves that may be attributed to our properties. Our operations also may be adversely affected if significant portions of our workforce are unable to work effectively, including because of illness, quarantines, government actions, or other restrictions in connection with the pandemic. In addition, the Company is exposed to changes in commodity prices which have been and will likely remain volatile and depressed for the foreseeable future. The foregoing will require the Company to record an impairment charge against the value of its assets, which could be material, and have placed significant pressure on the Company’s liquidity and financial condition.</w:t>
      </w:r>
    </w:p>
    <w:p>
      <w:pPr>
        <w:spacing w:after="0" w:line="1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previously disclosed, the Company is continuing to pursue the restructuring of its balance sheet. In the event the Company is not successful in restructuring its balance sheet, there is substantial doubt about the Company’s ability to continue as a going concern.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Guidance</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is withdrawing previously issued guidance for all periods after March 31, 2020 due to the high level of economic uncertainty and disruption in commodity prices as well as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Cautionary Note Regarding Forward-Looking Statements</w:t>
      </w:r>
    </w:p>
    <w:p>
      <w:pPr>
        <w:spacing w:after="0" w:line="17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333333"/>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“forecast” and other similar words. Such statements include, but are not limited to, statements about the actions the Company may take to address liquidity and balance sheet issues,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this report above and the Company’s Annual Report on Form 10-K for the year ended December 31, 2019 (especially in Part I, Item 1A. Risk Factors and Part II, Item 7. Management’s Discussion and Analysis of Financial Condition and Results of Operations),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w:t>
      </w:r>
    </w:p>
    <w:p>
      <w:pPr>
        <w:sectPr>
          <w:pgSz w:w="11900" w:h="16838" w:orient="portrait"/>
          <w:cols w:equalWidth="0" w:num="1">
            <w:col w:w="11240"/>
          </w:cols>
          <w:pgMar w:left="320" w:top="719" w:right="3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333333"/>
        </w:rPr>
        <w:t>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0980"/>
          </w:cols>
          <w:pgMar w:left="320" w:top="719" w:right="59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May 11, 2020</w:t>
      </w:r>
    </w:p>
    <w:sectPr>
      <w:pgSz w:w="11900" w:h="16838" w:orient="portrait"/>
      <w:cols w:equalWidth="0" w:num="1">
        <w:col w:w="10920"/>
      </w:cols>
      <w:pgMar w:left="320" w:top="553"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2020-05-11T16:07:57Z</dcterms:created>
  <dcterms:modified xsi:type="dcterms:W3CDTF">2020-05-11T16:07:57Z</dcterms:modified>
</cp:coreProperties>
</file>