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Helm Michael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Vice President and Controller</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900" w:type="dxa"/>
            <w:vAlign w:val="bottom"/>
            <w:gridSpan w:val="8"/>
            <w:vMerge w:val="continue"/>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12/04/2014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90024</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12/04/2014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58,470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62,321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12/05/2014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jc w:val="right"/>
              <w:spacing w:after="0"/>
              <w:rPr>
                <w:sz w:val="20"/>
                <w:szCs w:val="20"/>
                <w:color w:val="auto"/>
              </w:rPr>
            </w:pPr>
            <w:r>
              <w:rPr>
                <w:rFonts w:ascii="Arial" w:cs="Arial" w:eastAsia="Arial" w:hAnsi="Arial"/>
                <w:sz w:val="18"/>
                <w:szCs w:val="18"/>
                <w:color w:val="0000FF"/>
              </w:rPr>
              <w:t>5,500</w:t>
            </w:r>
          </w:p>
        </w:tc>
        <w:tc>
          <w:tcPr>
            <w:tcW w:w="38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67,821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2"/>
          </w:tcPr>
          <w:p>
            <w:pPr>
              <w:jc w:val="center"/>
              <w:ind w:left="4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Occidental restricted stock awards converted into CRC restricted stock awards effective November 30, 2014 as a result of the spin-off of CRC from Occidental that remain subject to the original time-based vesting schedules, as follows: (i) 10,978 shares vest in two equal installments on July 21, 2015 and July 21, 2016; (ii) 17,769 shares vest on December 31, 2016 and (iii) 29,723 shares vest on July 8, 2017. Occidental restricted stock awards converted into CRC restricted stock awards based on the volume weighted average per share prices of Occidental and CRC common stock on the four-day trading periods ended November 28, 2014, and December 4, 2014, respectively, and certain other performance assumptions set forth in the Employee Matters Agreement between Occidental and CRC dated November 25, 2014. The original Form 4 filed on December 4, 2014, inadvertently reported greater ownership of shares in subsection "(i)" of this footnote and Items 4 and 5 of this Form.</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/s/Kendrick F. Royer,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3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01/29/2015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 Helm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2019-12-09T04:19:59Z</dcterms:created>
  <dcterms:modified xsi:type="dcterms:W3CDTF">2019-12-09T04:19:59Z</dcterms:modified>
</cp:coreProperties>
</file>