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60"/>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ind w:left="2240"/>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60960</wp:posOffset>
            </wp:positionV>
            <wp:extent cx="1312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1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020"/>
          </w:cols>
          <w:pgMar w:left="320" w:top="633" w:right="559" w:bottom="1440" w:gutter="0" w:footer="0" w:header="0"/>
        </w:sectPr>
      </w:pPr>
    </w:p>
    <w:p>
      <w:pPr>
        <w:spacing w:after="0" w:line="99" w:lineRule="exact"/>
        <w:rPr>
          <w:sz w:val="24"/>
          <w:szCs w:val="24"/>
          <w:color w:val="auto"/>
        </w:rPr>
      </w:pPr>
    </w:p>
    <w:p>
      <w:pPr>
        <w:ind w:left="2780" w:firstLine="707"/>
        <w:spacing w:after="0" w:line="251"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95885</wp:posOffset>
            </wp:positionV>
            <wp:extent cx="1312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42" w:lineRule="exact"/>
        <w:rPr>
          <w:sz w:val="24"/>
          <w:szCs w:val="24"/>
          <w:color w:val="auto"/>
        </w:rPr>
      </w:pPr>
    </w:p>
    <w:p>
      <w:pPr>
        <w:sectPr>
          <w:pgSz w:w="11900" w:h="16838" w:orient="portrait"/>
          <w:cols w:equalWidth="0" w:num="2">
            <w:col w:w="7860" w:space="540"/>
            <w:col w:w="2620"/>
          </w:cols>
          <w:pgMar w:left="320" w:top="633" w:right="55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1"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64"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4"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0" w:lineRule="exact"/>
        <w:rPr>
          <w:sz w:val="24"/>
          <w:szCs w:val="24"/>
          <w:color w:val="auto"/>
        </w:rPr>
      </w:pPr>
    </w:p>
    <w:p>
      <w:pPr>
        <w:jc w:val="center"/>
        <w:ind w:right="-239"/>
        <w:spacing w:after="0"/>
        <w:rPr>
          <w:sz w:val="20"/>
          <w:szCs w:val="20"/>
          <w:color w:val="auto"/>
        </w:rPr>
      </w:pPr>
      <w:r>
        <w:rPr>
          <w:rFonts w:ascii="Arial" w:cs="Arial" w:eastAsia="Arial" w:hAnsi="Arial"/>
          <w:sz w:val="35"/>
          <w:szCs w:val="35"/>
          <w:b w:val="1"/>
          <w:bCs w:val="1"/>
          <w:color w:val="auto"/>
        </w:rPr>
        <w:t>CALIFORNIA RESOURCES CORPORATION</w:t>
      </w:r>
    </w:p>
    <w:p>
      <w:pPr>
        <w:spacing w:after="0" w:line="1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87"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8" w:lineRule="exact"/>
        <w:rPr>
          <w:sz w:val="24"/>
          <w:szCs w:val="24"/>
          <w:color w:val="auto"/>
        </w:rPr>
      </w:pPr>
    </w:p>
    <w:p>
      <w:pPr>
        <w:ind w:left="560" w:hanging="55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1" w:lineRule="exact"/>
        <w:rPr>
          <w:sz w:val="24"/>
          <w:szCs w:val="24"/>
          <w:color w:val="auto"/>
        </w:rPr>
      </w:pPr>
    </w:p>
    <w:p>
      <w:pPr>
        <w:ind w:left="560" w:hanging="55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1" w:lineRule="exact"/>
        <w:rPr>
          <w:rFonts w:ascii="MS PGothic" w:cs="MS PGothic" w:eastAsia="MS PGothic" w:hAnsi="MS PGothic"/>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0" w:lineRule="exact"/>
        <w:rPr>
          <w:rFonts w:ascii="Arial" w:cs="Arial" w:eastAsia="Arial" w:hAnsi="Arial"/>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0" w:lineRule="exact"/>
        <w:rPr>
          <w:rFonts w:ascii="Arial" w:cs="Arial" w:eastAsia="Arial" w:hAnsi="Arial"/>
          <w:sz w:val="18"/>
          <w:szCs w:val="18"/>
          <w:color w:val="auto"/>
        </w:rPr>
      </w:pPr>
    </w:p>
    <w:p>
      <w:pPr>
        <w:ind w:left="1120" w:right="120" w:hanging="558"/>
        <w:spacing w:after="0" w:line="238"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5" w:lineRule="exact"/>
        <w:rPr>
          <w:rFonts w:ascii="Arial" w:cs="Arial" w:eastAsia="Arial" w:hAnsi="Arial"/>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0" w:lineRule="exact"/>
        <w:rPr>
          <w:rFonts w:ascii="Arial" w:cs="Arial" w:eastAsia="Arial" w:hAnsi="Arial"/>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4" w:lineRule="exact"/>
        <w:rPr>
          <w:rFonts w:ascii="Arial" w:cs="Arial" w:eastAsia="Arial" w:hAnsi="Arial"/>
          <w:sz w:val="18"/>
          <w:szCs w:val="18"/>
          <w:color w:val="auto"/>
        </w:rPr>
      </w:pPr>
    </w:p>
    <w:p>
      <w:pPr>
        <w:ind w:left="560" w:hanging="55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84" w:lineRule="exact"/>
        <w:rPr>
          <w:rFonts w:ascii="MS PGothic" w:cs="MS PGothic" w:eastAsia="MS PGothic" w:hAnsi="MS PGothic"/>
          <w:sz w:val="18"/>
          <w:szCs w:val="18"/>
          <w:color w:val="auto"/>
        </w:rPr>
      </w:pPr>
    </w:p>
    <w:p>
      <w:pPr>
        <w:ind w:left="560" w:hanging="554"/>
        <w:spacing w:after="0" w:line="264" w:lineRule="auto"/>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MS PGothic" w:cs="MS PGothic" w:eastAsia="MS PGothic" w:hAnsi="MS PGothic"/>
          <w:sz w:val="17"/>
          <w:szCs w:val="17"/>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1" w:lineRule="exact"/>
        <w:rPr>
          <w:rFonts w:ascii="Arial" w:cs="Arial" w:eastAsia="Arial" w:hAnsi="Arial"/>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1" w:lineRule="exact"/>
        <w:rPr>
          <w:rFonts w:ascii="Arial" w:cs="Arial" w:eastAsia="Arial" w:hAnsi="Arial"/>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1" w:lineRule="exact"/>
        <w:rPr>
          <w:rFonts w:ascii="Arial" w:cs="Arial" w:eastAsia="Arial" w:hAnsi="Arial"/>
          <w:sz w:val="18"/>
          <w:szCs w:val="18"/>
          <w:color w:val="auto"/>
        </w:rPr>
      </w:pPr>
    </w:p>
    <w:p>
      <w:pPr>
        <w:ind w:left="1120" w:hanging="55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718820</wp:posOffset>
            </wp:positionH>
            <wp:positionV relativeFrom="paragraph">
              <wp:posOffset>-2309495</wp:posOffset>
            </wp:positionV>
            <wp:extent cx="6419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-2082165</wp:posOffset>
            </wp:positionV>
            <wp:extent cx="641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-1729105</wp:posOffset>
            </wp:positionV>
            <wp:extent cx="6419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-1501775</wp:posOffset>
            </wp:positionV>
            <wp:extent cx="6419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-1274445</wp:posOffset>
            </wp:positionV>
            <wp:extent cx="6419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-584835</wp:posOffset>
            </wp:positionV>
            <wp:extent cx="6419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-382905</wp:posOffset>
            </wp:positionV>
            <wp:extent cx="6419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-180975</wp:posOffset>
            </wp:positionV>
            <wp:extent cx="6419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20320</wp:posOffset>
            </wp:positionV>
            <wp:extent cx="6419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96520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605155</wp:posOffset>
            </wp:positionV>
            <wp:extent cx="71767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020"/>
          </w:cols>
          <w:pgMar w:left="320" w:top="633" w:right="5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770890</wp:posOffset>
            </wp:positionH>
            <wp:positionV relativeFrom="page">
              <wp:posOffset>358140</wp:posOffset>
            </wp:positionV>
            <wp:extent cx="6007100" cy="764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07100" cy="764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California resources corporation 2020 proxy report and notice of annual meeting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326390</wp:posOffset>
            </wp:positionV>
            <wp:extent cx="71767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1631950" cy="908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319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Chairman of the Board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0075C9"/>
        </w:rPr>
        <w:t>Dear Shareholders,</w:t>
      </w:r>
    </w:p>
    <w:p>
      <w:pPr>
        <w:spacing w:after="0" w:line="24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CRC faced many challenges in 2020 including a voluntary Chapter 11 bankruptcy restructuring process that was required to address an unsustainable debt burden given the prevailing commodity markets at the time. CRC emerged from the bankruptcy process with a right-sized balance sheet and a new Board of Directors committed to charting a new course for the Company.</w:t>
      </w:r>
    </w:p>
    <w:p>
      <w:pPr>
        <w:spacing w:after="0" w:line="240"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Today, we are engaged in a full-scale business review to serve as the foundation for a strategic repositioning effort. Based on this work, CRC has already realigned its senior management team and broader organization to fit our vision of a leaner and more efficient organization. CRC’s 2021 plan will focus on further development and enhancements of our core areas while rationalizing our asset base. As a result, CRC will be better able to drive down costs and improve efficiencies while maintaining our safety and environmental stewardship standards. We have increased our hedging levels to lock in cash flows and are focused on capital discipline to increase free cash flow generation. The following strategic targets will help CRC maintain financial strength while driving returns to our shareholders through the delivery of robust and resilient free cash flow:</w:t>
      </w:r>
    </w:p>
    <w:p>
      <w:pPr>
        <w:spacing w:after="0" w:line="242" w:lineRule="exact"/>
        <w:rPr>
          <w:sz w:val="20"/>
          <w:szCs w:val="20"/>
          <w:color w:val="auto"/>
        </w:rPr>
      </w:pPr>
    </w:p>
    <w:p>
      <w:pPr>
        <w:ind w:left="880" w:hanging="41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Target FCF Yield of ~10% or greater on a sustained basis while maintaining stable oil production</w:t>
      </w:r>
    </w:p>
    <w:p>
      <w:pPr>
        <w:spacing w:after="0" w:line="256" w:lineRule="exact"/>
        <w:rPr>
          <w:rFonts w:ascii="Arial" w:cs="Arial" w:eastAsia="Arial" w:hAnsi="Arial"/>
          <w:sz w:val="18"/>
          <w:szCs w:val="18"/>
          <w:color w:val="auto"/>
        </w:rPr>
      </w:pPr>
    </w:p>
    <w:p>
      <w:pPr>
        <w:ind w:left="880" w:hanging="41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 in growth opportunities at appropriate return thresholds and commodity prices</w:t>
      </w:r>
    </w:p>
    <w:p>
      <w:pPr>
        <w:spacing w:after="0" w:line="256" w:lineRule="exact"/>
        <w:rPr>
          <w:rFonts w:ascii="Arial" w:cs="Arial" w:eastAsia="Arial" w:hAnsi="Arial"/>
          <w:sz w:val="18"/>
          <w:szCs w:val="18"/>
          <w:color w:val="auto"/>
        </w:rPr>
      </w:pPr>
    </w:p>
    <w:p>
      <w:pPr>
        <w:ind w:left="880" w:hanging="41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strong liquidity position</w:t>
      </w:r>
    </w:p>
    <w:p>
      <w:pPr>
        <w:spacing w:after="0" w:line="256" w:lineRule="exact"/>
        <w:rPr>
          <w:rFonts w:ascii="Arial" w:cs="Arial" w:eastAsia="Arial" w:hAnsi="Arial"/>
          <w:sz w:val="18"/>
          <w:szCs w:val="18"/>
          <w:color w:val="auto"/>
        </w:rPr>
      </w:pPr>
    </w:p>
    <w:p>
      <w:pPr>
        <w:ind w:left="880" w:hanging="41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leverage of less than 1.5x net debt/adjusted EBITDAX</w:t>
      </w:r>
    </w:p>
    <w:p>
      <w:pPr>
        <w:spacing w:after="0" w:line="2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new board members collectively bring operational turnaround experience, financial and capital markets expertise as well as over 100 years of E&amp;P leadership and knowledge and will provide valuable leadership to our repositioning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442595</wp:posOffset>
            </wp:positionV>
            <wp:extent cx="71767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ind w:right="420"/>
        <w:spacing w:after="0" w:line="238" w:lineRule="auto"/>
        <w:rPr>
          <w:sz w:val="20"/>
          <w:szCs w:val="20"/>
          <w:color w:val="auto"/>
        </w:rPr>
      </w:pPr>
      <w:r>
        <w:rPr>
          <w:rFonts w:ascii="Arial" w:cs="Arial" w:eastAsia="Arial" w:hAnsi="Arial"/>
          <w:sz w:val="18"/>
          <w:szCs w:val="18"/>
          <w:color w:val="auto"/>
        </w:rPr>
        <w:t>Each member of the Board is up for re-election this year and we would encourage you to vote at or prior to our Annual Meeting on May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Mark A. (Mac) McFarland</w:t>
      </w:r>
    </w:p>
    <w:p>
      <w:pPr>
        <w:spacing w:after="0" w:line="230" w:lineRule="auto"/>
        <w:rPr>
          <w:sz w:val="20"/>
          <w:szCs w:val="20"/>
          <w:color w:val="auto"/>
        </w:rPr>
      </w:pPr>
      <w:r>
        <w:rPr>
          <w:rFonts w:ascii="Arial" w:cs="Arial" w:eastAsia="Arial" w:hAnsi="Arial"/>
          <w:sz w:val="18"/>
          <w:szCs w:val="18"/>
          <w:color w:val="auto"/>
        </w:rPr>
        <w:t>Chairman, President and Chief Executive Officer</w:t>
      </w: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0" w:lineRule="auto"/>
        <w:rPr>
          <w:sz w:val="20"/>
          <w:szCs w:val="20"/>
          <w:color w:val="auto"/>
        </w:rPr>
      </w:pPr>
      <w:r>
        <w:rPr>
          <w:sz w:val="1"/>
          <w:szCs w:val="1"/>
          <w:color w:val="auto"/>
        </w:rPr>
        <w:drawing>
          <wp:inline distT="0" distB="0" distL="0" distR="0">
            <wp:extent cx="5535930" cy="25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5930" cy="25400"/>
                    </a:xfrm>
                    <a:prstGeom prst="rect">
                      <a:avLst/>
                    </a:prstGeom>
                    <a:noFill/>
                    <a:ln>
                      <a:noFill/>
                    </a:ln>
                  </pic:spPr>
                </pic:pic>
              </a:graphicData>
            </a:graphic>
          </wp:inline>
        </w:drawing>
      </w:r>
      <w:r>
        <w:rPr>
          <w:rFonts w:ascii="Arial" w:cs="Arial" w:eastAsia="Arial" w:hAnsi="Arial"/>
          <w:sz w:val="15"/>
          <w:szCs w:val="15"/>
          <w:color w:val="auto"/>
        </w:rPr>
        <w:t xml:space="preserve">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w:t>
      </w:r>
      <w:r>
        <w:rPr>
          <w:rFonts w:ascii="Arial" w:cs="Arial" w:eastAsia="Arial" w:hAnsi="Arial"/>
          <w:sz w:val="15"/>
          <w:szCs w:val="15"/>
          <w:color w:val="262626"/>
        </w:rPr>
        <w:t>Such statements are based on management's expectations as of the date of this filing, unless an earlier date is</w:t>
      </w:r>
      <w:r>
        <w:rPr>
          <w:rFonts w:ascii="Arial" w:cs="Arial" w:eastAsia="Arial" w:hAnsi="Arial"/>
          <w:sz w:val="15"/>
          <w:szCs w:val="15"/>
          <w:color w:val="auto"/>
        </w:rPr>
        <w:t xml:space="preserve"> </w:t>
      </w:r>
      <w:r>
        <w:rPr>
          <w:rFonts w:ascii="Arial" w:cs="Arial" w:eastAsia="Arial" w:hAnsi="Arial"/>
          <w:sz w:val="15"/>
          <w:szCs w:val="15"/>
          <w:color w:val="262626"/>
        </w:rPr>
        <w:t xml:space="preserve">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5"/>
          <w:szCs w:val="15"/>
          <w:color w:val="000000"/>
        </w:rPr>
        <w:t>Any forward-looking statement speaks only as of the date on which such statement is made and we undertake</w:t>
      </w:r>
      <w:r>
        <w:rPr>
          <w:rFonts w:ascii="Arial" w:cs="Arial" w:eastAsia="Arial" w:hAnsi="Arial"/>
          <w:sz w:val="15"/>
          <w:szCs w:val="15"/>
          <w:color w:val="262626"/>
        </w:rPr>
        <w:t xml:space="preserve"> </w:t>
      </w:r>
      <w:r>
        <w:rPr>
          <w:rFonts w:ascii="Arial" w:cs="Arial" w:eastAsia="Arial" w:hAnsi="Arial"/>
          <w:sz w:val="15"/>
          <w:szCs w:val="15"/>
          <w:color w:val="000000"/>
        </w:rPr>
        <w:t>no obligation and expressly disclaim any duty to correct or update any forward-looking statement, except as required by applicable law.</w:t>
      </w:r>
    </w:p>
    <w:p>
      <w:pPr>
        <w:spacing w:after="0" w:line="224"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767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375285</wp:posOffset>
            </wp:positionV>
            <wp:extent cx="1800225" cy="1001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00225" cy="1001395"/>
                    </a:xfrm>
                    <a:prstGeom prst="rect">
                      <a:avLst/>
                    </a:prstGeom>
                    <a:noFill/>
                  </pic:spPr>
                </pic:pic>
              </a:graphicData>
            </a:graphic>
          </wp:anchor>
        </w:drawing>
      </w:r>
    </w:p>
    <w:p>
      <w:pPr>
        <w:spacing w:after="0" w:line="291" w:lineRule="exact"/>
        <w:rPr>
          <w:sz w:val="20"/>
          <w:szCs w:val="20"/>
          <w:color w:val="auto"/>
        </w:rPr>
      </w:pPr>
    </w:p>
    <w:p>
      <w:pPr>
        <w:ind w:left="4360"/>
        <w:spacing w:after="0"/>
        <w:rPr>
          <w:sz w:val="20"/>
          <w:szCs w:val="20"/>
          <w:color w:val="auto"/>
        </w:rPr>
      </w:pPr>
      <w:r>
        <w:rPr>
          <w:rFonts w:ascii="Arial" w:cs="Arial" w:eastAsia="Arial" w:hAnsi="Arial"/>
          <w:sz w:val="15"/>
          <w:szCs w:val="15"/>
          <w:color w:val="7F7F7F"/>
        </w:rPr>
        <w:t>27200 Tourney Road, Suite 200 | Santa Clarita | California 91355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2021 Annual Meeting of Stockholders</w:t>
      </w:r>
    </w:p>
    <w:p>
      <w:pPr>
        <w:sectPr>
          <w:pgSz w:w="11900" w:h="16838" w:orient="portrait"/>
          <w:cols w:equalWidth="0" w:num="1">
            <w:col w:w="11240"/>
          </w:cols>
          <w:pgMar w:left="320" w:top="1440" w:right="3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May 12, 2021</w:t>
      </w:r>
    </w:p>
    <w:p>
      <w:pPr>
        <w:spacing w:after="0" w:line="83"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83"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https://www.virtualshareholdermeeting.com/CRC2021</w:t>
      </w:r>
    </w:p>
    <w:p>
      <w:pPr>
        <w:spacing w:after="0" w:line="83"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15, 2021</w:t>
      </w:r>
    </w:p>
    <w:p>
      <w:pPr>
        <w:spacing w:after="0" w:line="200"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2021 annual meeting of stockholders:</w:t>
      </w:r>
    </w:p>
    <w:p>
      <w:pPr>
        <w:spacing w:after="0" w:line="204" w:lineRule="exact"/>
        <w:rPr>
          <w:sz w:val="20"/>
          <w:szCs w:val="20"/>
          <w:color w:val="auto"/>
        </w:rPr>
      </w:pPr>
    </w:p>
    <w:p>
      <w:pPr>
        <w:ind w:left="580" w:hanging="34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seven director nominees named in this proxy statement, each to a one-year term;</w:t>
      </w:r>
    </w:p>
    <w:p>
      <w:pPr>
        <w:spacing w:after="0" w:line="97" w:lineRule="exact"/>
        <w:rPr>
          <w:rFonts w:ascii="Arial" w:cs="Arial" w:eastAsia="Arial" w:hAnsi="Arial"/>
          <w:sz w:val="18"/>
          <w:szCs w:val="18"/>
          <w:color w:val="auto"/>
        </w:rPr>
      </w:pPr>
    </w:p>
    <w:p>
      <w:pPr>
        <w:ind w:left="580" w:right="320" w:hanging="349"/>
        <w:spacing w:after="0" w:line="23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2021;</w:t>
      </w:r>
    </w:p>
    <w:p>
      <w:pPr>
        <w:spacing w:after="0" w:line="92" w:lineRule="exact"/>
        <w:rPr>
          <w:rFonts w:ascii="Arial" w:cs="Arial" w:eastAsia="Arial" w:hAnsi="Arial"/>
          <w:sz w:val="18"/>
          <w:szCs w:val="18"/>
          <w:color w:val="auto"/>
        </w:rPr>
      </w:pPr>
    </w:p>
    <w:p>
      <w:pPr>
        <w:ind w:left="580" w:hanging="34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 and</w:t>
      </w:r>
    </w:p>
    <w:p>
      <w:pPr>
        <w:spacing w:after="0" w:line="97" w:lineRule="exact"/>
        <w:rPr>
          <w:rFonts w:ascii="Arial" w:cs="Arial" w:eastAsia="Arial" w:hAnsi="Arial"/>
          <w:sz w:val="18"/>
          <w:szCs w:val="18"/>
          <w:color w:val="auto"/>
        </w:rPr>
      </w:pPr>
    </w:p>
    <w:p>
      <w:pPr>
        <w:ind w:left="580" w:hanging="34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on the frequency of future stockholder advisory votes to approve named executive officer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04"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The close of business on March 15, 2021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 in person.</w:t>
      </w:r>
    </w:p>
    <w:p>
      <w:pPr>
        <w:spacing w:after="0" w:line="200"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Due to the public health impact of the COVID-19 pandemic and to support the health and well-being of our employees and shareholders, the annual meeting will be held in a virtual meeting format only at https://www.virtualshareholdermeeting.com/CRC2021. You will not be able to attend the annual meeting physically. If you wish to attend the annual meeting, you must follow the instructions under “Attending the Annual Meeting” on page 65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2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Beginning on March 30, 2021, we mailed a Notice of Internet Availability of Proxy Materials to our stockholders containing instructions on how to access the proxy statement and vote online and made our proxy materials available to our stockholders over the Internet.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1699260" cy="403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99260"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230" w:lineRule="auto"/>
        <w:rPr>
          <w:sz w:val="20"/>
          <w:szCs w:val="20"/>
          <w:color w:val="auto"/>
        </w:rPr>
      </w:pPr>
      <w:r>
        <w:rPr>
          <w:rFonts w:ascii="Arial" w:cs="Arial" w:eastAsia="Arial" w:hAnsi="Arial"/>
          <w:sz w:val="18"/>
          <w:szCs w:val="18"/>
          <w:i w:val="1"/>
          <w:iCs w:val="1"/>
          <w:color w:val="auto"/>
        </w:rPr>
        <w:t>Senior Executive Vice President, Chief Administrative Officer and General Counsel</w:t>
      </w:r>
    </w:p>
    <w:p>
      <w:pPr>
        <w:spacing w:after="0"/>
        <w:rPr>
          <w:sz w:val="20"/>
          <w:szCs w:val="20"/>
          <w:color w:val="auto"/>
        </w:rPr>
      </w:pPr>
      <w:r>
        <w:rPr>
          <w:rFonts w:ascii="Arial" w:cs="Arial" w:eastAsia="Arial" w:hAnsi="Arial"/>
          <w:sz w:val="18"/>
          <w:szCs w:val="18"/>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319405</wp:posOffset>
            </wp:positionV>
            <wp:extent cx="71767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color w:val="0075C9"/>
        </w:rPr>
        <w:t>IMPORTANT VOTING INFORMATION</w:t>
      </w:r>
    </w:p>
    <w:p>
      <w:pPr>
        <w:spacing w:after="0" w:line="10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If you owned shares of our common stock at the close of business on March 15, 2021, you are entitled to one vote per share upon each matter presented at our 2021 annual meeting of stockholders to be held on May 12, 2021. In order for stockholders whose shares were held in an account at a brokerage firm, bank or other nominee (i.e., in “street name”) as of March 15, 2021 to vote their shares at the 2021 annual meeting, they will need to obtain a legal proxy from the broker, bank or other nominee that holds their shares authorizing them to vote in person at the annual meeting.</w:t>
      </w:r>
    </w:p>
    <w:p>
      <w:pPr>
        <w:spacing w:after="0" w:line="20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2021,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0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10"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0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6"/>
          <w:szCs w:val="16"/>
          <w:color w:val="auto"/>
        </w:rPr>
        <w:t>(</w:t>
      </w:r>
      <w:r>
        <w:rPr>
          <w:rFonts w:ascii="Arial" w:cs="Arial" w:eastAsia="Arial" w:hAnsi="Arial"/>
          <w:sz w:val="16"/>
          <w:szCs w:val="16"/>
          <w:i w:val="1"/>
          <w:iCs w:val="1"/>
          <w:color w:val="auto"/>
        </w:rPr>
        <w:t>www.sec.gov/spotlight/proxymatters.shtml</w:t>
      </w:r>
      <w:r>
        <w:rPr>
          <w:rFonts w:ascii="Arial" w:cs="Arial" w:eastAsia="Arial" w:hAnsi="Arial"/>
          <w:sz w:val="16"/>
          <w:szCs w:val="16"/>
          <w:color w:val="auto"/>
        </w:rPr>
        <w:t>)</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04"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Due to the public health impact of the COVID-19 pandemic and to support the health and well-being of our employees and shareholders, the annual meeting will be held in a virtual meeting format only at https://www.virtualshareholdermeeting.com/CRC2021. You will not be able to attend the annual meeting physically. If you wish to attend the annual meeting, you must follow the instructions under “Attending the Annual Meeting” on page 65 of the proxy statement.</w:t>
      </w:r>
    </w:p>
    <w:p>
      <w:pPr>
        <w:spacing w:after="0" w:line="195" w:lineRule="exact"/>
        <w:rPr>
          <w:sz w:val="20"/>
          <w:szCs w:val="20"/>
          <w:color w:val="auto"/>
        </w:rPr>
      </w:pPr>
    </w:p>
    <w:p>
      <w:pPr>
        <w:jc w:val="center"/>
        <w:ind w:left="380" w:right="2020"/>
        <w:spacing w:after="0" w:line="296" w:lineRule="auto"/>
        <w:rPr>
          <w:sz w:val="20"/>
          <w:szCs w:val="20"/>
          <w:color w:val="auto"/>
        </w:rPr>
      </w:pPr>
      <w:r>
        <w:rPr>
          <w:rFonts w:ascii="Arial" w:cs="Arial" w:eastAsia="Arial" w:hAnsi="Arial"/>
          <w:sz w:val="21"/>
          <w:szCs w:val="21"/>
          <w:b w:val="1"/>
          <w:bCs w:val="1"/>
          <w:color w:val="0075C9"/>
        </w:rPr>
        <w:t>IMPORTANT NOTICE REGARDING THE INTERNET AVAILABILITY OF PROXY MATERIALS FOR THE STOCKHOLDER MEETING TO BE HELD ON MAY 12,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Notice of the 2021 Annual Meeting of Stockholders, the Proxy Statement for the 2021 Annual Meeting of Stockholders and the 2020 Annual Report to Stockholders (which includes the Annual Report on Form 10-K for the fiscal year ended December 31, 2020)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586740</wp:posOffset>
            </wp:positionV>
            <wp:extent cx="71767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500" w:type="dxa"/>
            <w:vAlign w:val="bottom"/>
            <w:tcBorders>
              <w:bottom w:val="single" w:sz="8" w:color="0000EE"/>
            </w:tcBorders>
            <w:gridSpan w:val="44"/>
          </w:tcPr>
          <w:p>
            <w:pPr>
              <w:spacing w:after="0"/>
              <w:rPr>
                <w:rFonts w:ascii="Arial" w:cs="Arial" w:eastAsia="Arial" w:hAnsi="Arial"/>
                <w:sz w:val="16"/>
                <w:szCs w:val="16"/>
                <w:color w:val="0000EE"/>
                <w:w w:val="96"/>
              </w:rPr>
            </w:pPr>
            <w:hyperlink w:anchor="page5">
              <w:r>
                <w:rPr>
                  <w:rFonts w:ascii="Arial" w:cs="Arial" w:eastAsia="Arial" w:hAnsi="Arial"/>
                  <w:sz w:val="16"/>
                  <w:szCs w:val="16"/>
                  <w:color w:val="0000EE"/>
                  <w:w w:val="96"/>
                </w:rPr>
                <w:t>Notice of the 2021 Annual Meeting of Stockholders</w:t>
              </w:r>
            </w:hyperlink>
          </w:p>
        </w:tc>
        <w:tc>
          <w:tcPr>
            <w:tcW w:w="94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40" w:type="dxa"/>
            <w:vAlign w:val="bottom"/>
            <w:gridSpan w:val="46"/>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Proxy Statement Summary</w:t>
              </w:r>
            </w:hyperlink>
          </w:p>
        </w:tc>
        <w:tc>
          <w:tcPr>
            <w:tcW w:w="680" w:type="dxa"/>
            <w:vAlign w:val="bottom"/>
          </w:tcPr>
          <w:p>
            <w:pPr>
              <w:jc w:val="right"/>
              <w:spacing w:after="0"/>
              <w:rPr>
                <w:sz w:val="20"/>
                <w:szCs w:val="20"/>
                <w:color w:val="auto"/>
              </w:rPr>
            </w:pPr>
            <w:r>
              <w:rPr>
                <w:rFonts w:ascii="Arial" w:cs="Arial" w:eastAsia="Arial" w:hAnsi="Arial"/>
                <w:sz w:val="16"/>
                <w:szCs w:val="16"/>
                <w:color w:val="0075C9"/>
              </w:rPr>
              <w:t>1</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60" w:type="dxa"/>
            <w:vAlign w:val="bottom"/>
            <w:tcBorders>
              <w:bottom w:val="single" w:sz="8" w:color="0000EE"/>
            </w:tcBorders>
            <w:gridSpan w:val="43"/>
          </w:tcPr>
          <w:p>
            <w:pPr>
              <w:spacing w:after="0"/>
              <w:rPr>
                <w:rFonts w:ascii="Arial" w:cs="Arial" w:eastAsia="Arial" w:hAnsi="Arial"/>
                <w:sz w:val="16"/>
                <w:szCs w:val="16"/>
                <w:color w:val="0000EE"/>
                <w:w w:val="98"/>
              </w:rPr>
            </w:pPr>
            <w:hyperlink w:anchor="page12">
              <w:r>
                <w:rPr>
                  <w:rFonts w:ascii="Arial" w:cs="Arial" w:eastAsia="Arial" w:hAnsi="Arial"/>
                  <w:sz w:val="16"/>
                  <w:szCs w:val="16"/>
                  <w:color w:val="0000EE"/>
                  <w:w w:val="98"/>
                </w:rPr>
                <w:t>Board of Directors and Corporate Governance</w:t>
              </w:r>
            </w:hyperlink>
          </w:p>
        </w:tc>
        <w:tc>
          <w:tcPr>
            <w:tcW w:w="1180" w:type="dxa"/>
            <w:vAlign w:val="bottom"/>
            <w:gridSpan w:val="3"/>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75C9"/>
              </w:rPr>
              <w:t>5</w:t>
            </w: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4160" w:type="dxa"/>
            <w:vAlign w:val="bottom"/>
            <w:gridSpan w:val="45"/>
          </w:tcPr>
          <w:p>
            <w:pPr>
              <w:spacing w:after="0" w:line="152" w:lineRule="exact"/>
              <w:rPr>
                <w:rFonts w:ascii="Arial" w:cs="Arial" w:eastAsia="Arial" w:hAnsi="Arial"/>
                <w:sz w:val="14"/>
                <w:szCs w:val="14"/>
                <w:color w:val="0000EE"/>
              </w:rPr>
            </w:pPr>
            <w:hyperlink w:anchor="page12">
              <w:r>
                <w:rPr>
                  <w:rFonts w:ascii="Arial" w:cs="Arial" w:eastAsia="Arial" w:hAnsi="Arial"/>
                  <w:sz w:val="14"/>
                  <w:szCs w:val="14"/>
                  <w:color w:val="0000EE"/>
                </w:rPr>
                <w:t>Our Board of Directors</w:t>
              </w:r>
            </w:hyperlink>
          </w:p>
        </w:tc>
        <w:tc>
          <w:tcPr>
            <w:tcW w:w="680" w:type="dxa"/>
            <w:vAlign w:val="bottom"/>
          </w:tcPr>
          <w:p>
            <w:pPr>
              <w:jc w:val="right"/>
              <w:spacing w:after="0" w:line="15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2060" w:type="dxa"/>
            <w:vAlign w:val="bottom"/>
            <w:tcBorders>
              <w:bottom w:val="single" w:sz="8" w:color="0000EE"/>
            </w:tcBorders>
            <w:gridSpan w:val="24"/>
          </w:tcPr>
          <w:p>
            <w:pPr>
              <w:spacing w:after="0" w:line="139" w:lineRule="exact"/>
              <w:rPr>
                <w:rFonts w:ascii="Arial" w:cs="Arial" w:eastAsia="Arial" w:hAnsi="Arial"/>
                <w:sz w:val="14"/>
                <w:szCs w:val="14"/>
                <w:color w:val="0000EE"/>
                <w:w w:val="93"/>
              </w:rPr>
            </w:pPr>
            <w:hyperlink w:anchor="page17">
              <w:r>
                <w:rPr>
                  <w:rFonts w:ascii="Arial" w:cs="Arial" w:eastAsia="Arial" w:hAnsi="Arial"/>
                  <w:sz w:val="14"/>
                  <w:szCs w:val="14"/>
                  <w:color w:val="0000EE"/>
                  <w:w w:val="93"/>
                </w:rPr>
                <w:t>Board Refreshment and Evaluation</w:t>
              </w:r>
            </w:hyperlink>
          </w:p>
        </w:tc>
        <w:tc>
          <w:tcPr>
            <w:tcW w:w="2100" w:type="dxa"/>
            <w:vAlign w:val="bottom"/>
            <w:gridSpan w:val="21"/>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980" w:type="dxa"/>
            <w:vAlign w:val="bottom"/>
            <w:tcBorders>
              <w:bottom w:val="single" w:sz="8" w:color="0000EE"/>
            </w:tcBorders>
            <w:gridSpan w:val="42"/>
          </w:tcPr>
          <w:p>
            <w:pPr>
              <w:spacing w:after="0" w:line="139" w:lineRule="exact"/>
              <w:rPr>
                <w:rFonts w:ascii="Arial" w:cs="Arial" w:eastAsia="Arial" w:hAnsi="Arial"/>
                <w:sz w:val="14"/>
                <w:szCs w:val="14"/>
                <w:color w:val="0000EE"/>
                <w:w w:val="98"/>
              </w:rPr>
            </w:pPr>
            <w:hyperlink w:anchor="page17">
              <w:r>
                <w:rPr>
                  <w:rFonts w:ascii="Arial" w:cs="Arial" w:eastAsia="Arial" w:hAnsi="Arial"/>
                  <w:sz w:val="14"/>
                  <w:szCs w:val="14"/>
                  <w:color w:val="0000EE"/>
                  <w:w w:val="98"/>
                </w:rPr>
                <w:t>Identifying and Evaluating Nominees for Director</w:t>
              </w:r>
            </w:hyperlink>
          </w:p>
        </w:tc>
        <w:tc>
          <w:tcPr>
            <w:tcW w:w="1180" w:type="dxa"/>
            <w:vAlign w:val="bottom"/>
            <w:gridSpan w:val="3"/>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17">
              <w:r>
                <w:rPr>
                  <w:rFonts w:ascii="Arial" w:cs="Arial" w:eastAsia="Arial" w:hAnsi="Arial"/>
                  <w:sz w:val="14"/>
                  <w:szCs w:val="14"/>
                  <w:color w:val="0000EE"/>
                </w:rPr>
                <w:t>Director Criteria, Qualifications and Experience</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880" w:type="dxa"/>
            <w:vAlign w:val="bottom"/>
            <w:tcBorders>
              <w:top w:val="single" w:sz="8" w:color="0000EE"/>
            </w:tcBorders>
            <w:gridSpan w:val="39"/>
          </w:tcPr>
          <w:p>
            <w:pPr>
              <w:spacing w:after="0" w:line="139" w:lineRule="exact"/>
              <w:rPr>
                <w:rFonts w:ascii="Arial" w:cs="Arial" w:eastAsia="Arial" w:hAnsi="Arial"/>
                <w:sz w:val="14"/>
                <w:szCs w:val="14"/>
                <w:color w:val="0000EE"/>
              </w:rPr>
            </w:pPr>
            <w:hyperlink w:anchor="page17">
              <w:r>
                <w:rPr>
                  <w:rFonts w:ascii="Arial" w:cs="Arial" w:eastAsia="Arial" w:hAnsi="Arial"/>
                  <w:sz w:val="14"/>
                  <w:szCs w:val="14"/>
                  <w:color w:val="0000EE"/>
                </w:rPr>
                <w:t>Board Diversity</w:t>
              </w:r>
            </w:hyperlink>
          </w:p>
        </w:tc>
        <w:tc>
          <w:tcPr>
            <w:tcW w:w="1280" w:type="dxa"/>
            <w:vAlign w:val="bottom"/>
            <w:gridSpan w:val="6"/>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2680" w:type="dxa"/>
            <w:vAlign w:val="bottom"/>
            <w:tcBorders>
              <w:bottom w:val="single" w:sz="8" w:color="0000EE"/>
            </w:tcBorders>
            <w:gridSpan w:val="37"/>
          </w:tcPr>
          <w:p>
            <w:pPr>
              <w:spacing w:after="0" w:line="139" w:lineRule="exact"/>
              <w:rPr>
                <w:rFonts w:ascii="Arial" w:cs="Arial" w:eastAsia="Arial" w:hAnsi="Arial"/>
                <w:sz w:val="14"/>
                <w:szCs w:val="14"/>
                <w:color w:val="0000EE"/>
                <w:w w:val="98"/>
              </w:rPr>
            </w:pPr>
            <w:hyperlink w:anchor="page17">
              <w:r>
                <w:rPr>
                  <w:rFonts w:ascii="Arial" w:cs="Arial" w:eastAsia="Arial" w:hAnsi="Arial"/>
                  <w:sz w:val="14"/>
                  <w:szCs w:val="14"/>
                  <w:color w:val="0000EE"/>
                  <w:w w:val="98"/>
                </w:rPr>
                <w:t>Board Evaluations and Incumbent Directors</w:t>
              </w:r>
            </w:hyperlink>
          </w:p>
        </w:tc>
        <w:tc>
          <w:tcPr>
            <w:tcW w:w="1480" w:type="dxa"/>
            <w:vAlign w:val="bottom"/>
            <w:gridSpan w:val="8"/>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18">
              <w:r>
                <w:rPr>
                  <w:rFonts w:ascii="Arial" w:cs="Arial" w:eastAsia="Arial" w:hAnsi="Arial"/>
                  <w:sz w:val="14"/>
                  <w:szCs w:val="14"/>
                  <w:color w:val="0000EE"/>
                </w:rPr>
                <w:t>Board Education</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11</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2300" w:type="dxa"/>
            <w:vAlign w:val="bottom"/>
            <w:tcBorders>
              <w:bottom w:val="single" w:sz="8" w:color="0000EE"/>
            </w:tcBorders>
            <w:gridSpan w:val="29"/>
          </w:tcPr>
          <w:p>
            <w:pPr>
              <w:spacing w:after="0" w:line="139" w:lineRule="exact"/>
              <w:rPr>
                <w:rFonts w:ascii="Arial" w:cs="Arial" w:eastAsia="Arial" w:hAnsi="Arial"/>
                <w:sz w:val="14"/>
                <w:szCs w:val="14"/>
                <w:color w:val="0000EE"/>
                <w:w w:val="95"/>
              </w:rPr>
            </w:pPr>
            <w:hyperlink w:anchor="page18">
              <w:r>
                <w:rPr>
                  <w:rFonts w:ascii="Arial" w:cs="Arial" w:eastAsia="Arial" w:hAnsi="Arial"/>
                  <w:sz w:val="14"/>
                  <w:szCs w:val="14"/>
                  <w:color w:val="0000EE"/>
                  <w:w w:val="95"/>
                </w:rPr>
                <w:t>Director Independence Determinations</w:t>
              </w:r>
            </w:hyperlink>
          </w:p>
        </w:tc>
        <w:tc>
          <w:tcPr>
            <w:tcW w:w="1860" w:type="dxa"/>
            <w:vAlign w:val="bottom"/>
            <w:gridSpan w:val="16"/>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19">
              <w:r>
                <w:rPr>
                  <w:rFonts w:ascii="Arial" w:cs="Arial" w:eastAsia="Arial" w:hAnsi="Arial"/>
                  <w:sz w:val="14"/>
                  <w:szCs w:val="14"/>
                  <w:color w:val="0000EE"/>
                </w:rPr>
                <w:t>Board Leadership Structure and Committees</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660" w:type="dxa"/>
            <w:vAlign w:val="bottom"/>
            <w:tcBorders>
              <w:top w:val="single" w:sz="8" w:color="0000EE"/>
            </w:tcBorders>
            <w:gridSpan w:val="36"/>
          </w:tcPr>
          <w:p>
            <w:pPr>
              <w:spacing w:after="0" w:line="139" w:lineRule="exact"/>
              <w:rPr>
                <w:rFonts w:ascii="Arial" w:cs="Arial" w:eastAsia="Arial" w:hAnsi="Arial"/>
                <w:sz w:val="14"/>
                <w:szCs w:val="14"/>
                <w:color w:val="0000EE"/>
              </w:rPr>
            </w:pPr>
            <w:hyperlink w:anchor="page19">
              <w:r>
                <w:rPr>
                  <w:rFonts w:ascii="Arial" w:cs="Arial" w:eastAsia="Arial" w:hAnsi="Arial"/>
                  <w:sz w:val="14"/>
                  <w:szCs w:val="14"/>
                  <w:color w:val="0000EE"/>
                </w:rPr>
                <w:t>Chairman</w:t>
              </w:r>
            </w:hyperlink>
          </w:p>
        </w:tc>
        <w:tc>
          <w:tcPr>
            <w:tcW w:w="1500" w:type="dxa"/>
            <w:vAlign w:val="bottom"/>
            <w:gridSpan w:val="9"/>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19">
              <w:r>
                <w:rPr>
                  <w:rFonts w:ascii="Arial" w:cs="Arial" w:eastAsia="Arial" w:hAnsi="Arial"/>
                  <w:sz w:val="14"/>
                  <w:szCs w:val="14"/>
                  <w:color w:val="0000EE"/>
                </w:rPr>
                <w:t>Lead Independent Director</w:t>
              </w:r>
            </w:hyperlink>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Borders>
              <w:bottom w:val="single" w:sz="8" w:color="0000EE"/>
            </w:tcBorders>
            <w:gridSpan w:val="22"/>
          </w:tcPr>
          <w:p>
            <w:pPr>
              <w:spacing w:after="0" w:line="139" w:lineRule="exact"/>
              <w:rPr>
                <w:rFonts w:ascii="Arial" w:cs="Arial" w:eastAsia="Arial" w:hAnsi="Arial"/>
                <w:sz w:val="14"/>
                <w:szCs w:val="14"/>
                <w:color w:val="0000EE"/>
                <w:w w:val="98"/>
              </w:rPr>
            </w:pPr>
            <w:hyperlink w:anchor="page19">
              <w:r>
                <w:rPr>
                  <w:rFonts w:ascii="Arial" w:cs="Arial" w:eastAsia="Arial" w:hAnsi="Arial"/>
                  <w:sz w:val="14"/>
                  <w:szCs w:val="14"/>
                  <w:color w:val="0000EE"/>
                  <w:w w:val="98"/>
                </w:rPr>
                <w:t>Board Meetings and Attendance</w:t>
              </w:r>
            </w:hyperlink>
          </w:p>
        </w:tc>
        <w:tc>
          <w:tcPr>
            <w:tcW w:w="2160" w:type="dxa"/>
            <w:vAlign w:val="bottom"/>
            <w:gridSpan w:val="23"/>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19">
              <w:r>
                <w:rPr>
                  <w:rFonts w:ascii="Arial" w:cs="Arial" w:eastAsia="Arial" w:hAnsi="Arial"/>
                  <w:sz w:val="14"/>
                  <w:szCs w:val="14"/>
                  <w:color w:val="0000EE"/>
                </w:rPr>
                <w:t>Executive Sessions of the Board</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540" w:type="dxa"/>
            <w:vAlign w:val="bottom"/>
            <w:tcBorders>
              <w:top w:val="single" w:sz="8" w:color="0000EE"/>
              <w:bottom w:val="single" w:sz="8" w:color="0000EE"/>
            </w:tcBorders>
            <w:gridSpan w:val="11"/>
          </w:tcPr>
          <w:p>
            <w:pPr>
              <w:spacing w:after="0" w:line="139" w:lineRule="exact"/>
              <w:rPr>
                <w:rFonts w:ascii="Arial" w:cs="Arial" w:eastAsia="Arial" w:hAnsi="Arial"/>
                <w:sz w:val="14"/>
                <w:szCs w:val="14"/>
                <w:color w:val="0000EE"/>
                <w:w w:val="98"/>
              </w:rPr>
            </w:pPr>
            <w:hyperlink w:anchor="page19">
              <w:r>
                <w:rPr>
                  <w:rFonts w:ascii="Arial" w:cs="Arial" w:eastAsia="Arial" w:hAnsi="Arial"/>
                  <w:sz w:val="14"/>
                  <w:szCs w:val="14"/>
                  <w:color w:val="0000EE"/>
                  <w:w w:val="98"/>
                </w:rPr>
                <w:t>Committees of the Board</w:t>
              </w:r>
            </w:hyperlink>
          </w:p>
        </w:tc>
        <w:tc>
          <w:tcPr>
            <w:tcW w:w="460" w:type="dxa"/>
            <w:vAlign w:val="bottom"/>
            <w:tcBorders>
              <w:top w:val="single" w:sz="8" w:color="0000EE"/>
            </w:tcBorders>
            <w:gridSpan w:val="11"/>
          </w:tcPr>
          <w:p>
            <w:pPr>
              <w:spacing w:after="0"/>
              <w:rPr>
                <w:sz w:val="12"/>
                <w:szCs w:val="12"/>
                <w:color w:val="auto"/>
              </w:rPr>
            </w:pPr>
          </w:p>
        </w:tc>
        <w:tc>
          <w:tcPr>
            <w:tcW w:w="2160" w:type="dxa"/>
            <w:vAlign w:val="bottom"/>
            <w:gridSpan w:val="23"/>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23">
              <w:r>
                <w:rPr>
                  <w:rFonts w:ascii="Arial" w:cs="Arial" w:eastAsia="Arial" w:hAnsi="Arial"/>
                  <w:sz w:val="14"/>
                  <w:szCs w:val="14"/>
                  <w:color w:val="0000EE"/>
                </w:rPr>
                <w:t>The Board’s Role in Risk Oversight</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3680" w:type="dxa"/>
            <w:vAlign w:val="bottom"/>
            <w:tcBorders>
              <w:bottom w:val="single" w:sz="8" w:color="0000EE"/>
            </w:tcBorders>
            <w:gridSpan w:val="44"/>
          </w:tcPr>
          <w:p>
            <w:pPr>
              <w:spacing w:after="0" w:line="139" w:lineRule="exact"/>
              <w:rPr>
                <w:rFonts w:ascii="Arial" w:cs="Arial" w:eastAsia="Arial" w:hAnsi="Arial"/>
                <w:sz w:val="14"/>
                <w:szCs w:val="14"/>
                <w:color w:val="0000EE"/>
                <w:w w:val="96"/>
              </w:rPr>
            </w:pPr>
            <w:hyperlink w:anchor="page23">
              <w:r>
                <w:rPr>
                  <w:rFonts w:ascii="Arial" w:cs="Arial" w:eastAsia="Arial" w:hAnsi="Arial"/>
                  <w:sz w:val="14"/>
                  <w:szCs w:val="14"/>
                  <w:color w:val="0000EE"/>
                  <w:w w:val="96"/>
                </w:rPr>
                <w:t>Compensation Committee Interlocks and Insider Participation</w:t>
              </w:r>
            </w:hyperlink>
          </w:p>
        </w:tc>
        <w:tc>
          <w:tcPr>
            <w:tcW w:w="4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00" w:type="dxa"/>
            <w:vAlign w:val="bottom"/>
            <w:tcBorders>
              <w:bottom w:val="single" w:sz="8" w:color="0000EE"/>
            </w:tcBorders>
            <w:gridSpan w:val="20"/>
          </w:tcPr>
          <w:p>
            <w:pPr>
              <w:spacing w:after="0" w:line="139" w:lineRule="exact"/>
              <w:rPr>
                <w:rFonts w:ascii="Arial" w:cs="Arial" w:eastAsia="Arial" w:hAnsi="Arial"/>
                <w:sz w:val="14"/>
                <w:szCs w:val="14"/>
                <w:color w:val="0000EE"/>
                <w:w w:val="92"/>
              </w:rPr>
            </w:pPr>
            <w:hyperlink w:anchor="page24">
              <w:r>
                <w:rPr>
                  <w:rFonts w:ascii="Arial" w:cs="Arial" w:eastAsia="Arial" w:hAnsi="Arial"/>
                  <w:sz w:val="14"/>
                  <w:szCs w:val="14"/>
                  <w:color w:val="0000EE"/>
                  <w:w w:val="92"/>
                </w:rPr>
                <w:t>Communications with Directors</w:t>
              </w:r>
            </w:hyperlink>
          </w:p>
        </w:tc>
        <w:tc>
          <w:tcPr>
            <w:tcW w:w="2360" w:type="dxa"/>
            <w:vAlign w:val="bottom"/>
            <w:gridSpan w:val="25"/>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900" w:type="dxa"/>
            <w:vAlign w:val="bottom"/>
            <w:tcBorders>
              <w:bottom w:val="single" w:sz="8" w:color="0000EE"/>
            </w:tcBorders>
            <w:gridSpan w:val="40"/>
          </w:tcPr>
          <w:p>
            <w:pPr>
              <w:spacing w:after="0" w:line="139" w:lineRule="exact"/>
              <w:rPr>
                <w:rFonts w:ascii="Arial" w:cs="Arial" w:eastAsia="Arial" w:hAnsi="Arial"/>
                <w:sz w:val="14"/>
                <w:szCs w:val="14"/>
                <w:color w:val="0000EE"/>
                <w:w w:val="95"/>
              </w:rPr>
            </w:pPr>
            <w:hyperlink w:anchor="page24">
              <w:r>
                <w:rPr>
                  <w:rFonts w:ascii="Arial" w:cs="Arial" w:eastAsia="Arial" w:hAnsi="Arial"/>
                  <w:sz w:val="14"/>
                  <w:szCs w:val="14"/>
                  <w:color w:val="0000EE"/>
                  <w:w w:val="95"/>
                </w:rPr>
                <w:t>Availability of Corporate Governance Documents</w:t>
              </w:r>
            </w:hyperlink>
          </w:p>
        </w:tc>
        <w:tc>
          <w:tcPr>
            <w:tcW w:w="1260" w:type="dxa"/>
            <w:vAlign w:val="bottom"/>
            <w:gridSpan w:val="5"/>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840" w:type="dxa"/>
            <w:vAlign w:val="bottom"/>
            <w:tcBorders>
              <w:bottom w:val="single" w:sz="8" w:color="0000EE"/>
            </w:tcBorders>
            <w:gridSpan w:val="38"/>
          </w:tcPr>
          <w:p>
            <w:pPr>
              <w:spacing w:after="0" w:line="139" w:lineRule="exact"/>
              <w:rPr>
                <w:rFonts w:ascii="Arial" w:cs="Arial" w:eastAsia="Arial" w:hAnsi="Arial"/>
                <w:sz w:val="14"/>
                <w:szCs w:val="14"/>
                <w:color w:val="0000EE"/>
                <w:w w:val="95"/>
              </w:rPr>
            </w:pPr>
            <w:hyperlink w:anchor="page24">
              <w:r>
                <w:rPr>
                  <w:rFonts w:ascii="Arial" w:cs="Arial" w:eastAsia="Arial" w:hAnsi="Arial"/>
                  <w:sz w:val="14"/>
                  <w:szCs w:val="14"/>
                  <w:color w:val="0000EE"/>
                  <w:w w:val="95"/>
                </w:rPr>
                <w:t>Certain Relationships and Related Transactions</w:t>
              </w:r>
            </w:hyperlink>
          </w:p>
        </w:tc>
        <w:tc>
          <w:tcPr>
            <w:tcW w:w="1320" w:type="dxa"/>
            <w:vAlign w:val="bottom"/>
            <w:gridSpan w:val="7"/>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500" w:type="dxa"/>
            <w:vAlign w:val="bottom"/>
            <w:tcBorders>
              <w:bottom w:val="single" w:sz="8" w:color="0000EE"/>
            </w:tcBorders>
            <w:gridSpan w:val="10"/>
          </w:tcPr>
          <w:p>
            <w:pPr>
              <w:spacing w:after="0" w:line="139" w:lineRule="exact"/>
              <w:rPr>
                <w:rFonts w:ascii="Arial" w:cs="Arial" w:eastAsia="Arial" w:hAnsi="Arial"/>
                <w:sz w:val="14"/>
                <w:szCs w:val="14"/>
                <w:color w:val="0000EE"/>
                <w:w w:val="98"/>
              </w:rPr>
            </w:pPr>
            <w:hyperlink w:anchor="page24">
              <w:r>
                <w:rPr>
                  <w:rFonts w:ascii="Arial" w:cs="Arial" w:eastAsia="Arial" w:hAnsi="Arial"/>
                  <w:sz w:val="14"/>
                  <w:szCs w:val="14"/>
                  <w:color w:val="0000EE"/>
                  <w:w w:val="98"/>
                </w:rPr>
                <w:t>Policies and Procedures</w:t>
              </w:r>
            </w:hyperlink>
          </w:p>
        </w:tc>
        <w:tc>
          <w:tcPr>
            <w:tcW w:w="2660" w:type="dxa"/>
            <w:vAlign w:val="bottom"/>
            <w:gridSpan w:val="35"/>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700" w:type="dxa"/>
            <w:vAlign w:val="bottom"/>
            <w:tcBorders>
              <w:bottom w:val="single" w:sz="8" w:color="0000EE"/>
            </w:tcBorders>
            <w:gridSpan w:val="16"/>
          </w:tcPr>
          <w:p>
            <w:pPr>
              <w:spacing w:after="0" w:line="139" w:lineRule="exact"/>
              <w:rPr>
                <w:rFonts w:ascii="Arial" w:cs="Arial" w:eastAsia="Arial" w:hAnsi="Arial"/>
                <w:sz w:val="14"/>
                <w:szCs w:val="14"/>
                <w:color w:val="0000EE"/>
                <w:w w:val="99"/>
              </w:rPr>
            </w:pPr>
            <w:hyperlink w:anchor="page25">
              <w:r>
                <w:rPr>
                  <w:rFonts w:ascii="Arial" w:cs="Arial" w:eastAsia="Arial" w:hAnsi="Arial"/>
                  <w:sz w:val="14"/>
                  <w:szCs w:val="14"/>
                  <w:color w:val="0000EE"/>
                  <w:w w:val="99"/>
                </w:rPr>
                <w:t>Related Party Transactions</w:t>
              </w:r>
            </w:hyperlink>
          </w:p>
        </w:tc>
        <w:tc>
          <w:tcPr>
            <w:tcW w:w="2460" w:type="dxa"/>
            <w:vAlign w:val="bottom"/>
            <w:gridSpan w:val="29"/>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5"/>
        </w:trPr>
        <w:tc>
          <w:tcPr>
            <w:tcW w:w="4440" w:type="dxa"/>
            <w:vAlign w:val="bottom"/>
            <w:gridSpan w:val="46"/>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Sustainability and Stewardship</w:t>
              </w:r>
            </w:hyperlink>
          </w:p>
        </w:tc>
        <w:tc>
          <w:tcPr>
            <w:tcW w:w="680" w:type="dxa"/>
            <w:vAlign w:val="bottom"/>
          </w:tcPr>
          <w:p>
            <w:pPr>
              <w:jc w:val="right"/>
              <w:spacing w:after="0"/>
              <w:rPr>
                <w:sz w:val="20"/>
                <w:szCs w:val="20"/>
                <w:color w:val="auto"/>
              </w:rPr>
            </w:pPr>
            <w:r>
              <w:rPr>
                <w:rFonts w:ascii="Arial" w:cs="Arial" w:eastAsia="Arial" w:hAnsi="Arial"/>
                <w:sz w:val="16"/>
                <w:szCs w:val="16"/>
                <w:color w:val="0075C9"/>
              </w:rPr>
              <w:t>19</w:t>
            </w:r>
          </w:p>
        </w:tc>
        <w:tc>
          <w:tcPr>
            <w:tcW w:w="0" w:type="dxa"/>
            <w:vAlign w:val="bottom"/>
          </w:tcPr>
          <w:p>
            <w:pPr>
              <w:spacing w:after="0"/>
              <w:rPr>
                <w:sz w:val="1"/>
                <w:szCs w:val="1"/>
                <w:color w:val="auto"/>
              </w:rPr>
            </w:pPr>
          </w:p>
        </w:tc>
      </w:tr>
      <w:tr>
        <w:trPr>
          <w:trHeight w:val="258"/>
        </w:trPr>
        <w:tc>
          <w:tcPr>
            <w:tcW w:w="170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8"/>
              </w:rPr>
            </w:pPr>
            <w:hyperlink w:anchor="page27">
              <w:r>
                <w:rPr>
                  <w:rFonts w:ascii="Arial" w:cs="Arial" w:eastAsia="Arial" w:hAnsi="Arial"/>
                  <w:sz w:val="16"/>
                  <w:szCs w:val="16"/>
                  <w:color w:val="0000EE"/>
                  <w:w w:val="98"/>
                </w:rPr>
                <w:t>Audit Committee Report</w:t>
              </w:r>
            </w:hyperlink>
          </w:p>
        </w:tc>
        <w:tc>
          <w:tcPr>
            <w:tcW w:w="460" w:type="dxa"/>
            <w:vAlign w:val="bottom"/>
            <w:tcBorders>
              <w:top w:val="single" w:sz="8" w:color="0000EE"/>
            </w:tcBorders>
            <w:gridSpan w:val="12"/>
          </w:tcPr>
          <w:p>
            <w:pPr>
              <w:spacing w:after="0"/>
              <w:rPr>
                <w:sz w:val="22"/>
                <w:szCs w:val="22"/>
                <w:color w:val="auto"/>
              </w:rPr>
            </w:pPr>
          </w:p>
        </w:tc>
        <w:tc>
          <w:tcPr>
            <w:tcW w:w="2280" w:type="dxa"/>
            <w:vAlign w:val="bottom"/>
            <w:gridSpan w:val="24"/>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75C9"/>
              </w:rPr>
              <w:t>20</w:t>
            </w:r>
          </w:p>
        </w:tc>
        <w:tc>
          <w:tcPr>
            <w:tcW w:w="0" w:type="dxa"/>
            <w:vAlign w:val="bottom"/>
          </w:tcPr>
          <w:p>
            <w:pPr>
              <w:spacing w:after="0"/>
              <w:rPr>
                <w:sz w:val="1"/>
                <w:szCs w:val="1"/>
                <w:color w:val="auto"/>
              </w:rPr>
            </w:pPr>
          </w:p>
        </w:tc>
      </w:tr>
      <w:tr>
        <w:trPr>
          <w:trHeight w:val="258"/>
        </w:trPr>
        <w:tc>
          <w:tcPr>
            <w:tcW w:w="4440" w:type="dxa"/>
            <w:vAlign w:val="bottom"/>
            <w:gridSpan w:val="4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Compensation Discussion and Analysis</w:t>
              </w:r>
            </w:hyperlink>
          </w:p>
        </w:tc>
        <w:tc>
          <w:tcPr>
            <w:tcW w:w="680" w:type="dxa"/>
            <w:vAlign w:val="bottom"/>
          </w:tcPr>
          <w:p>
            <w:pPr>
              <w:jc w:val="right"/>
              <w:spacing w:after="0"/>
              <w:rPr>
                <w:sz w:val="20"/>
                <w:szCs w:val="20"/>
                <w:color w:val="auto"/>
              </w:rPr>
            </w:pPr>
            <w:r>
              <w:rPr>
                <w:rFonts w:ascii="Arial" w:cs="Arial" w:eastAsia="Arial" w:hAnsi="Arial"/>
                <w:sz w:val="16"/>
                <w:szCs w:val="16"/>
                <w:color w:val="0075C9"/>
              </w:rPr>
              <w:t>21</w:t>
            </w:r>
          </w:p>
        </w:tc>
        <w:tc>
          <w:tcPr>
            <w:tcW w:w="0" w:type="dxa"/>
            <w:vAlign w:val="bottom"/>
          </w:tcPr>
          <w:p>
            <w:pPr>
              <w:spacing w:after="0"/>
              <w:rPr>
                <w:sz w:val="1"/>
                <w:szCs w:val="1"/>
                <w:color w:val="auto"/>
              </w:rPr>
            </w:pPr>
          </w:p>
        </w:tc>
      </w:tr>
      <w:tr>
        <w:trPr>
          <w:trHeight w:val="152"/>
        </w:trPr>
        <w:tc>
          <w:tcPr>
            <w:tcW w:w="28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gridSpan w:val="35"/>
          </w:tcPr>
          <w:p>
            <w:pPr>
              <w:spacing w:after="0" w:line="152" w:lineRule="exact"/>
              <w:rPr>
                <w:rFonts w:ascii="Arial" w:cs="Arial" w:eastAsia="Arial" w:hAnsi="Arial"/>
                <w:sz w:val="14"/>
                <w:szCs w:val="14"/>
                <w:color w:val="0000EE"/>
              </w:rPr>
            </w:pPr>
            <w:hyperlink w:anchor="page29">
              <w:r>
                <w:rPr>
                  <w:rFonts w:ascii="Arial" w:cs="Arial" w:eastAsia="Arial" w:hAnsi="Arial"/>
                  <w:sz w:val="14"/>
                  <w:szCs w:val="14"/>
                  <w:color w:val="0000EE"/>
                </w:rPr>
                <w:t>Restructuring of the Company</w:t>
              </w:r>
            </w:hyperlink>
          </w:p>
        </w:tc>
        <w:tc>
          <w:tcPr>
            <w:tcW w:w="1660" w:type="dxa"/>
            <w:vAlign w:val="bottom"/>
            <w:gridSpan w:val="10"/>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1780" w:type="dxa"/>
            <w:vAlign w:val="bottom"/>
            <w:tcBorders>
              <w:bottom w:val="single" w:sz="8" w:color="0000EE"/>
            </w:tcBorders>
            <w:gridSpan w:val="19"/>
          </w:tcPr>
          <w:p>
            <w:pPr>
              <w:spacing w:after="0" w:line="139" w:lineRule="exact"/>
              <w:rPr>
                <w:rFonts w:ascii="Arial" w:cs="Arial" w:eastAsia="Arial" w:hAnsi="Arial"/>
                <w:sz w:val="14"/>
                <w:szCs w:val="14"/>
                <w:color w:val="0000EE"/>
                <w:w w:val="91"/>
              </w:rPr>
            </w:pPr>
            <w:hyperlink w:anchor="page29">
              <w:r>
                <w:rPr>
                  <w:rFonts w:ascii="Arial" w:cs="Arial" w:eastAsia="Arial" w:hAnsi="Arial"/>
                  <w:sz w:val="14"/>
                  <w:szCs w:val="14"/>
                  <w:color w:val="0000EE"/>
                  <w:w w:val="91"/>
                </w:rPr>
                <w:t>Setting a New Course for 2021</w:t>
              </w:r>
            </w:hyperlink>
          </w:p>
        </w:tc>
        <w:tc>
          <w:tcPr>
            <w:tcW w:w="2380" w:type="dxa"/>
            <w:vAlign w:val="bottom"/>
            <w:gridSpan w:val="26"/>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30">
              <w:r>
                <w:rPr>
                  <w:rFonts w:ascii="Arial" w:cs="Arial" w:eastAsia="Arial" w:hAnsi="Arial"/>
                  <w:sz w:val="14"/>
                  <w:szCs w:val="14"/>
                  <w:color w:val="0000EE"/>
                </w:rPr>
                <w:t>2021 Compensation Program Actions</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32">
              <w:r>
                <w:rPr>
                  <w:rFonts w:ascii="Arial" w:cs="Arial" w:eastAsia="Arial" w:hAnsi="Arial"/>
                  <w:sz w:val="14"/>
                  <w:szCs w:val="14"/>
                  <w:color w:val="0000EE"/>
                </w:rPr>
                <w:t>Original 2020 Compensation Program</w:t>
              </w:r>
            </w:hyperlink>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32</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2380" w:type="dxa"/>
            <w:vAlign w:val="bottom"/>
            <w:tcBorders>
              <w:bottom w:val="single" w:sz="8" w:color="0000EE"/>
            </w:tcBorders>
            <w:gridSpan w:val="33"/>
          </w:tcPr>
          <w:p>
            <w:pPr>
              <w:spacing w:after="0" w:line="139" w:lineRule="exact"/>
              <w:rPr>
                <w:rFonts w:ascii="Arial" w:cs="Arial" w:eastAsia="Arial" w:hAnsi="Arial"/>
                <w:sz w:val="14"/>
                <w:szCs w:val="14"/>
                <w:color w:val="0000EE"/>
                <w:w w:val="99"/>
              </w:rPr>
            </w:pPr>
            <w:hyperlink w:anchor="page39">
              <w:r>
                <w:rPr>
                  <w:rFonts w:ascii="Arial" w:cs="Arial" w:eastAsia="Arial" w:hAnsi="Arial"/>
                  <w:sz w:val="14"/>
                  <w:szCs w:val="14"/>
                  <w:color w:val="0000EE"/>
                  <w:w w:val="99"/>
                </w:rPr>
                <w:t>Revised 2020 Compensation Program</w:t>
              </w:r>
            </w:hyperlink>
          </w:p>
        </w:tc>
        <w:tc>
          <w:tcPr>
            <w:tcW w:w="1780" w:type="dxa"/>
            <w:vAlign w:val="bottom"/>
            <w:gridSpan w:val="12"/>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120" w:type="dxa"/>
            <w:vAlign w:val="bottom"/>
            <w:tcBorders>
              <w:bottom w:val="single" w:sz="8" w:color="0000EE"/>
            </w:tcBorders>
            <w:gridSpan w:val="26"/>
          </w:tcPr>
          <w:p>
            <w:pPr>
              <w:spacing w:after="0" w:line="139" w:lineRule="exact"/>
              <w:rPr>
                <w:rFonts w:ascii="Arial" w:cs="Arial" w:eastAsia="Arial" w:hAnsi="Arial"/>
                <w:sz w:val="14"/>
                <w:szCs w:val="14"/>
                <w:color w:val="0000EE"/>
                <w:w w:val="99"/>
              </w:rPr>
            </w:pPr>
            <w:hyperlink w:anchor="page46">
              <w:r>
                <w:rPr>
                  <w:rFonts w:ascii="Arial" w:cs="Arial" w:eastAsia="Arial" w:hAnsi="Arial"/>
                  <w:sz w:val="14"/>
                  <w:szCs w:val="14"/>
                  <w:color w:val="0000EE"/>
                  <w:w w:val="99"/>
                </w:rPr>
                <w:t>Other Compensation and Benefits</w:t>
              </w:r>
            </w:hyperlink>
          </w:p>
        </w:tc>
        <w:tc>
          <w:tcPr>
            <w:tcW w:w="2040" w:type="dxa"/>
            <w:vAlign w:val="bottom"/>
            <w:gridSpan w:val="19"/>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48">
              <w:r>
                <w:rPr>
                  <w:rFonts w:ascii="Arial" w:cs="Arial" w:eastAsia="Arial" w:hAnsi="Arial"/>
                  <w:sz w:val="14"/>
                  <w:szCs w:val="14"/>
                  <w:color w:val="0000EE"/>
                </w:rPr>
                <w:t>Compensation Objectives and Process</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240" w:type="dxa"/>
            <w:vAlign w:val="bottom"/>
            <w:tcBorders>
              <w:top w:val="single" w:sz="8" w:color="0000EE"/>
              <w:bottom w:val="single" w:sz="8" w:color="0000EE"/>
            </w:tcBorders>
            <w:gridSpan w:val="27"/>
          </w:tcPr>
          <w:p>
            <w:pPr>
              <w:spacing w:after="0" w:line="139" w:lineRule="exact"/>
              <w:rPr>
                <w:rFonts w:ascii="Arial" w:cs="Arial" w:eastAsia="Arial" w:hAnsi="Arial"/>
                <w:sz w:val="14"/>
                <w:szCs w:val="14"/>
                <w:color w:val="0000EE"/>
                <w:w w:val="99"/>
              </w:rPr>
            </w:pPr>
            <w:hyperlink w:anchor="page48">
              <w:r>
                <w:rPr>
                  <w:rFonts w:ascii="Arial" w:cs="Arial" w:eastAsia="Arial" w:hAnsi="Arial"/>
                  <w:sz w:val="14"/>
                  <w:szCs w:val="14"/>
                  <w:color w:val="0000EE"/>
                  <w:w w:val="99"/>
                </w:rPr>
                <w:t>Executive Compensation Objectives</w:t>
              </w:r>
            </w:hyperlink>
          </w:p>
        </w:tc>
        <w:tc>
          <w:tcPr>
            <w:tcW w:w="40" w:type="dxa"/>
            <w:vAlign w:val="bottom"/>
            <w:tcBorders>
              <w:top w:val="single" w:sz="8" w:color="0000EE"/>
            </w:tcBorders>
          </w:tcPr>
          <w:p>
            <w:pPr>
              <w:spacing w:after="0"/>
              <w:rPr>
                <w:sz w:val="12"/>
                <w:szCs w:val="12"/>
                <w:color w:val="auto"/>
              </w:rPr>
            </w:pPr>
          </w:p>
        </w:tc>
        <w:tc>
          <w:tcPr>
            <w:tcW w:w="1880" w:type="dxa"/>
            <w:vAlign w:val="bottom"/>
            <w:gridSpan w:val="17"/>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48">
              <w:r>
                <w:rPr>
                  <w:rFonts w:ascii="Arial" w:cs="Arial" w:eastAsia="Arial" w:hAnsi="Arial"/>
                  <w:sz w:val="14"/>
                  <w:szCs w:val="14"/>
                  <w:color w:val="0000EE"/>
                </w:rPr>
                <w:t>Compensation Program Best Practices</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100" w:type="dxa"/>
            <w:vAlign w:val="bottom"/>
            <w:tcBorders>
              <w:top w:val="single" w:sz="8" w:color="0000EE"/>
              <w:bottom w:val="single" w:sz="8" w:color="0000EE"/>
            </w:tcBorders>
            <w:gridSpan w:val="25"/>
          </w:tcPr>
          <w:p>
            <w:pPr>
              <w:spacing w:after="0" w:line="139" w:lineRule="exact"/>
              <w:rPr>
                <w:rFonts w:ascii="Arial" w:cs="Arial" w:eastAsia="Arial" w:hAnsi="Arial"/>
                <w:sz w:val="14"/>
                <w:szCs w:val="14"/>
                <w:color w:val="0000EE"/>
                <w:w w:val="98"/>
              </w:rPr>
            </w:pPr>
            <w:hyperlink w:anchor="page50">
              <w:r>
                <w:rPr>
                  <w:rFonts w:ascii="Arial" w:cs="Arial" w:eastAsia="Arial" w:hAnsi="Arial"/>
                  <w:sz w:val="14"/>
                  <w:szCs w:val="14"/>
                  <w:color w:val="0000EE"/>
                  <w:w w:val="98"/>
                </w:rPr>
                <w:t>Role of Compensation Committee</w:t>
              </w:r>
            </w:hyperlink>
          </w:p>
        </w:tc>
        <w:tc>
          <w:tcPr>
            <w:tcW w:w="300" w:type="dxa"/>
            <w:vAlign w:val="bottom"/>
            <w:tcBorders>
              <w:top w:val="single" w:sz="8" w:color="0000EE"/>
            </w:tcBorders>
            <w:gridSpan w:val="9"/>
          </w:tcPr>
          <w:p>
            <w:pPr>
              <w:spacing w:after="0"/>
              <w:rPr>
                <w:sz w:val="12"/>
                <w:szCs w:val="12"/>
                <w:color w:val="auto"/>
              </w:rPr>
            </w:pPr>
          </w:p>
        </w:tc>
        <w:tc>
          <w:tcPr>
            <w:tcW w:w="1760" w:type="dxa"/>
            <w:vAlign w:val="bottom"/>
            <w:gridSpan w:val="11"/>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50">
              <w:r>
                <w:rPr>
                  <w:rFonts w:ascii="Arial" w:cs="Arial" w:eastAsia="Arial" w:hAnsi="Arial"/>
                  <w:sz w:val="14"/>
                  <w:szCs w:val="14"/>
                  <w:color w:val="0000EE"/>
                </w:rPr>
                <w:t>Role of Management</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43</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50">
              <w:r>
                <w:rPr>
                  <w:rFonts w:ascii="Arial" w:cs="Arial" w:eastAsia="Arial" w:hAnsi="Arial"/>
                  <w:sz w:val="14"/>
                  <w:szCs w:val="14"/>
                  <w:color w:val="0000EE"/>
                </w:rPr>
                <w:t>Role of Independent Compensation Consultants</w:t>
              </w:r>
            </w:hyperlink>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15"/>
          </w:tcPr>
          <w:p>
            <w:pPr>
              <w:spacing w:after="0" w:line="139" w:lineRule="exact"/>
              <w:rPr>
                <w:rFonts w:ascii="Arial" w:cs="Arial" w:eastAsia="Arial" w:hAnsi="Arial"/>
                <w:sz w:val="14"/>
                <w:szCs w:val="14"/>
                <w:color w:val="0000EE"/>
                <w:w w:val="98"/>
              </w:rPr>
            </w:pPr>
            <w:hyperlink w:anchor="page50">
              <w:r>
                <w:rPr>
                  <w:rFonts w:ascii="Arial" w:cs="Arial" w:eastAsia="Arial" w:hAnsi="Arial"/>
                  <w:sz w:val="14"/>
                  <w:szCs w:val="14"/>
                  <w:color w:val="0000EE"/>
                  <w:w w:val="98"/>
                </w:rPr>
                <w:t>Use of Compensation Data</w:t>
              </w:r>
            </w:hyperlink>
          </w:p>
        </w:tc>
        <w:tc>
          <w:tcPr>
            <w:tcW w:w="1300" w:type="dxa"/>
            <w:vAlign w:val="bottom"/>
            <w:tcBorders>
              <w:top w:val="single" w:sz="8" w:color="0000EE"/>
            </w:tcBorders>
            <w:gridSpan w:val="27"/>
          </w:tcPr>
          <w:p>
            <w:pPr>
              <w:spacing w:after="0"/>
              <w:rPr>
                <w:sz w:val="12"/>
                <w:szCs w:val="12"/>
                <w:color w:val="auto"/>
              </w:rPr>
            </w:pPr>
          </w:p>
        </w:tc>
        <w:tc>
          <w:tcPr>
            <w:tcW w:w="1180" w:type="dxa"/>
            <w:vAlign w:val="bottom"/>
            <w:gridSpan w:val="3"/>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51">
              <w:r>
                <w:rPr>
                  <w:rFonts w:ascii="Arial" w:cs="Arial" w:eastAsia="Arial" w:hAnsi="Arial"/>
                  <w:sz w:val="14"/>
                  <w:szCs w:val="14"/>
                  <w:color w:val="0000EE"/>
                </w:rPr>
                <w:t>Stockholder Outreach</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44</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51">
              <w:r>
                <w:rPr>
                  <w:rFonts w:ascii="Arial" w:cs="Arial" w:eastAsia="Arial" w:hAnsi="Arial"/>
                  <w:sz w:val="14"/>
                  <w:szCs w:val="14"/>
                  <w:color w:val="0000EE"/>
                </w:rPr>
                <w:t>Stockholder Approval of Executive Compensation</w:t>
              </w:r>
            </w:hyperlink>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940" w:type="dxa"/>
            <w:vAlign w:val="bottom"/>
            <w:tcBorders>
              <w:top w:val="single" w:sz="8" w:color="0000EE"/>
            </w:tcBorders>
            <w:gridSpan w:val="41"/>
          </w:tcPr>
          <w:p>
            <w:pPr>
              <w:spacing w:after="0" w:line="139" w:lineRule="exact"/>
              <w:rPr>
                <w:rFonts w:ascii="Arial" w:cs="Arial" w:eastAsia="Arial" w:hAnsi="Arial"/>
                <w:sz w:val="14"/>
                <w:szCs w:val="14"/>
                <w:color w:val="0000EE"/>
              </w:rPr>
            </w:pPr>
            <w:hyperlink w:anchor="page51">
              <w:r>
                <w:rPr>
                  <w:rFonts w:ascii="Arial" w:cs="Arial" w:eastAsia="Arial" w:hAnsi="Arial"/>
                  <w:sz w:val="14"/>
                  <w:szCs w:val="14"/>
                  <w:color w:val="0000EE"/>
                </w:rPr>
                <w:t>Other Compensation Matters</w:t>
              </w:r>
            </w:hyperlink>
          </w:p>
        </w:tc>
        <w:tc>
          <w:tcPr>
            <w:tcW w:w="1220" w:type="dxa"/>
            <w:vAlign w:val="bottom"/>
            <w:gridSpan w:val="4"/>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9"/>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44</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1760" w:type="dxa"/>
            <w:vAlign w:val="bottom"/>
            <w:tcBorders>
              <w:bottom w:val="single" w:sz="8" w:color="0000EE"/>
            </w:tcBorders>
            <w:gridSpan w:val="18"/>
          </w:tcPr>
          <w:p>
            <w:pPr>
              <w:spacing w:after="0" w:line="139" w:lineRule="exact"/>
              <w:rPr>
                <w:rFonts w:ascii="Arial" w:cs="Arial" w:eastAsia="Arial" w:hAnsi="Arial"/>
                <w:sz w:val="14"/>
                <w:szCs w:val="14"/>
                <w:color w:val="0000EE"/>
                <w:w w:val="98"/>
              </w:rPr>
            </w:pPr>
            <w:hyperlink w:anchor="page51">
              <w:r>
                <w:rPr>
                  <w:rFonts w:ascii="Arial" w:cs="Arial" w:eastAsia="Arial" w:hAnsi="Arial"/>
                  <w:sz w:val="14"/>
                  <w:szCs w:val="14"/>
                  <w:color w:val="0000EE"/>
                  <w:w w:val="98"/>
                </w:rPr>
                <w:t>Stock Ownership Guidelines</w:t>
              </w:r>
            </w:hyperlink>
          </w:p>
        </w:tc>
        <w:tc>
          <w:tcPr>
            <w:tcW w:w="2400" w:type="dxa"/>
            <w:vAlign w:val="bottom"/>
            <w:gridSpan w:val="27"/>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52">
              <w:r>
                <w:rPr>
                  <w:rFonts w:ascii="Arial" w:cs="Arial" w:eastAsia="Arial" w:hAnsi="Arial"/>
                  <w:sz w:val="14"/>
                  <w:szCs w:val="14"/>
                  <w:color w:val="0000EE"/>
                </w:rPr>
                <w:t>Clawback Policy</w:t>
              </w:r>
            </w:hyperlink>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19"/>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6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line="20" w:lineRule="exact"/>
              <w:rPr>
                <w:sz w:val="1"/>
                <w:szCs w:val="1"/>
                <w:color w:val="auto"/>
              </w:rPr>
            </w:pPr>
          </w:p>
        </w:tc>
      </w:tr>
      <w:tr>
        <w:trPr>
          <w:trHeight w:val="139"/>
        </w:trPr>
        <w:tc>
          <w:tcPr>
            <w:tcW w:w="280" w:type="dxa"/>
            <w:vAlign w:val="bottom"/>
          </w:tcPr>
          <w:p>
            <w:pPr>
              <w:spacing w:after="0"/>
              <w:rPr>
                <w:sz w:val="12"/>
                <w:szCs w:val="12"/>
                <w:color w:val="auto"/>
              </w:rPr>
            </w:pPr>
          </w:p>
        </w:tc>
        <w:tc>
          <w:tcPr>
            <w:tcW w:w="4160" w:type="dxa"/>
            <w:vAlign w:val="bottom"/>
            <w:gridSpan w:val="45"/>
          </w:tcPr>
          <w:p>
            <w:pPr>
              <w:spacing w:after="0" w:line="139" w:lineRule="exact"/>
              <w:rPr>
                <w:rFonts w:ascii="Arial" w:cs="Arial" w:eastAsia="Arial" w:hAnsi="Arial"/>
                <w:sz w:val="14"/>
                <w:szCs w:val="14"/>
                <w:color w:val="0000EE"/>
              </w:rPr>
            </w:pPr>
            <w:hyperlink w:anchor="page52">
              <w:r>
                <w:rPr>
                  <w:rFonts w:ascii="Arial" w:cs="Arial" w:eastAsia="Arial" w:hAnsi="Arial"/>
                  <w:sz w:val="14"/>
                  <w:szCs w:val="14"/>
                  <w:color w:val="0000EE"/>
                </w:rPr>
                <w:t>Anti-Hedging and Anti-Pledging Policy</w:t>
              </w:r>
            </w:hyperlink>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360" w:type="dxa"/>
            <w:vAlign w:val="bottom"/>
            <w:tcBorders>
              <w:top w:val="single" w:sz="8" w:color="0000EE"/>
            </w:tcBorders>
            <w:gridSpan w:val="32"/>
          </w:tcPr>
          <w:p>
            <w:pPr>
              <w:spacing w:after="0" w:line="139" w:lineRule="exact"/>
              <w:rPr>
                <w:rFonts w:ascii="Arial" w:cs="Arial" w:eastAsia="Arial" w:hAnsi="Arial"/>
                <w:sz w:val="14"/>
                <w:szCs w:val="14"/>
                <w:color w:val="0000EE"/>
              </w:rPr>
            </w:pPr>
            <w:hyperlink w:anchor="page52">
              <w:r>
                <w:rPr>
                  <w:rFonts w:ascii="Arial" w:cs="Arial" w:eastAsia="Arial" w:hAnsi="Arial"/>
                  <w:sz w:val="14"/>
                  <w:szCs w:val="14"/>
                  <w:color w:val="0000EE"/>
                </w:rPr>
                <w:t>Compensation Risk Management</w:t>
              </w:r>
            </w:hyperlink>
          </w:p>
        </w:tc>
        <w:tc>
          <w:tcPr>
            <w:tcW w:w="1800" w:type="dxa"/>
            <w:vAlign w:val="bottom"/>
            <w:gridSpan w:val="13"/>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5"/>
          </w:tcPr>
          <w:p>
            <w:pPr>
              <w:spacing w:after="0" w:line="139" w:lineRule="exact"/>
              <w:rPr>
                <w:rFonts w:ascii="Arial" w:cs="Arial" w:eastAsia="Arial" w:hAnsi="Arial"/>
                <w:sz w:val="14"/>
                <w:szCs w:val="14"/>
                <w:color w:val="0000EE"/>
                <w:w w:val="96"/>
              </w:rPr>
            </w:pPr>
            <w:hyperlink w:anchor="page52">
              <w:r>
                <w:rPr>
                  <w:rFonts w:ascii="Arial" w:cs="Arial" w:eastAsia="Arial" w:hAnsi="Arial"/>
                  <w:sz w:val="14"/>
                  <w:szCs w:val="14"/>
                  <w:color w:val="0000EE"/>
                  <w:w w:val="96"/>
                </w:rPr>
                <w:t>Tax Considerations</w:t>
              </w:r>
            </w:hyperlink>
          </w:p>
        </w:tc>
        <w:tc>
          <w:tcPr>
            <w:tcW w:w="880" w:type="dxa"/>
            <w:vAlign w:val="bottom"/>
            <w:tcBorders>
              <w:top w:val="single" w:sz="8" w:color="0000EE"/>
            </w:tcBorders>
            <w:gridSpan w:val="19"/>
          </w:tcPr>
          <w:p>
            <w:pPr>
              <w:spacing w:after="0"/>
              <w:rPr>
                <w:sz w:val="12"/>
                <w:szCs w:val="12"/>
                <w:color w:val="auto"/>
              </w:rPr>
            </w:pPr>
          </w:p>
        </w:tc>
        <w:tc>
          <w:tcPr>
            <w:tcW w:w="2100" w:type="dxa"/>
            <w:vAlign w:val="bottom"/>
            <w:gridSpan w:val="21"/>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b w:val="1"/>
          <w:bCs w:val="1"/>
          <w:color w:val="FFFFFF"/>
        </w:rPr>
        <w:t>2020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gridSpan w:val="40"/>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 xml:space="preserve">Compensation </w:t>
              </w:r>
            </w:hyperlink>
            <w:r>
              <w:rPr>
                <w:rFonts w:ascii="Arial" w:cs="Arial" w:eastAsia="Arial" w:hAnsi="Arial"/>
                <w:sz w:val="16"/>
                <w:szCs w:val="16"/>
                <w:color w:val="0075C9"/>
              </w:rPr>
              <w:t>Committee</w:t>
            </w:r>
            <w:r>
              <w:rPr>
                <w:rFonts w:ascii="Arial" w:cs="Arial" w:eastAsia="Arial" w:hAnsi="Arial"/>
                <w:sz w:val="16"/>
                <w:szCs w:val="16"/>
                <w:color w:val="0000EE"/>
              </w:rPr>
              <w:t xml:space="preserve"> </w:t>
            </w:r>
            <w:r>
              <w:rPr>
                <w:rFonts w:ascii="Arial" w:cs="Arial" w:eastAsia="Arial" w:hAnsi="Arial"/>
                <w:sz w:val="16"/>
                <w:szCs w:val="16"/>
                <w:color w:val="0075C9"/>
              </w:rPr>
              <w:t>Report</w:t>
            </w:r>
          </w:p>
        </w:tc>
        <w:tc>
          <w:tcPr>
            <w:tcW w:w="340" w:type="dxa"/>
            <w:vAlign w:val="bottom"/>
          </w:tcPr>
          <w:p>
            <w:pPr>
              <w:jc w:val="right"/>
              <w:spacing w:after="0"/>
              <w:rPr>
                <w:sz w:val="20"/>
                <w:szCs w:val="20"/>
                <w:color w:val="auto"/>
              </w:rPr>
            </w:pPr>
            <w:r>
              <w:rPr>
                <w:rFonts w:ascii="Arial" w:cs="Arial" w:eastAsia="Arial" w:hAnsi="Arial"/>
                <w:sz w:val="16"/>
                <w:szCs w:val="16"/>
                <w:color w:val="0075C9"/>
              </w:rPr>
              <w:t>46</w:t>
            </w:r>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260" w:type="dxa"/>
            <w:vAlign w:val="bottom"/>
            <w:tcBorders>
              <w:bottom w:val="single" w:sz="8" w:color="0000EE"/>
            </w:tcBorders>
            <w:gridSpan w:val="21"/>
          </w:tcPr>
          <w:p>
            <w:pPr>
              <w:spacing w:after="0"/>
              <w:rPr>
                <w:rFonts w:ascii="Arial" w:cs="Arial" w:eastAsia="Arial" w:hAnsi="Arial"/>
                <w:sz w:val="16"/>
                <w:szCs w:val="16"/>
                <w:color w:val="0000EE"/>
                <w:w w:val="97"/>
              </w:rPr>
            </w:pPr>
            <w:hyperlink w:anchor="page54">
              <w:r>
                <w:rPr>
                  <w:rFonts w:ascii="Arial" w:cs="Arial" w:eastAsia="Arial" w:hAnsi="Arial"/>
                  <w:sz w:val="16"/>
                  <w:szCs w:val="16"/>
                  <w:color w:val="0000EE"/>
                  <w:w w:val="97"/>
                </w:rPr>
                <w:t>Executive Compensation Tables</w:t>
              </w:r>
            </w:hyperlink>
          </w:p>
        </w:tc>
        <w:tc>
          <w:tcPr>
            <w:tcW w:w="2500" w:type="dxa"/>
            <w:vAlign w:val="bottom"/>
            <w:gridSpan w:val="19"/>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075C9"/>
              </w:rPr>
              <w:t>47</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bottom w:val="single" w:sz="8" w:color="0000EE"/>
            </w:tcBorders>
            <w:gridSpan w:val="13"/>
          </w:tcPr>
          <w:p>
            <w:pPr>
              <w:spacing w:after="0" w:line="152" w:lineRule="exact"/>
              <w:rPr>
                <w:rFonts w:ascii="Arial" w:cs="Arial" w:eastAsia="Arial" w:hAnsi="Arial"/>
                <w:sz w:val="14"/>
                <w:szCs w:val="14"/>
                <w:color w:val="0000EE"/>
                <w:w w:val="99"/>
              </w:rPr>
            </w:pPr>
            <w:hyperlink w:anchor="page54">
              <w:r>
                <w:rPr>
                  <w:rFonts w:ascii="Arial" w:cs="Arial" w:eastAsia="Arial" w:hAnsi="Arial"/>
                  <w:sz w:val="14"/>
                  <w:szCs w:val="14"/>
                  <w:color w:val="0000EE"/>
                  <w:w w:val="99"/>
                </w:rPr>
                <w:t>Summary Compensation Table</w:t>
              </w:r>
            </w:hyperlink>
          </w:p>
        </w:tc>
        <w:tc>
          <w:tcPr>
            <w:tcW w:w="2640" w:type="dxa"/>
            <w:vAlign w:val="bottom"/>
            <w:gridSpan w:val="24"/>
          </w:tcPr>
          <w:p>
            <w:pPr>
              <w:spacing w:after="0"/>
              <w:rPr>
                <w:sz w:val="13"/>
                <w:szCs w:val="13"/>
                <w:color w:val="auto"/>
              </w:rPr>
            </w:pPr>
          </w:p>
        </w:tc>
        <w:tc>
          <w:tcPr>
            <w:tcW w:w="340" w:type="dxa"/>
            <w:vAlign w:val="bottom"/>
          </w:tcPr>
          <w:p>
            <w:pPr>
              <w:jc w:val="right"/>
              <w:spacing w:after="0" w:line="152"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37"/>
          </w:tcPr>
          <w:p>
            <w:pPr>
              <w:spacing w:after="0" w:line="139" w:lineRule="exact"/>
              <w:rPr>
                <w:rFonts w:ascii="Arial" w:cs="Arial" w:eastAsia="Arial" w:hAnsi="Arial"/>
                <w:sz w:val="14"/>
                <w:szCs w:val="14"/>
                <w:color w:val="0000EE"/>
              </w:rPr>
            </w:pPr>
            <w:hyperlink w:anchor="page56">
              <w:r>
                <w:rPr>
                  <w:rFonts w:ascii="Arial" w:cs="Arial" w:eastAsia="Arial" w:hAnsi="Arial"/>
                  <w:sz w:val="14"/>
                  <w:szCs w:val="14"/>
                  <w:color w:val="0000EE"/>
                </w:rPr>
                <w:t>Grants of Plan-Based Awards</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50</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37"/>
          </w:tcPr>
          <w:p>
            <w:pPr>
              <w:spacing w:after="0" w:line="139" w:lineRule="exact"/>
              <w:rPr>
                <w:rFonts w:ascii="Arial" w:cs="Arial" w:eastAsia="Arial" w:hAnsi="Arial"/>
                <w:sz w:val="14"/>
                <w:szCs w:val="14"/>
                <w:color w:val="0000EE"/>
              </w:rPr>
            </w:pPr>
            <w:hyperlink w:anchor="page57">
              <w:r>
                <w:rPr>
                  <w:rFonts w:ascii="Arial" w:cs="Arial" w:eastAsia="Arial" w:hAnsi="Arial"/>
                  <w:sz w:val="14"/>
                  <w:szCs w:val="14"/>
                  <w:color w:val="0000EE"/>
                </w:rPr>
                <w:t>Outstanding Equity Awards at December 31, 2020</w:t>
              </w:r>
            </w:hyperlink>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EE"/>
              <w:bottom w:val="single" w:sz="8" w:color="0000EE"/>
            </w:tcBorders>
            <w:gridSpan w:val="23"/>
          </w:tcPr>
          <w:p>
            <w:pPr>
              <w:spacing w:after="0" w:line="139" w:lineRule="exact"/>
              <w:rPr>
                <w:rFonts w:ascii="Arial" w:cs="Arial" w:eastAsia="Arial" w:hAnsi="Arial"/>
                <w:sz w:val="14"/>
                <w:szCs w:val="14"/>
                <w:color w:val="0000EE"/>
              </w:rPr>
            </w:pPr>
            <w:hyperlink w:anchor="page57">
              <w:r>
                <w:rPr>
                  <w:rFonts w:ascii="Arial" w:cs="Arial" w:eastAsia="Arial" w:hAnsi="Arial"/>
                  <w:sz w:val="14"/>
                  <w:szCs w:val="14"/>
                  <w:color w:val="0000EE"/>
                </w:rPr>
                <w:t>Option Exercises and Stock Vested in 2020</w:t>
              </w:r>
            </w:hyperlink>
          </w:p>
        </w:tc>
        <w:tc>
          <w:tcPr>
            <w:tcW w:w="420" w:type="dxa"/>
            <w:vAlign w:val="bottom"/>
            <w:tcBorders>
              <w:top w:val="single" w:sz="8" w:color="0000EE"/>
            </w:tcBorders>
            <w:gridSpan w:val="5"/>
          </w:tcPr>
          <w:p>
            <w:pPr>
              <w:spacing w:after="0"/>
              <w:rPr>
                <w:sz w:val="12"/>
                <w:szCs w:val="12"/>
                <w:color w:val="auto"/>
              </w:rPr>
            </w:pPr>
          </w:p>
        </w:tc>
        <w:tc>
          <w:tcPr>
            <w:tcW w:w="1460" w:type="dxa"/>
            <w:vAlign w:val="bottom"/>
            <w:gridSpan w:val="9"/>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37"/>
          </w:tcPr>
          <w:p>
            <w:pPr>
              <w:spacing w:after="0" w:line="139" w:lineRule="exact"/>
              <w:rPr>
                <w:rFonts w:ascii="Arial" w:cs="Arial" w:eastAsia="Arial" w:hAnsi="Arial"/>
                <w:sz w:val="14"/>
                <w:szCs w:val="14"/>
                <w:color w:val="0000EE"/>
              </w:rPr>
            </w:pPr>
            <w:hyperlink w:anchor="page58">
              <w:r>
                <w:rPr>
                  <w:rFonts w:ascii="Arial" w:cs="Arial" w:eastAsia="Arial" w:hAnsi="Arial"/>
                  <w:sz w:val="14"/>
                  <w:szCs w:val="14"/>
                  <w:color w:val="0000EE"/>
                </w:rPr>
                <w:t>2020 Nonqualified Deferred Compensation Table</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bottom w:val="single" w:sz="8" w:color="0000EE"/>
            </w:tcBorders>
            <w:gridSpan w:val="31"/>
          </w:tcPr>
          <w:p>
            <w:pPr>
              <w:spacing w:after="0" w:line="139" w:lineRule="exact"/>
              <w:rPr>
                <w:rFonts w:ascii="Arial" w:cs="Arial" w:eastAsia="Arial" w:hAnsi="Arial"/>
                <w:sz w:val="14"/>
                <w:szCs w:val="14"/>
                <w:color w:val="0000EE"/>
              </w:rPr>
            </w:pPr>
            <w:hyperlink w:anchor="page58">
              <w:r>
                <w:rPr>
                  <w:rFonts w:ascii="Arial" w:cs="Arial" w:eastAsia="Arial" w:hAnsi="Arial"/>
                  <w:sz w:val="14"/>
                  <w:szCs w:val="14"/>
                  <w:color w:val="0000EE"/>
                </w:rPr>
                <w:t>Potential Payments Upon Termination or Change in Control</w:t>
              </w:r>
            </w:hyperlink>
          </w:p>
        </w:tc>
        <w:tc>
          <w:tcPr>
            <w:tcW w:w="880" w:type="dxa"/>
            <w:vAlign w:val="bottom"/>
            <w:gridSpan w:val="6"/>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37"/>
          </w:tcPr>
          <w:p>
            <w:pPr>
              <w:spacing w:after="0" w:line="139" w:lineRule="exact"/>
              <w:rPr>
                <w:rFonts w:ascii="Arial" w:cs="Arial" w:eastAsia="Arial" w:hAnsi="Arial"/>
                <w:sz w:val="14"/>
                <w:szCs w:val="14"/>
                <w:color w:val="0000EE"/>
              </w:rPr>
            </w:pPr>
            <w:hyperlink w:anchor="page60">
              <w:r>
                <w:rPr>
                  <w:rFonts w:ascii="Arial" w:cs="Arial" w:eastAsia="Arial" w:hAnsi="Arial"/>
                  <w:sz w:val="14"/>
                  <w:szCs w:val="14"/>
                  <w:color w:val="0000EE"/>
                </w:rPr>
                <w:t>CEO Pay Ratio</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 w:type="dxa"/>
            <w:vAlign w:val="bottom"/>
          </w:tcPr>
          <w:p>
            <w:pPr>
              <w:spacing w:after="0"/>
              <w:rPr>
                <w:sz w:val="21"/>
                <w:szCs w:val="21"/>
                <w:color w:val="auto"/>
              </w:rPr>
            </w:pPr>
          </w:p>
        </w:tc>
        <w:tc>
          <w:tcPr>
            <w:tcW w:w="1640" w:type="dxa"/>
            <w:vAlign w:val="bottom"/>
            <w:tcBorders>
              <w:bottom w:val="single" w:sz="8" w:color="0000EE"/>
            </w:tcBorders>
            <w:gridSpan w:val="12"/>
          </w:tcPr>
          <w:p>
            <w:pPr>
              <w:spacing w:after="0"/>
              <w:rPr>
                <w:rFonts w:ascii="Arial" w:cs="Arial" w:eastAsia="Arial" w:hAnsi="Arial"/>
                <w:sz w:val="16"/>
                <w:szCs w:val="16"/>
                <w:color w:val="0000EE"/>
                <w:w w:val="98"/>
              </w:rPr>
            </w:pPr>
            <w:hyperlink w:anchor="page62">
              <w:r>
                <w:rPr>
                  <w:rFonts w:ascii="Arial" w:cs="Arial" w:eastAsia="Arial" w:hAnsi="Arial"/>
                  <w:sz w:val="16"/>
                  <w:szCs w:val="16"/>
                  <w:color w:val="0000EE"/>
                  <w:w w:val="98"/>
                </w:rPr>
                <w:t>Director Compensation</w:t>
              </w:r>
            </w:hyperlink>
          </w:p>
        </w:tc>
        <w:tc>
          <w:tcPr>
            <w:tcW w:w="3040" w:type="dxa"/>
            <w:vAlign w:val="bottom"/>
            <w:gridSpan w:val="27"/>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075C9"/>
              </w:rPr>
              <w:t>55</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bottom w:val="single" w:sz="8" w:color="0000EE"/>
            </w:tcBorders>
            <w:gridSpan w:val="8"/>
          </w:tcPr>
          <w:p>
            <w:pPr>
              <w:spacing w:after="0" w:line="152" w:lineRule="exact"/>
              <w:rPr>
                <w:rFonts w:ascii="Arial" w:cs="Arial" w:eastAsia="Arial" w:hAnsi="Arial"/>
                <w:sz w:val="14"/>
                <w:szCs w:val="14"/>
                <w:color w:val="0000EE"/>
                <w:w w:val="97"/>
              </w:rPr>
            </w:pPr>
            <w:hyperlink w:anchor="page62">
              <w:r>
                <w:rPr>
                  <w:rFonts w:ascii="Arial" w:cs="Arial" w:eastAsia="Arial" w:hAnsi="Arial"/>
                  <w:sz w:val="14"/>
                  <w:szCs w:val="14"/>
                  <w:color w:val="0000EE"/>
                  <w:w w:val="97"/>
                </w:rPr>
                <w:t>Program Objectives</w:t>
              </w:r>
            </w:hyperlink>
          </w:p>
        </w:tc>
        <w:tc>
          <w:tcPr>
            <w:tcW w:w="3400" w:type="dxa"/>
            <w:vAlign w:val="bottom"/>
            <w:gridSpan w:val="30"/>
          </w:tcPr>
          <w:p>
            <w:pPr>
              <w:spacing w:after="0"/>
              <w:rPr>
                <w:sz w:val="13"/>
                <w:szCs w:val="13"/>
                <w:color w:val="auto"/>
              </w:rPr>
            </w:pPr>
          </w:p>
        </w:tc>
        <w:tc>
          <w:tcPr>
            <w:tcW w:w="340" w:type="dxa"/>
            <w:vAlign w:val="bottom"/>
          </w:tcPr>
          <w:p>
            <w:pPr>
              <w:jc w:val="right"/>
              <w:spacing w:after="0" w:line="152"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Borders>
              <w:bottom w:val="single" w:sz="8" w:color="0000EE"/>
            </w:tcBorders>
            <w:gridSpan w:val="12"/>
          </w:tcPr>
          <w:p>
            <w:pPr>
              <w:spacing w:after="0" w:line="139" w:lineRule="exact"/>
              <w:rPr>
                <w:rFonts w:ascii="Arial" w:cs="Arial" w:eastAsia="Arial" w:hAnsi="Arial"/>
                <w:sz w:val="14"/>
                <w:szCs w:val="14"/>
                <w:color w:val="0000EE"/>
                <w:w w:val="98"/>
              </w:rPr>
            </w:pPr>
            <w:hyperlink w:anchor="page62">
              <w:r>
                <w:rPr>
                  <w:rFonts w:ascii="Arial" w:cs="Arial" w:eastAsia="Arial" w:hAnsi="Arial"/>
                  <w:sz w:val="14"/>
                  <w:szCs w:val="14"/>
                  <w:color w:val="0000EE"/>
                  <w:w w:val="98"/>
                </w:rPr>
                <w:t>Original Program Elements</w:t>
              </w:r>
            </w:hyperlink>
          </w:p>
        </w:tc>
        <w:tc>
          <w:tcPr>
            <w:tcW w:w="2940" w:type="dxa"/>
            <w:vAlign w:val="bottom"/>
            <w:gridSpan w:val="26"/>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gridSpan w:val="38"/>
          </w:tcPr>
          <w:p>
            <w:pPr>
              <w:spacing w:after="0" w:line="139" w:lineRule="exact"/>
              <w:rPr>
                <w:rFonts w:ascii="Arial" w:cs="Arial" w:eastAsia="Arial" w:hAnsi="Arial"/>
                <w:sz w:val="14"/>
                <w:szCs w:val="14"/>
                <w:color w:val="0000EE"/>
              </w:rPr>
            </w:pPr>
            <w:hyperlink w:anchor="page62">
              <w:r>
                <w:rPr>
                  <w:rFonts w:ascii="Arial" w:cs="Arial" w:eastAsia="Arial" w:hAnsi="Arial"/>
                  <w:sz w:val="14"/>
                  <w:szCs w:val="14"/>
                  <w:color w:val="0000EE"/>
                </w:rPr>
                <w:t>Program Elements During Restructuring</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40" w:type="dxa"/>
            <w:vAlign w:val="bottom"/>
            <w:tcBorders>
              <w:bottom w:val="single" w:sz="8" w:color="0000EE"/>
            </w:tcBorders>
            <w:gridSpan w:val="35"/>
          </w:tcPr>
          <w:p>
            <w:pPr>
              <w:spacing w:after="0" w:line="139" w:lineRule="exact"/>
              <w:rPr>
                <w:rFonts w:ascii="Arial" w:cs="Arial" w:eastAsia="Arial" w:hAnsi="Arial"/>
                <w:sz w:val="14"/>
                <w:szCs w:val="14"/>
                <w:color w:val="0000EE"/>
                <w:w w:val="99"/>
              </w:rPr>
            </w:pPr>
            <w:hyperlink w:anchor="page63">
              <w:r>
                <w:rPr>
                  <w:rFonts w:ascii="Arial" w:cs="Arial" w:eastAsia="Arial" w:hAnsi="Arial"/>
                  <w:sz w:val="14"/>
                  <w:szCs w:val="14"/>
                  <w:color w:val="0000EE"/>
                  <w:w w:val="99"/>
                </w:rPr>
                <w:t>New Program Elements Following Emergence from Bankruptcy</w:t>
              </w:r>
            </w:hyperlink>
          </w:p>
        </w:tc>
        <w:tc>
          <w:tcPr>
            <w:tcW w:w="680" w:type="dxa"/>
            <w:vAlign w:val="bottom"/>
            <w:gridSpan w:val="3"/>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Borders>
              <w:bottom w:val="single" w:sz="8" w:color="0000EE"/>
            </w:tcBorders>
            <w:gridSpan w:val="16"/>
          </w:tcPr>
          <w:p>
            <w:pPr>
              <w:spacing w:after="0" w:line="139" w:lineRule="exact"/>
              <w:rPr>
                <w:rFonts w:ascii="Arial" w:cs="Arial" w:eastAsia="Arial" w:hAnsi="Arial"/>
                <w:sz w:val="14"/>
                <w:szCs w:val="14"/>
                <w:color w:val="0000EE"/>
                <w:w w:val="99"/>
              </w:rPr>
            </w:pPr>
            <w:hyperlink w:anchor="page63">
              <w:r>
                <w:rPr>
                  <w:rFonts w:ascii="Arial" w:cs="Arial" w:eastAsia="Arial" w:hAnsi="Arial"/>
                  <w:sz w:val="14"/>
                  <w:szCs w:val="14"/>
                  <w:color w:val="0000EE"/>
                  <w:w w:val="99"/>
                </w:rPr>
                <w:t>2020 Compensation of Directors</w:t>
              </w:r>
            </w:hyperlink>
          </w:p>
        </w:tc>
        <w:tc>
          <w:tcPr>
            <w:tcW w:w="2600" w:type="dxa"/>
            <w:vAlign w:val="bottom"/>
            <w:gridSpan w:val="22"/>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60" w:type="dxa"/>
            <w:vAlign w:val="bottom"/>
            <w:tcBorders>
              <w:bottom w:val="single" w:sz="8" w:color="0000EE"/>
            </w:tcBorders>
            <w:gridSpan w:val="16"/>
          </w:tcPr>
          <w:p>
            <w:pPr>
              <w:spacing w:after="0"/>
              <w:rPr>
                <w:rFonts w:ascii="Arial" w:cs="Arial" w:eastAsia="Arial" w:hAnsi="Arial"/>
                <w:sz w:val="16"/>
                <w:szCs w:val="16"/>
                <w:color w:val="0000EE"/>
                <w:w w:val="99"/>
              </w:rPr>
            </w:pPr>
            <w:hyperlink w:anchor="page64">
              <w:r>
                <w:rPr>
                  <w:rFonts w:ascii="Arial" w:cs="Arial" w:eastAsia="Arial" w:hAnsi="Arial"/>
                  <w:sz w:val="16"/>
                  <w:szCs w:val="16"/>
                  <w:color w:val="0000EE"/>
                  <w:w w:val="99"/>
                </w:rPr>
                <w:t>Stock Ownership Information</w:t>
              </w:r>
            </w:hyperlink>
          </w:p>
        </w:tc>
        <w:tc>
          <w:tcPr>
            <w:tcW w:w="2620" w:type="dxa"/>
            <w:vAlign w:val="bottom"/>
            <w:gridSpan w:val="23"/>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075C9"/>
              </w:rPr>
              <w:t>57</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20" w:type="dxa"/>
            <w:vAlign w:val="bottom"/>
            <w:gridSpan w:val="38"/>
          </w:tcPr>
          <w:p>
            <w:pPr>
              <w:spacing w:after="0" w:line="152" w:lineRule="exact"/>
              <w:rPr>
                <w:rFonts w:ascii="Arial" w:cs="Arial" w:eastAsia="Arial" w:hAnsi="Arial"/>
                <w:sz w:val="14"/>
                <w:szCs w:val="14"/>
                <w:color w:val="0000EE"/>
              </w:rPr>
            </w:pPr>
            <w:hyperlink w:anchor="page64">
              <w:r>
                <w:rPr>
                  <w:rFonts w:ascii="Arial" w:cs="Arial" w:eastAsia="Arial" w:hAnsi="Arial"/>
                  <w:sz w:val="14"/>
                  <w:szCs w:val="14"/>
                  <w:color w:val="0000EE"/>
                </w:rPr>
                <w:t>Security Ownership of Directors, Management and Certain Beneficial</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80" w:type="dxa"/>
            <w:vAlign w:val="bottom"/>
            <w:tcBorders>
              <w:top w:val="single" w:sz="8" w:color="0000EE"/>
            </w:tcBorders>
            <w:gridSpan w:val="36"/>
          </w:tcPr>
          <w:p>
            <w:pPr>
              <w:spacing w:after="0" w:line="139" w:lineRule="exact"/>
              <w:rPr>
                <w:rFonts w:ascii="Arial" w:cs="Arial" w:eastAsia="Arial" w:hAnsi="Arial"/>
                <w:sz w:val="14"/>
                <w:szCs w:val="14"/>
                <w:color w:val="0000EE"/>
              </w:rPr>
            </w:pPr>
            <w:hyperlink w:anchor="page64">
              <w:r>
                <w:rPr>
                  <w:rFonts w:ascii="Arial" w:cs="Arial" w:eastAsia="Arial" w:hAnsi="Arial"/>
                  <w:sz w:val="14"/>
                  <w:szCs w:val="14"/>
                  <w:color w:val="0000EE"/>
                </w:rPr>
                <w:t>Holders</w:t>
              </w:r>
            </w:hyperlink>
          </w:p>
        </w:tc>
        <w:tc>
          <w:tcPr>
            <w:tcW w:w="340" w:type="dxa"/>
            <w:vAlign w:val="bottom"/>
            <w:gridSpan w:val="2"/>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 w:type="dxa"/>
            <w:vAlign w:val="bottom"/>
          </w:tcPr>
          <w:p>
            <w:pPr>
              <w:spacing w:after="0"/>
              <w:rPr>
                <w:sz w:val="21"/>
                <w:szCs w:val="21"/>
                <w:color w:val="auto"/>
              </w:rPr>
            </w:pPr>
          </w:p>
        </w:tc>
        <w:tc>
          <w:tcPr>
            <w:tcW w:w="4680" w:type="dxa"/>
            <w:vAlign w:val="bottom"/>
            <w:gridSpan w:val="39"/>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Proposals Requiring Your Vote</w:t>
              </w:r>
            </w:hyperlink>
          </w:p>
        </w:tc>
        <w:tc>
          <w:tcPr>
            <w:tcW w:w="340" w:type="dxa"/>
            <w:vAlign w:val="bottom"/>
          </w:tcPr>
          <w:p>
            <w:pPr>
              <w:jc w:val="right"/>
              <w:spacing w:after="0"/>
              <w:rPr>
                <w:sz w:val="20"/>
                <w:szCs w:val="20"/>
                <w:color w:val="auto"/>
              </w:rPr>
            </w:pPr>
            <w:r>
              <w:rPr>
                <w:rFonts w:ascii="Arial" w:cs="Arial" w:eastAsia="Arial" w:hAnsi="Arial"/>
                <w:sz w:val="16"/>
                <w:szCs w:val="16"/>
                <w:color w:val="0075C9"/>
              </w:rPr>
              <w:t>59</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00" w:type="dxa"/>
            <w:vAlign w:val="bottom"/>
            <w:tcBorders>
              <w:top w:val="single" w:sz="8" w:color="0000EE"/>
              <w:bottom w:val="single" w:sz="8" w:color="0000EE"/>
            </w:tcBorders>
            <w:gridSpan w:val="15"/>
          </w:tcPr>
          <w:p>
            <w:pPr>
              <w:spacing w:after="0" w:line="152" w:lineRule="exact"/>
              <w:rPr>
                <w:rFonts w:ascii="Arial" w:cs="Arial" w:eastAsia="Arial" w:hAnsi="Arial"/>
                <w:sz w:val="14"/>
                <w:szCs w:val="14"/>
                <w:color w:val="0000EE"/>
                <w:w w:val="98"/>
              </w:rPr>
            </w:pPr>
            <w:hyperlink w:anchor="page66">
              <w:r>
                <w:rPr>
                  <w:rFonts w:ascii="Arial" w:cs="Arial" w:eastAsia="Arial" w:hAnsi="Arial"/>
                  <w:sz w:val="14"/>
                  <w:szCs w:val="14"/>
                  <w:color w:val="0000EE"/>
                  <w:w w:val="98"/>
                </w:rPr>
                <w:t>Proposal 1: Election of Directors</w:t>
              </w:r>
            </w:hyperlink>
          </w:p>
        </w:tc>
        <w:tc>
          <w:tcPr>
            <w:tcW w:w="100" w:type="dxa"/>
            <w:vAlign w:val="bottom"/>
            <w:tcBorders>
              <w:top w:val="single" w:sz="8" w:color="0000EE"/>
            </w:tcBorders>
            <w:gridSpan w:val="3"/>
          </w:tcPr>
          <w:p>
            <w:pPr>
              <w:spacing w:after="0"/>
              <w:rPr>
                <w:sz w:val="13"/>
                <w:szCs w:val="13"/>
                <w:color w:val="auto"/>
              </w:rPr>
            </w:pPr>
          </w:p>
        </w:tc>
        <w:tc>
          <w:tcPr>
            <w:tcW w:w="2520" w:type="dxa"/>
            <w:vAlign w:val="bottom"/>
            <w:gridSpan w:val="20"/>
          </w:tcPr>
          <w:p>
            <w:pPr>
              <w:spacing w:after="0"/>
              <w:rPr>
                <w:sz w:val="13"/>
                <w:szCs w:val="13"/>
                <w:color w:val="auto"/>
              </w:rPr>
            </w:pPr>
          </w:p>
        </w:tc>
        <w:tc>
          <w:tcPr>
            <w:tcW w:w="340" w:type="dxa"/>
            <w:vAlign w:val="bottom"/>
          </w:tcPr>
          <w:p>
            <w:pPr>
              <w:jc w:val="right"/>
              <w:spacing w:after="0" w:line="152"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80" w:type="dxa"/>
            <w:vAlign w:val="bottom"/>
            <w:tcBorders>
              <w:bottom w:val="single" w:sz="8" w:color="0000EE"/>
            </w:tcBorders>
            <w:gridSpan w:val="33"/>
          </w:tcPr>
          <w:p>
            <w:pPr>
              <w:spacing w:after="0" w:line="139" w:lineRule="exact"/>
              <w:rPr>
                <w:rFonts w:ascii="Arial" w:cs="Arial" w:eastAsia="Arial" w:hAnsi="Arial"/>
                <w:sz w:val="14"/>
                <w:szCs w:val="14"/>
                <w:color w:val="0000EE"/>
                <w:w w:val="99"/>
              </w:rPr>
            </w:pPr>
            <w:hyperlink w:anchor="page66">
              <w:r>
                <w:rPr>
                  <w:rFonts w:ascii="Arial" w:cs="Arial" w:eastAsia="Arial" w:hAnsi="Arial"/>
                  <w:sz w:val="14"/>
                  <w:szCs w:val="14"/>
                  <w:color w:val="0000EE"/>
                  <w:w w:val="99"/>
                </w:rPr>
                <w:t>Proposal 2: Ratification of the Appointment of the Independent</w:t>
              </w:r>
            </w:hyperlink>
          </w:p>
        </w:tc>
        <w:tc>
          <w:tcPr>
            <w:tcW w:w="740" w:type="dxa"/>
            <w:vAlign w:val="bottom"/>
            <w:gridSpan w:val="5"/>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gridSpan w:val="38"/>
          </w:tcPr>
          <w:p>
            <w:pPr>
              <w:spacing w:after="0" w:line="139" w:lineRule="exact"/>
              <w:rPr>
                <w:rFonts w:ascii="Arial" w:cs="Arial" w:eastAsia="Arial" w:hAnsi="Arial"/>
                <w:sz w:val="14"/>
                <w:szCs w:val="14"/>
                <w:color w:val="0000EE"/>
              </w:rPr>
            </w:pPr>
            <w:hyperlink w:anchor="page66">
              <w:r>
                <w:rPr>
                  <w:rFonts w:ascii="Arial" w:cs="Arial" w:eastAsia="Arial" w:hAnsi="Arial"/>
                  <w:sz w:val="14"/>
                  <w:szCs w:val="14"/>
                  <w:color w:val="0000EE"/>
                </w:rPr>
                <w:t>Registered Public Accounting Firm</w:t>
              </w:r>
            </w:hyperlink>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20" w:type="dxa"/>
            <w:vAlign w:val="bottom"/>
            <w:tcBorders>
              <w:bottom w:val="single" w:sz="8" w:color="0000EE"/>
            </w:tcBorders>
            <w:gridSpan w:val="34"/>
          </w:tcPr>
          <w:p>
            <w:pPr>
              <w:spacing w:after="0" w:line="139" w:lineRule="exact"/>
              <w:rPr>
                <w:rFonts w:ascii="Arial" w:cs="Arial" w:eastAsia="Arial" w:hAnsi="Arial"/>
                <w:sz w:val="14"/>
                <w:szCs w:val="14"/>
                <w:color w:val="0000EE"/>
                <w:w w:val="99"/>
              </w:rPr>
            </w:pPr>
            <w:hyperlink w:anchor="page67">
              <w:r>
                <w:rPr>
                  <w:rFonts w:ascii="Arial" w:cs="Arial" w:eastAsia="Arial" w:hAnsi="Arial"/>
                  <w:sz w:val="14"/>
                  <w:szCs w:val="14"/>
                  <w:color w:val="0000EE"/>
                  <w:w w:val="99"/>
                </w:rPr>
                <w:t>Proposal 3: Advisory Vote to Approve Named Executive Officer</w:t>
              </w:r>
            </w:hyperlink>
          </w:p>
        </w:tc>
        <w:tc>
          <w:tcPr>
            <w:tcW w:w="700" w:type="dxa"/>
            <w:vAlign w:val="bottom"/>
            <w:gridSpan w:val="4"/>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gridSpan w:val="38"/>
          </w:tcPr>
          <w:p>
            <w:pPr>
              <w:spacing w:after="0" w:line="139" w:lineRule="exact"/>
              <w:rPr>
                <w:rFonts w:ascii="Arial" w:cs="Arial" w:eastAsia="Arial" w:hAnsi="Arial"/>
                <w:sz w:val="14"/>
                <w:szCs w:val="14"/>
                <w:color w:val="0000EE"/>
              </w:rPr>
            </w:pPr>
            <w:hyperlink w:anchor="page67">
              <w:r>
                <w:rPr>
                  <w:rFonts w:ascii="Arial" w:cs="Arial" w:eastAsia="Arial" w:hAnsi="Arial"/>
                  <w:sz w:val="14"/>
                  <w:szCs w:val="14"/>
                  <w:color w:val="0000EE"/>
                </w:rPr>
                <w:t>Compensation</w:t>
              </w:r>
            </w:hyperlink>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gridSpan w:val="38"/>
          </w:tcPr>
          <w:p>
            <w:pPr>
              <w:spacing w:after="0" w:line="139" w:lineRule="exact"/>
              <w:rPr>
                <w:rFonts w:ascii="Arial" w:cs="Arial" w:eastAsia="Arial" w:hAnsi="Arial"/>
                <w:sz w:val="14"/>
                <w:szCs w:val="14"/>
                <w:color w:val="0000EE"/>
              </w:rPr>
            </w:pPr>
            <w:hyperlink w:anchor="page68">
              <w:r>
                <w:rPr>
                  <w:rFonts w:ascii="Arial" w:cs="Arial" w:eastAsia="Arial" w:hAnsi="Arial"/>
                  <w:sz w:val="14"/>
                  <w:szCs w:val="14"/>
                  <w:color w:val="0000EE"/>
                </w:rPr>
                <w:t>Proposal 4: Advisory Vote on Frequency of Future Stockholder Advisory</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60" w:type="dxa"/>
            <w:vAlign w:val="bottom"/>
            <w:tcBorders>
              <w:top w:val="single" w:sz="8" w:color="0000EE"/>
            </w:tcBorders>
            <w:gridSpan w:val="37"/>
          </w:tcPr>
          <w:p>
            <w:pPr>
              <w:spacing w:after="0" w:line="139" w:lineRule="exact"/>
              <w:rPr>
                <w:rFonts w:ascii="Arial" w:cs="Arial" w:eastAsia="Arial" w:hAnsi="Arial"/>
                <w:sz w:val="14"/>
                <w:szCs w:val="14"/>
                <w:color w:val="0000EE"/>
              </w:rPr>
            </w:pPr>
            <w:hyperlink w:anchor="page68">
              <w:r>
                <w:rPr>
                  <w:rFonts w:ascii="Arial" w:cs="Arial" w:eastAsia="Arial" w:hAnsi="Arial"/>
                  <w:sz w:val="14"/>
                  <w:szCs w:val="14"/>
                  <w:color w:val="0000EE"/>
                </w:rPr>
                <w:t>Votes to Approve Named Executive Officer Compensation</w:t>
              </w:r>
            </w:hyperlink>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 w:type="dxa"/>
            <w:vAlign w:val="bottom"/>
          </w:tcPr>
          <w:p>
            <w:pPr>
              <w:spacing w:after="0"/>
              <w:rPr>
                <w:sz w:val="21"/>
                <w:szCs w:val="21"/>
                <w:color w:val="auto"/>
              </w:rPr>
            </w:pPr>
          </w:p>
        </w:tc>
        <w:tc>
          <w:tcPr>
            <w:tcW w:w="1420" w:type="dxa"/>
            <w:vAlign w:val="bottom"/>
            <w:tcBorders>
              <w:bottom w:val="single" w:sz="8" w:color="0000EE"/>
            </w:tcBorders>
            <w:gridSpan w:val="11"/>
          </w:tcPr>
          <w:p>
            <w:pPr>
              <w:spacing w:after="0"/>
              <w:rPr>
                <w:rFonts w:ascii="Arial" w:cs="Arial" w:eastAsia="Arial" w:hAnsi="Arial"/>
                <w:sz w:val="16"/>
                <w:szCs w:val="16"/>
                <w:color w:val="0000EE"/>
                <w:w w:val="98"/>
              </w:rPr>
            </w:pPr>
            <w:hyperlink w:anchor="page69">
              <w:r>
                <w:rPr>
                  <w:rFonts w:ascii="Arial" w:cs="Arial" w:eastAsia="Arial" w:hAnsi="Arial"/>
                  <w:sz w:val="16"/>
                  <w:szCs w:val="16"/>
                  <w:color w:val="0000EE"/>
                  <w:w w:val="98"/>
                </w:rPr>
                <w:t>General Information</w:t>
              </w:r>
            </w:hyperlink>
          </w:p>
        </w:tc>
        <w:tc>
          <w:tcPr>
            <w:tcW w:w="3260" w:type="dxa"/>
            <w:vAlign w:val="bottom"/>
            <w:gridSpan w:val="28"/>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0075C9"/>
              </w:rPr>
              <w:t>62</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Borders>
              <w:bottom w:val="single" w:sz="8" w:color="0000EE"/>
            </w:tcBorders>
            <w:gridSpan w:val="7"/>
          </w:tcPr>
          <w:p>
            <w:pPr>
              <w:spacing w:after="0" w:line="152" w:lineRule="exact"/>
              <w:rPr>
                <w:rFonts w:ascii="Arial" w:cs="Arial" w:eastAsia="Arial" w:hAnsi="Arial"/>
                <w:sz w:val="14"/>
                <w:szCs w:val="14"/>
                <w:color w:val="0000EE"/>
                <w:w w:val="97"/>
              </w:rPr>
            </w:pPr>
            <w:hyperlink w:anchor="page69">
              <w:r>
                <w:rPr>
                  <w:rFonts w:ascii="Arial" w:cs="Arial" w:eastAsia="Arial" w:hAnsi="Arial"/>
                  <w:sz w:val="14"/>
                  <w:szCs w:val="14"/>
                  <w:color w:val="0000EE"/>
                  <w:w w:val="97"/>
                </w:rPr>
                <w:t>Voting Procedures</w:t>
              </w:r>
            </w:hyperlink>
          </w:p>
        </w:tc>
        <w:tc>
          <w:tcPr>
            <w:tcW w:w="3480" w:type="dxa"/>
            <w:vAlign w:val="bottom"/>
            <w:gridSpan w:val="31"/>
          </w:tcPr>
          <w:p>
            <w:pPr>
              <w:spacing w:after="0"/>
              <w:rPr>
                <w:sz w:val="13"/>
                <w:szCs w:val="13"/>
                <w:color w:val="auto"/>
              </w:rPr>
            </w:pPr>
          </w:p>
        </w:tc>
        <w:tc>
          <w:tcPr>
            <w:tcW w:w="340" w:type="dxa"/>
            <w:vAlign w:val="bottom"/>
          </w:tcPr>
          <w:p>
            <w:pPr>
              <w:jc w:val="right"/>
              <w:spacing w:after="0" w:line="15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0000EE"/>
            </w:tcBorders>
            <w:gridSpan w:val="3"/>
          </w:tcPr>
          <w:p>
            <w:pPr>
              <w:spacing w:after="0" w:line="139" w:lineRule="exact"/>
              <w:rPr>
                <w:rFonts w:ascii="Arial" w:cs="Arial" w:eastAsia="Arial" w:hAnsi="Arial"/>
                <w:sz w:val="14"/>
                <w:szCs w:val="14"/>
                <w:color w:val="0000EE"/>
                <w:w w:val="99"/>
              </w:rPr>
            </w:pPr>
            <w:hyperlink w:anchor="page69">
              <w:r>
                <w:rPr>
                  <w:rFonts w:ascii="Arial" w:cs="Arial" w:eastAsia="Arial" w:hAnsi="Arial"/>
                  <w:sz w:val="14"/>
                  <w:szCs w:val="14"/>
                  <w:color w:val="0000EE"/>
                  <w:w w:val="99"/>
                </w:rPr>
                <w:t>Record Date</w:t>
              </w:r>
            </w:hyperlink>
          </w:p>
        </w:tc>
        <w:tc>
          <w:tcPr>
            <w:tcW w:w="3720" w:type="dxa"/>
            <w:vAlign w:val="bottom"/>
            <w:gridSpan w:val="33"/>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20" w:type="dxa"/>
            <w:vAlign w:val="bottom"/>
            <w:gridSpan w:val="36"/>
          </w:tcPr>
          <w:p>
            <w:pPr>
              <w:spacing w:after="0" w:line="139" w:lineRule="exact"/>
              <w:rPr>
                <w:rFonts w:ascii="Arial" w:cs="Arial" w:eastAsia="Arial" w:hAnsi="Arial"/>
                <w:sz w:val="14"/>
                <w:szCs w:val="14"/>
                <w:color w:val="0000EE"/>
              </w:rPr>
            </w:pPr>
            <w:hyperlink w:anchor="page69">
              <w:r>
                <w:rPr>
                  <w:rFonts w:ascii="Arial" w:cs="Arial" w:eastAsia="Arial" w:hAnsi="Arial"/>
                  <w:sz w:val="14"/>
                  <w:szCs w:val="14"/>
                  <w:color w:val="0000EE"/>
                </w:rPr>
                <w:t>Appointment of Proxy Holders</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Borders>
              <w:bottom w:val="single" w:sz="8" w:color="0000EE"/>
            </w:tcBorders>
            <w:gridSpan w:val="19"/>
          </w:tcPr>
          <w:p>
            <w:pPr>
              <w:spacing w:after="0" w:line="139" w:lineRule="exact"/>
              <w:rPr>
                <w:rFonts w:ascii="Arial" w:cs="Arial" w:eastAsia="Arial" w:hAnsi="Arial"/>
                <w:sz w:val="14"/>
                <w:szCs w:val="14"/>
                <w:color w:val="0000EE"/>
              </w:rPr>
            </w:pPr>
            <w:hyperlink w:anchor="page69">
              <w:r>
                <w:rPr>
                  <w:rFonts w:ascii="Arial" w:cs="Arial" w:eastAsia="Arial" w:hAnsi="Arial"/>
                  <w:sz w:val="14"/>
                  <w:szCs w:val="14"/>
                  <w:color w:val="0000EE"/>
                </w:rPr>
                <w:t>Quorum and Discretionary Authority</w:t>
              </w:r>
            </w:hyperlink>
          </w:p>
        </w:tc>
        <w:tc>
          <w:tcPr>
            <w:tcW w:w="2260" w:type="dxa"/>
            <w:vAlign w:val="bottom"/>
            <w:gridSpan w:val="17"/>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20" w:type="dxa"/>
            <w:vAlign w:val="bottom"/>
            <w:gridSpan w:val="36"/>
          </w:tcPr>
          <w:p>
            <w:pPr>
              <w:spacing w:after="0" w:line="139" w:lineRule="exact"/>
              <w:rPr>
                <w:rFonts w:ascii="Arial" w:cs="Arial" w:eastAsia="Arial" w:hAnsi="Arial"/>
                <w:sz w:val="14"/>
                <w:szCs w:val="14"/>
                <w:color w:val="0000EE"/>
              </w:rPr>
            </w:pPr>
            <w:hyperlink w:anchor="page70">
              <w:r>
                <w:rPr>
                  <w:rFonts w:ascii="Arial" w:cs="Arial" w:eastAsia="Arial" w:hAnsi="Arial"/>
                  <w:sz w:val="14"/>
                  <w:szCs w:val="14"/>
                  <w:color w:val="0000EE"/>
                </w:rPr>
                <w:t>How to Vote Shares Registered in Your Name</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Borders>
              <w:top w:val="single" w:sz="8" w:color="0000EE"/>
              <w:bottom w:val="single" w:sz="8" w:color="0000EE"/>
            </w:tcBorders>
            <w:gridSpan w:val="23"/>
          </w:tcPr>
          <w:p>
            <w:pPr>
              <w:spacing w:after="0" w:line="139" w:lineRule="exact"/>
              <w:rPr>
                <w:rFonts w:ascii="Arial" w:cs="Arial" w:eastAsia="Arial" w:hAnsi="Arial"/>
                <w:sz w:val="14"/>
                <w:szCs w:val="14"/>
                <w:color w:val="0000EE"/>
              </w:rPr>
            </w:pPr>
            <w:hyperlink w:anchor="page70">
              <w:r>
                <w:rPr>
                  <w:rFonts w:ascii="Arial" w:cs="Arial" w:eastAsia="Arial" w:hAnsi="Arial"/>
                  <w:sz w:val="14"/>
                  <w:szCs w:val="14"/>
                  <w:color w:val="0000EE"/>
                </w:rPr>
                <w:t>How to Vote Shares Held in “Street Name”</w:t>
              </w:r>
            </w:hyperlink>
          </w:p>
        </w:tc>
        <w:tc>
          <w:tcPr>
            <w:tcW w:w="200" w:type="dxa"/>
            <w:vAlign w:val="bottom"/>
            <w:tcBorders>
              <w:top w:val="single" w:sz="8" w:color="0000EE"/>
            </w:tcBorders>
            <w:gridSpan w:val="2"/>
          </w:tcPr>
          <w:p>
            <w:pPr>
              <w:spacing w:after="0"/>
              <w:rPr>
                <w:sz w:val="12"/>
                <w:szCs w:val="12"/>
                <w:color w:val="auto"/>
              </w:rPr>
            </w:pPr>
          </w:p>
        </w:tc>
        <w:tc>
          <w:tcPr>
            <w:tcW w:w="1660" w:type="dxa"/>
            <w:vAlign w:val="bottom"/>
            <w:gridSpan w:val="11"/>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20" w:type="dxa"/>
            <w:vAlign w:val="bottom"/>
            <w:gridSpan w:val="36"/>
          </w:tcPr>
          <w:p>
            <w:pPr>
              <w:spacing w:after="0" w:line="139" w:lineRule="exact"/>
              <w:rPr>
                <w:rFonts w:ascii="Arial" w:cs="Arial" w:eastAsia="Arial" w:hAnsi="Arial"/>
                <w:sz w:val="14"/>
                <w:szCs w:val="14"/>
                <w:color w:val="0000EE"/>
              </w:rPr>
            </w:pPr>
            <w:hyperlink w:anchor="page71">
              <w:r>
                <w:rPr>
                  <w:rFonts w:ascii="Arial" w:cs="Arial" w:eastAsia="Arial" w:hAnsi="Arial"/>
                  <w:sz w:val="14"/>
                  <w:szCs w:val="14"/>
                  <w:color w:val="0000EE"/>
                </w:rPr>
                <w:t>Revoking or Changing a Proxy</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64</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20" w:type="dxa"/>
            <w:vAlign w:val="bottom"/>
            <w:gridSpan w:val="36"/>
          </w:tcPr>
          <w:p>
            <w:pPr>
              <w:spacing w:after="0" w:line="139" w:lineRule="exact"/>
              <w:rPr>
                <w:rFonts w:ascii="Arial" w:cs="Arial" w:eastAsia="Arial" w:hAnsi="Arial"/>
                <w:sz w:val="14"/>
                <w:szCs w:val="14"/>
                <w:color w:val="0000EE"/>
              </w:rPr>
            </w:pPr>
            <w:hyperlink w:anchor="page71">
              <w:r>
                <w:rPr>
                  <w:rFonts w:ascii="Arial" w:cs="Arial" w:eastAsia="Arial" w:hAnsi="Arial"/>
                  <w:sz w:val="14"/>
                  <w:szCs w:val="14"/>
                  <w:color w:val="0000EE"/>
                </w:rPr>
                <w:t>Required Vote and Method of Counting</w:t>
              </w:r>
            </w:hyperlink>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tcBorders>
              <w:bottom w:val="single" w:sz="8" w:color="0000EE"/>
            </w:tcBorders>
            <w:gridSpan w:val="28"/>
          </w:tcPr>
          <w:p>
            <w:pPr>
              <w:spacing w:after="0" w:line="139" w:lineRule="exact"/>
              <w:rPr>
                <w:rFonts w:ascii="Arial" w:cs="Arial" w:eastAsia="Arial" w:hAnsi="Arial"/>
                <w:sz w:val="14"/>
                <w:szCs w:val="14"/>
                <w:color w:val="0000EE"/>
                <w:w w:val="99"/>
              </w:rPr>
            </w:pPr>
            <w:hyperlink w:anchor="page72">
              <w:r>
                <w:rPr>
                  <w:rFonts w:ascii="Arial" w:cs="Arial" w:eastAsia="Arial" w:hAnsi="Arial"/>
                  <w:sz w:val="14"/>
                  <w:szCs w:val="14"/>
                  <w:color w:val="0000EE"/>
                  <w:w w:val="99"/>
                </w:rPr>
                <w:t>Method and Cost of Soliciting and Tabulating Votes</w:t>
              </w:r>
            </w:hyperlink>
          </w:p>
        </w:tc>
        <w:tc>
          <w:tcPr>
            <w:tcW w:w="1320" w:type="dxa"/>
            <w:vAlign w:val="bottom"/>
            <w:gridSpan w:val="8"/>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Borders>
              <w:bottom w:val="single" w:sz="8" w:color="0000EE"/>
            </w:tcBorders>
            <w:gridSpan w:val="12"/>
          </w:tcPr>
          <w:p>
            <w:pPr>
              <w:spacing w:after="0" w:line="139" w:lineRule="exact"/>
              <w:rPr>
                <w:rFonts w:ascii="Arial" w:cs="Arial" w:eastAsia="Arial" w:hAnsi="Arial"/>
                <w:sz w:val="14"/>
                <w:szCs w:val="14"/>
                <w:color w:val="0000EE"/>
              </w:rPr>
            </w:pPr>
            <w:hyperlink w:anchor="page72">
              <w:r>
                <w:rPr>
                  <w:rFonts w:ascii="Arial" w:cs="Arial" w:eastAsia="Arial" w:hAnsi="Arial"/>
                  <w:sz w:val="14"/>
                  <w:szCs w:val="14"/>
                  <w:color w:val="0000EE"/>
                </w:rPr>
                <w:t>Attending the Annual Meeting</w:t>
              </w:r>
            </w:hyperlink>
          </w:p>
        </w:tc>
        <w:tc>
          <w:tcPr>
            <w:tcW w:w="2640" w:type="dxa"/>
            <w:vAlign w:val="bottom"/>
            <w:gridSpan w:val="24"/>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gridSpan w:val="38"/>
          </w:tcPr>
          <w:p>
            <w:pPr>
              <w:spacing w:after="0" w:line="139" w:lineRule="exact"/>
              <w:rPr>
                <w:rFonts w:ascii="Arial" w:cs="Arial" w:eastAsia="Arial" w:hAnsi="Arial"/>
                <w:sz w:val="14"/>
                <w:szCs w:val="14"/>
                <w:color w:val="0000EE"/>
              </w:rPr>
            </w:pPr>
            <w:hyperlink w:anchor="page73">
              <w:r>
                <w:rPr>
                  <w:rFonts w:ascii="Arial" w:cs="Arial" w:eastAsia="Arial" w:hAnsi="Arial"/>
                  <w:sz w:val="14"/>
                  <w:szCs w:val="14"/>
                  <w:color w:val="0000EE"/>
                </w:rPr>
                <w:t>Notice of Internet Availability of Proxy Materials</w:t>
              </w:r>
            </w:hyperlink>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34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66</w:t>
            </w: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gridSpan w:val="38"/>
          </w:tcPr>
          <w:p>
            <w:pPr>
              <w:spacing w:after="0" w:line="139" w:lineRule="exact"/>
              <w:rPr>
                <w:rFonts w:ascii="Arial" w:cs="Arial" w:eastAsia="Arial" w:hAnsi="Arial"/>
                <w:sz w:val="14"/>
                <w:szCs w:val="14"/>
                <w:color w:val="0000EE"/>
              </w:rPr>
            </w:pPr>
            <w:hyperlink w:anchor="page73">
              <w:r>
                <w:rPr>
                  <w:rFonts w:ascii="Arial" w:cs="Arial" w:eastAsia="Arial" w:hAnsi="Arial"/>
                  <w:sz w:val="14"/>
                  <w:szCs w:val="14"/>
                  <w:color w:val="0000EE"/>
                </w:rPr>
                <w:t>Stockholder Proposals and Director Nominations</w:t>
              </w:r>
            </w:hyperlink>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Borders>
              <w:top w:val="single" w:sz="8" w:color="0000EE"/>
              <w:bottom w:val="single" w:sz="8" w:color="0000EE"/>
            </w:tcBorders>
            <w:gridSpan w:val="17"/>
          </w:tcPr>
          <w:p>
            <w:pPr>
              <w:spacing w:after="0" w:line="139" w:lineRule="exact"/>
              <w:rPr>
                <w:rFonts w:ascii="Arial" w:cs="Arial" w:eastAsia="Arial" w:hAnsi="Arial"/>
                <w:sz w:val="14"/>
                <w:szCs w:val="14"/>
                <w:color w:val="0000EE"/>
              </w:rPr>
            </w:pPr>
            <w:hyperlink w:anchor="page74">
              <w:r>
                <w:rPr>
                  <w:rFonts w:ascii="Arial" w:cs="Arial" w:eastAsia="Arial" w:hAnsi="Arial"/>
                  <w:sz w:val="14"/>
                  <w:szCs w:val="14"/>
                  <w:color w:val="0000EE"/>
                </w:rPr>
                <w:t>Householding of Proxy Materials</w:t>
              </w:r>
            </w:hyperlink>
          </w:p>
        </w:tc>
        <w:tc>
          <w:tcPr>
            <w:tcW w:w="1040" w:type="dxa"/>
            <w:vAlign w:val="bottom"/>
            <w:tcBorders>
              <w:top w:val="single" w:sz="8" w:color="0000EE"/>
            </w:tcBorders>
            <w:gridSpan w:val="11"/>
          </w:tcPr>
          <w:p>
            <w:pPr>
              <w:spacing w:after="0"/>
              <w:rPr>
                <w:sz w:val="12"/>
                <w:szCs w:val="12"/>
                <w:color w:val="auto"/>
              </w:rPr>
            </w:pPr>
          </w:p>
        </w:tc>
        <w:tc>
          <w:tcPr>
            <w:tcW w:w="1540" w:type="dxa"/>
            <w:vAlign w:val="bottom"/>
            <w:gridSpan w:val="10"/>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Borders>
              <w:bottom w:val="single" w:sz="8" w:color="0000EE"/>
            </w:tcBorders>
            <w:gridSpan w:val="9"/>
          </w:tcPr>
          <w:p>
            <w:pPr>
              <w:spacing w:after="0" w:line="139" w:lineRule="exact"/>
              <w:rPr>
                <w:rFonts w:ascii="Arial" w:cs="Arial" w:eastAsia="Arial" w:hAnsi="Arial"/>
                <w:sz w:val="14"/>
                <w:szCs w:val="14"/>
                <w:color w:val="0000EE"/>
                <w:w w:val="99"/>
              </w:rPr>
            </w:pPr>
            <w:hyperlink w:anchor="page74">
              <w:r>
                <w:rPr>
                  <w:rFonts w:ascii="Arial" w:cs="Arial" w:eastAsia="Arial" w:hAnsi="Arial"/>
                  <w:sz w:val="14"/>
                  <w:szCs w:val="14"/>
                  <w:color w:val="0000EE"/>
                  <w:w w:val="99"/>
                </w:rPr>
                <w:t>2020 Annual Report</w:t>
              </w:r>
            </w:hyperlink>
          </w:p>
        </w:tc>
        <w:tc>
          <w:tcPr>
            <w:tcW w:w="3360" w:type="dxa"/>
            <w:vAlign w:val="bottom"/>
            <w:gridSpan w:val="29"/>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50165</wp:posOffset>
            </wp:positionV>
            <wp:extent cx="71767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2">
            <w:col w:w="5320" w:space="620"/>
            <w:col w:w="5300"/>
          </w:cols>
          <w:pgMar w:left="320" w:top="382" w:right="339" w:bottom="1440" w:gutter="0" w:footer="0" w:header="0"/>
        </w:sectPr>
      </w:pPr>
    </w:p>
    <w:bookmarkStart w:id="7" w:name="page8"/>
    <w:bookmarkEnd w:id="7"/>
    <w:p>
      <w:pPr>
        <w:jc w:val="right"/>
        <w:ind w:righ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Proxy Statement Summary</w:t>
      </w:r>
    </w:p>
    <w:p>
      <w:pPr>
        <w:spacing w:after="0" w:line="395"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78"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2021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0075C9"/>
        </w:rPr>
        <w:t>2021 Annual Meeting of Stockholders</w:t>
      </w:r>
    </w:p>
    <w:p>
      <w:pPr>
        <w:spacing w:after="0" w:line="24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12, 2021</w:t>
      </w:r>
    </w:p>
    <w:p>
      <w:pPr>
        <w:spacing w:after="0" w:line="11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1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https://www.virtualshareholdermeeting.com/CRC2021</w:t>
      </w:r>
    </w:p>
    <w:p>
      <w:pPr>
        <w:spacing w:after="0" w:line="11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7"/>
          <w:szCs w:val="17"/>
          <w:color w:val="auto"/>
        </w:rPr>
        <w:t>March 15, 2021</w:t>
      </w:r>
    </w:p>
    <w:p>
      <w:pPr>
        <w:spacing w:after="0" w:line="230" w:lineRule="exact"/>
        <w:rPr>
          <w:sz w:val="20"/>
          <w:szCs w:val="20"/>
          <w:color w:val="auto"/>
        </w:rPr>
      </w:pPr>
    </w:p>
    <w:p>
      <w:pPr>
        <w:ind w:right="680"/>
        <w:spacing w:after="0" w:line="234" w:lineRule="auto"/>
        <w:rPr>
          <w:sz w:val="20"/>
          <w:szCs w:val="20"/>
          <w:color w:val="auto"/>
        </w:rPr>
      </w:pPr>
      <w:r>
        <w:rPr>
          <w:rFonts w:ascii="Arial" w:cs="Arial" w:eastAsia="Arial" w:hAnsi="Arial"/>
          <w:sz w:val="18"/>
          <w:szCs w:val="18"/>
          <w:color w:val="auto"/>
        </w:rPr>
        <w:t>Due to the public health impact of the COVID- 19 pandemic and to support the health and well-being of our employees and shareholders, the Annual Meeting will be held in a virtual meeting format only at https://www.virtualshareholdermeeting.com/CRC2021. You will not be able to attend the Annual Meeting physically. If you wish to attend the Annual Meeting, you must follow the instructions under “Attending the Annual Meeting” below.</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color w:val="0075C9"/>
        </w:rPr>
        <w:t>Agenda and the Board’s Recommendation on Voting Matters</w:t>
      </w:r>
    </w:p>
    <w:p>
      <w:pPr>
        <w:spacing w:after="0" w:line="109" w:lineRule="exact"/>
        <w:rPr>
          <w:sz w:val="20"/>
          <w:szCs w:val="20"/>
          <w:color w:val="auto"/>
        </w:rPr>
      </w:pPr>
    </w:p>
    <w:p>
      <w:pPr>
        <w:ind w:right="780"/>
        <w:spacing w:after="0" w:line="238"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jc w:val="center"/>
              <w:ind w:right="1901"/>
              <w:spacing w:after="0"/>
              <w:rPr>
                <w:sz w:val="20"/>
                <w:szCs w:val="20"/>
                <w:color w:val="auto"/>
              </w:rPr>
            </w:pPr>
            <w:r>
              <w:rPr>
                <w:rFonts w:ascii="Arial" w:cs="Arial" w:eastAsia="Arial" w:hAnsi="Arial"/>
                <w:sz w:val="16"/>
                <w:szCs w:val="16"/>
                <w:b w:val="1"/>
                <w:bCs w:val="1"/>
                <w:color w:val="0075C9"/>
                <w:w w:val="98"/>
              </w:rPr>
              <w:t>Agenda</w:t>
            </w:r>
          </w:p>
        </w:tc>
        <w:tc>
          <w:tcPr>
            <w:tcW w:w="4800" w:type="dxa"/>
            <w:vAlign w:val="bottom"/>
          </w:tcPr>
          <w:p>
            <w:pPr>
              <w:spacing w:after="0"/>
              <w:rPr>
                <w:sz w:val="16"/>
                <w:szCs w:val="16"/>
                <w:color w:val="auto"/>
              </w:rPr>
            </w:pPr>
          </w:p>
        </w:tc>
        <w:tc>
          <w:tcPr>
            <w:tcW w:w="3200" w:type="dxa"/>
            <w:vAlign w:val="bottom"/>
          </w:tcPr>
          <w:p>
            <w:pPr>
              <w:jc w:val="center"/>
              <w:ind w:left="1221"/>
              <w:spacing w:after="0"/>
              <w:rPr>
                <w:sz w:val="20"/>
                <w:szCs w:val="20"/>
                <w:color w:val="auto"/>
              </w:rPr>
            </w:pPr>
            <w:r>
              <w:rPr>
                <w:rFonts w:ascii="Arial" w:cs="Arial" w:eastAsia="Arial" w:hAnsi="Arial"/>
                <w:sz w:val="16"/>
                <w:szCs w:val="16"/>
                <w:b w:val="1"/>
                <w:bCs w:val="1"/>
                <w:color w:val="0075C9"/>
                <w:w w:val="97"/>
              </w:rPr>
              <w:t>Board’s</w:t>
            </w:r>
          </w:p>
        </w:tc>
      </w:tr>
      <w:tr>
        <w:trPr>
          <w:trHeight w:val="204"/>
        </w:trPr>
        <w:tc>
          <w:tcPr>
            <w:tcW w:w="3280" w:type="dxa"/>
            <w:vAlign w:val="bottom"/>
            <w:tcBorders>
              <w:bottom w:val="single" w:sz="8" w:color="0075C9"/>
            </w:tcBorders>
          </w:tcPr>
          <w:p>
            <w:pPr>
              <w:jc w:val="center"/>
              <w:ind w:right="1841"/>
              <w:spacing w:after="0"/>
              <w:rPr>
                <w:sz w:val="20"/>
                <w:szCs w:val="20"/>
                <w:color w:val="auto"/>
              </w:rPr>
            </w:pPr>
            <w:r>
              <w:rPr>
                <w:rFonts w:ascii="Arial" w:cs="Arial" w:eastAsia="Arial" w:hAnsi="Arial"/>
                <w:sz w:val="16"/>
                <w:szCs w:val="16"/>
                <w:b w:val="1"/>
                <w:bCs w:val="1"/>
                <w:color w:val="0075C9"/>
                <w:w w:val="97"/>
              </w:rPr>
              <w:t>Item</w:t>
            </w:r>
          </w:p>
        </w:tc>
        <w:tc>
          <w:tcPr>
            <w:tcW w:w="4800" w:type="dxa"/>
            <w:vAlign w:val="bottom"/>
            <w:tcBorders>
              <w:bottom w:val="single" w:sz="8" w:color="0075C9"/>
            </w:tcBorders>
          </w:tcPr>
          <w:p>
            <w:pPr>
              <w:ind w:left="234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21"/>
              <w:spacing w:after="0"/>
              <w:rPr>
                <w:sz w:val="20"/>
                <w:szCs w:val="20"/>
                <w:color w:val="auto"/>
              </w:rPr>
            </w:pPr>
            <w:r>
              <w:rPr>
                <w:rFonts w:ascii="Arial" w:cs="Arial" w:eastAsia="Arial" w:hAnsi="Arial"/>
                <w:sz w:val="16"/>
                <w:szCs w:val="16"/>
                <w:b w:val="1"/>
                <w:bCs w:val="1"/>
                <w:color w:val="0075C9"/>
                <w:w w:val="9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-7620</wp:posOffset>
            </wp:positionV>
            <wp:extent cx="1203325" cy="1379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3325" cy="1379855"/>
                    </a:xfrm>
                    <a:prstGeom prst="rect">
                      <a:avLst/>
                    </a:prstGeom>
                    <a:noFill/>
                  </pic:spPr>
                </pic:pic>
              </a:graphicData>
            </a:graphic>
          </wp:anchor>
        </w:drawing>
      </w:r>
    </w:p>
    <w:p>
      <w:pPr>
        <w:sectPr>
          <w:pgSz w:w="11900" w:h="16838" w:orient="portrait"/>
          <w:cols w:equalWidth="0" w:num="1">
            <w:col w:w="11280"/>
          </w:cols>
          <w:pgMar w:left="320" w:top="382" w:right="299" w:bottom="1440" w:gutter="0" w:footer="0" w:header="0"/>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560" w:type="dxa"/>
            <w:vAlign w:val="bottom"/>
          </w:tcPr>
          <w:p>
            <w:pPr>
              <w:ind w:left="340"/>
              <w:spacing w:after="0"/>
              <w:rPr>
                <w:sz w:val="20"/>
                <w:szCs w:val="20"/>
                <w:color w:val="auto"/>
              </w:rPr>
            </w:pPr>
            <w:r>
              <w:rPr>
                <w:rFonts w:ascii="Arial" w:cs="Arial" w:eastAsia="Arial" w:hAnsi="Arial"/>
                <w:sz w:val="18"/>
                <w:szCs w:val="18"/>
                <w:color w:val="auto"/>
              </w:rPr>
              <w:t>Proposal 1</w:t>
            </w:r>
          </w:p>
        </w:tc>
        <w:tc>
          <w:tcPr>
            <w:tcW w:w="6780" w:type="dxa"/>
            <w:vAlign w:val="bottom"/>
          </w:tcPr>
          <w:p>
            <w:pPr>
              <w:ind w:left="380"/>
              <w:spacing w:after="0"/>
              <w:rPr>
                <w:sz w:val="20"/>
                <w:szCs w:val="20"/>
                <w:color w:val="auto"/>
              </w:rPr>
            </w:pPr>
            <w:r>
              <w:rPr>
                <w:rFonts w:ascii="Arial" w:cs="Arial" w:eastAsia="Arial" w:hAnsi="Arial"/>
                <w:sz w:val="18"/>
                <w:szCs w:val="18"/>
                <w:color w:val="auto"/>
              </w:rPr>
              <w:t>Election of the seven director nominees named in this proxy statement each for</w:t>
            </w:r>
          </w:p>
        </w:tc>
      </w:tr>
      <w:tr>
        <w:trPr>
          <w:trHeight w:val="212"/>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80"/>
              <w:spacing w:after="0"/>
              <w:rPr>
                <w:sz w:val="20"/>
                <w:szCs w:val="20"/>
                <w:color w:val="auto"/>
              </w:rPr>
            </w:pPr>
            <w:r>
              <w:rPr>
                <w:rFonts w:ascii="Arial" w:cs="Arial" w:eastAsia="Arial" w:hAnsi="Arial"/>
                <w:sz w:val="18"/>
                <w:szCs w:val="18"/>
                <w:color w:val="auto"/>
              </w:rPr>
              <w:t>a one-year term</w:t>
            </w:r>
          </w:p>
        </w:tc>
      </w:tr>
      <w:tr>
        <w:trPr>
          <w:trHeight w:val="67"/>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r>
        <w:trPr>
          <w:trHeight w:val="284"/>
        </w:trPr>
        <w:tc>
          <w:tcPr>
            <w:tcW w:w="100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1560" w:type="dxa"/>
            <w:vAlign w:val="bottom"/>
          </w:tcPr>
          <w:p>
            <w:pPr>
              <w:ind w:left="340"/>
              <w:spacing w:after="0"/>
              <w:rPr>
                <w:sz w:val="20"/>
                <w:szCs w:val="20"/>
                <w:color w:val="auto"/>
              </w:rPr>
            </w:pPr>
            <w:r>
              <w:rPr>
                <w:rFonts w:ascii="Arial" w:cs="Arial" w:eastAsia="Arial" w:hAnsi="Arial"/>
                <w:sz w:val="18"/>
                <w:szCs w:val="18"/>
                <w:color w:val="auto"/>
              </w:rPr>
              <w:t>Proposal 2</w:t>
            </w:r>
          </w:p>
        </w:tc>
        <w:tc>
          <w:tcPr>
            <w:tcW w:w="6780" w:type="dxa"/>
            <w:vAlign w:val="bottom"/>
          </w:tcPr>
          <w:p>
            <w:pPr>
              <w:ind w:left="38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2"/>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80"/>
              <w:spacing w:after="0"/>
              <w:rPr>
                <w:sz w:val="20"/>
                <w:szCs w:val="20"/>
                <w:color w:val="auto"/>
              </w:rPr>
            </w:pPr>
            <w:r>
              <w:rPr>
                <w:rFonts w:ascii="Arial" w:cs="Arial" w:eastAsia="Arial" w:hAnsi="Arial"/>
                <w:sz w:val="18"/>
                <w:szCs w:val="18"/>
                <w:color w:val="auto"/>
              </w:rPr>
              <w:t>public accounting firm for fiscal 2021</w:t>
            </w:r>
          </w:p>
        </w:tc>
      </w:tr>
      <w:tr>
        <w:trPr>
          <w:trHeight w:val="67"/>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r>
        <w:trPr>
          <w:trHeight w:val="297"/>
        </w:trPr>
        <w:tc>
          <w:tcPr>
            <w:tcW w:w="10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560" w:type="dxa"/>
            <w:vAlign w:val="bottom"/>
          </w:tcPr>
          <w:p>
            <w:pPr>
              <w:ind w:left="340"/>
              <w:spacing w:after="0"/>
              <w:rPr>
                <w:sz w:val="20"/>
                <w:szCs w:val="20"/>
                <w:color w:val="auto"/>
              </w:rPr>
            </w:pPr>
            <w:r>
              <w:rPr>
                <w:rFonts w:ascii="Arial" w:cs="Arial" w:eastAsia="Arial" w:hAnsi="Arial"/>
                <w:sz w:val="18"/>
                <w:szCs w:val="18"/>
                <w:color w:val="auto"/>
              </w:rPr>
              <w:t>Proposal 3</w:t>
            </w:r>
          </w:p>
        </w:tc>
        <w:tc>
          <w:tcPr>
            <w:tcW w:w="6780" w:type="dxa"/>
            <w:vAlign w:val="bottom"/>
          </w:tcPr>
          <w:p>
            <w:pPr>
              <w:ind w:left="38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7"/>
        </w:trPr>
        <w:tc>
          <w:tcPr>
            <w:tcW w:w="1000" w:type="dxa"/>
            <w:vAlign w:val="bottom"/>
            <w:tcBorders>
              <w:bottom w:val="single" w:sz="8" w:color="EBEBEC"/>
            </w:tcBorders>
          </w:tcPr>
          <w:p>
            <w:pPr>
              <w:spacing w:after="0"/>
              <w:rPr>
                <w:sz w:val="9"/>
                <w:szCs w:val="9"/>
                <w:color w:val="auto"/>
              </w:rPr>
            </w:pPr>
          </w:p>
        </w:tc>
        <w:tc>
          <w:tcPr>
            <w:tcW w:w="1560" w:type="dxa"/>
            <w:vAlign w:val="bottom"/>
            <w:tcBorders>
              <w:bottom w:val="single" w:sz="8" w:color="EBEBEC"/>
            </w:tcBorders>
          </w:tcPr>
          <w:p>
            <w:pPr>
              <w:spacing w:after="0"/>
              <w:rPr>
                <w:sz w:val="9"/>
                <w:szCs w:val="9"/>
                <w:color w:val="auto"/>
              </w:rPr>
            </w:pPr>
          </w:p>
        </w:tc>
        <w:tc>
          <w:tcPr>
            <w:tcW w:w="6780" w:type="dxa"/>
            <w:vAlign w:val="bottom"/>
            <w:tcBorders>
              <w:bottom w:val="single" w:sz="8" w:color="EBEBEC"/>
            </w:tcBorders>
          </w:tcPr>
          <w:p>
            <w:pPr>
              <w:spacing w:after="0"/>
              <w:rPr>
                <w:sz w:val="9"/>
                <w:szCs w:val="9"/>
                <w:color w:val="auto"/>
              </w:rPr>
            </w:pPr>
          </w:p>
        </w:tc>
      </w:tr>
      <w:tr>
        <w:trPr>
          <w:trHeight w:val="284"/>
        </w:trPr>
        <w:tc>
          <w:tcPr>
            <w:tcW w:w="1000" w:type="dxa"/>
            <w:vAlign w:val="bottom"/>
          </w:tcPr>
          <w:p>
            <w:pPr>
              <w:jc w:val="right"/>
              <w:ind w:right="272"/>
              <w:spacing w:after="0"/>
              <w:rPr>
                <w:sz w:val="20"/>
                <w:szCs w:val="20"/>
                <w:color w:val="auto"/>
              </w:rPr>
            </w:pPr>
            <w:r>
              <w:rPr>
                <w:rFonts w:ascii="Arial" w:cs="Arial" w:eastAsia="Arial" w:hAnsi="Arial"/>
                <w:sz w:val="18"/>
                <w:szCs w:val="18"/>
                <w:color w:val="auto"/>
              </w:rPr>
              <w:t>4.</w:t>
            </w:r>
          </w:p>
        </w:tc>
        <w:tc>
          <w:tcPr>
            <w:tcW w:w="1560" w:type="dxa"/>
            <w:vAlign w:val="bottom"/>
          </w:tcPr>
          <w:p>
            <w:pPr>
              <w:ind w:left="340"/>
              <w:spacing w:after="0"/>
              <w:rPr>
                <w:sz w:val="20"/>
                <w:szCs w:val="20"/>
                <w:color w:val="auto"/>
              </w:rPr>
            </w:pPr>
            <w:r>
              <w:rPr>
                <w:rFonts w:ascii="Arial" w:cs="Arial" w:eastAsia="Arial" w:hAnsi="Arial"/>
                <w:sz w:val="18"/>
                <w:szCs w:val="18"/>
                <w:color w:val="auto"/>
              </w:rPr>
              <w:t>Proposal 4</w:t>
            </w:r>
          </w:p>
        </w:tc>
        <w:tc>
          <w:tcPr>
            <w:tcW w:w="6780" w:type="dxa"/>
            <w:vAlign w:val="bottom"/>
          </w:tcPr>
          <w:p>
            <w:pPr>
              <w:ind w:left="380"/>
              <w:spacing w:after="0"/>
              <w:rPr>
                <w:sz w:val="20"/>
                <w:szCs w:val="20"/>
                <w:color w:val="auto"/>
              </w:rPr>
            </w:pPr>
            <w:r>
              <w:rPr>
                <w:rFonts w:ascii="Arial" w:cs="Arial" w:eastAsia="Arial" w:hAnsi="Arial"/>
                <w:sz w:val="18"/>
                <w:szCs w:val="18"/>
                <w:color w:val="auto"/>
              </w:rPr>
              <w:t>Advisory vote on the frequency of future stockholder advisory votes to approve</w:t>
            </w:r>
          </w:p>
        </w:tc>
      </w:tr>
      <w:tr>
        <w:trPr>
          <w:trHeight w:val="212"/>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80"/>
              <w:spacing w:after="0"/>
              <w:rPr>
                <w:sz w:val="20"/>
                <w:szCs w:val="20"/>
                <w:color w:val="auto"/>
              </w:rPr>
            </w:pPr>
            <w:r>
              <w:rPr>
                <w:rFonts w:ascii="Arial" w:cs="Arial" w:eastAsia="Arial" w:hAnsi="Arial"/>
                <w:sz w:val="18"/>
                <w:szCs w:val="18"/>
                <w:color w:val="auto"/>
              </w:rPr>
              <w:t>named executive officer compensation</w:t>
            </w:r>
          </w:p>
        </w:tc>
      </w:tr>
      <w:tr>
        <w:trPr>
          <w:trHeight w:val="67"/>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0075C9"/>
        </w:rPr>
        <w:t>FOR</w:t>
      </w:r>
    </w:p>
    <w:p>
      <w:pPr>
        <w:spacing w:after="0" w:line="37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0075C9"/>
        </w:rPr>
        <w:t>FOR</w:t>
      </w:r>
    </w:p>
    <w:p>
      <w:pPr>
        <w:spacing w:after="0" w:line="37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0075C9"/>
        </w:rPr>
        <w:t>FOR</w:t>
      </w:r>
    </w:p>
    <w:p>
      <w:pPr>
        <w:spacing w:after="0" w:line="217"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0075C9"/>
        </w:rPr>
        <w:t>ANNUAL</w:t>
      </w:r>
    </w:p>
    <w:p>
      <w:pPr>
        <w:spacing w:after="0" w:line="495" w:lineRule="exact"/>
        <w:rPr>
          <w:sz w:val="20"/>
          <w:szCs w:val="20"/>
          <w:color w:val="auto"/>
        </w:rPr>
      </w:pPr>
    </w:p>
    <w:p>
      <w:pPr>
        <w:sectPr>
          <w:pgSz w:w="11900" w:h="16838" w:orient="portrait"/>
          <w:cols w:equalWidth="0" w:num="2">
            <w:col w:w="9340" w:space="640"/>
            <w:col w:w="1300"/>
          </w:cols>
          <w:pgMar w:left="320" w:top="382" w:right="299" w:bottom="1440" w:gutter="0" w:footer="0" w:header="0"/>
          <w:type w:val="continuous"/>
        </w:sectPr>
      </w:pPr>
    </w:p>
    <w:p>
      <w:pPr>
        <w:spacing w:after="0" w:line="38"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0075C9"/>
        </w:rPr>
        <w:t>Restructuring of Company</w:t>
      </w:r>
    </w:p>
    <w:p>
      <w:pPr>
        <w:spacing w:after="0" w:line="10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On July 15, 2020, to address an unsustainable debt burden given the prevailing commodity markets at the time, the Company filed a voluntary petition for relief under Chapter 11 of the United States Bankruptcy Code. In conjunction with that bankruptcy filing, CRC entered into a Restructuring Support Agreement with a large majority of its creditors.</w:t>
      </w:r>
    </w:p>
    <w:p>
      <w:pPr>
        <w:spacing w:after="0" w:line="200" w:lineRule="exact"/>
        <w:rPr>
          <w:sz w:val="20"/>
          <w:szCs w:val="20"/>
          <w:color w:val="auto"/>
        </w:rPr>
      </w:pPr>
    </w:p>
    <w:p>
      <w:pPr>
        <w:jc w:val="right"/>
        <w:ind w:right="40"/>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80"/>
          </w:cols>
          <w:pgMar w:left="320" w:top="382" w:right="299" w:bottom="1440" w:gutter="0" w:footer="0" w:header="0"/>
          <w:type w:val="continuous"/>
        </w:sectPr>
      </w:pPr>
    </w:p>
    <w:bookmarkStart w:id="8" w:name="page9"/>
    <w:bookmarkEnd w:id="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31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October 27, 2020, CRC completed its financial restructuring and emerged from the bankruptcy process with a strong balance sheet and a new Board of Directors. CRC’s Joint Plan of Reorganization (the “Plan”) in its Chapter 11 case cancelled pre-existing debt, consolidated CRC’s ownership in the Elk Hills power plant and cryogenic gas plant, and provided for payment in full of all valid and undisputed trade and contingent claims in the ordinary course of business.</w:t>
      </w:r>
    </w:p>
    <w:p>
      <w:pPr>
        <w:spacing w:after="0" w:line="9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Pursuant to the Plan, the following directors ceased to serve on the Board as of the emergence date: William E. Albrecht, Justin A. Gannon, Harry T. McMahon, Richard W. Moncrief, Avedick B. Poladian, Anita M. Powers, Laurie A. Siegel and Robert V. Sinnott.</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 of the emergence date, the Company’s Board consisted of eight members, including the following seven members who were appointed as of that date: Douglas E. Brooks, Tiffany (TJ) Thom Cepak, James N. Chapman, Mark A. (Mac) McFarland, Julio M. Quintana, William B. Roby and Brian Steck. Todd A. Stevens, the chief executive officer of the Company at that time, continued to serve on the Board.</w:t>
      </w:r>
    </w:p>
    <w:p>
      <w:pPr>
        <w:spacing w:after="0" w:line="9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On December 31, 2020, Mr. Stevens left the Company and Board of Directors, and the Board appointed Mr. McFarland to act as Interim Chief Executive Officer and initiated a search process for the Company’s next chief executive officer. At the conclusion of the CEO search process on March 22, 2021, the Board appointed Mr. McFarland as President and Chief Executive Officer on a permanent basis in addition to his role as Chairman.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0075C9"/>
        </w:rPr>
        <w:t>Directors</w:t>
      </w:r>
    </w:p>
    <w:p>
      <w:pPr>
        <w:spacing w:after="0" w:line="8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The Board of Directors is comprised of six independent directors, plus our Chairman, President and Chief Executive Officer (“ </w:t>
      </w:r>
      <w:r>
        <w:rPr>
          <w:rFonts w:ascii="Arial" w:cs="Arial" w:eastAsia="Arial" w:hAnsi="Arial"/>
          <w:sz w:val="18"/>
          <w:szCs w:val="18"/>
          <w:b w:val="1"/>
          <w:bCs w:val="1"/>
          <w:color w:val="auto"/>
        </w:rPr>
        <w:t>CEO</w:t>
      </w:r>
      <w:r>
        <w:rPr>
          <w:rFonts w:ascii="Arial" w:cs="Arial" w:eastAsia="Arial" w:hAnsi="Arial"/>
          <w:sz w:val="18"/>
          <w:szCs w:val="18"/>
          <w:color w:val="auto"/>
        </w:rPr>
        <w:t>”). The following table provides summary information about each director and whether the Board of Directors considers each director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 Each director is elected by a plurality of votes cast.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0075C9"/>
              </w:rPr>
              <w:t>Director</w:t>
            </w:r>
          </w:p>
        </w:tc>
        <w:tc>
          <w:tcPr>
            <w:tcW w:w="1140" w:type="dxa"/>
            <w:vAlign w:val="bottom"/>
            <w:shd w:val="clear" w:color="auto" w:fill="0075C9"/>
          </w:tcPr>
          <w:p>
            <w:pPr>
              <w:spacing w:after="0"/>
              <w:rPr>
                <w:sz w:val="19"/>
                <w:szCs w:val="19"/>
                <w:color w:val="auto"/>
              </w:rPr>
            </w:pPr>
          </w:p>
        </w:tc>
        <w:tc>
          <w:tcPr>
            <w:tcW w:w="2260" w:type="dxa"/>
            <w:vAlign w:val="bottom"/>
            <w:gridSpan w:val="2"/>
            <w:shd w:val="clear" w:color="auto" w:fill="0075C9"/>
          </w:tcPr>
          <w:p>
            <w:pPr>
              <w:ind w:left="780"/>
              <w:spacing w:after="0"/>
              <w:rPr>
                <w:sz w:val="20"/>
                <w:szCs w:val="20"/>
                <w:color w:val="auto"/>
              </w:rPr>
            </w:pPr>
            <w:r>
              <w:rPr>
                <w:rFonts w:ascii="Arial" w:cs="Arial" w:eastAsia="Arial" w:hAnsi="Arial"/>
                <w:sz w:val="12"/>
                <w:szCs w:val="12"/>
                <w:b w:val="1"/>
                <w:bCs w:val="1"/>
                <w:color w:val="FFFFFF"/>
              </w:rPr>
              <w:t>Committees</w:t>
            </w:r>
          </w:p>
        </w:tc>
        <w:tc>
          <w:tcPr>
            <w:tcW w:w="1160" w:type="dxa"/>
            <w:vAlign w:val="bottom"/>
            <w:shd w:val="clear" w:color="auto" w:fill="0075C9"/>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0075C9"/>
                <w:w w:val="97"/>
              </w:rPr>
              <w:t>Nominating &amp;</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0075C9"/>
              </w:rPr>
              <w:t>Operations &amp;</w:t>
            </w:r>
          </w:p>
        </w:tc>
        <w:tc>
          <w:tcPr>
            <w:tcW w:w="0" w:type="dxa"/>
            <w:vAlign w:val="bottom"/>
          </w:tcPr>
          <w:p>
            <w:pPr>
              <w:spacing w:after="0"/>
              <w:rPr>
                <w:sz w:val="1"/>
                <w:szCs w:val="1"/>
                <w:color w:val="auto"/>
              </w:rPr>
            </w:pPr>
          </w:p>
        </w:tc>
      </w:tr>
      <w:tr>
        <w:trPr>
          <w:trHeight w:val="152"/>
        </w:trPr>
        <w:tc>
          <w:tcPr>
            <w:tcW w:w="194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0075C9"/>
              </w:rPr>
              <w:t>Director</w:t>
            </w:r>
          </w:p>
        </w:tc>
        <w:tc>
          <w:tcPr>
            <w:tcW w:w="2340" w:type="dxa"/>
            <w:vAlign w:val="bottom"/>
            <w:tcBorders>
              <w:bottom w:val="single" w:sz="8" w:color="0075C9"/>
            </w:tcBorders>
          </w:tcPr>
          <w:p>
            <w:pPr>
              <w:ind w:left="960"/>
              <w:spacing w:after="0"/>
              <w:rPr>
                <w:sz w:val="20"/>
                <w:szCs w:val="20"/>
                <w:color w:val="auto"/>
              </w:rPr>
            </w:pPr>
            <w:r>
              <w:rPr>
                <w:rFonts w:ascii="Arial" w:cs="Arial" w:eastAsia="Arial" w:hAnsi="Arial"/>
                <w:sz w:val="12"/>
                <w:szCs w:val="12"/>
                <w:b w:val="1"/>
                <w:bCs w:val="1"/>
                <w:color w:val="0075C9"/>
              </w:rPr>
              <w:t>Positions</w:t>
            </w:r>
          </w:p>
        </w:tc>
        <w:tc>
          <w:tcPr>
            <w:tcW w:w="5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Age</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Independent</w:t>
            </w:r>
          </w:p>
        </w:tc>
        <w:tc>
          <w:tcPr>
            <w:tcW w:w="7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Since</w:t>
            </w:r>
          </w:p>
        </w:tc>
        <w:tc>
          <w:tcPr>
            <w:tcW w:w="11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Audit</w:t>
            </w:r>
          </w:p>
        </w:tc>
        <w:tc>
          <w:tcPr>
            <w:tcW w:w="11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Compensation</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Governance</w:t>
            </w:r>
          </w:p>
        </w:tc>
        <w:tc>
          <w:tcPr>
            <w:tcW w:w="11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Sustainability</w:t>
            </w:r>
          </w:p>
        </w:tc>
        <w:tc>
          <w:tcPr>
            <w:tcW w:w="0" w:type="dxa"/>
            <w:vAlign w:val="bottom"/>
          </w:tcPr>
          <w:p>
            <w:pPr>
              <w:spacing w:after="0"/>
              <w:rPr>
                <w:sz w:val="1"/>
                <w:szCs w:val="1"/>
                <w:color w:val="auto"/>
              </w:rPr>
            </w:pPr>
          </w:p>
        </w:tc>
      </w:tr>
      <w:tr>
        <w:trPr>
          <w:trHeight w:val="15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Douglas E. Brooks</w:t>
            </w:r>
          </w:p>
        </w:tc>
        <w:tc>
          <w:tcPr>
            <w:tcW w:w="2340" w:type="dxa"/>
            <w:vAlign w:val="bottom"/>
            <w:shd w:val="clear" w:color="auto" w:fill="EBEBEC"/>
          </w:tcPr>
          <w:p>
            <w:pPr>
              <w:spacing w:after="0"/>
              <w:rPr>
                <w:sz w:val="13"/>
                <w:szCs w:val="13"/>
                <w:color w:val="auto"/>
              </w:rPr>
            </w:pP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62</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spacing w:after="0"/>
              <w:rPr>
                <w:sz w:val="13"/>
                <w:szCs w:val="13"/>
                <w:color w:val="auto"/>
              </w:rPr>
            </w:pPr>
          </w:p>
        </w:tc>
        <w:tc>
          <w:tcPr>
            <w:tcW w:w="1160" w:type="dxa"/>
            <w:vAlign w:val="bottom"/>
            <w:shd w:val="clear" w:color="auto" w:fill="EBEBEC"/>
          </w:tcPr>
          <w:p>
            <w:pPr>
              <w:spacing w:after="0"/>
              <w:rPr>
                <w:sz w:val="13"/>
                <w:szCs w:val="13"/>
                <w:color w:val="auto"/>
              </w:rPr>
            </w:pP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Tiffany (TJ) Thom Cepak</w:t>
            </w:r>
          </w:p>
        </w:tc>
        <w:tc>
          <w:tcPr>
            <w:tcW w:w="2340" w:type="dxa"/>
            <w:vAlign w:val="bottom"/>
            <w:shd w:val="clear" w:color="auto" w:fill="EBEBEC"/>
          </w:tcPr>
          <w:p>
            <w:pPr>
              <w:spacing w:after="0"/>
              <w:rPr>
                <w:sz w:val="14"/>
                <w:szCs w:val="14"/>
                <w:color w:val="auto"/>
              </w:rPr>
            </w:pP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48</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6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James N. Chapman</w:t>
            </w:r>
          </w:p>
        </w:tc>
        <w:tc>
          <w:tcPr>
            <w:tcW w:w="2340" w:type="dxa"/>
            <w:vAlign w:val="bottom"/>
            <w:shd w:val="clear" w:color="auto" w:fill="EBEBEC"/>
          </w:tcPr>
          <w:p>
            <w:pPr>
              <w:ind w:left="140"/>
              <w:spacing w:after="0"/>
              <w:rPr>
                <w:sz w:val="20"/>
                <w:szCs w:val="20"/>
                <w:color w:val="auto"/>
              </w:rPr>
            </w:pPr>
            <w:r>
              <w:rPr>
                <w:rFonts w:ascii="Arial" w:cs="Arial" w:eastAsia="Arial" w:hAnsi="Arial"/>
                <w:sz w:val="13"/>
                <w:szCs w:val="13"/>
                <w:color w:val="auto"/>
              </w:rPr>
              <w:t>Lead Independent Director</w:t>
            </w: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58</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spacing w:after="0"/>
              <w:rPr>
                <w:sz w:val="14"/>
                <w:szCs w:val="14"/>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Mark A. (Mac) McFarland</w:t>
            </w:r>
          </w:p>
        </w:tc>
        <w:tc>
          <w:tcPr>
            <w:tcW w:w="2340" w:type="dxa"/>
            <w:vAlign w:val="bottom"/>
            <w:shd w:val="clear" w:color="auto" w:fill="EBEBEC"/>
          </w:tcPr>
          <w:p>
            <w:pPr>
              <w:ind w:left="140"/>
              <w:spacing w:after="0"/>
              <w:rPr>
                <w:sz w:val="20"/>
                <w:szCs w:val="20"/>
                <w:color w:val="auto"/>
              </w:rPr>
            </w:pPr>
            <w:r>
              <w:rPr>
                <w:rFonts w:ascii="Arial" w:cs="Arial" w:eastAsia="Arial" w:hAnsi="Arial"/>
                <w:sz w:val="13"/>
                <w:szCs w:val="13"/>
                <w:color w:val="auto"/>
              </w:rPr>
              <w:t>Chairman, President &amp; CEO</w:t>
            </w: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51</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No</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Julio M. Quintana</w:t>
            </w:r>
          </w:p>
        </w:tc>
        <w:tc>
          <w:tcPr>
            <w:tcW w:w="2340" w:type="dxa"/>
            <w:vAlign w:val="bottom"/>
            <w:shd w:val="clear" w:color="auto" w:fill="EBEBEC"/>
          </w:tcPr>
          <w:p>
            <w:pPr>
              <w:spacing w:after="0"/>
              <w:rPr>
                <w:sz w:val="14"/>
                <w:szCs w:val="14"/>
                <w:color w:val="auto"/>
              </w:rPr>
            </w:pP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61</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William B. Roby</w:t>
            </w:r>
          </w:p>
        </w:tc>
        <w:tc>
          <w:tcPr>
            <w:tcW w:w="2340" w:type="dxa"/>
            <w:vAlign w:val="bottom"/>
            <w:shd w:val="clear" w:color="auto" w:fill="EBEBEC"/>
          </w:tcPr>
          <w:p>
            <w:pPr>
              <w:spacing w:after="0"/>
              <w:rPr>
                <w:sz w:val="14"/>
                <w:szCs w:val="14"/>
                <w:color w:val="auto"/>
              </w:rPr>
            </w:pP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61</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spacing w:after="0"/>
              <w:rPr>
                <w:sz w:val="14"/>
                <w:szCs w:val="14"/>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72"/>
        </w:trPr>
        <w:tc>
          <w:tcPr>
            <w:tcW w:w="1940" w:type="dxa"/>
            <w:vAlign w:val="bottom"/>
            <w:shd w:val="clear" w:color="auto" w:fill="EBEBEC"/>
          </w:tcPr>
          <w:p>
            <w:pPr>
              <w:spacing w:after="0"/>
              <w:rPr>
                <w:sz w:val="20"/>
                <w:szCs w:val="20"/>
                <w:color w:val="auto"/>
              </w:rPr>
            </w:pPr>
            <w:r>
              <w:rPr>
                <w:rFonts w:ascii="Arial" w:cs="Arial" w:eastAsia="Arial" w:hAnsi="Arial"/>
                <w:sz w:val="13"/>
                <w:szCs w:val="13"/>
                <w:color w:val="auto"/>
              </w:rPr>
              <w:t>Brian Steck</w:t>
            </w:r>
          </w:p>
        </w:tc>
        <w:tc>
          <w:tcPr>
            <w:tcW w:w="2340" w:type="dxa"/>
            <w:vAlign w:val="bottom"/>
            <w:shd w:val="clear" w:color="auto" w:fill="EBEBEC"/>
          </w:tcPr>
          <w:p>
            <w:pPr>
              <w:spacing w:after="0"/>
              <w:rPr>
                <w:sz w:val="14"/>
                <w:szCs w:val="14"/>
                <w:color w:val="auto"/>
              </w:rPr>
            </w:pPr>
          </w:p>
        </w:tc>
        <w:tc>
          <w:tcPr>
            <w:tcW w:w="58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53</w:t>
            </w:r>
          </w:p>
        </w:tc>
        <w:tc>
          <w:tcPr>
            <w:tcW w:w="104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40" w:type="dxa"/>
            <w:vAlign w:val="bottom"/>
            <w:shd w:val="clear" w:color="auto" w:fill="EBEBEC"/>
          </w:tcPr>
          <w:p>
            <w:pPr>
              <w:spacing w:after="0"/>
              <w:rPr>
                <w:sz w:val="14"/>
                <w:szCs w:val="14"/>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-217805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-327660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-436880</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-546100</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-655320</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0075C9"/>
        </w:rPr>
        <w:t>Corporate Governance Highlights</w:t>
      </w:r>
    </w:p>
    <w:p>
      <w:pPr>
        <w:spacing w:after="0" w:line="87" w:lineRule="exact"/>
        <w:rPr>
          <w:sz w:val="20"/>
          <w:szCs w:val="20"/>
          <w:color w:val="auto"/>
        </w:rPr>
      </w:pPr>
    </w:p>
    <w:p>
      <w:pPr>
        <w:ind w:left="620" w:right="300" w:hanging="402"/>
        <w:spacing w:after="0" w:line="261"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i w:val="1"/>
          <w:iCs w:val="1"/>
          <w:color w:val="0081C6"/>
        </w:rPr>
        <w:t>Recently Enhanced</w:t>
      </w:r>
      <w:r>
        <w:rPr>
          <w:rFonts w:ascii="Arial" w:cs="Arial" w:eastAsia="Arial" w:hAnsi="Arial"/>
          <w:sz w:val="18"/>
          <w:szCs w:val="18"/>
          <w:color w:val="0081C6"/>
        </w:rPr>
        <w:t>:</w:t>
      </w:r>
      <w:r>
        <w:rPr>
          <w:rFonts w:ascii="Arial" w:cs="Arial" w:eastAsia="Arial" w:hAnsi="Arial"/>
          <w:sz w:val="18"/>
          <w:szCs w:val="18"/>
          <w:b w:val="1"/>
          <w:bCs w:val="1"/>
          <w:i w:val="1"/>
          <w:iCs w:val="1"/>
          <w:color w:val="0081C6"/>
        </w:rPr>
        <w:t xml:space="preserve"> </w:t>
      </w:r>
      <w:r>
        <w:rPr>
          <w:rFonts w:ascii="Arial" w:cs="Arial" w:eastAsia="Arial" w:hAnsi="Arial"/>
          <w:sz w:val="18"/>
          <w:szCs w:val="18"/>
          <w:b w:val="1"/>
          <w:bCs w:val="1"/>
          <w:color w:val="000000"/>
        </w:rPr>
        <w:t>Supermajority votes.</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As part of our emergence from bankruptcy, our Bylaws were revised to reduce the prior</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supermajority voting threshold to amend the Bylaws to a majority vote.</w:t>
      </w:r>
    </w:p>
    <w:p>
      <w:pPr>
        <w:spacing w:after="0" w:line="53" w:lineRule="exact"/>
        <w:rPr>
          <w:rFonts w:ascii="MS PGothic" w:cs="MS PGothic" w:eastAsia="MS PGothic" w:hAnsi="MS PGothic"/>
          <w:sz w:val="18"/>
          <w:szCs w:val="18"/>
          <w:color w:val="0075C9"/>
        </w:rPr>
      </w:pPr>
    </w:p>
    <w:p>
      <w:pPr>
        <w:ind w:left="620" w:right="620" w:hanging="402"/>
        <w:spacing w:after="0" w:line="261"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6 out of 7 Board members are independent. </w:t>
      </w:r>
      <w:r>
        <w:rPr>
          <w:rFonts w:ascii="Arial" w:cs="Arial" w:eastAsia="Arial" w:hAnsi="Arial"/>
          <w:sz w:val="18"/>
          <w:szCs w:val="18"/>
          <w:color w:val="auto"/>
        </w:rPr>
        <w:t>The Board has determined 6 out of 7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w:t>
      </w:r>
    </w:p>
    <w:p>
      <w:pPr>
        <w:spacing w:after="0" w:line="53" w:lineRule="exact"/>
        <w:rPr>
          <w:rFonts w:ascii="MS PGothic" w:cs="MS PGothic" w:eastAsia="MS PGothic" w:hAnsi="MS PGothic"/>
          <w:sz w:val="18"/>
          <w:szCs w:val="18"/>
          <w:color w:val="0075C9"/>
        </w:rPr>
      </w:pPr>
    </w:p>
    <w:p>
      <w:pPr>
        <w:ind w:left="620" w:right="200" w:hanging="402"/>
        <w:spacing w:after="0" w:line="261"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In response to feedback in prior years, our Insider Trading Policy specifically addresses the</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or pledging of our securities.</w:t>
      </w:r>
    </w:p>
    <w:p>
      <w:pPr>
        <w:spacing w:after="0" w:line="53" w:lineRule="exact"/>
        <w:rPr>
          <w:rFonts w:ascii="MS PGothic" w:cs="MS PGothic" w:eastAsia="MS PGothic" w:hAnsi="MS PGothic"/>
          <w:sz w:val="18"/>
          <w:szCs w:val="18"/>
          <w:color w:val="0075C9"/>
        </w:rPr>
      </w:pPr>
    </w:p>
    <w:p>
      <w:pPr>
        <w:ind w:left="620" w:right="360" w:hanging="402"/>
        <w:spacing w:after="0" w:line="261"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who are currently sitting CEOs of public companies from serving on</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two other public company boards without approval, subject to a related company analysis, as applicable.</w:t>
      </w:r>
    </w:p>
    <w:p>
      <w:pPr>
        <w:spacing w:after="0" w:line="53" w:lineRule="exact"/>
        <w:rPr>
          <w:rFonts w:ascii="MS PGothic" w:cs="MS PGothic" w:eastAsia="MS PGothic" w:hAnsi="MS PGothic"/>
          <w:sz w:val="18"/>
          <w:szCs w:val="18"/>
          <w:color w:val="0075C9"/>
        </w:rPr>
      </w:pPr>
    </w:p>
    <w:p>
      <w:pPr>
        <w:ind w:left="620" w:right="80" w:hanging="402"/>
        <w:spacing w:after="0" w:line="261"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programs.</w:t>
      </w:r>
    </w:p>
    <w:p>
      <w:pPr>
        <w:spacing w:after="0" w:line="53" w:lineRule="exact"/>
        <w:rPr>
          <w:rFonts w:ascii="MS PGothic" w:cs="MS PGothic" w:eastAsia="MS PGothic" w:hAnsi="MS PGothic"/>
          <w:sz w:val="18"/>
          <w:szCs w:val="18"/>
          <w:color w:val="0075C9"/>
        </w:rPr>
      </w:pPr>
    </w:p>
    <w:p>
      <w:pPr>
        <w:ind w:left="620" w:hanging="402"/>
        <w:spacing w:after="0"/>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11" w:lineRule="exact"/>
        <w:rPr>
          <w:rFonts w:ascii="MS PGothic" w:cs="MS PGothic" w:eastAsia="MS PGothic" w:hAnsi="MS PGothic"/>
          <w:sz w:val="18"/>
          <w:szCs w:val="18"/>
          <w:color w:val="0075C9"/>
        </w:rPr>
      </w:pPr>
    </w:p>
    <w:p>
      <w:pPr>
        <w:ind w:left="620" w:right="60" w:hanging="402"/>
        <w:spacing w:after="0" w:line="246"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Our Audit, Compensation, and Nominating and Governance committees are made up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Each standing committee operates under a written charter that has been approved by the Board and is available to stockholders.</w:t>
      </w:r>
    </w:p>
    <w:p>
      <w:pPr>
        <w:spacing w:after="0" w:line="19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88" w:lineRule="exact"/>
        <w:rPr>
          <w:sz w:val="20"/>
          <w:szCs w:val="20"/>
          <w:color w:val="auto"/>
        </w:rPr>
      </w:pPr>
    </w:p>
    <w:p>
      <w:pPr>
        <w:ind w:left="620" w:hanging="402"/>
        <w:spacing w:after="0"/>
        <w:tabs>
          <w:tab w:leader="none" w:pos="62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Each committee has the authority to retain independent advisors.</w:t>
      </w:r>
    </w:p>
    <w:p>
      <w:pPr>
        <w:spacing w:after="0" w:line="111" w:lineRule="exact"/>
        <w:rPr>
          <w:rFonts w:ascii="MS PGothic" w:cs="MS PGothic" w:eastAsia="MS PGothic" w:hAnsi="MS PGothic"/>
          <w:sz w:val="18"/>
          <w:szCs w:val="18"/>
          <w:color w:val="0075C9"/>
        </w:rPr>
      </w:pPr>
    </w:p>
    <w:p>
      <w:pPr>
        <w:ind w:left="620" w:right="400" w:hanging="402"/>
        <w:spacing w:after="0" w:line="261" w:lineRule="auto"/>
        <w:tabs>
          <w:tab w:leader="none" w:pos="62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2020,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53" w:lineRule="exact"/>
        <w:rPr>
          <w:rFonts w:ascii="MS PGothic" w:cs="MS PGothic" w:eastAsia="MS PGothic" w:hAnsi="MS PGothic"/>
          <w:sz w:val="18"/>
          <w:szCs w:val="18"/>
          <w:color w:val="0075C9"/>
        </w:rPr>
      </w:pPr>
    </w:p>
    <w:p>
      <w:pPr>
        <w:ind w:left="620" w:hanging="402"/>
        <w:spacing w:after="0"/>
        <w:tabs>
          <w:tab w:leader="none" w:pos="62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No stockholder rights plan (“poison pill”) in effect.</w:t>
      </w:r>
    </w:p>
    <w:p>
      <w:pPr>
        <w:spacing w:after="0" w:line="111" w:lineRule="exact"/>
        <w:rPr>
          <w:rFonts w:ascii="MS PGothic" w:cs="MS PGothic" w:eastAsia="MS PGothic" w:hAnsi="MS PGothic"/>
          <w:sz w:val="18"/>
          <w:szCs w:val="18"/>
          <w:color w:val="0075C9"/>
        </w:rPr>
      </w:pPr>
    </w:p>
    <w:p>
      <w:pPr>
        <w:ind w:left="620" w:right="180" w:hanging="402"/>
        <w:spacing w:after="0" w:line="261" w:lineRule="auto"/>
        <w:tabs>
          <w:tab w:leader="none" w:pos="62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performance.</w:t>
      </w:r>
    </w:p>
    <w:p>
      <w:pPr>
        <w:spacing w:after="0" w:line="53" w:lineRule="exact"/>
        <w:rPr>
          <w:rFonts w:ascii="MS PGothic" w:cs="MS PGothic" w:eastAsia="MS PGothic" w:hAnsi="MS PGothic"/>
          <w:sz w:val="18"/>
          <w:szCs w:val="18"/>
          <w:color w:val="0075C9"/>
        </w:rPr>
      </w:pPr>
    </w:p>
    <w:p>
      <w:pPr>
        <w:ind w:left="620" w:right="700" w:hanging="402"/>
        <w:spacing w:after="0" w:line="261" w:lineRule="auto"/>
        <w:tabs>
          <w:tab w:leader="none" w:pos="62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Program Highlights</w:t>
      </w:r>
    </w:p>
    <w:p>
      <w:pPr>
        <w:spacing w:after="0" w:line="109"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COVID-19 pandemic, beginning in March 2020, the Former Compensation Committee (as defined below) reviewed the annual and long-term incentive programs to determine whether those programs appropriately aligned compensation opportunities with the Company’s then current goals and ensured the stability of the Company’s workforce. Following this review, in May 2020, the Former Compensation Committee approved changing the incentive compensation program for the organization, including the NEOs, to an all cash program consisting of a Retention Bonus Award and a Quarterly Incentive Award.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Following our emergence from the bankruptcy process, our New Compensation Committee (as defined below) immediately began setting</w:t>
      </w:r>
    </w:p>
    <w:p>
      <w:pPr>
        <w:ind w:right="1180" w:firstLine="6"/>
        <w:spacing w:after="0" w:line="238" w:lineRule="auto"/>
        <w:tabs>
          <w:tab w:leader="none" w:pos="154"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course for our post-emergence compensation program, reinstituting long-term performance equity awards in line with compensation best practices and good governance policies.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Program Practices</w:t>
      </w:r>
    </w:p>
    <w:p>
      <w:pPr>
        <w:spacing w:after="0" w:line="109"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going forward from our emergence from bankruptcy by our New Compensation Committee. Prior to our restructuring in 2020, our annual incentive awards and long-term incentive plans were performance-based and intended to align with the long-term best interests of stockholders and retain our management team. During the first half of 2020, our Former Compensation Committee changed our compensation programs to address the challenging environment and impending restructuring, including the elimination of long -term incentives for 2020 due to the diminished value of the Company’s stock. Now that we have emerged from the bankruptcy process, our New Compensation Committee has taken action to realign our executive compensation program with our new stockholders’ interests and with best practices and good governance policies.</w:t>
      </w:r>
    </w:p>
    <w:p>
      <w:pPr>
        <w:spacing w:after="0" w:line="20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1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New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143510</wp:posOffset>
            </wp:positionV>
            <wp:extent cx="5469255" cy="5788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69255" cy="578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0075C9"/>
        </w:rPr>
        <w:t>Our Board of Directors</w:t>
      </w:r>
    </w:p>
    <w:p>
      <w:pPr>
        <w:spacing w:after="0" w:line="175"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Our Board of Directors has nominated seven directors for election at the 2021 Annual Meeting. All of our nominees currently serve as CRC directors. Each nominee has agreed to serve another term, if elected.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Our Board exhibits an effective mix of diversity, perspective, skills and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biographical information regarding each of our directors. There are no family relationships between any of our directors and executive officers. Pursuant to the Restructuring Support Agreement, the New Board was initially selected by certain of our creditors and a noncontrolling interest holder upon our emergence from bankruptcy in October 2020. There are no ongoing arrangements or understandings between any of our executive officers or directors and any other person pursuant to which any person will be selected as a director or an executive officer.</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Skills and Qualifications</w:t>
      </w:r>
    </w:p>
    <w:p>
      <w:pPr>
        <w:spacing w:after="0" w:line="15" w:lineRule="exact"/>
        <w:rPr>
          <w:sz w:val="20"/>
          <w:szCs w:val="20"/>
          <w:color w:val="auto"/>
        </w:rPr>
      </w:pPr>
    </w:p>
    <w:tbl>
      <w:tblPr>
        <w:tblLayout w:type="fixed"/>
        <w:tblInd w:w="1330" w:type="dxa"/>
        <w:tblCellMar>
          <w:top w:w="0" w:type="dxa"/>
          <w:left w:w="0" w:type="dxa"/>
          <w:bottom w:w="0" w:type="dxa"/>
          <w:right w:w="0" w:type="dxa"/>
        </w:tblCellMar>
      </w:tblPr>
      <w:tr>
        <w:trPr>
          <w:trHeight w:val="740"/>
        </w:trPr>
        <w:tc>
          <w:tcPr>
            <w:tcW w:w="4240" w:type="dxa"/>
            <w:vAlign w:val="bottom"/>
            <w:tcBorders>
              <w:top w:val="single" w:sz="8" w:color="auto"/>
              <w:left w:val="single" w:sz="8" w:color="auto"/>
              <w:right w:val="single" w:sz="8" w:color="auto"/>
            </w:tcBorders>
          </w:tcPr>
          <w:p>
            <w:pPr>
              <w:spacing w:after="0"/>
              <w:rPr>
                <w:sz w:val="24"/>
                <w:szCs w:val="24"/>
                <w:color w:val="auto"/>
              </w:rPr>
            </w:pPr>
          </w:p>
        </w:tc>
        <w:tc>
          <w:tcPr>
            <w:tcW w:w="620" w:type="dxa"/>
            <w:vAlign w:val="bottom"/>
            <w:tcBorders>
              <w:top w:val="single" w:sz="8" w:color="auto"/>
              <w:right w:val="single" w:sz="8" w:color="auto"/>
            </w:tcBorders>
            <w:vMerge w:val="restart"/>
            <w:shd w:val="clear" w:color="auto" w:fill="F2F2F2"/>
          </w:tcPr>
          <w:p>
            <w:pPr>
              <w:ind w:left="80"/>
              <w:spacing w:after="0"/>
              <w:rPr>
                <w:sz w:val="20"/>
                <w:szCs w:val="20"/>
                <w:color w:val="auto"/>
              </w:rPr>
            </w:pPr>
            <w:r>
              <w:rPr>
                <w:rFonts w:ascii="Arial" w:cs="Arial" w:eastAsia="Arial" w:hAnsi="Arial"/>
                <w:sz w:val="14"/>
                <w:szCs w:val="14"/>
                <w:color w:val="auto"/>
                <w:w w:val="97"/>
              </w:rPr>
              <w:t>Douglas</w:t>
            </w:r>
          </w:p>
        </w:tc>
        <w:tc>
          <w:tcPr>
            <w:tcW w:w="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5"/>
              </w:rPr>
              <w:t>Tiffany</w:t>
            </w:r>
          </w:p>
        </w:tc>
        <w:tc>
          <w:tcPr>
            <w:tcW w:w="720" w:type="dxa"/>
            <w:vAlign w:val="bottom"/>
            <w:tcBorders>
              <w:top w:val="single" w:sz="8" w:color="auto"/>
              <w:right w:val="single" w:sz="8" w:color="auto"/>
            </w:tcBorders>
            <w:shd w:val="clear" w:color="auto" w:fill="F2F2F2"/>
          </w:tcPr>
          <w:p>
            <w:pPr>
              <w:spacing w:after="0"/>
              <w:rPr>
                <w:sz w:val="24"/>
                <w:szCs w:val="24"/>
                <w:color w:val="auto"/>
              </w:rPr>
            </w:pPr>
          </w:p>
        </w:tc>
        <w:tc>
          <w:tcPr>
            <w:tcW w:w="7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color w:val="auto"/>
              </w:rPr>
              <w:t>Mark A.</w:t>
            </w:r>
          </w:p>
        </w:tc>
        <w:tc>
          <w:tcPr>
            <w:tcW w:w="700" w:type="dxa"/>
            <w:vAlign w:val="bottom"/>
            <w:tcBorders>
              <w:top w:val="single" w:sz="8" w:color="auto"/>
              <w:right w:val="single" w:sz="8" w:color="auto"/>
            </w:tcBorders>
            <w:shd w:val="clear" w:color="auto" w:fill="F2F2F2"/>
          </w:tcPr>
          <w:p>
            <w:pPr>
              <w:spacing w:after="0"/>
              <w:rPr>
                <w:sz w:val="24"/>
                <w:szCs w:val="24"/>
                <w:color w:val="auto"/>
              </w:rPr>
            </w:pPr>
          </w:p>
        </w:tc>
        <w:tc>
          <w:tcPr>
            <w:tcW w:w="5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w w:val="97"/>
              </w:rPr>
              <w:t>William</w:t>
            </w:r>
          </w:p>
        </w:tc>
        <w:tc>
          <w:tcPr>
            <w:tcW w:w="480" w:type="dxa"/>
            <w:vAlign w:val="bottom"/>
            <w:tcBorders>
              <w:top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vMerge w:val="continue"/>
            <w:shd w:val="clear" w:color="auto" w:fill="F2F2F2"/>
          </w:tcPr>
          <w:p>
            <w:pPr>
              <w:spacing w:after="0"/>
              <w:rPr>
                <w:sz w:val="11"/>
                <w:szCs w:val="11"/>
                <w:color w:val="auto"/>
              </w:rPr>
            </w:pPr>
          </w:p>
        </w:tc>
        <w:tc>
          <w:tcPr>
            <w:tcW w:w="54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4"/>
                <w:szCs w:val="14"/>
                <w:color w:val="auto"/>
              </w:rPr>
              <w:t>(TJ)</w:t>
            </w:r>
          </w:p>
        </w:tc>
        <w:tc>
          <w:tcPr>
            <w:tcW w:w="720" w:type="dxa"/>
            <w:vAlign w:val="bottom"/>
            <w:tcBorders>
              <w:right w:val="single" w:sz="8" w:color="auto"/>
            </w:tcBorders>
            <w:shd w:val="clear" w:color="auto" w:fill="F2F2F2"/>
          </w:tcPr>
          <w:p>
            <w:pPr>
              <w:ind w:left="80"/>
              <w:spacing w:after="0" w:line="128" w:lineRule="exact"/>
              <w:rPr>
                <w:sz w:val="20"/>
                <w:szCs w:val="20"/>
                <w:color w:val="auto"/>
              </w:rPr>
            </w:pPr>
            <w:r>
              <w:rPr>
                <w:rFonts w:ascii="Arial" w:cs="Arial" w:eastAsia="Arial" w:hAnsi="Arial"/>
                <w:sz w:val="14"/>
                <w:szCs w:val="14"/>
                <w:color w:val="auto"/>
              </w:rPr>
              <w:t>James N.</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shd w:val="clear" w:color="auto" w:fill="F2F2F2"/>
          </w:tcPr>
          <w:p>
            <w:pPr>
              <w:jc w:val="center"/>
              <w:spacing w:after="0" w:line="128" w:lineRule="exact"/>
              <w:rPr>
                <w:sz w:val="20"/>
                <w:szCs w:val="20"/>
                <w:color w:val="auto"/>
              </w:rPr>
            </w:pPr>
            <w:r>
              <w:rPr>
                <w:rFonts w:ascii="Arial" w:cs="Arial" w:eastAsia="Arial" w:hAnsi="Arial"/>
                <w:sz w:val="14"/>
                <w:szCs w:val="14"/>
                <w:color w:val="auto"/>
                <w:w w:val="99"/>
              </w:rPr>
              <w:t>Julio M.</w:t>
            </w:r>
          </w:p>
        </w:tc>
        <w:tc>
          <w:tcPr>
            <w:tcW w:w="560" w:type="dxa"/>
            <w:vAlign w:val="bottom"/>
            <w:tcBorders>
              <w:right w:val="single" w:sz="8" w:color="auto"/>
            </w:tcBorders>
            <w:vMerge w:val="continue"/>
          </w:tcPr>
          <w:p>
            <w:pPr>
              <w:spacing w:after="0"/>
              <w:rPr>
                <w:sz w:val="11"/>
                <w:szCs w:val="11"/>
                <w:color w:val="auto"/>
              </w:rPr>
            </w:pPr>
          </w:p>
        </w:tc>
        <w:tc>
          <w:tcPr>
            <w:tcW w:w="480" w:type="dxa"/>
            <w:vAlign w:val="bottom"/>
            <w:tcBorders>
              <w:right w:val="single" w:sz="8" w:color="auto"/>
            </w:tcBorders>
            <w:shd w:val="clear" w:color="auto" w:fill="F2F2F2"/>
          </w:tcPr>
          <w:p>
            <w:pPr>
              <w:ind w:left="100"/>
              <w:spacing w:after="0" w:line="128" w:lineRule="exact"/>
              <w:rPr>
                <w:sz w:val="20"/>
                <w:szCs w:val="20"/>
                <w:color w:val="auto"/>
              </w:rPr>
            </w:pPr>
            <w:r>
              <w:rPr>
                <w:rFonts w:ascii="Arial" w:cs="Arial" w:eastAsia="Arial" w:hAnsi="Arial"/>
                <w:sz w:val="14"/>
                <w:szCs w:val="14"/>
                <w:color w:val="auto"/>
              </w:rPr>
              <w:t>Brian</w:t>
            </w:r>
          </w:p>
        </w:tc>
        <w:tc>
          <w:tcPr>
            <w:tcW w:w="0" w:type="dxa"/>
            <w:vAlign w:val="bottom"/>
          </w:tcPr>
          <w:p>
            <w:pPr>
              <w:spacing w:after="0"/>
              <w:rPr>
                <w:sz w:val="1"/>
                <w:szCs w:val="1"/>
                <w:color w:val="auto"/>
              </w:rPr>
            </w:pPr>
          </w:p>
        </w:tc>
      </w:tr>
      <w:tr>
        <w:trPr>
          <w:trHeight w:val="111"/>
        </w:trPr>
        <w:tc>
          <w:tcPr>
            <w:tcW w:w="424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shd w:val="clear" w:color="auto" w:fill="F2F2F2"/>
          </w:tcPr>
          <w:p>
            <w:pPr>
              <w:ind w:left="80"/>
              <w:spacing w:after="0" w:line="111" w:lineRule="exact"/>
              <w:rPr>
                <w:sz w:val="20"/>
                <w:szCs w:val="20"/>
                <w:color w:val="auto"/>
              </w:rPr>
            </w:pPr>
            <w:r>
              <w:rPr>
                <w:rFonts w:ascii="Arial" w:cs="Arial" w:eastAsia="Arial" w:hAnsi="Arial"/>
                <w:sz w:val="12"/>
                <w:szCs w:val="12"/>
                <w:color w:val="auto"/>
              </w:rPr>
              <w:t>E.</w:t>
            </w:r>
          </w:p>
        </w:tc>
        <w:tc>
          <w:tcPr>
            <w:tcW w:w="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Thom</w:t>
            </w:r>
          </w:p>
        </w:tc>
        <w:tc>
          <w:tcPr>
            <w:tcW w:w="720" w:type="dxa"/>
            <w:vAlign w:val="bottom"/>
            <w:tcBorders>
              <w:right w:val="single" w:sz="8" w:color="auto"/>
            </w:tcBorders>
            <w:vMerge w:val="restart"/>
            <w:shd w:val="clear" w:color="auto" w:fill="F2F2F2"/>
          </w:tcPr>
          <w:p>
            <w:pPr>
              <w:ind w:left="80"/>
              <w:spacing w:after="0"/>
              <w:rPr>
                <w:sz w:val="20"/>
                <w:szCs w:val="20"/>
                <w:color w:val="auto"/>
              </w:rPr>
            </w:pPr>
            <w:r>
              <w:rPr>
                <w:rFonts w:ascii="Arial" w:cs="Arial" w:eastAsia="Arial" w:hAnsi="Arial"/>
                <w:sz w:val="14"/>
                <w:szCs w:val="14"/>
                <w:color w:val="auto"/>
                <w:w w:val="98"/>
              </w:rPr>
              <w:t>Chapman</w:t>
            </w:r>
          </w:p>
        </w:tc>
        <w:tc>
          <w:tcPr>
            <w:tcW w:w="780" w:type="dxa"/>
            <w:vAlign w:val="bottom"/>
            <w:tcBorders>
              <w:right w:val="single" w:sz="8" w:color="auto"/>
            </w:tcBorders>
          </w:tcPr>
          <w:p>
            <w:pPr>
              <w:ind w:left="100"/>
              <w:spacing w:after="0" w:line="111" w:lineRule="exact"/>
              <w:rPr>
                <w:sz w:val="20"/>
                <w:szCs w:val="20"/>
                <w:color w:val="auto"/>
              </w:rPr>
            </w:pPr>
            <w:r>
              <w:rPr>
                <w:rFonts w:ascii="Arial" w:cs="Arial" w:eastAsia="Arial" w:hAnsi="Arial"/>
                <w:sz w:val="12"/>
                <w:szCs w:val="12"/>
                <w:color w:val="auto"/>
              </w:rPr>
              <w:t>(Mac)</w:t>
            </w:r>
          </w:p>
        </w:tc>
        <w:tc>
          <w:tcPr>
            <w:tcW w:w="700" w:type="dxa"/>
            <w:vAlign w:val="bottom"/>
            <w:tcBorders>
              <w:right w:val="single" w:sz="8" w:color="auto"/>
            </w:tcBorders>
            <w:vMerge w:val="restart"/>
            <w:shd w:val="clear" w:color="auto" w:fill="F2F2F2"/>
          </w:tcPr>
          <w:p>
            <w:pPr>
              <w:ind w:left="100"/>
              <w:spacing w:after="0"/>
              <w:rPr>
                <w:sz w:val="20"/>
                <w:szCs w:val="20"/>
                <w:color w:val="auto"/>
              </w:rPr>
            </w:pPr>
            <w:r>
              <w:rPr>
                <w:rFonts w:ascii="Arial" w:cs="Arial" w:eastAsia="Arial" w:hAnsi="Arial"/>
                <w:sz w:val="14"/>
                <w:szCs w:val="14"/>
                <w:color w:val="auto"/>
                <w:w w:val="98"/>
              </w:rPr>
              <w:t>Quintana</w:t>
            </w:r>
          </w:p>
        </w:tc>
        <w:tc>
          <w:tcPr>
            <w:tcW w:w="56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2"/>
                <w:szCs w:val="12"/>
                <w:color w:val="auto"/>
              </w:rPr>
              <w:t>B.</w:t>
            </w:r>
          </w:p>
        </w:tc>
        <w:tc>
          <w:tcPr>
            <w:tcW w:w="480" w:type="dxa"/>
            <w:vAlign w:val="bottom"/>
            <w:tcBorders>
              <w:right w:val="single" w:sz="8" w:color="auto"/>
            </w:tcBorders>
            <w:vMerge w:val="restart"/>
            <w:shd w:val="clear" w:color="auto" w:fill="F2F2F2"/>
          </w:tcPr>
          <w:p>
            <w:pPr>
              <w:ind w:left="100"/>
              <w:spacing w:after="0"/>
              <w:rPr>
                <w:sz w:val="20"/>
                <w:szCs w:val="20"/>
                <w:color w:val="auto"/>
              </w:rPr>
            </w:pPr>
            <w:r>
              <w:rPr>
                <w:rFonts w:ascii="Arial" w:cs="Arial" w:eastAsia="Arial" w:hAnsi="Arial"/>
                <w:sz w:val="14"/>
                <w:szCs w:val="14"/>
                <w:color w:val="auto"/>
                <w:w w:val="96"/>
              </w:rPr>
              <w:t>Steck</w:t>
            </w:r>
          </w:p>
        </w:tc>
        <w:tc>
          <w:tcPr>
            <w:tcW w:w="0" w:type="dxa"/>
            <w:vAlign w:val="bottom"/>
          </w:tcPr>
          <w:p>
            <w:pPr>
              <w:spacing w:after="0"/>
              <w:rPr>
                <w:sz w:val="1"/>
                <w:szCs w:val="1"/>
                <w:color w:val="auto"/>
              </w:rPr>
            </w:pPr>
          </w:p>
        </w:tc>
      </w:tr>
      <w:tr>
        <w:trPr>
          <w:trHeight w:val="128"/>
        </w:trPr>
        <w:tc>
          <w:tcPr>
            <w:tcW w:w="42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shd w:val="clear" w:color="auto" w:fill="F2F2F2"/>
          </w:tcPr>
          <w:p>
            <w:pPr>
              <w:jc w:val="center"/>
              <w:spacing w:after="0" w:line="128" w:lineRule="exact"/>
              <w:rPr>
                <w:sz w:val="20"/>
                <w:szCs w:val="20"/>
                <w:color w:val="auto"/>
              </w:rPr>
            </w:pPr>
            <w:r>
              <w:rPr>
                <w:rFonts w:ascii="Arial" w:cs="Arial" w:eastAsia="Arial" w:hAnsi="Arial"/>
                <w:sz w:val="14"/>
                <w:szCs w:val="14"/>
                <w:color w:val="auto"/>
              </w:rPr>
              <w:t>Brooks</w:t>
            </w:r>
          </w:p>
        </w:tc>
        <w:tc>
          <w:tcPr>
            <w:tcW w:w="54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shd w:val="clear" w:color="auto" w:fill="F2F2F2"/>
          </w:tcPr>
          <w:p>
            <w:pPr>
              <w:spacing w:after="0"/>
              <w:rPr>
                <w:sz w:val="11"/>
                <w:szCs w:val="11"/>
                <w:color w:val="auto"/>
              </w:rPr>
            </w:pPr>
          </w:p>
        </w:tc>
        <w:tc>
          <w:tcPr>
            <w:tcW w:w="780" w:type="dxa"/>
            <w:vAlign w:val="bottom"/>
            <w:tcBorders>
              <w:right w:val="single" w:sz="8" w:color="auto"/>
            </w:tcBorders>
          </w:tcPr>
          <w:p>
            <w:pPr>
              <w:ind w:left="100"/>
              <w:spacing w:after="0" w:line="128" w:lineRule="exact"/>
              <w:rPr>
                <w:sz w:val="20"/>
                <w:szCs w:val="20"/>
                <w:color w:val="auto"/>
              </w:rPr>
            </w:pPr>
            <w:r>
              <w:rPr>
                <w:rFonts w:ascii="Arial" w:cs="Arial" w:eastAsia="Arial" w:hAnsi="Arial"/>
                <w:sz w:val="14"/>
                <w:szCs w:val="14"/>
                <w:color w:val="auto"/>
                <w:w w:val="96"/>
              </w:rPr>
              <w:t>McFarland</w:t>
            </w:r>
          </w:p>
        </w:tc>
        <w:tc>
          <w:tcPr>
            <w:tcW w:w="700" w:type="dxa"/>
            <w:vAlign w:val="bottom"/>
            <w:tcBorders>
              <w:right w:val="single" w:sz="8" w:color="auto"/>
            </w:tcBorders>
            <w:vMerge w:val="continue"/>
            <w:shd w:val="clear" w:color="auto" w:fill="F2F2F2"/>
          </w:tcPr>
          <w:p>
            <w:pPr>
              <w:spacing w:after="0"/>
              <w:rPr>
                <w:sz w:val="11"/>
                <w:szCs w:val="11"/>
                <w:color w:val="auto"/>
              </w:rPr>
            </w:pPr>
          </w:p>
        </w:tc>
        <w:tc>
          <w:tcPr>
            <w:tcW w:w="5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4"/>
                <w:szCs w:val="14"/>
                <w:color w:val="auto"/>
              </w:rPr>
              <w:t>Roby</w:t>
            </w:r>
          </w:p>
        </w:tc>
        <w:tc>
          <w:tcPr>
            <w:tcW w:w="480" w:type="dxa"/>
            <w:vAlign w:val="bottom"/>
            <w:tcBorders>
              <w:right w:val="single" w:sz="8" w:color="auto"/>
            </w:tcBorders>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40" w:type="dxa"/>
            <w:vAlign w:val="bottom"/>
            <w:tcBorders>
              <w:left w:val="single" w:sz="8" w:color="auto"/>
              <w:right w:val="single" w:sz="8" w:color="auto"/>
            </w:tcBorders>
          </w:tcPr>
          <w:p>
            <w:pPr>
              <w:spacing w:after="0"/>
              <w:rPr>
                <w:sz w:val="14"/>
                <w:szCs w:val="14"/>
                <w:color w:val="auto"/>
              </w:rPr>
            </w:pPr>
          </w:p>
        </w:tc>
        <w:tc>
          <w:tcPr>
            <w:tcW w:w="620" w:type="dxa"/>
            <w:vAlign w:val="bottom"/>
            <w:tcBorders>
              <w:right w:val="single" w:sz="8" w:color="auto"/>
            </w:tcBorders>
            <w:shd w:val="clear" w:color="auto" w:fill="F2F2F2"/>
          </w:tcPr>
          <w:p>
            <w:pPr>
              <w:spacing w:after="0"/>
              <w:rPr>
                <w:sz w:val="14"/>
                <w:szCs w:val="14"/>
                <w:color w:val="auto"/>
              </w:rPr>
            </w:pP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Cepak</w:t>
            </w:r>
          </w:p>
        </w:tc>
        <w:tc>
          <w:tcPr>
            <w:tcW w:w="720" w:type="dxa"/>
            <w:vAlign w:val="bottom"/>
            <w:tcBorders>
              <w:right w:val="single" w:sz="8" w:color="auto"/>
            </w:tcBorders>
            <w:shd w:val="clear" w:color="auto" w:fill="F2F2F2"/>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shd w:val="clear" w:color="auto" w:fill="F2F2F2"/>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4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Summary of Director Qualifications and Experience</w:t>
            </w:r>
          </w:p>
        </w:tc>
        <w:tc>
          <w:tcPr>
            <w:tcW w:w="620" w:type="dxa"/>
            <w:vAlign w:val="bottom"/>
            <w:tcBorders>
              <w:right w:val="single" w:sz="8" w:color="auto"/>
            </w:tcBorders>
            <w:shd w:val="clear" w:color="auto" w:fill="F2F2F2"/>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shd w:val="clear" w:color="auto" w:fill="F2F2F2"/>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40" w:type="dxa"/>
            <w:vAlign w:val="bottom"/>
            <w:tcBorders>
              <w:left w:val="single" w:sz="8" w:color="auto"/>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shd w:val="clear" w:color="auto" w:fill="F2F2F2"/>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shd w:val="clear" w:color="auto" w:fill="F2F2F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shd w:val="clear" w:color="auto" w:fill="F2F2F2"/>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240" w:type="dxa"/>
            <w:vAlign w:val="bottom"/>
            <w:tcBorders>
              <w:left w:val="single" w:sz="8" w:color="auto"/>
              <w:bottom w:val="single" w:sz="8" w:color="auto"/>
              <w:right w:val="single" w:sz="8" w:color="0075C9"/>
            </w:tcBorders>
            <w:shd w:val="clear" w:color="auto" w:fill="0075C9"/>
          </w:tcPr>
          <w:p>
            <w:pPr>
              <w:ind w:left="20"/>
              <w:spacing w:after="0" w:line="166" w:lineRule="exact"/>
              <w:rPr>
                <w:sz w:val="20"/>
                <w:szCs w:val="20"/>
                <w:color w:val="auto"/>
              </w:rPr>
            </w:pPr>
            <w:r>
              <w:rPr>
                <w:rFonts w:ascii="Arial" w:cs="Arial" w:eastAsia="Arial" w:hAnsi="Arial"/>
                <w:sz w:val="15"/>
                <w:szCs w:val="15"/>
                <w:b w:val="1"/>
                <w:bCs w:val="1"/>
                <w:color w:val="FFFFFF"/>
              </w:rPr>
              <w:t>SKILLS &amp; EXPERIENCE</w:t>
            </w:r>
          </w:p>
        </w:tc>
        <w:tc>
          <w:tcPr>
            <w:tcW w:w="620" w:type="dxa"/>
            <w:vAlign w:val="bottom"/>
            <w:tcBorders>
              <w:bottom w:val="single" w:sz="8" w:color="auto"/>
              <w:right w:val="single" w:sz="8" w:color="0075C9"/>
            </w:tcBorders>
            <w:shd w:val="clear" w:color="auto" w:fill="0075C9"/>
          </w:tcPr>
          <w:p>
            <w:pPr>
              <w:spacing w:after="0"/>
              <w:rPr>
                <w:sz w:val="14"/>
                <w:szCs w:val="14"/>
                <w:color w:val="auto"/>
              </w:rPr>
            </w:pPr>
          </w:p>
        </w:tc>
        <w:tc>
          <w:tcPr>
            <w:tcW w:w="540" w:type="dxa"/>
            <w:vAlign w:val="bottom"/>
            <w:tcBorders>
              <w:bottom w:val="single" w:sz="8" w:color="auto"/>
              <w:right w:val="single" w:sz="8" w:color="0075C9"/>
            </w:tcBorders>
            <w:shd w:val="clear" w:color="auto" w:fill="0075C9"/>
          </w:tcPr>
          <w:p>
            <w:pPr>
              <w:spacing w:after="0"/>
              <w:rPr>
                <w:sz w:val="14"/>
                <w:szCs w:val="14"/>
                <w:color w:val="auto"/>
              </w:rPr>
            </w:pPr>
          </w:p>
        </w:tc>
        <w:tc>
          <w:tcPr>
            <w:tcW w:w="720" w:type="dxa"/>
            <w:vAlign w:val="bottom"/>
            <w:tcBorders>
              <w:bottom w:val="single" w:sz="8" w:color="auto"/>
              <w:right w:val="single" w:sz="8" w:color="0075C9"/>
            </w:tcBorders>
            <w:shd w:val="clear" w:color="auto" w:fill="0075C9"/>
          </w:tcPr>
          <w:p>
            <w:pPr>
              <w:spacing w:after="0"/>
              <w:rPr>
                <w:sz w:val="14"/>
                <w:szCs w:val="14"/>
                <w:color w:val="auto"/>
              </w:rPr>
            </w:pPr>
          </w:p>
        </w:tc>
        <w:tc>
          <w:tcPr>
            <w:tcW w:w="780" w:type="dxa"/>
            <w:vAlign w:val="bottom"/>
            <w:tcBorders>
              <w:bottom w:val="single" w:sz="8" w:color="auto"/>
              <w:right w:val="single" w:sz="8" w:color="0075C9"/>
            </w:tcBorders>
            <w:shd w:val="clear" w:color="auto" w:fill="0075C9"/>
          </w:tcPr>
          <w:p>
            <w:pPr>
              <w:spacing w:after="0"/>
              <w:rPr>
                <w:sz w:val="14"/>
                <w:szCs w:val="14"/>
                <w:color w:val="auto"/>
              </w:rPr>
            </w:pPr>
          </w:p>
        </w:tc>
        <w:tc>
          <w:tcPr>
            <w:tcW w:w="700" w:type="dxa"/>
            <w:vAlign w:val="bottom"/>
            <w:tcBorders>
              <w:bottom w:val="single" w:sz="8" w:color="auto"/>
              <w:right w:val="single" w:sz="8" w:color="0075C9"/>
            </w:tcBorders>
            <w:shd w:val="clear" w:color="auto" w:fill="0075C9"/>
          </w:tcPr>
          <w:p>
            <w:pPr>
              <w:spacing w:after="0"/>
              <w:rPr>
                <w:sz w:val="14"/>
                <w:szCs w:val="14"/>
                <w:color w:val="auto"/>
              </w:rPr>
            </w:pPr>
          </w:p>
        </w:tc>
        <w:tc>
          <w:tcPr>
            <w:tcW w:w="560" w:type="dxa"/>
            <w:vAlign w:val="bottom"/>
            <w:tcBorders>
              <w:bottom w:val="single" w:sz="8" w:color="auto"/>
              <w:right w:val="single" w:sz="8" w:color="0075C9"/>
            </w:tcBorders>
            <w:shd w:val="clear" w:color="auto" w:fill="0075C9"/>
          </w:tcPr>
          <w:p>
            <w:pPr>
              <w:spacing w:after="0"/>
              <w:rPr>
                <w:sz w:val="14"/>
                <w:szCs w:val="14"/>
                <w:color w:val="auto"/>
              </w:rPr>
            </w:pPr>
          </w:p>
        </w:tc>
        <w:tc>
          <w:tcPr>
            <w:tcW w:w="480" w:type="dxa"/>
            <w:vAlign w:val="bottom"/>
            <w:tcBorders>
              <w:bottom w:val="single" w:sz="8" w:color="auto"/>
              <w:right w:val="single" w:sz="8" w:color="auto"/>
            </w:tcBorders>
            <w:shd w:val="clear" w:color="auto" w:fill="0075C9"/>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Board of Directors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ind w:left="300"/>
              <w:spacing w:after="0" w:line="152" w:lineRule="exact"/>
              <w:rPr>
                <w:sz w:val="20"/>
                <w:szCs w:val="20"/>
                <w:color w:val="auto"/>
              </w:rPr>
            </w:pPr>
            <w:r>
              <w:rPr>
                <w:rFonts w:ascii="Arial" w:cs="Arial" w:eastAsia="Arial" w:hAnsi="Arial"/>
                <w:sz w:val="15"/>
                <w:szCs w:val="15"/>
                <w:color w:val="auto"/>
              </w:rPr>
              <w:t>X</w:t>
            </w: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X</w:t>
            </w:r>
          </w:p>
        </w:tc>
        <w:tc>
          <w:tcPr>
            <w:tcW w:w="480" w:type="dxa"/>
            <w:vAlign w:val="bottom"/>
            <w:tcBorders>
              <w:bottom w:val="single" w:sz="8" w:color="auto"/>
              <w:right w:val="single" w:sz="8" w:color="auto"/>
            </w:tcBorders>
            <w:shd w:val="clear" w:color="auto" w:fill="F2F2F2"/>
          </w:tcPr>
          <w:p>
            <w:pPr>
              <w:ind w:left="180"/>
              <w:spacing w:after="0" w:line="152" w:lineRule="exact"/>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CEO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Senior Executive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X</w:t>
            </w: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Oil and Gas Industry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X</w:t>
            </w: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Financial/Capital Markets Expertise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ind w:left="300"/>
              <w:spacing w:after="0" w:line="152" w:lineRule="exact"/>
              <w:rPr>
                <w:sz w:val="20"/>
                <w:szCs w:val="20"/>
                <w:color w:val="auto"/>
              </w:rPr>
            </w:pPr>
            <w:r>
              <w:rPr>
                <w:rFonts w:ascii="Arial" w:cs="Arial" w:eastAsia="Arial" w:hAnsi="Arial"/>
                <w:sz w:val="15"/>
                <w:szCs w:val="15"/>
                <w:color w:val="auto"/>
              </w:rPr>
              <w:t>X</w:t>
            </w: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shd w:val="clear" w:color="auto" w:fill="F2F2F2"/>
          </w:tcPr>
          <w:p>
            <w:pPr>
              <w:ind w:left="180"/>
              <w:spacing w:after="0" w:line="152" w:lineRule="exact"/>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Mergers &amp; Acquisitions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ind w:left="300"/>
              <w:spacing w:after="0" w:line="152" w:lineRule="exact"/>
              <w:rPr>
                <w:sz w:val="20"/>
                <w:szCs w:val="20"/>
                <w:color w:val="auto"/>
              </w:rPr>
            </w:pPr>
            <w:r>
              <w:rPr>
                <w:rFonts w:ascii="Arial" w:cs="Arial" w:eastAsia="Arial" w:hAnsi="Arial"/>
                <w:sz w:val="15"/>
                <w:szCs w:val="15"/>
                <w:color w:val="auto"/>
              </w:rPr>
              <w:t>X</w:t>
            </w: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shd w:val="clear" w:color="auto" w:fill="F2F2F2"/>
          </w:tcPr>
          <w:p>
            <w:pPr>
              <w:ind w:left="180"/>
              <w:spacing w:after="0" w:line="152" w:lineRule="exact"/>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Engineering/Technology Expertise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X</w:t>
            </w: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Compensation Expertise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shd w:val="clear" w:color="auto" w:fill="F2F2F2"/>
          </w:tcPr>
          <w:p>
            <w:pPr>
              <w:ind w:left="300"/>
              <w:spacing w:after="0" w:line="152" w:lineRule="exact"/>
              <w:rPr>
                <w:sz w:val="20"/>
                <w:szCs w:val="20"/>
                <w:color w:val="auto"/>
              </w:rPr>
            </w:pPr>
            <w:r>
              <w:rPr>
                <w:rFonts w:ascii="Arial" w:cs="Arial" w:eastAsia="Arial" w:hAnsi="Arial"/>
                <w:sz w:val="15"/>
                <w:szCs w:val="15"/>
                <w:color w:val="auto"/>
              </w:rPr>
              <w:t>X</w:t>
            </w: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shd w:val="clear" w:color="auto" w:fill="F2F2F2"/>
          </w:tcPr>
          <w:p>
            <w:pPr>
              <w:ind w:left="180"/>
              <w:spacing w:after="0" w:line="152" w:lineRule="exact"/>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Health &amp; Safety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X</w:t>
            </w: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Environmental/Sustainability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X</w:t>
            </w: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Risk Management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ind w:left="200"/>
              <w:spacing w:after="0" w:line="152" w:lineRule="exact"/>
              <w:rPr>
                <w:sz w:val="20"/>
                <w:szCs w:val="20"/>
                <w:color w:val="auto"/>
              </w:rPr>
            </w:pPr>
            <w:r>
              <w:rPr>
                <w:rFonts w:ascii="Arial" w:cs="Arial" w:eastAsia="Arial" w:hAnsi="Arial"/>
                <w:sz w:val="15"/>
                <w:szCs w:val="15"/>
                <w:color w:val="auto"/>
              </w:rPr>
              <w:t>X</w:t>
            </w:r>
          </w:p>
        </w:tc>
        <w:tc>
          <w:tcPr>
            <w:tcW w:w="720" w:type="dxa"/>
            <w:vAlign w:val="bottom"/>
            <w:tcBorders>
              <w:bottom w:val="single" w:sz="8" w:color="auto"/>
              <w:right w:val="single" w:sz="8" w:color="auto"/>
            </w:tcBorders>
            <w:shd w:val="clear" w:color="auto" w:fill="F2F2F2"/>
          </w:tcPr>
          <w:p>
            <w:pPr>
              <w:ind w:left="300"/>
              <w:spacing w:after="0" w:line="152" w:lineRule="exact"/>
              <w:rPr>
                <w:sz w:val="20"/>
                <w:szCs w:val="20"/>
                <w:color w:val="auto"/>
              </w:rPr>
            </w:pPr>
            <w:r>
              <w:rPr>
                <w:rFonts w:ascii="Arial" w:cs="Arial" w:eastAsia="Arial" w:hAnsi="Arial"/>
                <w:sz w:val="15"/>
                <w:szCs w:val="15"/>
                <w:color w:val="auto"/>
              </w:rPr>
              <w:t>X</w:t>
            </w: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shd w:val="clear" w:color="auto" w:fill="F2F2F2"/>
          </w:tcPr>
          <w:p>
            <w:pPr>
              <w:ind w:left="180"/>
              <w:spacing w:after="0" w:line="152" w:lineRule="exact"/>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2"/>
        </w:trPr>
        <w:tc>
          <w:tcPr>
            <w:tcW w:w="424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5"/>
                <w:szCs w:val="15"/>
                <w:color w:val="auto"/>
              </w:rPr>
              <w:t>Government/Regulatory Affairs Experience</w:t>
            </w:r>
          </w:p>
        </w:tc>
        <w:tc>
          <w:tcPr>
            <w:tcW w:w="62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shd w:val="clear" w:color="auto" w:fill="F2F2F2"/>
          </w:tcPr>
          <w:p>
            <w:pPr>
              <w:spacing w:after="0"/>
              <w:rPr>
                <w:sz w:val="13"/>
                <w:szCs w:val="13"/>
                <w:color w:val="auto"/>
              </w:rPr>
            </w:pPr>
          </w:p>
        </w:tc>
        <w:tc>
          <w:tcPr>
            <w:tcW w:w="780" w:type="dxa"/>
            <w:vAlign w:val="bottom"/>
            <w:tcBorders>
              <w:bottom w:val="single" w:sz="8" w:color="auto"/>
              <w:right w:val="single" w:sz="8" w:color="auto"/>
            </w:tcBorders>
          </w:tcPr>
          <w:p>
            <w:pPr>
              <w:ind w:left="320"/>
              <w:spacing w:after="0" w:line="152" w:lineRule="exact"/>
              <w:rPr>
                <w:sz w:val="20"/>
                <w:szCs w:val="20"/>
                <w:color w:val="auto"/>
              </w:rPr>
            </w:pPr>
            <w:r>
              <w:rPr>
                <w:rFonts w:ascii="Arial" w:cs="Arial" w:eastAsia="Arial" w:hAnsi="Arial"/>
                <w:sz w:val="15"/>
                <w:szCs w:val="15"/>
                <w:color w:val="auto"/>
              </w:rPr>
              <w:t>X</w:t>
            </w:r>
          </w:p>
        </w:tc>
        <w:tc>
          <w:tcPr>
            <w:tcW w:w="700" w:type="dxa"/>
            <w:vAlign w:val="bottom"/>
            <w:tcBorders>
              <w:bottom w:val="single" w:sz="8" w:color="auto"/>
              <w:right w:val="single" w:sz="8" w:color="auto"/>
            </w:tcBorders>
            <w:shd w:val="clear" w:color="auto" w:fill="F2F2F2"/>
          </w:tcPr>
          <w:p>
            <w:pPr>
              <w:jc w:val="center"/>
              <w:spacing w:after="0" w:line="152" w:lineRule="exact"/>
              <w:rPr>
                <w:sz w:val="20"/>
                <w:szCs w:val="20"/>
                <w:color w:val="auto"/>
              </w:rPr>
            </w:pPr>
            <w:r>
              <w:rPr>
                <w:rFonts w:ascii="Arial" w:cs="Arial" w:eastAsia="Arial" w:hAnsi="Arial"/>
                <w:sz w:val="15"/>
                <w:szCs w:val="15"/>
                <w:color w:val="auto"/>
                <w:w w:val="99"/>
              </w:rPr>
              <w:t>X</w:t>
            </w:r>
          </w:p>
        </w:tc>
        <w:tc>
          <w:tcPr>
            <w:tcW w:w="5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576580</wp:posOffset>
            </wp:positionV>
            <wp:extent cx="3567430" cy="129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7430" cy="129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416560</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576580</wp:posOffset>
            </wp:positionV>
            <wp:extent cx="1287145" cy="128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7145" cy="128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3340" w:type="dxa"/>
        <w:tblCellMar>
          <w:top w:w="0" w:type="dxa"/>
          <w:left w:w="0" w:type="dxa"/>
          <w:bottom w:w="0" w:type="dxa"/>
          <w:right w:w="0" w:type="dxa"/>
        </w:tblCellMar>
      </w:tblPr>
      <w:tr>
        <w:trPr>
          <w:trHeight w:val="207"/>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0075C9"/>
              </w:rPr>
              <w:t>Douglas E. Brooks</w:t>
            </w:r>
          </w:p>
        </w:tc>
        <w:tc>
          <w:tcPr>
            <w:tcW w:w="540" w:type="dxa"/>
            <w:vAlign w:val="bottom"/>
          </w:tcPr>
          <w:p>
            <w:pPr>
              <w:ind w:left="440"/>
              <w:spacing w:after="0"/>
              <w:rPr>
                <w:sz w:val="20"/>
                <w:szCs w:val="20"/>
                <w:color w:val="auto"/>
              </w:rPr>
            </w:pPr>
            <w:r>
              <w:rPr>
                <w:rFonts w:ascii="Arial" w:cs="Arial" w:eastAsia="Arial" w:hAnsi="Arial"/>
                <w:sz w:val="18"/>
                <w:szCs w:val="18"/>
                <w:color w:val="FFFFFF"/>
              </w:rPr>
              <w:t>•</w:t>
            </w:r>
          </w:p>
        </w:tc>
        <w:tc>
          <w:tcPr>
            <w:tcW w:w="5080" w:type="dxa"/>
            <w:vAlign w:val="bottom"/>
          </w:tcPr>
          <w:p>
            <w:pPr>
              <w:ind w:left="60"/>
              <w:spacing w:after="0"/>
              <w:rPr>
                <w:sz w:val="20"/>
                <w:szCs w:val="20"/>
                <w:color w:val="auto"/>
              </w:rPr>
            </w:pPr>
            <w:r>
              <w:rPr>
                <w:rFonts w:ascii="Arial" w:cs="Arial" w:eastAsia="Arial" w:hAnsi="Arial"/>
                <w:sz w:val="18"/>
                <w:szCs w:val="18"/>
                <w:color w:val="FFFFFF"/>
              </w:rPr>
              <w:t>CEO, Board Chair of Oasis Petroleum, Inc.</w:t>
            </w:r>
          </w:p>
        </w:tc>
        <w:tc>
          <w:tcPr>
            <w:tcW w:w="0" w:type="dxa"/>
            <w:vAlign w:val="bottom"/>
          </w:tcPr>
          <w:p>
            <w:pPr>
              <w:spacing w:after="0"/>
              <w:rPr>
                <w:sz w:val="1"/>
                <w:szCs w:val="1"/>
                <w:color w:val="auto"/>
              </w:rPr>
            </w:pPr>
          </w:p>
        </w:tc>
      </w:tr>
      <w:tr>
        <w:trPr>
          <w:trHeight w:val="199"/>
        </w:trPr>
        <w:tc>
          <w:tcPr>
            <w:tcW w:w="2020" w:type="dxa"/>
            <w:vAlign w:val="bottom"/>
            <w:vMerge w:val="continue"/>
          </w:tcPr>
          <w:p>
            <w:pPr>
              <w:spacing w:after="0"/>
              <w:rPr>
                <w:sz w:val="17"/>
                <w:szCs w:val="17"/>
                <w:color w:val="auto"/>
              </w:rPr>
            </w:pPr>
          </w:p>
        </w:tc>
        <w:tc>
          <w:tcPr>
            <w:tcW w:w="5620" w:type="dxa"/>
            <w:vAlign w:val="bottom"/>
            <w:gridSpan w:val="2"/>
          </w:tcPr>
          <w:p>
            <w:pPr>
              <w:ind w:left="440"/>
              <w:spacing w:after="0" w:line="199" w:lineRule="exact"/>
              <w:rPr>
                <w:sz w:val="20"/>
                <w:szCs w:val="20"/>
                <w:color w:val="auto"/>
              </w:rPr>
            </w:pPr>
            <w:r>
              <w:rPr>
                <w:rFonts w:ascii="Arial" w:cs="Arial" w:eastAsia="Arial" w:hAnsi="Arial"/>
                <w:sz w:val="18"/>
                <w:szCs w:val="18"/>
                <w:color w:val="FFFFFF"/>
              </w:rPr>
              <w:t>• Board Chair of OMP GP LLC</w:t>
            </w:r>
          </w:p>
        </w:tc>
        <w:tc>
          <w:tcPr>
            <w:tcW w:w="0" w:type="dxa"/>
            <w:vAlign w:val="bottom"/>
          </w:tcPr>
          <w:p>
            <w:pPr>
              <w:spacing w:after="0"/>
              <w:rPr>
                <w:sz w:val="1"/>
                <w:szCs w:val="1"/>
                <w:color w:val="auto"/>
              </w:rPr>
            </w:pPr>
          </w:p>
        </w:tc>
      </w:tr>
      <w:tr>
        <w:trPr>
          <w:trHeight w:val="199"/>
        </w:trPr>
        <w:tc>
          <w:tcPr>
            <w:tcW w:w="202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40" w:type="dxa"/>
            <w:vAlign w:val="bottom"/>
          </w:tcPr>
          <w:p>
            <w:pPr>
              <w:ind w:left="440"/>
              <w:spacing w:after="0" w:line="199" w:lineRule="exact"/>
              <w:rPr>
                <w:sz w:val="20"/>
                <w:szCs w:val="20"/>
                <w:color w:val="auto"/>
              </w:rPr>
            </w:pPr>
            <w:r>
              <w:rPr>
                <w:rFonts w:ascii="Arial" w:cs="Arial" w:eastAsia="Arial" w:hAnsi="Arial"/>
                <w:sz w:val="18"/>
                <w:szCs w:val="18"/>
                <w:color w:val="FFFFFF"/>
              </w:rPr>
              <w:t>•</w:t>
            </w:r>
          </w:p>
        </w:tc>
        <w:tc>
          <w:tcPr>
            <w:tcW w:w="5080" w:type="dxa"/>
            <w:vAlign w:val="bottom"/>
          </w:tcPr>
          <w:p>
            <w:pPr>
              <w:ind w:left="60"/>
              <w:spacing w:after="0" w:line="199" w:lineRule="exact"/>
              <w:rPr>
                <w:sz w:val="20"/>
                <w:szCs w:val="20"/>
                <w:color w:val="auto"/>
              </w:rPr>
            </w:pPr>
            <w:r>
              <w:rPr>
                <w:rFonts w:ascii="Arial" w:cs="Arial" w:eastAsia="Arial" w:hAnsi="Arial"/>
                <w:sz w:val="18"/>
                <w:szCs w:val="18"/>
                <w:color w:val="FFFFFF"/>
                <w:w w:val="97"/>
              </w:rPr>
              <w:t>Former Director of Chaparral Energy, Inc. and Madalena Energy</w:t>
            </w:r>
          </w:p>
        </w:tc>
        <w:tc>
          <w:tcPr>
            <w:tcW w:w="0" w:type="dxa"/>
            <w:vAlign w:val="bottom"/>
          </w:tcPr>
          <w:p>
            <w:pPr>
              <w:spacing w:after="0"/>
              <w:rPr>
                <w:sz w:val="1"/>
                <w:szCs w:val="1"/>
                <w:color w:val="auto"/>
              </w:rPr>
            </w:pPr>
          </w:p>
        </w:tc>
      </w:tr>
      <w:tr>
        <w:trPr>
          <w:trHeight w:val="53"/>
        </w:trPr>
        <w:tc>
          <w:tcPr>
            <w:tcW w:w="20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5080" w:type="dxa"/>
            <w:vAlign w:val="bottom"/>
            <w:vMerge w:val="restart"/>
          </w:tcPr>
          <w:p>
            <w:pPr>
              <w:ind w:left="40"/>
              <w:spacing w:after="0" w:line="199" w:lineRule="exact"/>
              <w:rPr>
                <w:sz w:val="20"/>
                <w:szCs w:val="20"/>
                <w:color w:val="auto"/>
              </w:rPr>
            </w:pPr>
            <w:r>
              <w:rPr>
                <w:rFonts w:ascii="Arial" w:cs="Arial" w:eastAsia="Arial" w:hAnsi="Arial"/>
                <w:sz w:val="18"/>
                <w:szCs w:val="18"/>
                <w:color w:val="FFFFFF"/>
              </w:rPr>
              <w:t>Inc.</w:t>
            </w:r>
          </w:p>
        </w:tc>
        <w:tc>
          <w:tcPr>
            <w:tcW w:w="0" w:type="dxa"/>
            <w:vAlign w:val="bottom"/>
          </w:tcPr>
          <w:p>
            <w:pPr>
              <w:spacing w:after="0"/>
              <w:rPr>
                <w:sz w:val="1"/>
                <w:szCs w:val="1"/>
                <w:color w:val="auto"/>
              </w:rPr>
            </w:pPr>
          </w:p>
        </w:tc>
      </w:tr>
      <w:tr>
        <w:trPr>
          <w:trHeight w:val="146"/>
        </w:trPr>
        <w:tc>
          <w:tcPr>
            <w:tcW w:w="2020" w:type="dxa"/>
            <w:vAlign w:val="bottom"/>
            <w:vMerge w:val="restart"/>
          </w:tcPr>
          <w:p>
            <w:pPr>
              <w:ind w:left="20"/>
              <w:spacing w:after="0"/>
              <w:rPr>
                <w:sz w:val="20"/>
                <w:szCs w:val="20"/>
                <w:color w:val="auto"/>
              </w:rPr>
            </w:pPr>
            <w:r>
              <w:rPr>
                <w:rFonts w:ascii="Arial" w:cs="Arial" w:eastAsia="Arial" w:hAnsi="Arial"/>
                <w:sz w:val="18"/>
                <w:szCs w:val="18"/>
                <w:color w:val="0075C9"/>
              </w:rPr>
              <w:t>Age: 62</w:t>
            </w:r>
          </w:p>
        </w:tc>
        <w:tc>
          <w:tcPr>
            <w:tcW w:w="540" w:type="dxa"/>
            <w:vAlign w:val="bottom"/>
          </w:tcPr>
          <w:p>
            <w:pPr>
              <w:spacing w:after="0"/>
              <w:rPr>
                <w:sz w:val="12"/>
                <w:szCs w:val="12"/>
                <w:color w:val="auto"/>
              </w:rPr>
            </w:pPr>
          </w:p>
        </w:tc>
        <w:tc>
          <w:tcPr>
            <w:tcW w:w="5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20" w:type="dxa"/>
            <w:vAlign w:val="bottom"/>
            <w:vMerge w:val="continue"/>
          </w:tcPr>
          <w:p>
            <w:pPr>
              <w:spacing w:after="0"/>
              <w:rPr>
                <w:sz w:val="5"/>
                <w:szCs w:val="5"/>
                <w:color w:val="auto"/>
              </w:rPr>
            </w:pPr>
          </w:p>
        </w:tc>
        <w:tc>
          <w:tcPr>
            <w:tcW w:w="540" w:type="dxa"/>
            <w:vAlign w:val="bottom"/>
            <w:vMerge w:val="restart"/>
          </w:tcPr>
          <w:p>
            <w:pPr>
              <w:ind w:left="440"/>
              <w:spacing w:after="0" w:line="199" w:lineRule="exact"/>
              <w:rPr>
                <w:sz w:val="20"/>
                <w:szCs w:val="20"/>
                <w:color w:val="auto"/>
              </w:rPr>
            </w:pPr>
            <w:r>
              <w:rPr>
                <w:rFonts w:ascii="Arial" w:cs="Arial" w:eastAsia="Arial" w:hAnsi="Arial"/>
                <w:sz w:val="18"/>
                <w:szCs w:val="18"/>
                <w:color w:val="FFFFFF"/>
              </w:rPr>
              <w:t>•</w:t>
            </w:r>
          </w:p>
        </w:tc>
        <w:tc>
          <w:tcPr>
            <w:tcW w:w="5080" w:type="dxa"/>
            <w:vAlign w:val="bottom"/>
            <w:vMerge w:val="restart"/>
          </w:tcPr>
          <w:p>
            <w:pPr>
              <w:ind w:left="60"/>
              <w:spacing w:after="0" w:line="199" w:lineRule="exact"/>
              <w:rPr>
                <w:sz w:val="20"/>
                <w:szCs w:val="20"/>
                <w:color w:val="auto"/>
              </w:rPr>
            </w:pPr>
            <w:r>
              <w:rPr>
                <w:rFonts w:ascii="Arial" w:cs="Arial" w:eastAsia="Arial" w:hAnsi="Arial"/>
                <w:sz w:val="18"/>
                <w:szCs w:val="18"/>
                <w:color w:val="FFFFFF"/>
                <w:w w:val="98"/>
              </w:rPr>
              <w:t>Former CEO and Director of Energy XXI Gulf Coast, Inc., Yates</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5940"/>
        <w:spacing w:after="0"/>
        <w:rPr>
          <w:sz w:val="20"/>
          <w:szCs w:val="20"/>
          <w:color w:val="auto"/>
        </w:rPr>
      </w:pPr>
      <w:r>
        <w:rPr>
          <w:rFonts w:ascii="Arial" w:cs="Arial" w:eastAsia="Arial" w:hAnsi="Arial"/>
          <w:sz w:val="18"/>
          <w:szCs w:val="18"/>
          <w:color w:val="FFFFFF"/>
        </w:rPr>
        <w:t>Petroleum Corporation and Aurora Oil &amp; Gas Limited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Nominating and Governance Committee</w:t>
      </w:r>
    </w:p>
    <w:p>
      <w:pPr>
        <w:spacing w:after="0" w:line="20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Mr. Brooks, 62, has served as a member of California Resources Corporation’s Board of Directors since October 2020. Mr. Brooks is a private investor and currently serves as the Chief Executive Officer and as the Board Chair of Oasis Petroleum Inc., an oil and natural gas company, and as the Board Chair of OMP GP LLC, the general partner of Oasis Midstream Partners LP. He previously served on the Board of Directors of Chaparral Energy, Inc. from 2017 to October 2020 and also served on the Board of Directors of Madalena Energy Inc. (now Centaurus Energy, Inc.) in Canada. From April 2017 he served as President and Chief Executive Officer as well as a member of the Board of Directors of Energy XXI Gulf Coast, Inc., an offshore Gulf of Mexico exploration and production company, until it was acquired by an affiliate of Cox Oil LLC in October 2018. From 2015 to 2016, he served as president and chief executive officer and a member of the Board of Directors of Yates Petroleum Corporation, a privately owned exploration and production company, which merged with EOG Resources. From 2012 to 2014, he served as Chief Executive Officer as well as a member of the Board of Directors of Aurora Oil &amp; Gas Limited until it merged with Baytex Energy Corp. In 2012, he served as a senior vice president at Forest Oil Corporation. From 2006 to 2012, Mr. Brooks also built two private equity sponsored firms focused on unconventional resource projects in the western U.S. In addition, he spent 24 years with Marathon Oil Company in roles of increasing responsibility, lastly as the director of upstream mergers and acquisitions and business development for the Americas. He holds a Bachelor of Science degree in business management from the University of Wyoming – Casper and a Master of Business Administration, Finance from Our Lady of the Lake University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307340</wp:posOffset>
            </wp:positionV>
            <wp:extent cx="1287145" cy="128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7145" cy="128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3340" w:type="dxa"/>
        <w:tblCellMar>
          <w:top w:w="0" w:type="dxa"/>
          <w:left w:w="0" w:type="dxa"/>
          <w:bottom w:w="0" w:type="dxa"/>
          <w:right w:w="0" w:type="dxa"/>
        </w:tblCellMar>
      </w:tblPr>
      <w:tr>
        <w:trPr>
          <w:trHeight w:val="746"/>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Tiffany (TJ)</w:t>
            </w:r>
          </w:p>
        </w:tc>
        <w:tc>
          <w:tcPr>
            <w:tcW w:w="280" w:type="dxa"/>
            <w:vAlign w:val="bottom"/>
            <w:vMerge w:val="restart"/>
            <w:shd w:val="clear" w:color="auto" w:fill="0075C9"/>
          </w:tcPr>
          <w:p>
            <w:pPr>
              <w:ind w:left="160"/>
              <w:spacing w:after="0"/>
              <w:rPr>
                <w:sz w:val="20"/>
                <w:szCs w:val="20"/>
                <w:color w:val="auto"/>
              </w:rPr>
            </w:pPr>
            <w:r>
              <w:rPr>
                <w:rFonts w:ascii="Arial" w:cs="Arial" w:eastAsia="Arial" w:hAnsi="Arial"/>
                <w:sz w:val="18"/>
                <w:szCs w:val="18"/>
                <w:color w:val="FFFFFF"/>
              </w:rPr>
              <w:t>•</w:t>
            </w:r>
          </w:p>
        </w:tc>
        <w:tc>
          <w:tcPr>
            <w:tcW w:w="534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Patterson-UTI and Penn Virginia Corporation</w:t>
            </w:r>
          </w:p>
        </w:tc>
        <w:tc>
          <w:tcPr>
            <w:tcW w:w="0" w:type="dxa"/>
            <w:vAlign w:val="bottom"/>
          </w:tcPr>
          <w:p>
            <w:pPr>
              <w:spacing w:after="0"/>
              <w:rPr>
                <w:sz w:val="1"/>
                <w:szCs w:val="1"/>
                <w:color w:val="auto"/>
              </w:rPr>
            </w:pPr>
          </w:p>
        </w:tc>
      </w:tr>
      <w:tr>
        <w:trPr>
          <w:trHeight w:val="115"/>
        </w:trPr>
        <w:tc>
          <w:tcPr>
            <w:tcW w:w="2280" w:type="dxa"/>
            <w:vAlign w:val="bottom"/>
            <w:vMerge w:val="restart"/>
          </w:tcPr>
          <w:p>
            <w:pPr>
              <w:ind w:left="20"/>
              <w:spacing w:after="0"/>
              <w:rPr>
                <w:sz w:val="20"/>
                <w:szCs w:val="20"/>
                <w:color w:val="auto"/>
              </w:rPr>
            </w:pPr>
            <w:r>
              <w:rPr>
                <w:rFonts w:ascii="Arial" w:cs="Arial" w:eastAsia="Arial" w:hAnsi="Arial"/>
                <w:sz w:val="18"/>
                <w:szCs w:val="18"/>
                <w:b w:val="1"/>
                <w:bCs w:val="1"/>
                <w:color w:val="0075C9"/>
              </w:rPr>
              <w:t>Thom Cepak</w:t>
            </w:r>
          </w:p>
        </w:tc>
        <w:tc>
          <w:tcPr>
            <w:tcW w:w="280" w:type="dxa"/>
            <w:vAlign w:val="bottom"/>
            <w:vMerge w:val="continue"/>
            <w:shd w:val="clear" w:color="auto" w:fill="0075C9"/>
          </w:tcPr>
          <w:p>
            <w:pPr>
              <w:spacing w:after="0"/>
              <w:rPr>
                <w:sz w:val="9"/>
                <w:szCs w:val="9"/>
                <w:color w:val="auto"/>
              </w:rPr>
            </w:pPr>
          </w:p>
        </w:tc>
        <w:tc>
          <w:tcPr>
            <w:tcW w:w="5340" w:type="dxa"/>
            <w:vAlign w:val="bottom"/>
            <w:vMerge w:val="continue"/>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280" w:type="dxa"/>
            <w:vAlign w:val="bottom"/>
            <w:vMerge w:val="continue"/>
          </w:tcPr>
          <w:p>
            <w:pPr>
              <w:spacing w:after="0"/>
              <w:rPr>
                <w:sz w:val="10"/>
                <w:szCs w:val="10"/>
                <w:color w:val="auto"/>
              </w:rPr>
            </w:pPr>
          </w:p>
        </w:tc>
        <w:tc>
          <w:tcPr>
            <w:tcW w:w="5620" w:type="dxa"/>
            <w:vAlign w:val="bottom"/>
            <w:gridSpan w:val="2"/>
            <w:vMerge w:val="restart"/>
            <w:shd w:val="clear" w:color="auto" w:fill="0075C9"/>
          </w:tcPr>
          <w:p>
            <w:pPr>
              <w:ind w:left="180"/>
              <w:spacing w:after="0" w:line="199" w:lineRule="exact"/>
              <w:rPr>
                <w:sz w:val="20"/>
                <w:szCs w:val="20"/>
                <w:color w:val="auto"/>
              </w:rPr>
            </w:pPr>
            <w:r>
              <w:rPr>
                <w:rFonts w:ascii="Arial" w:cs="Arial" w:eastAsia="Arial" w:hAnsi="Arial"/>
                <w:sz w:val="18"/>
                <w:szCs w:val="18"/>
                <w:color w:val="FFFFFF"/>
              </w:rPr>
              <w:t>• Former CFO of Energy XXI Gulf Coast Inc., KLR Energy and EPL</w:t>
            </w:r>
          </w:p>
        </w:tc>
        <w:tc>
          <w:tcPr>
            <w:tcW w:w="0" w:type="dxa"/>
            <w:vAlign w:val="bottom"/>
          </w:tcPr>
          <w:p>
            <w:pPr>
              <w:spacing w:after="0"/>
              <w:rPr>
                <w:sz w:val="1"/>
                <w:szCs w:val="1"/>
                <w:color w:val="auto"/>
              </w:rPr>
            </w:pPr>
          </w:p>
        </w:tc>
      </w:tr>
      <w:tr>
        <w:trPr>
          <w:trHeight w:val="80"/>
        </w:trPr>
        <w:tc>
          <w:tcPr>
            <w:tcW w:w="2280" w:type="dxa"/>
            <w:vAlign w:val="bottom"/>
          </w:tcPr>
          <w:p>
            <w:pPr>
              <w:spacing w:after="0"/>
              <w:rPr>
                <w:sz w:val="6"/>
                <w:szCs w:val="6"/>
                <w:color w:val="auto"/>
              </w:rPr>
            </w:pPr>
          </w:p>
        </w:tc>
        <w:tc>
          <w:tcPr>
            <w:tcW w:w="5620" w:type="dxa"/>
            <w:vAlign w:val="bottom"/>
            <w:gridSpan w:val="2"/>
            <w:vMerge w:val="continue"/>
            <w:shd w:val="clear" w:color="auto" w:fill="0075C9"/>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280" w:type="dxa"/>
            <w:vAlign w:val="bottom"/>
          </w:tcPr>
          <w:p>
            <w:pPr>
              <w:spacing w:after="0" w:line="199" w:lineRule="exact"/>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spacing w:after="0"/>
              <w:rPr>
                <w:sz w:val="17"/>
                <w:szCs w:val="17"/>
                <w:color w:val="auto"/>
              </w:rPr>
            </w:pPr>
          </w:p>
        </w:tc>
        <w:tc>
          <w:tcPr>
            <w:tcW w:w="5340" w:type="dxa"/>
            <w:vAlign w:val="bottom"/>
            <w:shd w:val="clear" w:color="auto" w:fill="0075C9"/>
          </w:tcPr>
          <w:p>
            <w:pPr>
              <w:ind w:left="40"/>
              <w:spacing w:after="0" w:line="199" w:lineRule="exact"/>
              <w:rPr>
                <w:sz w:val="20"/>
                <w:szCs w:val="20"/>
                <w:color w:val="auto"/>
              </w:rPr>
            </w:pPr>
            <w:r>
              <w:rPr>
                <w:rFonts w:ascii="Arial" w:cs="Arial" w:eastAsia="Arial" w:hAnsi="Arial"/>
                <w:sz w:val="18"/>
                <w:szCs w:val="18"/>
                <w:color w:val="FFFFFF"/>
              </w:rPr>
              <w:t>Oil &amp; Gas, Inc.</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0075C9"/>
              </w:rPr>
              <w:t>Age: 48</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Director of Yates Petroleum Corporation</w:t>
            </w:r>
          </w:p>
        </w:tc>
        <w:tc>
          <w:tcPr>
            <w:tcW w:w="0" w:type="dxa"/>
            <w:vAlign w:val="bottom"/>
          </w:tcPr>
          <w:p>
            <w:pPr>
              <w:spacing w:after="0"/>
              <w:rPr>
                <w:sz w:val="1"/>
                <w:szCs w:val="1"/>
                <w:color w:val="auto"/>
              </w:rPr>
            </w:pPr>
          </w:p>
        </w:tc>
      </w:tr>
      <w:tr>
        <w:trPr>
          <w:trHeight w:val="558"/>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60" w:hanging="208"/>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Chair of the Audit Committee</w:t>
      </w:r>
    </w:p>
    <w:p>
      <w:pPr>
        <w:ind w:left="260" w:hanging="208"/>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Operations and Sustainability Committee</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Ms. Cepak, 48, has served as a member of California Resources Corporation’s Board of Directors since October 2020. Ms. Cepak has 26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Penn Virginia Corporation, an independent oil and gas company, since September 2019. Ms. Cepak served as the Chief Financial Officer of Energy XXI Gulf Coast Inc. from August 2017 to October 2018.</w:t>
      </w:r>
    </w:p>
    <w:p>
      <w:pPr>
        <w:spacing w:after="0" w:line="20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6"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308610</wp:posOffset>
            </wp:positionV>
            <wp:extent cx="3559175" cy="129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9175" cy="129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308610</wp:posOffset>
            </wp:positionV>
            <wp:extent cx="1287145" cy="128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7145" cy="128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3340" w:type="dxa"/>
        <w:tblCellMar>
          <w:top w:w="0" w:type="dxa"/>
          <w:left w:w="0" w:type="dxa"/>
          <w:bottom w:w="0" w:type="dxa"/>
          <w:right w:w="0" w:type="dxa"/>
        </w:tblCellMar>
      </w:tblPr>
      <w:tr>
        <w:trPr>
          <w:trHeight w:val="234"/>
        </w:trPr>
        <w:tc>
          <w:tcPr>
            <w:tcW w:w="2060" w:type="dxa"/>
            <w:vAlign w:val="bottom"/>
          </w:tcPr>
          <w:p>
            <w:pPr>
              <w:ind w:left="20"/>
              <w:spacing w:after="0"/>
              <w:rPr>
                <w:sz w:val="20"/>
                <w:szCs w:val="20"/>
                <w:color w:val="auto"/>
              </w:rPr>
            </w:pPr>
            <w:r>
              <w:rPr>
                <w:rFonts w:ascii="Arial" w:cs="Arial" w:eastAsia="Arial" w:hAnsi="Arial"/>
                <w:sz w:val="18"/>
                <w:szCs w:val="18"/>
                <w:b w:val="1"/>
                <w:bCs w:val="1"/>
                <w:color w:val="0075C9"/>
              </w:rPr>
              <w:t>James N. Chapman</w:t>
            </w:r>
          </w:p>
        </w:tc>
        <w:tc>
          <w:tcPr>
            <w:tcW w:w="4500" w:type="dxa"/>
            <w:vAlign w:val="bottom"/>
            <w:gridSpan w:val="2"/>
            <w:vMerge w:val="restart"/>
          </w:tcPr>
          <w:p>
            <w:pPr>
              <w:ind w:left="420"/>
              <w:spacing w:after="0"/>
              <w:rPr>
                <w:sz w:val="20"/>
                <w:szCs w:val="20"/>
                <w:color w:val="auto"/>
              </w:rPr>
            </w:pPr>
            <w:r>
              <w:rPr>
                <w:rFonts w:ascii="Arial" w:cs="Arial" w:eastAsia="Arial" w:hAnsi="Arial"/>
                <w:sz w:val="18"/>
                <w:szCs w:val="18"/>
                <w:color w:val="FFFFFF"/>
              </w:rPr>
              <w:t>• Advisory Director of SkyWorks Capital, LLC</w:t>
            </w:r>
          </w:p>
        </w:tc>
        <w:tc>
          <w:tcPr>
            <w:tcW w:w="0" w:type="dxa"/>
            <w:vAlign w:val="bottom"/>
          </w:tcPr>
          <w:p>
            <w:pPr>
              <w:spacing w:after="0"/>
              <w:rPr>
                <w:sz w:val="1"/>
                <w:szCs w:val="1"/>
                <w:color w:val="auto"/>
              </w:rPr>
            </w:pPr>
          </w:p>
        </w:tc>
      </w:tr>
      <w:tr>
        <w:trPr>
          <w:trHeight w:val="146"/>
        </w:trPr>
        <w:tc>
          <w:tcPr>
            <w:tcW w:w="2060" w:type="dxa"/>
            <w:vAlign w:val="bottom"/>
            <w:vMerge w:val="restart"/>
          </w:tcPr>
          <w:p>
            <w:pPr>
              <w:spacing w:after="0"/>
              <w:rPr>
                <w:sz w:val="20"/>
                <w:szCs w:val="20"/>
                <w:color w:val="auto"/>
              </w:rPr>
            </w:pPr>
            <w:r>
              <w:rPr>
                <w:rFonts w:ascii="Arial" w:cs="Arial" w:eastAsia="Arial" w:hAnsi="Arial"/>
                <w:sz w:val="18"/>
                <w:szCs w:val="18"/>
                <w:color w:val="0075C9"/>
              </w:rPr>
              <w:t>Lead Independent</w:t>
            </w:r>
          </w:p>
        </w:tc>
        <w:tc>
          <w:tcPr>
            <w:tcW w:w="4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60" w:type="dxa"/>
            <w:vAlign w:val="bottom"/>
            <w:vMerge w:val="continue"/>
          </w:tcPr>
          <w:p>
            <w:pPr>
              <w:spacing w:after="0"/>
              <w:rPr>
                <w:sz w:val="12"/>
                <w:szCs w:val="12"/>
                <w:color w:val="auto"/>
              </w:rPr>
            </w:pPr>
          </w:p>
        </w:tc>
        <w:tc>
          <w:tcPr>
            <w:tcW w:w="520" w:type="dxa"/>
            <w:vAlign w:val="bottom"/>
            <w:vMerge w:val="restart"/>
          </w:tcPr>
          <w:p>
            <w:pPr>
              <w:ind w:left="420"/>
              <w:spacing w:after="0" w:line="199" w:lineRule="exact"/>
              <w:rPr>
                <w:sz w:val="20"/>
                <w:szCs w:val="20"/>
                <w:color w:val="auto"/>
              </w:rPr>
            </w:pPr>
            <w:r>
              <w:rPr>
                <w:rFonts w:ascii="Arial" w:cs="Arial" w:eastAsia="Arial" w:hAnsi="Arial"/>
                <w:sz w:val="18"/>
                <w:szCs w:val="18"/>
                <w:color w:val="FFFFFF"/>
              </w:rPr>
              <w:t>•</w:t>
            </w:r>
          </w:p>
        </w:tc>
        <w:tc>
          <w:tcPr>
            <w:tcW w:w="3980" w:type="dxa"/>
            <w:vAlign w:val="bottom"/>
            <w:vMerge w:val="restart"/>
          </w:tcPr>
          <w:p>
            <w:pPr>
              <w:ind w:left="60"/>
              <w:spacing w:after="0" w:line="199" w:lineRule="exact"/>
              <w:rPr>
                <w:sz w:val="20"/>
                <w:szCs w:val="20"/>
                <w:color w:val="auto"/>
              </w:rPr>
            </w:pPr>
            <w:r>
              <w:rPr>
                <w:rFonts w:ascii="Arial" w:cs="Arial" w:eastAsia="Arial" w:hAnsi="Arial"/>
                <w:sz w:val="18"/>
                <w:szCs w:val="18"/>
                <w:color w:val="FFFFFF"/>
                <w:w w:val="96"/>
              </w:rPr>
              <w:t>Director of Denbury, Inc. and Arch Resources, Inc.</w:t>
            </w:r>
          </w:p>
        </w:tc>
        <w:tc>
          <w:tcPr>
            <w:tcW w:w="0" w:type="dxa"/>
            <w:vAlign w:val="bottom"/>
          </w:tcPr>
          <w:p>
            <w:pPr>
              <w:spacing w:after="0"/>
              <w:rPr>
                <w:sz w:val="1"/>
                <w:szCs w:val="1"/>
                <w:color w:val="auto"/>
              </w:rPr>
            </w:pPr>
          </w:p>
        </w:tc>
      </w:tr>
      <w:tr>
        <w:trPr>
          <w:trHeight w:val="53"/>
        </w:trPr>
        <w:tc>
          <w:tcPr>
            <w:tcW w:w="2060" w:type="dxa"/>
            <w:vAlign w:val="bottom"/>
            <w:vMerge w:val="restart"/>
          </w:tcPr>
          <w:p>
            <w:pPr>
              <w:spacing w:after="0" w:line="199" w:lineRule="exact"/>
              <w:rPr>
                <w:sz w:val="20"/>
                <w:szCs w:val="20"/>
                <w:color w:val="auto"/>
              </w:rPr>
            </w:pPr>
            <w:r>
              <w:rPr>
                <w:rFonts w:ascii="Arial" w:cs="Arial" w:eastAsia="Arial" w:hAnsi="Arial"/>
                <w:sz w:val="18"/>
                <w:szCs w:val="18"/>
                <w:color w:val="0075C9"/>
              </w:rPr>
              <w:t>Director</w:t>
            </w:r>
          </w:p>
        </w:tc>
        <w:tc>
          <w:tcPr>
            <w:tcW w:w="520" w:type="dxa"/>
            <w:vAlign w:val="bottom"/>
            <w:vMerge w:val="continue"/>
          </w:tcPr>
          <w:p>
            <w:pPr>
              <w:spacing w:after="0"/>
              <w:rPr>
                <w:sz w:val="4"/>
                <w:szCs w:val="4"/>
                <w:color w:val="auto"/>
              </w:rPr>
            </w:pPr>
          </w:p>
        </w:tc>
        <w:tc>
          <w:tcPr>
            <w:tcW w:w="3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60" w:type="dxa"/>
            <w:vAlign w:val="bottom"/>
            <w:vMerge w:val="continue"/>
          </w:tcPr>
          <w:p>
            <w:pPr>
              <w:spacing w:after="0"/>
              <w:rPr>
                <w:sz w:val="12"/>
                <w:szCs w:val="12"/>
                <w:color w:val="auto"/>
              </w:rPr>
            </w:pPr>
          </w:p>
        </w:tc>
        <w:tc>
          <w:tcPr>
            <w:tcW w:w="520" w:type="dxa"/>
            <w:vAlign w:val="bottom"/>
            <w:vMerge w:val="restart"/>
          </w:tcPr>
          <w:p>
            <w:pPr>
              <w:ind w:left="420"/>
              <w:spacing w:after="0"/>
              <w:rPr>
                <w:sz w:val="20"/>
                <w:szCs w:val="20"/>
                <w:color w:val="auto"/>
              </w:rPr>
            </w:pPr>
            <w:r>
              <w:rPr>
                <w:rFonts w:ascii="Arial" w:cs="Arial" w:eastAsia="Arial" w:hAnsi="Arial"/>
                <w:sz w:val="18"/>
                <w:szCs w:val="18"/>
                <w:color w:val="FFFFFF"/>
              </w:rPr>
              <w:t>•</w:t>
            </w:r>
          </w:p>
        </w:tc>
        <w:tc>
          <w:tcPr>
            <w:tcW w:w="3980" w:type="dxa"/>
            <w:vAlign w:val="bottom"/>
            <w:vMerge w:val="restart"/>
          </w:tcPr>
          <w:p>
            <w:pPr>
              <w:ind w:left="60"/>
              <w:spacing w:after="0"/>
              <w:rPr>
                <w:sz w:val="20"/>
                <w:szCs w:val="20"/>
                <w:color w:val="auto"/>
              </w:rPr>
            </w:pPr>
            <w:r>
              <w:rPr>
                <w:rFonts w:ascii="Arial" w:cs="Arial" w:eastAsia="Arial" w:hAnsi="Arial"/>
                <w:sz w:val="18"/>
                <w:szCs w:val="18"/>
                <w:color w:val="FFFFFF"/>
              </w:rPr>
              <w:t>Over 35 years of investment banking experience</w:t>
            </w:r>
          </w:p>
        </w:tc>
        <w:tc>
          <w:tcPr>
            <w:tcW w:w="0" w:type="dxa"/>
            <w:vAlign w:val="bottom"/>
          </w:tcPr>
          <w:p>
            <w:pPr>
              <w:spacing w:after="0"/>
              <w:rPr>
                <w:sz w:val="1"/>
                <w:szCs w:val="1"/>
                <w:color w:val="auto"/>
              </w:rPr>
            </w:pPr>
          </w:p>
        </w:tc>
      </w:tr>
      <w:tr>
        <w:trPr>
          <w:trHeight w:val="66"/>
        </w:trPr>
        <w:tc>
          <w:tcPr>
            <w:tcW w:w="2060" w:type="dxa"/>
            <w:vAlign w:val="bottom"/>
            <w:vMerge w:val="restart"/>
          </w:tcPr>
          <w:p>
            <w:pPr>
              <w:spacing w:after="0" w:line="199" w:lineRule="exact"/>
              <w:rPr>
                <w:sz w:val="20"/>
                <w:szCs w:val="20"/>
                <w:color w:val="auto"/>
              </w:rPr>
            </w:pPr>
            <w:r>
              <w:rPr>
                <w:rFonts w:ascii="Arial" w:cs="Arial" w:eastAsia="Arial" w:hAnsi="Arial"/>
                <w:sz w:val="18"/>
                <w:szCs w:val="18"/>
                <w:color w:val="0075C9"/>
              </w:rPr>
              <w:t>Director since: 2020</w:t>
            </w:r>
          </w:p>
        </w:tc>
        <w:tc>
          <w:tcPr>
            <w:tcW w:w="520" w:type="dxa"/>
            <w:vAlign w:val="bottom"/>
            <w:vMerge w:val="continue"/>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360"/>
        <w:spacing w:after="0"/>
        <w:rPr>
          <w:sz w:val="20"/>
          <w:szCs w:val="20"/>
          <w:color w:val="auto"/>
        </w:rPr>
      </w:pPr>
      <w:r>
        <w:rPr>
          <w:rFonts w:ascii="Arial" w:cs="Arial" w:eastAsia="Arial" w:hAnsi="Arial"/>
          <w:sz w:val="18"/>
          <w:szCs w:val="18"/>
          <w:color w:val="0075C9"/>
        </w:rPr>
        <w:t>Age: 58</w:t>
      </w:r>
    </w:p>
    <w:p>
      <w:pPr>
        <w:spacing w:after="0" w:line="200" w:lineRule="exact"/>
        <w:rPr>
          <w:sz w:val="20"/>
          <w:szCs w:val="20"/>
          <w:color w:val="auto"/>
        </w:rPr>
      </w:pPr>
    </w:p>
    <w:p>
      <w:pPr>
        <w:spacing w:after="0" w:line="380" w:lineRule="exact"/>
        <w:rPr>
          <w:sz w:val="20"/>
          <w:szCs w:val="20"/>
          <w:color w:val="auto"/>
        </w:rPr>
      </w:pPr>
    </w:p>
    <w:p>
      <w:pPr>
        <w:ind w:left="260" w:hanging="208"/>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ind w:left="260" w:hanging="208"/>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Mr. Chapman, 58,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has served on the Board of Directors of Denbury, Inc. since September 2020, and on the Board of Directors of Arch Resources, Inc. since 2016. Mr. Chapman received an M.B.A. degree with distinction from Dartmouth College in</w:t>
      </w:r>
    </w:p>
    <w:p>
      <w:pPr>
        <w:ind w:right="220"/>
        <w:spacing w:after="0" w:line="238" w:lineRule="auto"/>
        <w:rPr>
          <w:sz w:val="20"/>
          <w:szCs w:val="20"/>
          <w:color w:val="auto"/>
        </w:rPr>
      </w:pPr>
      <w:r>
        <w:rPr>
          <w:rFonts w:ascii="Arial" w:cs="Arial" w:eastAsia="Arial" w:hAnsi="Arial"/>
          <w:sz w:val="18"/>
          <w:szCs w:val="18"/>
          <w:color w:val="auto"/>
        </w:rPr>
        <w:t>1985 and was elected an Edward Tuck Scholar. He received his BA degree, with distinction, magna cum laude, at Dartmouth College in 1984 and was elected to Phi Beta Kappa, in addition to being a Rufus Choate Scholar.</w:t>
      </w:r>
    </w:p>
    <w:p>
      <w:pPr>
        <w:spacing w:after="0" w:line="19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441960</wp:posOffset>
            </wp:positionV>
            <wp:extent cx="3559175" cy="129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9175" cy="129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281940</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441960</wp:posOffset>
            </wp:positionV>
            <wp:extent cx="1287145" cy="128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7145" cy="128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3340" w:type="dxa"/>
        <w:tblCellMar>
          <w:top w:w="0" w:type="dxa"/>
          <w:left w:w="0" w:type="dxa"/>
          <w:bottom w:w="0" w:type="dxa"/>
          <w:right w:w="0" w:type="dxa"/>
        </w:tblCellMar>
      </w:tblPr>
      <w:tr>
        <w:trPr>
          <w:trHeight w:val="274"/>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Mark A. (Mac) McFarland</w:t>
            </w:r>
          </w:p>
        </w:tc>
        <w:tc>
          <w:tcPr>
            <w:tcW w:w="300" w:type="dxa"/>
            <w:vAlign w:val="bottom"/>
          </w:tcPr>
          <w:p>
            <w:pPr>
              <w:ind w:left="200"/>
              <w:spacing w:after="0"/>
              <w:rPr>
                <w:sz w:val="20"/>
                <w:szCs w:val="20"/>
                <w:color w:val="auto"/>
              </w:rPr>
            </w:pPr>
            <w:r>
              <w:rPr>
                <w:rFonts w:ascii="Arial" w:cs="Arial" w:eastAsia="Arial" w:hAnsi="Arial"/>
                <w:sz w:val="18"/>
                <w:szCs w:val="18"/>
                <w:color w:val="FFFFFF"/>
              </w:rPr>
              <w:t>•</w:t>
            </w:r>
          </w:p>
        </w:tc>
        <w:tc>
          <w:tcPr>
            <w:tcW w:w="5120" w:type="dxa"/>
            <w:vAlign w:val="bottom"/>
          </w:tcPr>
          <w:p>
            <w:pPr>
              <w:ind w:left="60"/>
              <w:spacing w:after="0"/>
              <w:rPr>
                <w:sz w:val="20"/>
                <w:szCs w:val="20"/>
                <w:color w:val="auto"/>
              </w:rPr>
            </w:pPr>
            <w:r>
              <w:rPr>
                <w:rFonts w:ascii="Arial" w:cs="Arial" w:eastAsia="Arial" w:hAnsi="Arial"/>
                <w:sz w:val="18"/>
                <w:szCs w:val="18"/>
                <w:color w:val="FFFFFF"/>
              </w:rPr>
              <w:t>Director of GenOn Energy, Inc.</w:t>
            </w:r>
          </w:p>
        </w:tc>
      </w:tr>
      <w:tr>
        <w:trPr>
          <w:trHeight w:val="212"/>
        </w:trPr>
        <w:tc>
          <w:tcPr>
            <w:tcW w:w="2280" w:type="dxa"/>
            <w:vAlign w:val="bottom"/>
          </w:tcPr>
          <w:p>
            <w:pPr>
              <w:spacing w:after="0" w:line="199" w:lineRule="exact"/>
              <w:rPr>
                <w:sz w:val="20"/>
                <w:szCs w:val="20"/>
                <w:color w:val="auto"/>
              </w:rPr>
            </w:pPr>
            <w:r>
              <w:rPr>
                <w:rFonts w:ascii="Arial" w:cs="Arial" w:eastAsia="Arial" w:hAnsi="Arial"/>
                <w:sz w:val="18"/>
                <w:szCs w:val="18"/>
                <w:color w:val="0075C9"/>
              </w:rPr>
              <w:t>Chairman, President and</w:t>
            </w:r>
          </w:p>
        </w:tc>
        <w:tc>
          <w:tcPr>
            <w:tcW w:w="300" w:type="dxa"/>
            <w:vAlign w:val="bottom"/>
          </w:tcPr>
          <w:p>
            <w:pPr>
              <w:ind w:left="200"/>
              <w:spacing w:after="0"/>
              <w:rPr>
                <w:sz w:val="20"/>
                <w:szCs w:val="20"/>
                <w:color w:val="auto"/>
              </w:rPr>
            </w:pPr>
            <w:r>
              <w:rPr>
                <w:rFonts w:ascii="Arial" w:cs="Arial" w:eastAsia="Arial" w:hAnsi="Arial"/>
                <w:sz w:val="18"/>
                <w:szCs w:val="18"/>
                <w:color w:val="FFFFFF"/>
              </w:rPr>
              <w:t>•</w:t>
            </w:r>
          </w:p>
        </w:tc>
        <w:tc>
          <w:tcPr>
            <w:tcW w:w="5120" w:type="dxa"/>
            <w:vAlign w:val="bottom"/>
          </w:tcPr>
          <w:p>
            <w:pPr>
              <w:ind w:left="60"/>
              <w:spacing w:after="0"/>
              <w:rPr>
                <w:sz w:val="20"/>
                <w:szCs w:val="20"/>
                <w:color w:val="auto"/>
              </w:rPr>
            </w:pPr>
            <w:r>
              <w:rPr>
                <w:rFonts w:ascii="Arial" w:cs="Arial" w:eastAsia="Arial" w:hAnsi="Arial"/>
                <w:sz w:val="18"/>
                <w:szCs w:val="18"/>
                <w:color w:val="FFFFFF"/>
                <w:w w:val="96"/>
              </w:rPr>
              <w:t>Prior Director of Bruin E&amp;P Partners, LLC, TerraForm Power, Inc.</w:t>
            </w:r>
          </w:p>
        </w:tc>
      </w:tr>
    </w:tbl>
    <w:p>
      <w:pPr>
        <w:spacing w:after="0" w:line="1" w:lineRule="exact"/>
        <w:rPr>
          <w:sz w:val="20"/>
          <w:szCs w:val="20"/>
          <w:color w:val="auto"/>
        </w:rPr>
      </w:pPr>
    </w:p>
    <w:tbl>
      <w:tblPr>
        <w:tblLayout w:type="fixed"/>
        <w:tblInd w:w="3340" w:type="dxa"/>
        <w:tblCellMar>
          <w:top w:w="0" w:type="dxa"/>
          <w:left w:w="0" w:type="dxa"/>
          <w:bottom w:w="0" w:type="dxa"/>
          <w:right w:w="0" w:type="dxa"/>
        </w:tblCellMar>
      </w:tblPr>
      <w:tr>
        <w:trPr>
          <w:trHeight w:val="199"/>
        </w:trPr>
        <w:tc>
          <w:tcPr>
            <w:tcW w:w="2020" w:type="dxa"/>
            <w:vAlign w:val="bottom"/>
            <w:vMerge w:val="restart"/>
          </w:tcPr>
          <w:p>
            <w:pPr>
              <w:spacing w:after="0"/>
              <w:rPr>
                <w:sz w:val="20"/>
                <w:szCs w:val="20"/>
                <w:color w:val="auto"/>
              </w:rPr>
            </w:pPr>
            <w:r>
              <w:rPr>
                <w:rFonts w:ascii="Arial" w:cs="Arial" w:eastAsia="Arial" w:hAnsi="Arial"/>
                <w:sz w:val="18"/>
                <w:szCs w:val="18"/>
                <w:color w:val="0075C9"/>
              </w:rPr>
              <w:t>CEO</w:t>
            </w:r>
          </w:p>
        </w:tc>
        <w:tc>
          <w:tcPr>
            <w:tcW w:w="5780" w:type="dxa"/>
            <w:vAlign w:val="bottom"/>
          </w:tcPr>
          <w:p>
            <w:pPr>
              <w:ind w:left="600"/>
              <w:spacing w:after="0" w:line="199" w:lineRule="exact"/>
              <w:rPr>
                <w:sz w:val="20"/>
                <w:szCs w:val="20"/>
                <w:color w:val="auto"/>
              </w:rPr>
            </w:pPr>
            <w:r>
              <w:rPr>
                <w:rFonts w:ascii="Arial" w:cs="Arial" w:eastAsia="Arial" w:hAnsi="Arial"/>
                <w:sz w:val="18"/>
                <w:szCs w:val="18"/>
                <w:color w:val="FFFFFF"/>
              </w:rPr>
              <w:t>and Chaparral Energy, Inc.</w:t>
            </w:r>
          </w:p>
        </w:tc>
        <w:tc>
          <w:tcPr>
            <w:tcW w:w="0" w:type="dxa"/>
            <w:vAlign w:val="bottom"/>
          </w:tcPr>
          <w:p>
            <w:pPr>
              <w:spacing w:after="0"/>
              <w:rPr>
                <w:sz w:val="1"/>
                <w:szCs w:val="1"/>
                <w:color w:val="auto"/>
              </w:rPr>
            </w:pPr>
          </w:p>
        </w:tc>
      </w:tr>
      <w:tr>
        <w:trPr>
          <w:trHeight w:val="53"/>
        </w:trPr>
        <w:tc>
          <w:tcPr>
            <w:tcW w:w="2020" w:type="dxa"/>
            <w:vAlign w:val="bottom"/>
            <w:vMerge w:val="continue"/>
          </w:tcPr>
          <w:p>
            <w:pPr>
              <w:spacing w:after="0"/>
              <w:rPr>
                <w:sz w:val="4"/>
                <w:szCs w:val="4"/>
                <w:color w:val="auto"/>
              </w:rPr>
            </w:pPr>
          </w:p>
        </w:tc>
        <w:tc>
          <w:tcPr>
            <w:tcW w:w="5780" w:type="dxa"/>
            <w:vAlign w:val="bottom"/>
            <w:vMerge w:val="restart"/>
          </w:tcPr>
          <w:p>
            <w:pPr>
              <w:ind w:left="460"/>
              <w:spacing w:after="0" w:line="199" w:lineRule="exact"/>
              <w:rPr>
                <w:sz w:val="20"/>
                <w:szCs w:val="20"/>
                <w:color w:val="auto"/>
              </w:rPr>
            </w:pPr>
            <w:r>
              <w:rPr>
                <w:rFonts w:ascii="Arial" w:cs="Arial" w:eastAsia="Arial" w:hAnsi="Arial"/>
                <w:sz w:val="18"/>
                <w:szCs w:val="18"/>
                <w:color w:val="FFFFFF"/>
                <w:w w:val="98"/>
              </w:rPr>
              <w:t>• Prior CEO of GenOn Energy, Inc. and Luminant Holding Company</w:t>
            </w:r>
          </w:p>
        </w:tc>
        <w:tc>
          <w:tcPr>
            <w:tcW w:w="0" w:type="dxa"/>
            <w:vAlign w:val="bottom"/>
          </w:tcPr>
          <w:p>
            <w:pPr>
              <w:spacing w:after="0"/>
              <w:rPr>
                <w:sz w:val="1"/>
                <w:szCs w:val="1"/>
                <w:color w:val="auto"/>
              </w:rPr>
            </w:pPr>
          </w:p>
        </w:tc>
      </w:tr>
      <w:tr>
        <w:trPr>
          <w:trHeight w:val="146"/>
        </w:trPr>
        <w:tc>
          <w:tcPr>
            <w:tcW w:w="2020" w:type="dxa"/>
            <w:vAlign w:val="bottom"/>
            <w:vMerge w:val="restart"/>
          </w:tcPr>
          <w:p>
            <w:pPr>
              <w:spacing w:after="0" w:line="199" w:lineRule="exact"/>
              <w:rPr>
                <w:sz w:val="20"/>
                <w:szCs w:val="20"/>
                <w:color w:val="auto"/>
              </w:rPr>
            </w:pPr>
            <w:r>
              <w:rPr>
                <w:rFonts w:ascii="Arial" w:cs="Arial" w:eastAsia="Arial" w:hAnsi="Arial"/>
                <w:sz w:val="18"/>
                <w:szCs w:val="18"/>
                <w:color w:val="0075C9"/>
              </w:rPr>
              <w:t>Director since: 2020</w:t>
            </w:r>
          </w:p>
        </w:tc>
        <w:tc>
          <w:tcPr>
            <w:tcW w:w="5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20" w:type="dxa"/>
            <w:vAlign w:val="bottom"/>
            <w:vMerge w:val="continue"/>
          </w:tcPr>
          <w:p>
            <w:pPr>
              <w:spacing w:after="0"/>
              <w:rPr>
                <w:sz w:val="4"/>
                <w:szCs w:val="4"/>
                <w:color w:val="auto"/>
              </w:rPr>
            </w:pPr>
          </w:p>
        </w:tc>
        <w:tc>
          <w:tcPr>
            <w:tcW w:w="5780" w:type="dxa"/>
            <w:vAlign w:val="bottom"/>
            <w:vMerge w:val="restart"/>
          </w:tcPr>
          <w:p>
            <w:pPr>
              <w:ind w:left="600"/>
              <w:spacing w:after="0"/>
              <w:rPr>
                <w:sz w:val="20"/>
                <w:szCs w:val="20"/>
                <w:color w:val="auto"/>
              </w:rPr>
            </w:pPr>
            <w:r>
              <w:rPr>
                <w:rFonts w:ascii="Arial" w:cs="Arial" w:eastAsia="Arial" w:hAnsi="Arial"/>
                <w:sz w:val="18"/>
                <w:szCs w:val="18"/>
                <w:color w:val="FFFFFF"/>
              </w:rPr>
              <w:t>LLC</w:t>
            </w:r>
          </w:p>
        </w:tc>
        <w:tc>
          <w:tcPr>
            <w:tcW w:w="0" w:type="dxa"/>
            <w:vAlign w:val="bottom"/>
          </w:tcPr>
          <w:p>
            <w:pPr>
              <w:spacing w:after="0"/>
              <w:rPr>
                <w:sz w:val="1"/>
                <w:szCs w:val="1"/>
                <w:color w:val="auto"/>
              </w:rPr>
            </w:pPr>
          </w:p>
        </w:tc>
      </w:tr>
      <w:tr>
        <w:trPr>
          <w:trHeight w:val="159"/>
        </w:trPr>
        <w:tc>
          <w:tcPr>
            <w:tcW w:w="2020" w:type="dxa"/>
            <w:vAlign w:val="bottom"/>
            <w:vMerge w:val="restart"/>
          </w:tcPr>
          <w:p>
            <w:pPr>
              <w:ind w:left="20"/>
              <w:spacing w:after="0"/>
              <w:rPr>
                <w:sz w:val="20"/>
                <w:szCs w:val="20"/>
                <w:color w:val="auto"/>
              </w:rPr>
            </w:pPr>
            <w:r>
              <w:rPr>
                <w:rFonts w:ascii="Arial" w:cs="Arial" w:eastAsia="Arial" w:hAnsi="Arial"/>
                <w:sz w:val="18"/>
                <w:szCs w:val="18"/>
                <w:color w:val="0075C9"/>
              </w:rPr>
              <w:t>Age: 51</w:t>
            </w:r>
          </w:p>
        </w:tc>
        <w:tc>
          <w:tcPr>
            <w:tcW w:w="5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20" w:type="dxa"/>
            <w:vAlign w:val="bottom"/>
            <w:vMerge w:val="continue"/>
          </w:tcPr>
          <w:p>
            <w:pPr>
              <w:spacing w:after="0"/>
              <w:rPr>
                <w:sz w:val="4"/>
                <w:szCs w:val="4"/>
                <w:color w:val="auto"/>
              </w:rPr>
            </w:pPr>
          </w:p>
        </w:tc>
        <w:tc>
          <w:tcPr>
            <w:tcW w:w="5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Mr. McFarland, 51, has served as a member of California Resources Corporation’s Board of Directors since October 2020. Mr. McFarland has been the Executive Chairman of GenOn Energy, Inc., an independent power producer, since December 2018, but stepped back from his Executive Chairman role in connection with his appointment as President and Chief Executive Officer of the Company (he will remain on the board of GenOn Energy). From April 2017 to December 2018, he was the President and Chief Executive Officer of GenOn and served on its Board of Managers. From 2013 to 2016, he served as Chief Executive Officer of Luminant Holding Company LLC, a subsidiary of Energy Future Holdings Corporation, an electric utility company.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from 2005 to 2008 and Vice President, Exelon Generation from 2003 to 2005. He served on the Board of Managers of Bruin E&amp;P Partners, LLC from March 2020 to August 2020. He served on the Board of Directors of TerraForm Power, Inc. from October 2017 to July 2020. He served on the Board of Directors of Chaparral Energy, Inc. from December 2019 to October 2020.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307975</wp:posOffset>
            </wp:positionV>
            <wp:extent cx="1287145" cy="128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7145" cy="128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3340" w:type="dxa"/>
        <w:tblCellMar>
          <w:top w:w="0" w:type="dxa"/>
          <w:left w:w="0" w:type="dxa"/>
          <w:bottom w:w="0" w:type="dxa"/>
          <w:right w:w="0" w:type="dxa"/>
        </w:tblCellMar>
      </w:tblPr>
      <w:tr>
        <w:trPr>
          <w:trHeight w:val="821"/>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Julio M. Quintana</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Chairman of Basic Energy Services</w:t>
            </w:r>
          </w:p>
        </w:tc>
        <w:tc>
          <w:tcPr>
            <w:tcW w:w="0" w:type="dxa"/>
            <w:vAlign w:val="bottom"/>
          </w:tcPr>
          <w:p>
            <w:pPr>
              <w:spacing w:after="0"/>
              <w:rPr>
                <w:sz w:val="1"/>
                <w:szCs w:val="1"/>
                <w:color w:val="auto"/>
              </w:rPr>
            </w:pPr>
          </w:p>
        </w:tc>
      </w:tr>
      <w:tr>
        <w:trPr>
          <w:trHeight w:val="198"/>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620" w:type="dxa"/>
            <w:vAlign w:val="bottom"/>
            <w:gridSpan w:val="2"/>
            <w:shd w:val="clear" w:color="auto" w:fill="0075C9"/>
          </w:tcPr>
          <w:p>
            <w:pPr>
              <w:ind w:left="180"/>
              <w:spacing w:after="0" w:line="198" w:lineRule="exact"/>
              <w:rPr>
                <w:sz w:val="20"/>
                <w:szCs w:val="20"/>
                <w:color w:val="auto"/>
              </w:rPr>
            </w:pPr>
            <w:r>
              <w:rPr>
                <w:rFonts w:ascii="Arial" w:cs="Arial" w:eastAsia="Arial" w:hAnsi="Arial"/>
                <w:sz w:val="18"/>
                <w:szCs w:val="18"/>
                <w:color w:val="FFFFFF"/>
              </w:rPr>
              <w:t>• Director of SM Energy, Newmont Mining</w:t>
            </w:r>
          </w:p>
        </w:tc>
        <w:tc>
          <w:tcPr>
            <w:tcW w:w="0" w:type="dxa"/>
            <w:vAlign w:val="bottom"/>
          </w:tcPr>
          <w:p>
            <w:pPr>
              <w:spacing w:after="0"/>
              <w:rPr>
                <w:sz w:val="1"/>
                <w:szCs w:val="1"/>
                <w:color w:val="auto"/>
              </w:rPr>
            </w:pPr>
          </w:p>
        </w:tc>
      </w:tr>
      <w:tr>
        <w:trPr>
          <w:trHeight w:val="146"/>
        </w:trPr>
        <w:tc>
          <w:tcPr>
            <w:tcW w:w="2280" w:type="dxa"/>
            <w:vAlign w:val="bottom"/>
            <w:vMerge w:val="continue"/>
          </w:tcPr>
          <w:p>
            <w:pPr>
              <w:spacing w:after="0"/>
              <w:rPr>
                <w:sz w:val="12"/>
                <w:szCs w:val="12"/>
                <w:color w:val="auto"/>
              </w:rPr>
            </w:pPr>
          </w:p>
        </w:tc>
        <w:tc>
          <w:tcPr>
            <w:tcW w:w="300" w:type="dxa"/>
            <w:vAlign w:val="bottom"/>
            <w:vMerge w:val="restart"/>
            <w:shd w:val="clear" w:color="auto" w:fill="0075C9"/>
          </w:tcPr>
          <w:p>
            <w:pPr>
              <w:ind w:left="180"/>
              <w:spacing w:after="0" w:line="199" w:lineRule="exact"/>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40"/>
              <w:spacing w:after="0" w:line="199" w:lineRule="exact"/>
              <w:rPr>
                <w:sz w:val="20"/>
                <w:szCs w:val="20"/>
                <w:color w:val="auto"/>
              </w:rPr>
            </w:pPr>
            <w:r>
              <w:rPr>
                <w:rFonts w:ascii="Arial" w:cs="Arial" w:eastAsia="Arial" w:hAnsi="Arial"/>
                <w:sz w:val="18"/>
                <w:szCs w:val="18"/>
                <w:color w:val="FFFFFF"/>
              </w:rPr>
              <w:t>Prior Director and CEO of Tesco Corporation</w:t>
            </w:r>
          </w:p>
        </w:tc>
        <w:tc>
          <w:tcPr>
            <w:tcW w:w="0" w:type="dxa"/>
            <w:vAlign w:val="bottom"/>
          </w:tcPr>
          <w:p>
            <w:pPr>
              <w:spacing w:after="0"/>
              <w:rPr>
                <w:sz w:val="1"/>
                <w:szCs w:val="1"/>
                <w:color w:val="auto"/>
              </w:rPr>
            </w:pPr>
          </w:p>
        </w:tc>
      </w:tr>
      <w:tr>
        <w:trPr>
          <w:trHeight w:val="53"/>
        </w:trPr>
        <w:tc>
          <w:tcPr>
            <w:tcW w:w="2280" w:type="dxa"/>
            <w:vAlign w:val="bottom"/>
            <w:vMerge w:val="restart"/>
          </w:tcPr>
          <w:p>
            <w:pPr>
              <w:ind w:left="20"/>
              <w:spacing w:after="0"/>
              <w:rPr>
                <w:sz w:val="20"/>
                <w:szCs w:val="20"/>
                <w:color w:val="auto"/>
              </w:rPr>
            </w:pPr>
            <w:r>
              <w:rPr>
                <w:rFonts w:ascii="Arial" w:cs="Arial" w:eastAsia="Arial" w:hAnsi="Arial"/>
                <w:sz w:val="18"/>
                <w:szCs w:val="18"/>
                <w:color w:val="0075C9"/>
              </w:rPr>
              <w:t>Age: 61</w:t>
            </w:r>
          </w:p>
        </w:tc>
        <w:tc>
          <w:tcPr>
            <w:tcW w:w="300" w:type="dxa"/>
            <w:vAlign w:val="bottom"/>
            <w:vMerge w:val="continue"/>
            <w:shd w:val="clear" w:color="auto" w:fill="0075C9"/>
          </w:tcPr>
          <w:p>
            <w:pPr>
              <w:spacing w:after="0"/>
              <w:rPr>
                <w:sz w:val="4"/>
                <w:szCs w:val="4"/>
                <w:color w:val="auto"/>
              </w:rPr>
            </w:pPr>
          </w:p>
        </w:tc>
        <w:tc>
          <w:tcPr>
            <w:tcW w:w="532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280" w:type="dxa"/>
            <w:vAlign w:val="bottom"/>
            <w:vMerge w:val="continue"/>
          </w:tcPr>
          <w:p>
            <w:pPr>
              <w:spacing w:after="0"/>
              <w:rPr>
                <w:sz w:val="13"/>
                <w:szCs w:val="13"/>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53"/>
        </w:trPr>
        <w:tc>
          <w:tcPr>
            <w:tcW w:w="2280" w:type="dxa"/>
            <w:vAlign w:val="bottom"/>
          </w:tcPr>
          <w:p>
            <w:pPr>
              <w:spacing w:after="0"/>
              <w:rPr>
                <w:sz w:val="4"/>
                <w:szCs w:val="4"/>
                <w:color w:val="auto"/>
              </w:rPr>
            </w:pPr>
          </w:p>
        </w:tc>
        <w:tc>
          <w:tcPr>
            <w:tcW w:w="300" w:type="dxa"/>
            <w:vAlign w:val="bottom"/>
            <w:vMerge w:val="continue"/>
            <w:shd w:val="clear" w:color="auto" w:fill="0075C9"/>
          </w:tcPr>
          <w:p>
            <w:pPr>
              <w:spacing w:after="0"/>
              <w:rPr>
                <w:sz w:val="4"/>
                <w:szCs w:val="4"/>
                <w:color w:val="auto"/>
              </w:rPr>
            </w:pPr>
          </w:p>
        </w:tc>
        <w:tc>
          <w:tcPr>
            <w:tcW w:w="532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10"/>
        </w:trPr>
        <w:tc>
          <w:tcPr>
            <w:tcW w:w="22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60" w:hanging="208"/>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8"/>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Operations and Sustainability Committee</w:t>
      </w:r>
    </w:p>
    <w:p>
      <w:pPr>
        <w:spacing w:after="0" w:line="20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Mr. Quintana, 61, has served as a member of California Resources Corporation’s Board of Directors since October 2020. Mr. Quintana served as the President and Chief Executive Officer of Tesco Corporation, an oilfield services company, from 2005 until his retirement in January 2015, and was a member of Tesco’s 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w:t>
      </w:r>
    </w:p>
    <w:p>
      <w:pPr>
        <w:spacing w:after="0" w:line="2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operational and managerial roles in production, drilling and asset management. His last roles at Unocal were Asset Manager for the MidContinent Region and Asset Manager for Deepwater Gulf of Mexico. Mr. Quintana brings 41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 member of the Board of Directors of Newmont Mining since October 2015, Chairman of the Board of Basic Energy Services and member of its Board of Directors since December 2016. Mr. Quintana has a degree in Mechanical Engineering from The University of Southern California and is a Licensed Petroleum Engineer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3340" w:type="dxa"/>
        <w:tblCellMar>
          <w:top w:w="0" w:type="dxa"/>
          <w:left w:w="0" w:type="dxa"/>
          <w:bottom w:w="0" w:type="dxa"/>
          <w:right w:w="0" w:type="dxa"/>
        </w:tblCellMar>
      </w:tblPr>
      <w:tr>
        <w:trPr>
          <w:trHeight w:val="913"/>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William B. Roby</w:t>
            </w:r>
          </w:p>
        </w:tc>
        <w:tc>
          <w:tcPr>
            <w:tcW w:w="56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Shepherd Energy, LLC</w:t>
            </w:r>
          </w:p>
        </w:tc>
        <w:tc>
          <w:tcPr>
            <w:tcW w:w="0" w:type="dxa"/>
            <w:vAlign w:val="bottom"/>
          </w:tcPr>
          <w:p>
            <w:pPr>
              <w:spacing w:after="0"/>
              <w:rPr>
                <w:sz w:val="1"/>
                <w:szCs w:val="1"/>
                <w:color w:val="auto"/>
              </w:rPr>
            </w:pPr>
          </w:p>
        </w:tc>
      </w:tr>
      <w:tr>
        <w:trPr>
          <w:trHeight w:val="199"/>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ind w:left="180"/>
              <w:spacing w:after="0" w:line="199"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40"/>
              <w:spacing w:after="0" w:line="199" w:lineRule="exact"/>
              <w:rPr>
                <w:sz w:val="20"/>
                <w:szCs w:val="20"/>
                <w:color w:val="auto"/>
              </w:rPr>
            </w:pPr>
            <w:r>
              <w:rPr>
                <w:rFonts w:ascii="Arial" w:cs="Arial" w:eastAsia="Arial" w:hAnsi="Arial"/>
                <w:sz w:val="18"/>
                <w:szCs w:val="18"/>
                <w:color w:val="FFFFFF"/>
              </w:rPr>
              <w:t>Director of Vermilion Energy Inc.</w:t>
            </w:r>
          </w:p>
        </w:tc>
        <w:tc>
          <w:tcPr>
            <w:tcW w:w="0" w:type="dxa"/>
            <w:vAlign w:val="bottom"/>
          </w:tcPr>
          <w:p>
            <w:pPr>
              <w:spacing w:after="0"/>
              <w:rPr>
                <w:sz w:val="1"/>
                <w:szCs w:val="1"/>
                <w:color w:val="auto"/>
              </w:rPr>
            </w:pPr>
          </w:p>
        </w:tc>
      </w:tr>
      <w:tr>
        <w:trPr>
          <w:trHeight w:val="53"/>
        </w:trPr>
        <w:tc>
          <w:tcPr>
            <w:tcW w:w="2280" w:type="dxa"/>
            <w:vAlign w:val="bottom"/>
            <w:vMerge w:val="continue"/>
          </w:tcPr>
          <w:p>
            <w:pPr>
              <w:spacing w:after="0"/>
              <w:rPr>
                <w:sz w:val="4"/>
                <w:szCs w:val="4"/>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159"/>
        </w:trPr>
        <w:tc>
          <w:tcPr>
            <w:tcW w:w="2280" w:type="dxa"/>
            <w:vAlign w:val="bottom"/>
            <w:vMerge w:val="restart"/>
          </w:tcPr>
          <w:p>
            <w:pPr>
              <w:ind w:left="20"/>
              <w:spacing w:after="0"/>
              <w:rPr>
                <w:sz w:val="20"/>
                <w:szCs w:val="20"/>
                <w:color w:val="auto"/>
              </w:rPr>
            </w:pPr>
            <w:r>
              <w:rPr>
                <w:rFonts w:ascii="Arial" w:cs="Arial" w:eastAsia="Arial" w:hAnsi="Arial"/>
                <w:sz w:val="18"/>
                <w:szCs w:val="18"/>
                <w:color w:val="0075C9"/>
              </w:rPr>
              <w:t>Age: 61</w:t>
            </w:r>
          </w:p>
        </w:tc>
        <w:tc>
          <w:tcPr>
            <w:tcW w:w="300" w:type="dxa"/>
            <w:vAlign w:val="bottom"/>
            <w:vMerge w:val="continue"/>
            <w:shd w:val="clear" w:color="auto" w:fill="0075C9"/>
          </w:tcPr>
          <w:p>
            <w:pPr>
              <w:spacing w:after="0"/>
              <w:rPr>
                <w:sz w:val="13"/>
                <w:szCs w:val="13"/>
                <w:color w:val="auto"/>
              </w:rPr>
            </w:pPr>
          </w:p>
        </w:tc>
        <w:tc>
          <w:tcPr>
            <w:tcW w:w="5320" w:type="dxa"/>
            <w:vAlign w:val="bottom"/>
            <w:vMerge w:val="continue"/>
            <w:shd w:val="clear" w:color="auto" w:fill="0075C9"/>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280" w:type="dxa"/>
            <w:vAlign w:val="bottom"/>
            <w:vMerge w:val="continue"/>
          </w:tcPr>
          <w:p>
            <w:pPr>
              <w:spacing w:after="0"/>
              <w:rPr>
                <w:sz w:val="4"/>
                <w:szCs w:val="4"/>
                <w:color w:val="auto"/>
              </w:rPr>
            </w:pPr>
          </w:p>
        </w:tc>
        <w:tc>
          <w:tcPr>
            <w:tcW w:w="300" w:type="dxa"/>
            <w:vAlign w:val="bottom"/>
            <w:shd w:val="clear" w:color="auto" w:fill="0075C9"/>
          </w:tcPr>
          <w:p>
            <w:pPr>
              <w:spacing w:after="0"/>
              <w:rPr>
                <w:sz w:val="4"/>
                <w:szCs w:val="4"/>
                <w:color w:val="auto"/>
              </w:rPr>
            </w:pPr>
          </w:p>
        </w:tc>
        <w:tc>
          <w:tcPr>
            <w:tcW w:w="5320" w:type="dxa"/>
            <w:vAlign w:val="bottom"/>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63"/>
        </w:trPr>
        <w:tc>
          <w:tcPr>
            <w:tcW w:w="22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60" w:hanging="208"/>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 of the Operations and Sustainability Committee</w:t>
      </w:r>
    </w:p>
    <w:p>
      <w:pPr>
        <w:ind w:left="260" w:hanging="208"/>
        <w:spacing w:after="0" w:line="230"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8"/>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Mr. Roby, 61,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340" w:type="dxa"/>
        <w:tblCellMar>
          <w:top w:w="0" w:type="dxa"/>
          <w:left w:w="0" w:type="dxa"/>
          <w:bottom w:w="0" w:type="dxa"/>
          <w:right w:w="0" w:type="dxa"/>
        </w:tblCellMar>
      </w:tblPr>
      <w:tr>
        <w:trPr>
          <w:trHeight w:val="821"/>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Brian Steck</w:t>
            </w:r>
          </w:p>
        </w:tc>
        <w:tc>
          <w:tcPr>
            <w:tcW w:w="280" w:type="dxa"/>
            <w:vAlign w:val="bottom"/>
            <w:shd w:val="clear" w:color="auto" w:fill="0075C9"/>
          </w:tcPr>
          <w:p>
            <w:pPr>
              <w:ind w:left="16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Chairman of Bonanza Creek Energy, Inc.</w:t>
            </w:r>
          </w:p>
        </w:tc>
        <w:tc>
          <w:tcPr>
            <w:tcW w:w="0" w:type="dxa"/>
            <w:vAlign w:val="bottom"/>
          </w:tcPr>
          <w:p>
            <w:pPr>
              <w:spacing w:after="0"/>
              <w:rPr>
                <w:sz w:val="1"/>
                <w:szCs w:val="1"/>
                <w:color w:val="auto"/>
              </w:rPr>
            </w:pPr>
          </w:p>
        </w:tc>
      </w:tr>
      <w:tr>
        <w:trPr>
          <w:trHeight w:val="198"/>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ind w:left="160"/>
              <w:spacing w:after="0" w:line="198" w:lineRule="exact"/>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40"/>
              <w:spacing w:after="0" w:line="198" w:lineRule="exact"/>
              <w:rPr>
                <w:sz w:val="20"/>
                <w:szCs w:val="20"/>
                <w:color w:val="auto"/>
              </w:rPr>
            </w:pPr>
            <w:r>
              <w:rPr>
                <w:rFonts w:ascii="Arial" w:cs="Arial" w:eastAsia="Arial" w:hAnsi="Arial"/>
                <w:sz w:val="18"/>
                <w:szCs w:val="18"/>
                <w:color w:val="FFFFFF"/>
              </w:rPr>
              <w:t>Director of Chesapeake Energy Corporation</w:t>
            </w:r>
          </w:p>
        </w:tc>
        <w:tc>
          <w:tcPr>
            <w:tcW w:w="0" w:type="dxa"/>
            <w:vAlign w:val="bottom"/>
          </w:tcPr>
          <w:p>
            <w:pPr>
              <w:spacing w:after="0"/>
              <w:rPr>
                <w:sz w:val="1"/>
                <w:szCs w:val="1"/>
                <w:color w:val="auto"/>
              </w:rPr>
            </w:pPr>
          </w:p>
        </w:tc>
      </w:tr>
      <w:tr>
        <w:trPr>
          <w:trHeight w:val="146"/>
        </w:trPr>
        <w:tc>
          <w:tcPr>
            <w:tcW w:w="2280" w:type="dxa"/>
            <w:vAlign w:val="bottom"/>
            <w:vMerge w:val="continue"/>
          </w:tcPr>
          <w:p>
            <w:pPr>
              <w:spacing w:after="0"/>
              <w:rPr>
                <w:sz w:val="12"/>
                <w:szCs w:val="12"/>
                <w:color w:val="auto"/>
              </w:rPr>
            </w:pPr>
          </w:p>
        </w:tc>
        <w:tc>
          <w:tcPr>
            <w:tcW w:w="280" w:type="dxa"/>
            <w:vAlign w:val="bottom"/>
            <w:vMerge w:val="restart"/>
            <w:shd w:val="clear" w:color="auto" w:fill="0075C9"/>
          </w:tcPr>
          <w:p>
            <w:pPr>
              <w:ind w:left="160"/>
              <w:spacing w:after="0" w:line="199" w:lineRule="exact"/>
              <w:rPr>
                <w:sz w:val="20"/>
                <w:szCs w:val="20"/>
                <w:color w:val="auto"/>
              </w:rPr>
            </w:pPr>
            <w:r>
              <w:rPr>
                <w:rFonts w:ascii="Arial" w:cs="Arial" w:eastAsia="Arial" w:hAnsi="Arial"/>
                <w:sz w:val="18"/>
                <w:szCs w:val="18"/>
                <w:color w:val="FFFFFF"/>
              </w:rPr>
              <w:t>•</w:t>
            </w:r>
          </w:p>
        </w:tc>
        <w:tc>
          <w:tcPr>
            <w:tcW w:w="5340" w:type="dxa"/>
            <w:vAlign w:val="bottom"/>
            <w:vMerge w:val="restart"/>
            <w:shd w:val="clear" w:color="auto" w:fill="0075C9"/>
          </w:tcPr>
          <w:p>
            <w:pPr>
              <w:ind w:left="40"/>
              <w:spacing w:after="0" w:line="199" w:lineRule="exact"/>
              <w:rPr>
                <w:sz w:val="20"/>
                <w:szCs w:val="20"/>
                <w:color w:val="auto"/>
              </w:rPr>
            </w:pPr>
            <w:r>
              <w:rPr>
                <w:rFonts w:ascii="Arial" w:cs="Arial" w:eastAsia="Arial" w:hAnsi="Arial"/>
                <w:sz w:val="18"/>
                <w:szCs w:val="18"/>
                <w:color w:val="FFFFFF"/>
              </w:rPr>
              <w:t>Previous Director of Penn Virginia Corporation</w:t>
            </w:r>
          </w:p>
        </w:tc>
        <w:tc>
          <w:tcPr>
            <w:tcW w:w="0" w:type="dxa"/>
            <w:vAlign w:val="bottom"/>
          </w:tcPr>
          <w:p>
            <w:pPr>
              <w:spacing w:after="0"/>
              <w:rPr>
                <w:sz w:val="1"/>
                <w:szCs w:val="1"/>
                <w:color w:val="auto"/>
              </w:rPr>
            </w:pPr>
          </w:p>
        </w:tc>
      </w:tr>
      <w:tr>
        <w:trPr>
          <w:trHeight w:val="53"/>
        </w:trPr>
        <w:tc>
          <w:tcPr>
            <w:tcW w:w="2280" w:type="dxa"/>
            <w:vAlign w:val="bottom"/>
            <w:vMerge w:val="restart"/>
          </w:tcPr>
          <w:p>
            <w:pPr>
              <w:ind w:left="20"/>
              <w:spacing w:after="0"/>
              <w:rPr>
                <w:sz w:val="20"/>
                <w:szCs w:val="20"/>
                <w:color w:val="auto"/>
              </w:rPr>
            </w:pPr>
            <w:r>
              <w:rPr>
                <w:rFonts w:ascii="Arial" w:cs="Arial" w:eastAsia="Arial" w:hAnsi="Arial"/>
                <w:sz w:val="18"/>
                <w:szCs w:val="18"/>
                <w:color w:val="0075C9"/>
              </w:rPr>
              <w:t>Age: 53</w:t>
            </w:r>
          </w:p>
        </w:tc>
        <w:tc>
          <w:tcPr>
            <w:tcW w:w="280" w:type="dxa"/>
            <w:vAlign w:val="bottom"/>
            <w:vMerge w:val="continue"/>
            <w:shd w:val="clear" w:color="auto" w:fill="0075C9"/>
          </w:tcPr>
          <w:p>
            <w:pPr>
              <w:spacing w:after="0"/>
              <w:rPr>
                <w:sz w:val="4"/>
                <w:szCs w:val="4"/>
                <w:color w:val="auto"/>
              </w:rPr>
            </w:pPr>
          </w:p>
        </w:tc>
        <w:tc>
          <w:tcPr>
            <w:tcW w:w="534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280" w:type="dxa"/>
            <w:vAlign w:val="bottom"/>
            <w:vMerge w:val="continue"/>
          </w:tcPr>
          <w:p>
            <w:pPr>
              <w:spacing w:after="0"/>
              <w:rPr>
                <w:sz w:val="13"/>
                <w:szCs w:val="13"/>
                <w:color w:val="auto"/>
              </w:rPr>
            </w:pPr>
          </w:p>
        </w:tc>
        <w:tc>
          <w:tcPr>
            <w:tcW w:w="280" w:type="dxa"/>
            <w:vAlign w:val="bottom"/>
            <w:vMerge w:val="restart"/>
            <w:shd w:val="clear" w:color="auto" w:fill="0075C9"/>
          </w:tcPr>
          <w:p>
            <w:pPr>
              <w:ind w:left="160"/>
              <w:spacing w:after="0"/>
              <w:rPr>
                <w:sz w:val="20"/>
                <w:szCs w:val="20"/>
                <w:color w:val="auto"/>
              </w:rPr>
            </w:pPr>
            <w:r>
              <w:rPr>
                <w:rFonts w:ascii="Arial" w:cs="Arial" w:eastAsia="Arial" w:hAnsi="Arial"/>
                <w:sz w:val="18"/>
                <w:szCs w:val="18"/>
                <w:color w:val="FFFFFF"/>
              </w:rPr>
              <w:t>•</w:t>
            </w:r>
          </w:p>
        </w:tc>
        <w:tc>
          <w:tcPr>
            <w:tcW w:w="534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Former Partner at Mangrove Partners</w:t>
            </w:r>
          </w:p>
        </w:tc>
        <w:tc>
          <w:tcPr>
            <w:tcW w:w="0" w:type="dxa"/>
            <w:vAlign w:val="bottom"/>
          </w:tcPr>
          <w:p>
            <w:pPr>
              <w:spacing w:after="0"/>
              <w:rPr>
                <w:sz w:val="1"/>
                <w:szCs w:val="1"/>
                <w:color w:val="auto"/>
              </w:rPr>
            </w:pPr>
          </w:p>
        </w:tc>
      </w:tr>
      <w:tr>
        <w:trPr>
          <w:trHeight w:val="53"/>
        </w:trPr>
        <w:tc>
          <w:tcPr>
            <w:tcW w:w="2280" w:type="dxa"/>
            <w:vAlign w:val="bottom"/>
          </w:tcPr>
          <w:p>
            <w:pPr>
              <w:spacing w:after="0"/>
              <w:rPr>
                <w:sz w:val="4"/>
                <w:szCs w:val="4"/>
                <w:color w:val="auto"/>
              </w:rPr>
            </w:pPr>
          </w:p>
        </w:tc>
        <w:tc>
          <w:tcPr>
            <w:tcW w:w="280" w:type="dxa"/>
            <w:vAlign w:val="bottom"/>
            <w:vMerge w:val="continue"/>
            <w:shd w:val="clear" w:color="auto" w:fill="0075C9"/>
          </w:tcPr>
          <w:p>
            <w:pPr>
              <w:spacing w:after="0"/>
              <w:rPr>
                <w:sz w:val="4"/>
                <w:szCs w:val="4"/>
                <w:color w:val="auto"/>
              </w:rPr>
            </w:pPr>
          </w:p>
        </w:tc>
        <w:tc>
          <w:tcPr>
            <w:tcW w:w="534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10"/>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-1294765</wp:posOffset>
            </wp:positionV>
            <wp:extent cx="1287145" cy="128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7145" cy="1287145"/>
                    </a:xfrm>
                    <a:prstGeom prst="rect">
                      <a:avLst/>
                    </a:prstGeom>
                    <a:noFill/>
                  </pic:spPr>
                </pic:pic>
              </a:graphicData>
            </a:graphic>
          </wp:anchor>
        </w:drawing>
      </w:r>
    </w:p>
    <w:p>
      <w:pPr>
        <w:spacing w:after="0" w:line="329" w:lineRule="exact"/>
        <w:rPr>
          <w:sz w:val="20"/>
          <w:szCs w:val="20"/>
          <w:color w:val="auto"/>
        </w:rPr>
      </w:pPr>
    </w:p>
    <w:p>
      <w:pPr>
        <w:ind w:left="260" w:hanging="205"/>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ind w:left="260" w:hanging="205"/>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Steck, 53, has served as a member of California Resources Corporation’s Board of Directors since October 2020. Mr. Steck is the Chairman of Bonanza Creek Energy, Inc. (NYSE: BCEI), where he has served on the Board of Directors since April 2017. Until August 2020, Mr. Steck served as a Partner at Mangrove</w:t>
      </w:r>
    </w:p>
    <w:p>
      <w:pPr>
        <w:spacing w:after="0" w:line="20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Partners, where he had worked since 2011. Previously, Mr. Steck was Head of U.S. Equities at Tisbury Capital, and earlier in his career he spent ten years at UBS and its predecessors, where he was Global Co-Head of Equity Hedge Fund Coverage. Mr. Steck serves on the Board of Directors of Chesapeake Energy Corporation, and he previously served on the Board of Directors of Penn Virginia Corporation. Mr. Steck received a B.S., with the highest honors, from the University of Illinois at Urbana-Champaign.</w:t>
      </w: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color w:val="0075C9"/>
        </w:rPr>
        <w:t>Board Refreshment and Evaluation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and the Chairman of the Board discusses the results of these written surveys with the individual directors. In addition, the Chairman shares the results of the surveys and interviews with the full Board for consideration with respect to director nominees, and Board and committee structure, composition and effectiveness.</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6" w:lineRule="exact"/>
        <w:rPr>
          <w:sz w:val="20"/>
          <w:szCs w:val="20"/>
          <w:color w:val="auto"/>
        </w:rPr>
      </w:pPr>
    </w:p>
    <w:p>
      <w:pPr>
        <w:ind w:right="880"/>
        <w:spacing w:after="0" w:line="238"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93" w:lineRule="exact"/>
        <w:rPr>
          <w:sz w:val="20"/>
          <w:szCs w:val="20"/>
          <w:color w:val="auto"/>
        </w:rPr>
      </w:pPr>
    </w:p>
    <w:p>
      <w:pPr>
        <w:ind w:left="580" w:hanging="34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left="1080" w:right="180" w:hanging="223"/>
        <w:spacing w:after="0" w:line="233"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color w:val="0075C9"/>
        </w:rPr>
        <w:t>Director Independence Determinations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8"/>
                <w:szCs w:val="18"/>
                <w:color w:val="auto"/>
              </w:rPr>
              <w:t>To qualify as “independent” under the NYSE listing standards,</w:t>
            </w:r>
          </w:p>
        </w:tc>
        <w:tc>
          <w:tcPr>
            <w:tcW w:w="3820" w:type="dxa"/>
            <w:vAlign w:val="bottom"/>
          </w:tcPr>
          <w:p>
            <w:pPr>
              <w:ind w:left="740"/>
              <w:spacing w:after="0"/>
              <w:rPr>
                <w:sz w:val="20"/>
                <w:szCs w:val="20"/>
                <w:color w:val="auto"/>
              </w:rPr>
            </w:pPr>
            <w:r>
              <w:rPr>
                <w:rFonts w:ascii="Arial" w:cs="Arial" w:eastAsia="Arial" w:hAnsi="Arial"/>
                <w:sz w:val="16"/>
                <w:szCs w:val="16"/>
                <w:color w:val="0075C9"/>
              </w:rPr>
              <w:t>MAJORITY INDEPENDENT DIRECTORS</w:t>
            </w: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the Board of Directors must affirmatively determine that the</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director has no material relationship with us (either directly or</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as a partner, stockholder or officer of an organization that has a</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relationship with us) that would interfere with his or her</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exercise of independent judgment in carrying out his or her</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responsibilities as a director. The NYSE independent director</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criteria include, among other things, that the director not be our</w:t>
            </w:r>
          </w:p>
        </w:tc>
        <w:tc>
          <w:tcPr>
            <w:tcW w:w="3820" w:type="dxa"/>
            <w:vAlign w:val="bottom"/>
          </w:tcPr>
          <w:p>
            <w:pPr>
              <w:spacing w:after="0"/>
              <w:rPr>
                <w:sz w:val="17"/>
                <w:szCs w:val="17"/>
                <w:color w:val="auto"/>
              </w:rPr>
            </w:pPr>
          </w:p>
        </w:tc>
      </w:tr>
      <w:tr>
        <w:trPr>
          <w:trHeight w:val="199"/>
        </w:trPr>
        <w:tc>
          <w:tcPr>
            <w:tcW w:w="5940" w:type="dxa"/>
            <w:vAlign w:val="bottom"/>
          </w:tcPr>
          <w:p>
            <w:pPr>
              <w:spacing w:after="0" w:line="199" w:lineRule="exact"/>
              <w:rPr>
                <w:sz w:val="20"/>
                <w:szCs w:val="20"/>
                <w:color w:val="auto"/>
              </w:rPr>
            </w:pPr>
            <w:r>
              <w:rPr>
                <w:rFonts w:ascii="Arial" w:cs="Arial" w:eastAsia="Arial" w:hAnsi="Arial"/>
                <w:sz w:val="18"/>
                <w:szCs w:val="18"/>
                <w:color w:val="auto"/>
              </w:rPr>
              <w:t>employee and not have engaged in various types of business</w:t>
            </w:r>
          </w:p>
        </w:tc>
        <w:tc>
          <w:tcPr>
            <w:tcW w:w="3820" w:type="dxa"/>
            <w:vAlign w:val="bottom"/>
          </w:tcPr>
          <w:p>
            <w:pPr>
              <w:spacing w:after="0"/>
              <w:rPr>
                <w:sz w:val="17"/>
                <w:szCs w:val="17"/>
                <w:color w:val="auto"/>
              </w:rPr>
            </w:pPr>
          </w:p>
        </w:tc>
      </w:tr>
      <w:tr>
        <w:trPr>
          <w:trHeight w:val="212"/>
        </w:trPr>
        <w:tc>
          <w:tcPr>
            <w:tcW w:w="5940" w:type="dxa"/>
            <w:vAlign w:val="bottom"/>
          </w:tcPr>
          <w:p>
            <w:pPr>
              <w:spacing w:after="0"/>
              <w:rPr>
                <w:sz w:val="20"/>
                <w:szCs w:val="20"/>
                <w:color w:val="auto"/>
              </w:rPr>
            </w:pPr>
            <w:r>
              <w:rPr>
                <w:rFonts w:ascii="Arial" w:cs="Arial" w:eastAsia="Arial" w:hAnsi="Arial"/>
                <w:sz w:val="18"/>
                <w:szCs w:val="18"/>
                <w:color w:val="auto"/>
              </w:rPr>
              <w:t>dealings with us.</w:t>
            </w:r>
          </w:p>
        </w:tc>
        <w:tc>
          <w:tcPr>
            <w:tcW w:w="3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-1083945</wp:posOffset>
            </wp:positionV>
            <wp:extent cx="1548130" cy="1548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8130" cy="154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Brooks, Chapman, Quintana, Roby and Steck and Ms. Cepak are independent directors as that term is defined in the listing standards of the NYSE. Mr. McFarland, our Chairman, President and Chief Executive Officer, is not considered by the Board of Directors to be an independent director because of his current employment with CRC.</w:t>
      </w:r>
    </w:p>
    <w:p>
      <w:pPr>
        <w:spacing w:after="0" w:line="36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Prior to the Company’s emergence from bankruptcy, the former Board of Directors used the same evaluation process to determine that Messrs. Albrecht, Gannon, McMahon, Moncrief, Poladian and Sinnott and Mses. Powers and Siegel were independent directors as that term is defined in the listing standards of the NYSE. Mr. Stevens, our prior President and CEO, was not considered by the Board of Directors to be an independent director because of his then current employment with CRC.</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color w:val="0075C9"/>
        </w:rPr>
        <w:t>Board Leadership Structure and Committees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Historically, the Board of Directors’ leadership structure has separated the CEO and Chairman of the Board positions. However, due to Mr. Stevens’ departure as our CEO at year end 2020, Mr. McFarland served as our Interim CEO in addition to his role as Chairman while the Company engaged in a CEO search process, and in conjunction therewith the Board appointed a Lead Independent Director. At the conclusion of the CEO search process on March 22, 2021, the Board appointed Mr. McFarland as President and CEO on a permanent basis in addition to his role as Chairman.</w:t>
      </w:r>
    </w:p>
    <w:p>
      <w:pPr>
        <w:spacing w:after="0" w:line="201"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As of the printing of this proxy statement, the Board continues to evaluate whether to separate the CEO and Chairman positions. 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Mr. Chapman has served as Lead Independent Director since year end 2020 when Mr. McFarland was appointed as Interim CEO. The responsibilities of the Lead Independent Director include acting as chair at meetings of the Board of Directors when the Chairman is not present, and preparing the agenda and presiding over executive sessions of the non-management directors of the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During 2020, the Board of Directors prior to the Company’s emergence from bankruptcy (sometimes referred to herein as the “</w:t>
      </w:r>
      <w:r>
        <w:rPr>
          <w:rFonts w:ascii="Arial" w:cs="Arial" w:eastAsia="Arial" w:hAnsi="Arial"/>
          <w:sz w:val="18"/>
          <w:szCs w:val="18"/>
          <w:b w:val="1"/>
          <w:bCs w:val="1"/>
          <w:color w:val="auto"/>
        </w:rPr>
        <w:t>Former</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held 22 meetings, and the Board of Directors after the Company’s emergence from bankruptcy (sometimes referred to herein as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New Board</w:t>
      </w:r>
      <w:r>
        <w:rPr>
          <w:rFonts w:ascii="Arial" w:cs="Arial" w:eastAsia="Arial" w:hAnsi="Arial"/>
          <w:sz w:val="18"/>
          <w:szCs w:val="18"/>
          <w:color w:val="auto"/>
        </w:rPr>
        <w:t>”) held 5 meetings. Each of the standing and special committees held the number of meetings included in the description of the committees set forth below in 2020. The committees of the Former Board are sometimes referred to herein as “</w:t>
      </w:r>
      <w:r>
        <w:rPr>
          <w:rFonts w:ascii="Arial" w:cs="Arial" w:eastAsia="Arial" w:hAnsi="Arial"/>
          <w:sz w:val="18"/>
          <w:szCs w:val="18"/>
          <w:b w:val="1"/>
          <w:bCs w:val="1"/>
          <w:color w:val="auto"/>
        </w:rPr>
        <w:t>Former</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Committees</w:t>
      </w:r>
      <w:r>
        <w:rPr>
          <w:rFonts w:ascii="Arial" w:cs="Arial" w:eastAsia="Arial" w:hAnsi="Arial"/>
          <w:sz w:val="18"/>
          <w:szCs w:val="18"/>
          <w:color w:val="auto"/>
        </w:rPr>
        <w:t>,” and the committees of the New Board are sometimes referred to herein as “</w:t>
      </w:r>
      <w:r>
        <w:rPr>
          <w:rFonts w:ascii="Arial" w:cs="Arial" w:eastAsia="Arial" w:hAnsi="Arial"/>
          <w:sz w:val="18"/>
          <w:szCs w:val="18"/>
          <w:b w:val="1"/>
          <w:bCs w:val="1"/>
          <w:color w:val="auto"/>
        </w:rPr>
        <w:t>New Committees.</w:t>
      </w:r>
      <w:r>
        <w:rPr>
          <w:rFonts w:ascii="Arial" w:cs="Arial" w:eastAsia="Arial" w:hAnsi="Arial"/>
          <w:sz w:val="18"/>
          <w:szCs w:val="18"/>
          <w:color w:val="auto"/>
        </w:rPr>
        <w:t>” Except for Harold M.</w:t>
      </w:r>
      <w:r>
        <w:rPr>
          <w:rFonts w:ascii="Arial" w:cs="Arial" w:eastAsia="Arial" w:hAnsi="Arial"/>
          <w:sz w:val="18"/>
          <w:szCs w:val="18"/>
          <w:b w:val="1"/>
          <w:bCs w:val="1"/>
          <w:color w:val="auto"/>
        </w:rPr>
        <w:t xml:space="preserve"> </w:t>
      </w:r>
      <w:r>
        <w:rPr>
          <w:rFonts w:ascii="Arial" w:cs="Arial" w:eastAsia="Arial" w:hAnsi="Arial"/>
          <w:sz w:val="18"/>
          <w:szCs w:val="18"/>
          <w:color w:val="auto"/>
        </w:rPr>
        <w:t>Korell, each director attended at least 75% of the meetings of the Board of Directors and the committees on which he or she served that occurred during such directors’ terms in 2020. Mr. Korell attended 67% of the such meetings that occurred during his term in 2020, but he did not stand for reelection and his term expired at the 2020 annual meeting.</w:t>
      </w:r>
    </w:p>
    <w:p>
      <w:pPr>
        <w:spacing w:after="0" w:line="20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Former Board attended the virtual annual meeting in May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Board of Directors intends to hold meetings of independent directors in executive session without management present on a regular basis. In addition to regularly scheduled Board meetings, executive sessions may be called upon the request of any independent director. In 2020, the Former Board held two executive sessions, and the New Board held four executive sessions.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On November 9, 2020, after the Company’s emergence from bankruptcy, the New Board also established two temporary special committees, Finance and Operations. The formation of the special committees was undertaken to enhance the New Board’s ability to quickly develop an in-depth understanding of the Company, including its operations and assets, particularly in light of the fact that all non-management members of the New Board became directors in connection with the Company’s emergence from bankruptcy. On March 9, 2021, the New Board dissolved the Finance and Operations special committees, and amended</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charter of the Sustainability Committee to change its name to the Operations and Sustainability Committee and to expand its purpose to encompass oversight of matters relating to the Company’s operations.</w:t>
      </w:r>
    </w:p>
    <w:p>
      <w:pPr>
        <w:spacing w:after="0" w:line="19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membership and purposes of each of the standing and special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27425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274256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323" w:lineRule="exact"/>
        <w:rPr>
          <w:sz w:val="20"/>
          <w:szCs w:val="20"/>
          <w:color w:val="auto"/>
        </w:rPr>
      </w:pPr>
    </w:p>
    <w:p>
      <w:pPr>
        <w:jc w:val="center"/>
        <w:ind w:left="840"/>
        <w:spacing w:after="0"/>
        <w:rPr>
          <w:sz w:val="20"/>
          <w:szCs w:val="20"/>
          <w:color w:val="auto"/>
        </w:rPr>
      </w:pPr>
      <w:r>
        <w:rPr>
          <w:rFonts w:ascii="Arial" w:cs="Arial" w:eastAsia="Arial" w:hAnsi="Arial"/>
          <w:sz w:val="17"/>
          <w:szCs w:val="17"/>
          <w:b w:val="1"/>
          <w:bCs w:val="1"/>
          <w:color w:val="auto"/>
        </w:rPr>
        <w:t>Tiffany (TJ) Thom Cepak,</w:t>
      </w:r>
    </w:p>
    <w:p>
      <w:pPr>
        <w:spacing w:after="0" w:line="25"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Julio M. Quintana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William B. Roby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firms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Board of Directors determined that all of the members of the Audit Committee are financially literate and have accounting or financial management expertise, each as required by the applicable NYSE listing standards. The Board of Directors also determined that Ms. Cepak and Mr. Roby qualify as audit committee financial experts under the applicable rules of the Securities Exchange Act of 1934, as amended.</w:t>
      </w:r>
    </w:p>
    <w:p>
      <w:pPr>
        <w:spacing w:after="0" w:line="209"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Former Committee – 4 Meetings Held in 2020</w:t>
      </w:r>
    </w:p>
    <w:p>
      <w:pPr>
        <w:spacing w:after="0" w:line="14"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New Committee – 1 Meeting Held in 2020</w:t>
      </w:r>
    </w:p>
    <w:p>
      <w:pPr>
        <w:spacing w:after="0" w:line="200" w:lineRule="exact"/>
        <w:rPr>
          <w:sz w:val="20"/>
          <w:szCs w:val="20"/>
          <w:color w:val="auto"/>
        </w:rPr>
      </w:pPr>
    </w:p>
    <w:p>
      <w:pPr>
        <w:sectPr>
          <w:pgSz w:w="11900" w:h="16838" w:orient="portrait"/>
          <w:cols w:equalWidth="0" w:num="2">
            <w:col w:w="2960" w:space="680"/>
            <w:col w:w="760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880"/>
        <w:spacing w:after="0"/>
        <w:rPr>
          <w:sz w:val="20"/>
          <w:szCs w:val="20"/>
          <w:color w:val="auto"/>
        </w:rPr>
      </w:pPr>
      <w:r>
        <w:rPr>
          <w:rFonts w:ascii="Arial" w:cs="Arial" w:eastAsia="Arial" w:hAnsi="Arial"/>
          <w:sz w:val="17"/>
          <w:szCs w:val="17"/>
          <w:b w:val="1"/>
          <w:bCs w:val="1"/>
          <w:color w:val="auto"/>
        </w:rPr>
        <w:t>James N. Chapman,</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William B. Roby</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-124460</wp:posOffset>
            </wp:positionV>
            <wp:extent cx="7134860" cy="25323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2532380"/>
                    </a:xfrm>
                    <a:prstGeom prst="rect">
                      <a:avLst/>
                    </a:prstGeom>
                    <a:noFill/>
                  </pic:spPr>
                </pic:pic>
              </a:graphicData>
            </a:graphic>
          </wp:anchor>
        </w:drawing>
      </w:r>
    </w:p>
    <w:p>
      <w:pPr>
        <w:spacing w:after="0" w:line="232"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w:t>
      </w:r>
    </w:p>
    <w:p>
      <w:pPr>
        <w:spacing w:after="0" w:line="200" w:lineRule="exact"/>
        <w:rPr>
          <w:sz w:val="20"/>
          <w:szCs w:val="20"/>
          <w:color w:val="auto"/>
        </w:rPr>
      </w:pPr>
    </w:p>
    <w:p>
      <w:pPr>
        <w:sectPr>
          <w:pgSz w:w="11900" w:h="16838" w:orient="portrait"/>
          <w:cols w:equalWidth="0" w:num="2">
            <w:col w:w="2920" w:space="720"/>
            <w:col w:w="7600"/>
          </w:cols>
          <w:pgMar w:left="320" w:top="382" w:right="339" w:bottom="1440" w:gutter="0" w:footer="0" w:header="0"/>
          <w:type w:val="continuous"/>
        </w:sectPr>
      </w:pPr>
    </w:p>
    <w:p>
      <w:pPr>
        <w:spacing w:after="0" w:line="15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Brian Steck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Former Committee – 11 Meetings Held in 2020</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Committee – 2 Meetings Held in 2020</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-124460</wp:posOffset>
            </wp:positionV>
            <wp:extent cx="7134860" cy="2532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2532380"/>
                    </a:xfrm>
                    <a:prstGeom prst="rect">
                      <a:avLst/>
                    </a:prstGeom>
                    <a:noFill/>
                  </pic:spPr>
                </pic:pic>
              </a:graphicData>
            </a:graphic>
          </wp:anchor>
        </w:drawing>
      </w:r>
    </w:p>
    <w:p>
      <w:pPr>
        <w:sectPr>
          <w:pgSz w:w="11900" w:h="16838" w:orient="portrait"/>
          <w:cols w:equalWidth="0" w:num="1">
            <w:col w:w="10360"/>
          </w:cols>
          <w:pgMar w:left="1200" w:top="382"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Douglas E. Brooks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shd w:val="clear" w:color="auto" w:fill="7CAADA"/>
        </w:rPr>
        <w:t>James N. Chapman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shd w:val="clear" w:color="auto" w:fill="7CAADA"/>
        </w:rPr>
        <w:t>Brian Steck,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non-employee or outside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Former Committee – 1 Meeting Held in 2020</w:t>
      </w:r>
    </w:p>
    <w:p>
      <w:pPr>
        <w:spacing w:after="0" w:line="14"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New Committee – 1 Meeting Held in 2020</w:t>
      </w:r>
    </w:p>
    <w:p>
      <w:pPr>
        <w:spacing w:after="0" w:line="200" w:lineRule="exact"/>
        <w:rPr>
          <w:sz w:val="20"/>
          <w:szCs w:val="20"/>
          <w:color w:val="auto"/>
        </w:rPr>
      </w:pPr>
    </w:p>
    <w:p>
      <w:pPr>
        <w:sectPr>
          <w:pgSz w:w="11900" w:h="16838" w:orient="portrait"/>
          <w:cols w:equalWidth="0" w:num="2">
            <w:col w:w="2040" w:space="720"/>
            <w:col w:w="7600"/>
          </w:cols>
          <w:pgMar w:left="120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Julio M. Quintana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B. Roby,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Chair</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Operations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-124460</wp:posOffset>
            </wp:positionV>
            <wp:extent cx="7134860" cy="2305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2305050"/>
                    </a:xfrm>
                    <a:prstGeom prst="rect">
                      <a:avLst/>
                    </a:prstGeom>
                    <a:noFill/>
                  </pic:spPr>
                </pic:pic>
              </a:graphicData>
            </a:graphic>
          </wp:anchor>
        </w:drawing>
      </w:r>
    </w:p>
    <w:p>
      <w:pPr>
        <w:spacing w:after="0" w:line="232"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Our Operations and Sustainability Committee (“Operations and Sustainability Committee”) is composed entirely of independent directors. The committee assists the Board in fulfilling its oversight responsibilities for matters relating to the Company’s operations.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inclusion and social responsibility. It also reviews our policies and programs designed to ensure (i) compliance with applicable laws and regulations, (ii) consistency with Company strategy, and (iii) promotion of sound operations, sustainability and conservation of natural resources. The committee periodically reports to the Board of Directors with respect to operations, sustainability and HSE pertaining to the Company.</w:t>
      </w:r>
    </w:p>
    <w:p>
      <w:pPr>
        <w:spacing w:after="0" w:line="200" w:lineRule="exact"/>
        <w:rPr>
          <w:sz w:val="20"/>
          <w:szCs w:val="20"/>
          <w:color w:val="auto"/>
        </w:rPr>
      </w:pPr>
    </w:p>
    <w:p>
      <w:pPr>
        <w:sectPr>
          <w:pgSz w:w="11900" w:h="16838" w:orient="portrait"/>
          <w:cols w:equalWidth="0" w:num="2">
            <w:col w:w="2040" w:space="720"/>
            <w:col w:w="7600"/>
          </w:cols>
          <w:pgMar w:left="1200" w:top="382" w:right="339" w:bottom="1440" w:gutter="0" w:footer="0" w:header="0"/>
          <w:type w:val="continuous"/>
        </w:sectPr>
      </w:pPr>
    </w:p>
    <w:p>
      <w:pPr>
        <w:spacing w:after="0" w:line="11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Former Committee – 2 Meetings Held in 2020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50165</wp:posOffset>
            </wp:positionV>
            <wp:extent cx="71767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0360"/>
          </w:cols>
          <w:pgMar w:left="1200" w:top="382" w:right="339" w:bottom="1440" w:gutter="0" w:footer="0" w:header="0"/>
          <w:type w:val="continuous"/>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Special Committees of the Board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Special Committee 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2431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243141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323"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James N. Chapman,</w:t>
      </w:r>
    </w:p>
    <w:p>
      <w:pPr>
        <w:spacing w:after="0" w:line="14"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0"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Mark A. (Mac) McFarland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Brian Steck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The Special Committee on Finance assisted the Board in fulfilling its oversight responsibilities for matters relating to the Company’s financial strategy, capital allocation, liquidity position and financial policies and activities. The Special Committee on Finance was a temporary committee of the Board and was discontinued as of March 9, 2021.</w:t>
      </w:r>
    </w:p>
    <w:p>
      <w:pPr>
        <w:spacing w:after="0" w:line="1551" w:lineRule="exact"/>
        <w:rPr>
          <w:sz w:val="20"/>
          <w:szCs w:val="20"/>
          <w:color w:val="auto"/>
        </w:rPr>
      </w:pPr>
    </w:p>
    <w:p>
      <w:pPr>
        <w:sectPr>
          <w:pgSz w:w="11900" w:h="16838" w:orient="portrait"/>
          <w:cols w:equalWidth="0" w:num="2">
            <w:col w:w="2940" w:space="700"/>
            <w:col w:w="7600"/>
          </w:cols>
          <w:pgMar w:left="320" w:top="382"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1 Meeting Held in 2020; Dissolved on March 9, 2021</w:t>
      </w:r>
    </w:p>
    <w:p>
      <w:pPr>
        <w:sectPr>
          <w:pgSz w:w="11900" w:h="16838" w:orient="portrait"/>
          <w:cols w:equalWidth="0" w:num="1">
            <w:col w:w="1124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Douglas E. Brooks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shd w:val="clear" w:color="auto" w:fill="7CAADA"/>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shd w:val="clear" w:color="auto" w:fill="7CAADA"/>
        </w:rPr>
        <w:t>Julio M. Quintana</w:t>
      </w:r>
    </w:p>
    <w:p>
      <w:pPr>
        <w:spacing w:after="0" w:line="200" w:lineRule="exact"/>
        <w:rPr>
          <w:sz w:val="20"/>
          <w:szCs w:val="20"/>
          <w:color w:val="auto"/>
        </w:rPr>
      </w:pPr>
    </w:p>
    <w:p>
      <w:pPr>
        <w:spacing w:after="0" w:line="362"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shd w:val="clear" w:color="auto" w:fill="7CAADA"/>
        </w:rPr>
        <w:t>William B. Roby,</w:t>
      </w:r>
    </w:p>
    <w:p>
      <w:pPr>
        <w:spacing w:after="0" w:line="14"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Special Committee 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-124460</wp:posOffset>
            </wp:positionV>
            <wp:extent cx="7134860" cy="30118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3011805"/>
                    </a:xfrm>
                    <a:prstGeom prst="rect">
                      <a:avLst/>
                    </a:prstGeom>
                    <a:noFill/>
                  </pic:spPr>
                </pic:pic>
              </a:graphicData>
            </a:graphic>
          </wp:anchor>
        </w:drawing>
      </w:r>
    </w:p>
    <w:p>
      <w:pPr>
        <w:spacing w:after="0" w:line="232" w:lineRule="exact"/>
        <w:rPr>
          <w:sz w:val="20"/>
          <w:szCs w:val="20"/>
          <w:color w:val="auto"/>
        </w:rPr>
      </w:pPr>
    </w:p>
    <w:p>
      <w:pPr>
        <w:ind w:right="680"/>
        <w:spacing w:after="0" w:line="234" w:lineRule="auto"/>
        <w:rPr>
          <w:sz w:val="20"/>
          <w:szCs w:val="20"/>
          <w:color w:val="auto"/>
        </w:rPr>
      </w:pPr>
      <w:r>
        <w:rPr>
          <w:rFonts w:ascii="Arial" w:cs="Arial" w:eastAsia="Arial" w:hAnsi="Arial"/>
          <w:sz w:val="18"/>
          <w:szCs w:val="18"/>
          <w:color w:val="auto"/>
        </w:rPr>
        <w:t>The Special Committee on Operations assisted the Board in fulfilling its oversight responsibilities for matters relating to the Company’s operations, including related capital expenditures. The Special Committee on Operations was a temporary committee of the Board and was discontinued as of March 9, 2021.</w:t>
      </w:r>
    </w:p>
    <w:p>
      <w:pPr>
        <w:spacing w:after="0" w:line="2633" w:lineRule="exact"/>
        <w:rPr>
          <w:sz w:val="20"/>
          <w:szCs w:val="20"/>
          <w:color w:val="auto"/>
        </w:rPr>
      </w:pPr>
    </w:p>
    <w:p>
      <w:pPr>
        <w:sectPr>
          <w:pgSz w:w="11900" w:h="16838" w:orient="portrait"/>
          <w:cols w:equalWidth="0" w:num="2">
            <w:col w:w="2920" w:space="720"/>
            <w:col w:w="7600"/>
          </w:cols>
          <w:pgMar w:left="320" w:top="382" w:right="339" w:bottom="1440" w:gutter="0" w:footer="0" w:header="0"/>
          <w:type w:val="continuous"/>
        </w:sect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5 Meetings Held in 2020; Dissolved on March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0075C9"/>
        </w:rPr>
        <w:t>The Board’s Role in Risk Oversight</w:t>
      </w:r>
    </w:p>
    <w:p>
      <w:pPr>
        <w:spacing w:after="0" w:line="12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Company’s management is responsible for the day to 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194310</wp:posOffset>
            </wp:positionV>
            <wp:extent cx="5031105" cy="45180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31105" cy="451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Committee Interlocks and Insider Participation</w:t>
      </w:r>
    </w:p>
    <w:p>
      <w:pPr>
        <w:spacing w:after="0" w:line="10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No member of our Compensation Committee is now, or at any time since the beginning of 2020 has been, employed by or served as an officer of CRC or any of its subsidiaries or had any business relationship requiring disclosure with CRC or any of its subsidiaries. None of our executive officers is now, or at any time has been, since the beginning of 2020, a member of the compensation committee or board of directors of another entity one of whose executive officers has been a member of our Board of Directors or Compensation Committee.</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0075C9"/>
        </w:rPr>
        <w:t>Communications with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jc w:val="center"/>
        <w:spacing w:after="0" w:line="230" w:lineRule="auto"/>
        <w:rPr>
          <w:sz w:val="20"/>
          <w:szCs w:val="20"/>
          <w:color w:val="auto"/>
        </w:rPr>
      </w:pPr>
      <w:r>
        <w:rPr>
          <w:rFonts w:ascii="Arial" w:cs="Arial" w:eastAsia="Arial" w:hAnsi="Arial"/>
          <w:sz w:val="18"/>
          <w:szCs w:val="18"/>
          <w:color w:val="auto"/>
        </w:rPr>
        <w:t>California Resources Corporation</w:t>
      </w:r>
    </w:p>
    <w:p>
      <w:pPr>
        <w:jc w:val="center"/>
        <w:spacing w:after="0" w:line="230" w:lineRule="auto"/>
        <w:rPr>
          <w:sz w:val="20"/>
          <w:szCs w:val="20"/>
          <w:color w:val="auto"/>
        </w:rPr>
      </w:pPr>
      <w:r>
        <w:rPr>
          <w:rFonts w:ascii="Arial" w:cs="Arial" w:eastAsia="Arial" w:hAnsi="Arial"/>
          <w:sz w:val="18"/>
          <w:szCs w:val="18"/>
          <w:color w:val="auto"/>
        </w:rPr>
        <w:t>Attention: Corporate Secretary</w:t>
      </w:r>
    </w:p>
    <w:p>
      <w:pPr>
        <w:jc w:val="center"/>
        <w:spacing w:after="0" w:line="231" w:lineRule="auto"/>
        <w:rPr>
          <w:sz w:val="20"/>
          <w:szCs w:val="20"/>
          <w:color w:val="auto"/>
        </w:rPr>
      </w:pPr>
      <w:r>
        <w:rPr>
          <w:rFonts w:ascii="Arial" w:cs="Arial" w:eastAsia="Arial" w:hAnsi="Arial"/>
          <w:sz w:val="18"/>
          <w:szCs w:val="18"/>
          <w:color w:val="auto"/>
        </w:rPr>
        <w:t>27200 Tourney Road, Suite 200</w:t>
      </w: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0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Cepak, the Chairman of the Audit Committee, at the address listed above.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Availability of Corporate Governance Documents</w:t>
      </w:r>
    </w:p>
    <w:p>
      <w:pPr>
        <w:spacing w:after="0" w:line="109"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Operations and Sustainability Committees. Each of these documents is available on our website (</w:t>
      </w:r>
      <w:r>
        <w:rPr>
          <w:rFonts w:ascii="Arial" w:cs="Arial" w:eastAsia="Arial" w:hAnsi="Arial"/>
          <w:sz w:val="18"/>
          <w:szCs w:val="18"/>
          <w:i w:val="1"/>
          <w:iCs w:val="1"/>
          <w:color w:val="auto"/>
        </w:rPr>
        <w:t>www.crc.com</w:t>
      </w:r>
      <w:r>
        <w:rPr>
          <w:rFonts w:ascii="Arial" w:cs="Arial" w:eastAsia="Arial" w:hAnsi="Arial"/>
          <w:sz w:val="18"/>
          <w:szCs w:val="18"/>
          <w:color w:val="auto"/>
        </w:rPr>
        <w:t>), and stockholders may obtain a printed copy, free of charge, by sending a written request to California Resources Corporation, Attention: Corporate Secretary, 27200 Tourney Road, Suite 200, Santa Clarita, California 91355. We will also promptly post on our website any material amendments to these documents and any waivers from the Business Ethics Policy for our directors and principal executive, financial and accounting officers.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Certain Relationships and Related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6"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5" w:lineRule="exact"/>
        <w:rPr>
          <w:sz w:val="20"/>
          <w:szCs w:val="20"/>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17"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This section discusses transactions and relationships with related persons since the beginning of our most recently completed fiscal year.</w:t>
      </w:r>
    </w:p>
    <w:p>
      <w:pPr>
        <w:spacing w:after="0" w:line="18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sell and purchase products with subsidiaries of Plains All American Pipeline, L.P. (“</w:t>
      </w:r>
      <w:r>
        <w:rPr>
          <w:rFonts w:ascii="Arial" w:cs="Arial" w:eastAsia="Arial" w:hAnsi="Arial"/>
          <w:sz w:val="18"/>
          <w:szCs w:val="18"/>
          <w:b w:val="1"/>
          <w:bCs w:val="1"/>
          <w:i w:val="1"/>
          <w:iCs w:val="1"/>
          <w:color w:val="auto"/>
        </w:rPr>
        <w:t>Plains</w:t>
      </w:r>
      <w:r>
        <w:rPr>
          <w:rFonts w:ascii="Arial" w:cs="Arial" w:eastAsia="Arial" w:hAnsi="Arial"/>
          <w:sz w:val="18"/>
          <w:szCs w:val="18"/>
          <w:color w:val="auto"/>
        </w:rPr>
        <w:t>”). Funds managed by Kayne Anderson Capital Advisors L.P., of which Mr. Sinnott serves as co-chairman, and affiliates (“</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own approximately 7.42% of the general partner of Plains, approximately 1.60% of the limited partner units of Plains and an additional approximately 2.30% general partner interest in Plains GP Holdings, L.P. (the public portion of the general partner). Mr. Sinnott served as a director for the general partner of Plains until September 30, 2020. For the year ended December 31, 2020, transactions with Plains accounted for approximately $138 million of our oil and gas sales. As discussed above in “Restructuring of Company,” Mr. Sinnott ceased being a member of our Board of Directors on October 27,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Sustainability and Stewardship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Sustainability and Stewardship</w:t>
      </w:r>
    </w:p>
    <w:p>
      <w:pPr>
        <w:spacing w:after="0" w:line="21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In 2017 we adopted four 2030 Sustainability Goals – for water recycling, integration of renewable energy into our operations, methane emission reduction and carbon capture and sequestration – which advance the State of California’s 2030 goals and aid in our life-of- field planning. Last year CRC issued its third annual Sustainability report (www.crc.com/sustainability) which detailed strategic objectives and initiatives in Environmental, Social and Governance (ESG) and summarizes our sustainability strategy, goals and performance. Our 2030 Sustainability Goals are measured against a 2013 baseline and are summarized as follows: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Water Goal </w:t>
      </w:r>
      <w:r>
        <w:rPr>
          <w:rFonts w:ascii="Arial" w:cs="Arial" w:eastAsia="Arial" w:hAnsi="Arial"/>
          <w:sz w:val="18"/>
          <w:szCs w:val="18"/>
          <w:color w:val="auto"/>
        </w:rPr>
        <w:t>– Increase volume of recycled produced water by 30%.</w:t>
      </w:r>
    </w:p>
    <w:p>
      <w:pPr>
        <w:spacing w:after="0" w:line="226" w:lineRule="exact"/>
        <w:rPr>
          <w:sz w:val="20"/>
          <w:szCs w:val="20"/>
          <w:color w:val="auto"/>
        </w:rPr>
      </w:pPr>
    </w:p>
    <w:p>
      <w:pPr>
        <w:ind w:right="720"/>
        <w:spacing w:after="0" w:line="238" w:lineRule="auto"/>
        <w:rPr>
          <w:sz w:val="20"/>
          <w:szCs w:val="20"/>
          <w:color w:val="auto"/>
        </w:rPr>
      </w:pPr>
      <w:r>
        <w:rPr>
          <w:rFonts w:ascii="Arial" w:cs="Arial" w:eastAsia="Arial" w:hAnsi="Arial"/>
          <w:sz w:val="18"/>
          <w:szCs w:val="18"/>
          <w:color w:val="auto"/>
        </w:rPr>
        <w:t>We have increased our recycled produced water volume by almost halfway above our 2013 baseline and we continue to evaluate additional projects that would keep us on track to achieving our 2030 Water Sustainability Goal.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Renewables Goal </w:t>
      </w:r>
      <w:r>
        <w:rPr>
          <w:rFonts w:ascii="Arial" w:cs="Arial" w:eastAsia="Arial" w:hAnsi="Arial"/>
          <w:sz w:val="18"/>
          <w:szCs w:val="18"/>
          <w:color w:val="auto"/>
        </w:rPr>
        <w:t>– Integrate renewables into oil and gas operations by adding 10 MW from renewable sources.</w:t>
      </w:r>
    </w:p>
    <w:p>
      <w:pPr>
        <w:spacing w:after="0" w:line="226"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have entered into Power Purchase Agreements for 40 MW of behind-the-meter solar projects to supply multiple CRC fields, which would reduce our energy use from the grid and generate Low Carbon Fuel Standard (LCFS) credits under the Innovative Crude Provisions of the standard. We are currently focusing on pursuing the financing necessary to develop these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Methane Goal </w:t>
      </w:r>
      <w:r>
        <w:rPr>
          <w:rFonts w:ascii="Arial" w:cs="Arial" w:eastAsia="Arial" w:hAnsi="Arial"/>
          <w:sz w:val="18"/>
          <w:szCs w:val="18"/>
          <w:color w:val="auto"/>
        </w:rPr>
        <w:t>– Reduce methane emissions by 50%.</w:t>
      </w:r>
    </w:p>
    <w:p>
      <w:pPr>
        <w:spacing w:after="0" w:line="22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CRC has surpassed its 2030 Methane Goal, achieving in excess of a 60% reduction in methane emissions from our operations and we continue to evaluate reduction projects.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Carbon Goal </w:t>
      </w:r>
      <w:r>
        <w:rPr>
          <w:rFonts w:ascii="Arial" w:cs="Arial" w:eastAsia="Arial" w:hAnsi="Arial"/>
          <w:sz w:val="18"/>
          <w:szCs w:val="18"/>
          <w:color w:val="auto"/>
        </w:rPr>
        <w:t>– Design and permit a carbon capture and sequestration system by 2030.</w:t>
      </w:r>
    </w:p>
    <w:p>
      <w:pPr>
        <w:spacing w:after="0" w:line="2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2020, we completed the Front End Engineering and Design for a Carbon Capture and Sequestration project at Elk Hills. In 2021, we anticipate evaluating this FEED study and recommending next steps.</w:t>
      </w:r>
    </w:p>
    <w:p>
      <w:pPr>
        <w:spacing w:after="0" w:line="199"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We are proud to note that CRC’s ESG performance and its progress on 2030 Sustainability Goals continues to be directly tied to the performance -based compensation of our employees, including executives and senior managers, further highlighting our standing commitment and dedication to a cleaner and more sustainable future for California. The Board will continue to highlight, monitor and provide guidance to our efforts to serve as a responsible steward of California’s natural resources, to integrate sustainability, HSE and community engagement into our life-of-field planning and to advance California’s long-term goals.</w:t>
      </w:r>
    </w:p>
    <w:p>
      <w:pPr>
        <w:spacing w:after="0" w:line="201"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Management provides periodic updates to and receives guidance from the Board with respect to employee engagement, diversity and career development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10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The Audit Committee of the Board of Directors of California Resources Corporation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Cepak and Mr. Roby are “audit committee financial experts” as defined by the rules and regulations of the SEC.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2020, the Audit Committee has:</w:t>
      </w:r>
    </w:p>
    <w:p>
      <w:pPr>
        <w:spacing w:after="0" w:line="98" w:lineRule="exact"/>
        <w:rPr>
          <w:sz w:val="20"/>
          <w:szCs w:val="20"/>
          <w:color w:val="auto"/>
        </w:rPr>
      </w:pPr>
    </w:p>
    <w:p>
      <w:pPr>
        <w:ind w:left="580" w:right="260" w:hanging="349"/>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2020;</w:t>
      </w:r>
    </w:p>
    <w:p>
      <w:pPr>
        <w:spacing w:after="0" w:line="92" w:lineRule="exact"/>
        <w:rPr>
          <w:rFonts w:ascii="Arial" w:cs="Arial" w:eastAsia="Arial" w:hAnsi="Arial"/>
          <w:sz w:val="18"/>
          <w:szCs w:val="18"/>
          <w:color w:val="auto"/>
        </w:rPr>
      </w:pPr>
    </w:p>
    <w:p>
      <w:pPr>
        <w:ind w:left="580" w:right="780" w:hanging="349"/>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92" w:lineRule="exact"/>
        <w:rPr>
          <w:rFonts w:ascii="Arial" w:cs="Arial" w:eastAsia="Arial" w:hAnsi="Arial"/>
          <w:sz w:val="18"/>
          <w:szCs w:val="18"/>
          <w:color w:val="auto"/>
        </w:rPr>
      </w:pPr>
    </w:p>
    <w:p>
      <w:pPr>
        <w:ind w:left="580" w:right="360" w:hanging="349"/>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92" w:lineRule="exact"/>
        <w:rPr>
          <w:rFonts w:ascii="Arial" w:cs="Arial" w:eastAsia="Arial" w:hAnsi="Arial"/>
          <w:sz w:val="18"/>
          <w:szCs w:val="18"/>
          <w:color w:val="auto"/>
        </w:rPr>
      </w:pPr>
    </w:p>
    <w:p>
      <w:pPr>
        <w:ind w:left="580" w:hanging="34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1" w:lineRule="exact"/>
        <w:rPr>
          <w:rFonts w:ascii="Arial" w:cs="Arial" w:eastAsia="Arial" w:hAnsi="Arial"/>
          <w:sz w:val="18"/>
          <w:szCs w:val="18"/>
          <w:color w:val="auto"/>
        </w:rPr>
      </w:pPr>
    </w:p>
    <w:p>
      <w:pPr>
        <w:ind w:left="580" w:right="300" w:hanging="349"/>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92" w:lineRule="exact"/>
        <w:rPr>
          <w:rFonts w:ascii="Arial" w:cs="Arial" w:eastAsia="Arial" w:hAnsi="Arial"/>
          <w:sz w:val="18"/>
          <w:szCs w:val="18"/>
          <w:color w:val="auto"/>
        </w:rPr>
      </w:pPr>
    </w:p>
    <w:p>
      <w:pPr>
        <w:ind w:left="580" w:right="160" w:hanging="349"/>
        <w:spacing w:after="0" w:line="235"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had executive sessions with Ryder Scott Company and Netherland, Sewell &amp; Associates, Inc., CRC’s independent reserves audit firms, to discuss the oil and gas reserves determination process and related public disclosures, and to provide them with the opportunity to discuss any other matters that they desired to raise without management present.</w:t>
      </w:r>
    </w:p>
    <w:p>
      <w:pPr>
        <w:spacing w:after="0" w:line="20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firms, as set forth above, the Audit Committee recommended to CRC’s Board of Directors that the audited consolidated financial statements be included in our Annual Report on Form 10-K for the fiscal year ended December 31, 2020, for filing with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Tiffany (TJ) Thom Cepak</w:t>
      </w:r>
    </w:p>
    <w:p>
      <w:pPr>
        <w:jc w:val="center"/>
        <w:spacing w:after="0" w:line="230" w:lineRule="auto"/>
        <w:rPr>
          <w:sz w:val="20"/>
          <w:szCs w:val="20"/>
          <w:color w:val="auto"/>
        </w:rPr>
      </w:pPr>
      <w:r>
        <w:rPr>
          <w:rFonts w:ascii="Arial" w:cs="Arial" w:eastAsia="Arial" w:hAnsi="Arial"/>
          <w:sz w:val="18"/>
          <w:szCs w:val="18"/>
          <w:color w:val="auto"/>
        </w:rPr>
        <w:t>Julio M. Quintana</w:t>
      </w:r>
    </w:p>
    <w:p>
      <w:pPr>
        <w:jc w:val="center"/>
        <w:spacing w:after="0"/>
        <w:rPr>
          <w:sz w:val="20"/>
          <w:szCs w:val="20"/>
          <w:color w:val="auto"/>
        </w:rPr>
      </w:pPr>
      <w:r>
        <w:rPr>
          <w:rFonts w:ascii="Arial" w:cs="Arial" w:eastAsia="Arial" w:hAnsi="Arial"/>
          <w:sz w:val="18"/>
          <w:szCs w:val="18"/>
          <w:color w:val="auto"/>
        </w:rPr>
        <w:t>William B. Roby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8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2020, who are identified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90" w:type="dxa"/>
            <w:vAlign w:val="bottom"/>
            <w:tcBorders>
              <w:bottom w:val="single" w:sz="8" w:color="0075C9"/>
            </w:tcBorders>
          </w:tcPr>
          <w:p>
            <w:pPr>
              <w:ind w:left="180"/>
              <w:spacing w:after="0"/>
              <w:rPr>
                <w:sz w:val="20"/>
                <w:szCs w:val="20"/>
                <w:color w:val="auto"/>
              </w:rPr>
            </w:pPr>
            <w:r>
              <w:rPr>
                <w:rFonts w:ascii="Arial" w:cs="Arial" w:eastAsia="Arial" w:hAnsi="Arial"/>
                <w:sz w:val="18"/>
                <w:szCs w:val="18"/>
                <w:color w:val="0075C9"/>
              </w:rPr>
              <w:t>Name</w:t>
            </w:r>
          </w:p>
        </w:tc>
        <w:tc>
          <w:tcPr>
            <w:tcW w:w="7690" w:type="dxa"/>
            <w:vAlign w:val="bottom"/>
            <w:tcBorders>
              <w:bottom w:val="single" w:sz="8" w:color="0075C9"/>
            </w:tcBorders>
          </w:tcPr>
          <w:p>
            <w:pPr>
              <w:ind w:left="2590"/>
              <w:spacing w:after="0"/>
              <w:rPr>
                <w:sz w:val="20"/>
                <w:szCs w:val="20"/>
                <w:color w:val="auto"/>
              </w:rPr>
            </w:pPr>
            <w:r>
              <w:rPr>
                <w:rFonts w:ascii="Arial" w:cs="Arial" w:eastAsia="Arial" w:hAnsi="Arial"/>
                <w:sz w:val="18"/>
                <w:szCs w:val="18"/>
                <w:color w:val="0075C9"/>
              </w:rPr>
              <w:t>Position as of December 31, 2020</w:t>
            </w:r>
          </w:p>
        </w:tc>
      </w:tr>
      <w:tr>
        <w:trPr>
          <w:trHeight w:val="251"/>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Mark A. (Mac) McFarland</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Chairman, President and Interim Chief Executive Officer</w:t>
            </w:r>
            <w:r>
              <w:rPr>
                <w:rFonts w:ascii="Arial" w:cs="Arial" w:eastAsia="Arial" w:hAnsi="Arial"/>
                <w:sz w:val="15"/>
                <w:szCs w:val="15"/>
                <w:color w:val="auto"/>
              </w:rPr>
              <w:t>(1)</w:t>
            </w:r>
          </w:p>
        </w:tc>
      </w:tr>
      <w:tr>
        <w:trPr>
          <w:trHeight w:val="305"/>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Todd A. Stevens</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Former President and Chief Executive Officer</w:t>
            </w:r>
            <w:r>
              <w:rPr>
                <w:rFonts w:ascii="Arial" w:cs="Arial" w:eastAsia="Arial" w:hAnsi="Arial"/>
                <w:sz w:val="15"/>
                <w:szCs w:val="15"/>
                <w:color w:val="auto"/>
              </w:rPr>
              <w:t>(1)</w:t>
            </w:r>
          </w:p>
        </w:tc>
      </w:tr>
      <w:tr>
        <w:trPr>
          <w:trHeight w:val="305"/>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Francisco J. Leon</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Executive Vice President and Chief Financial Officer</w:t>
            </w:r>
          </w:p>
        </w:tc>
      </w:tr>
      <w:tr>
        <w:trPr>
          <w:trHeight w:val="34"/>
        </w:trPr>
        <w:tc>
          <w:tcPr>
            <w:tcW w:w="3490" w:type="dxa"/>
            <w:vAlign w:val="bottom"/>
            <w:shd w:val="clear" w:color="auto" w:fill="D9D9D9"/>
          </w:tcPr>
          <w:p>
            <w:pPr>
              <w:spacing w:after="0"/>
              <w:rPr>
                <w:sz w:val="2"/>
                <w:szCs w:val="2"/>
                <w:color w:val="auto"/>
              </w:rPr>
            </w:pPr>
          </w:p>
        </w:tc>
        <w:tc>
          <w:tcPr>
            <w:tcW w:w="7690" w:type="dxa"/>
            <w:vAlign w:val="bottom"/>
            <w:shd w:val="clear" w:color="auto" w:fill="D9D9D9"/>
          </w:tcPr>
          <w:p>
            <w:pPr>
              <w:spacing w:after="0"/>
              <w:rPr>
                <w:sz w:val="2"/>
                <w:szCs w:val="2"/>
                <w:color w:val="auto"/>
              </w:rPr>
            </w:pPr>
          </w:p>
        </w:tc>
      </w:tr>
      <w:tr>
        <w:trPr>
          <w:trHeight w:val="257"/>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Marshall D. Smith</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Former Senior Executive Vice President and Chief Financial Officer</w:t>
            </w:r>
            <w:r>
              <w:rPr>
                <w:rFonts w:ascii="Arial" w:cs="Arial" w:eastAsia="Arial" w:hAnsi="Arial"/>
                <w:sz w:val="15"/>
                <w:szCs w:val="15"/>
                <w:color w:val="auto"/>
              </w:rPr>
              <w:t>(2)</w:t>
            </w:r>
          </w:p>
        </w:tc>
      </w:tr>
      <w:tr>
        <w:trPr>
          <w:trHeight w:val="34"/>
        </w:trPr>
        <w:tc>
          <w:tcPr>
            <w:tcW w:w="3490" w:type="dxa"/>
            <w:vAlign w:val="bottom"/>
            <w:shd w:val="clear" w:color="auto" w:fill="D9D9D9"/>
          </w:tcPr>
          <w:p>
            <w:pPr>
              <w:spacing w:after="0"/>
              <w:rPr>
                <w:sz w:val="2"/>
                <w:szCs w:val="2"/>
                <w:color w:val="auto"/>
              </w:rPr>
            </w:pPr>
          </w:p>
        </w:tc>
        <w:tc>
          <w:tcPr>
            <w:tcW w:w="7690" w:type="dxa"/>
            <w:vAlign w:val="bottom"/>
            <w:shd w:val="clear" w:color="auto" w:fill="D9D9D9"/>
          </w:tcPr>
          <w:p>
            <w:pPr>
              <w:spacing w:after="0"/>
              <w:rPr>
                <w:sz w:val="2"/>
                <w:szCs w:val="2"/>
                <w:color w:val="auto"/>
              </w:rPr>
            </w:pPr>
          </w:p>
        </w:tc>
      </w:tr>
      <w:tr>
        <w:trPr>
          <w:trHeight w:val="257"/>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Charles F. Weiss</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Executive Vice President–Public Affairs</w:t>
            </w:r>
            <w:r>
              <w:rPr>
                <w:rFonts w:ascii="Arial" w:cs="Arial" w:eastAsia="Arial" w:hAnsi="Arial"/>
                <w:sz w:val="15"/>
                <w:szCs w:val="15"/>
                <w:color w:val="auto"/>
              </w:rPr>
              <w:t>(3)</w:t>
            </w:r>
          </w:p>
        </w:tc>
      </w:tr>
      <w:tr>
        <w:trPr>
          <w:trHeight w:val="34"/>
        </w:trPr>
        <w:tc>
          <w:tcPr>
            <w:tcW w:w="3490" w:type="dxa"/>
            <w:vAlign w:val="bottom"/>
            <w:shd w:val="clear" w:color="auto" w:fill="D9D9D9"/>
          </w:tcPr>
          <w:p>
            <w:pPr>
              <w:spacing w:after="0"/>
              <w:rPr>
                <w:sz w:val="2"/>
                <w:szCs w:val="2"/>
                <w:color w:val="auto"/>
              </w:rPr>
            </w:pPr>
          </w:p>
        </w:tc>
        <w:tc>
          <w:tcPr>
            <w:tcW w:w="7690" w:type="dxa"/>
            <w:vAlign w:val="bottom"/>
            <w:shd w:val="clear" w:color="auto" w:fill="D9D9D9"/>
          </w:tcPr>
          <w:p>
            <w:pPr>
              <w:spacing w:after="0"/>
              <w:rPr>
                <w:sz w:val="2"/>
                <w:szCs w:val="2"/>
                <w:color w:val="auto"/>
              </w:rPr>
            </w:pPr>
          </w:p>
        </w:tc>
      </w:tr>
      <w:tr>
        <w:trPr>
          <w:trHeight w:val="257"/>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Shawn M. Kerns</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Executive Vice President–Operations and Engineering</w:t>
            </w:r>
          </w:p>
        </w:tc>
      </w:tr>
      <w:tr>
        <w:trPr>
          <w:trHeight w:val="34"/>
        </w:trPr>
        <w:tc>
          <w:tcPr>
            <w:tcW w:w="3490" w:type="dxa"/>
            <w:vAlign w:val="bottom"/>
            <w:shd w:val="clear" w:color="auto" w:fill="D9D9D9"/>
          </w:tcPr>
          <w:p>
            <w:pPr>
              <w:spacing w:after="0"/>
              <w:rPr>
                <w:sz w:val="2"/>
                <w:szCs w:val="2"/>
                <w:color w:val="auto"/>
              </w:rPr>
            </w:pPr>
          </w:p>
        </w:tc>
        <w:tc>
          <w:tcPr>
            <w:tcW w:w="7690" w:type="dxa"/>
            <w:vAlign w:val="bottom"/>
            <w:shd w:val="clear" w:color="auto" w:fill="D9D9D9"/>
          </w:tcPr>
          <w:p>
            <w:pPr>
              <w:spacing w:after="0"/>
              <w:rPr>
                <w:sz w:val="2"/>
                <w:szCs w:val="2"/>
                <w:color w:val="auto"/>
              </w:rPr>
            </w:pPr>
          </w:p>
        </w:tc>
      </w:tr>
      <w:tr>
        <w:trPr>
          <w:trHeight w:val="257"/>
        </w:trPr>
        <w:tc>
          <w:tcPr>
            <w:tcW w:w="3490" w:type="dxa"/>
            <w:vAlign w:val="bottom"/>
            <w:shd w:val="clear" w:color="auto" w:fill="D9D9D9"/>
          </w:tcPr>
          <w:p>
            <w:pPr>
              <w:ind w:left="180"/>
              <w:spacing w:after="0"/>
              <w:rPr>
                <w:sz w:val="20"/>
                <w:szCs w:val="20"/>
                <w:color w:val="auto"/>
              </w:rPr>
            </w:pPr>
            <w:r>
              <w:rPr>
                <w:rFonts w:ascii="Arial" w:cs="Arial" w:eastAsia="Arial" w:hAnsi="Arial"/>
                <w:sz w:val="18"/>
                <w:szCs w:val="18"/>
                <w:color w:val="auto"/>
              </w:rPr>
              <w:t>Darren Williams</w:t>
            </w:r>
          </w:p>
        </w:tc>
        <w:tc>
          <w:tcPr>
            <w:tcW w:w="7690" w:type="dxa"/>
            <w:vAlign w:val="bottom"/>
            <w:shd w:val="clear" w:color="auto" w:fill="D9D9D9"/>
          </w:tcPr>
          <w:p>
            <w:pPr>
              <w:ind w:left="230"/>
              <w:spacing w:after="0"/>
              <w:rPr>
                <w:sz w:val="20"/>
                <w:szCs w:val="20"/>
                <w:color w:val="auto"/>
              </w:rPr>
            </w:pPr>
            <w:r>
              <w:rPr>
                <w:rFonts w:ascii="Arial" w:cs="Arial" w:eastAsia="Arial" w:hAnsi="Arial"/>
                <w:sz w:val="18"/>
                <w:szCs w:val="18"/>
                <w:color w:val="auto"/>
              </w:rPr>
              <w:t>Executive Vice President–Exploration and Development</w:t>
            </w:r>
            <w:r>
              <w:rPr>
                <w:rFonts w:ascii="Arial" w:cs="Arial" w:eastAsia="Arial" w:hAnsi="Arial"/>
                <w:sz w:val="15"/>
                <w:szCs w:val="15"/>
                <w:color w:val="auto"/>
              </w:rPr>
              <w:t>(3)</w:t>
            </w:r>
          </w:p>
        </w:tc>
      </w:tr>
      <w:tr>
        <w:trPr>
          <w:trHeight w:val="41"/>
        </w:trPr>
        <w:tc>
          <w:tcPr>
            <w:tcW w:w="3490" w:type="dxa"/>
            <w:vAlign w:val="bottom"/>
            <w:shd w:val="clear" w:color="auto" w:fill="D9D9D9"/>
          </w:tcPr>
          <w:p>
            <w:pPr>
              <w:spacing w:after="0"/>
              <w:rPr>
                <w:sz w:val="3"/>
                <w:szCs w:val="3"/>
                <w:color w:val="auto"/>
              </w:rPr>
            </w:pPr>
          </w:p>
        </w:tc>
        <w:tc>
          <w:tcPr>
            <w:tcW w:w="7690" w:type="dxa"/>
            <w:vAlign w:val="bottom"/>
            <w:shd w:val="clear" w:color="auto" w:fill="D9D9D9"/>
          </w:tcPr>
          <w:p>
            <w:pPr>
              <w:spacing w:after="0"/>
              <w:rPr>
                <w:sz w:val="3"/>
                <w:szCs w:val="3"/>
                <w:color w:val="auto"/>
              </w:rPr>
            </w:pPr>
          </w:p>
        </w:tc>
      </w:tr>
    </w:tbl>
    <w:p>
      <w:pPr>
        <w:spacing w:after="0" w:line="243" w:lineRule="exact"/>
        <w:rPr>
          <w:sz w:val="20"/>
          <w:szCs w:val="20"/>
          <w:color w:val="auto"/>
        </w:rPr>
      </w:pPr>
    </w:p>
    <w:p>
      <w:pPr>
        <w:ind w:left="420" w:right="20" w:hanging="414"/>
        <w:spacing w:after="0" w:line="237"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December 31, 2020, Mr. Stevens departed the Company and Board, and the Board appointed our Chairman, Mr. McFarland, to serve as Interim Chief Executive Officer and initiated a search process for the Company’s next chief executive officer. On March 22, 2021, the Company announced that Mr. McFarland was selected to serve as President and Chief Executive Officer, removing his previous interim title, in addition to his role as Chairman of the Board.</w:t>
      </w:r>
    </w:p>
    <w:p>
      <w:pPr>
        <w:ind w:left="420" w:hanging="414"/>
        <w:spacing w:after="0" w:line="237"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Smith left the Company in August 2020 and had a consulting agreement with the Company for two months following his departure.</w:t>
      </w:r>
    </w:p>
    <w:p>
      <w:pPr>
        <w:ind w:left="420" w:right="620" w:hanging="414"/>
        <w:spacing w:after="0" w:line="250"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Messrs. Weiss and Williams were NEOs as of December 31, 2020, but have subsequently left the Company in January 2021 as part of our post-emergence realignment and streamlining.</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0075C9"/>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Compensation Discussion and Analysis</w:t>
              </w:r>
            </w:hyperlink>
          </w:p>
        </w:tc>
        <w:tc>
          <w:tcPr>
            <w:tcW w:w="1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80" w:type="dxa"/>
            <w:vAlign w:val="bottom"/>
            <w:vMerge w:val="restart"/>
          </w:tcPr>
          <w:p>
            <w:pPr>
              <w:spacing w:after="0"/>
              <w:rPr>
                <w:sz w:val="19"/>
                <w:szCs w:val="19"/>
                <w:color w:val="auto"/>
              </w:rPr>
            </w:pPr>
          </w:p>
        </w:tc>
        <w:tc>
          <w:tcPr>
            <w:tcW w:w="1280" w:type="dxa"/>
            <w:vAlign w:val="bottom"/>
            <w:vMerge w:val="restart"/>
          </w:tcPr>
          <w:p>
            <w:pPr>
              <w:jc w:val="right"/>
              <w:ind w:right="129"/>
              <w:spacing w:after="0"/>
              <w:rPr>
                <w:sz w:val="20"/>
                <w:szCs w:val="20"/>
                <w:color w:val="auto"/>
              </w:rPr>
            </w:pPr>
            <w:r>
              <w:rPr>
                <w:rFonts w:ascii="Arial" w:cs="Arial" w:eastAsia="Arial" w:hAnsi="Arial"/>
                <w:sz w:val="18"/>
                <w:szCs w:val="18"/>
                <w:color w:val="0075C9"/>
              </w:rPr>
              <w:t>21</w:t>
            </w:r>
          </w:p>
        </w:tc>
        <w:tc>
          <w:tcPr>
            <w:tcW w:w="200" w:type="dxa"/>
            <w:vAlign w:val="bottom"/>
            <w:vMerge w:val="restart"/>
          </w:tcPr>
          <w:p>
            <w:pPr>
              <w:spacing w:after="0"/>
              <w:rPr>
                <w:sz w:val="19"/>
                <w:szCs w:val="19"/>
                <w:color w:val="auto"/>
              </w:rPr>
            </w:pPr>
          </w:p>
        </w:tc>
        <w:tc>
          <w:tcPr>
            <w:tcW w:w="262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Compensation Committee Report</w:t>
              </w:r>
            </w:hyperlink>
          </w:p>
        </w:tc>
        <w:tc>
          <w:tcPr>
            <w:tcW w:w="4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0" w:type="dxa"/>
            <w:vAlign w:val="bottom"/>
            <w:vMerge w:val="restart"/>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0075C9"/>
              </w:rPr>
              <w:t>46</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060" w:type="dxa"/>
            <w:vAlign w:val="bottom"/>
            <w:gridSpan w:val="20"/>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Restructuring of the Company</w:t>
              </w:r>
            </w:hyperlink>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7"/>
                <w:szCs w:val="17"/>
                <w:color w:val="auto"/>
              </w:rPr>
            </w:pPr>
          </w:p>
        </w:tc>
        <w:tc>
          <w:tcPr>
            <w:tcW w:w="5240" w:type="dxa"/>
            <w:vAlign w:val="bottom"/>
            <w:gridSpan w:val="16"/>
          </w:tcPr>
          <w:p>
            <w:pPr>
              <w:spacing w:after="0" w:line="180" w:lineRule="exact"/>
              <w:rPr>
                <w:rFonts w:ascii="Arial" w:cs="Arial" w:eastAsia="Arial" w:hAnsi="Arial"/>
                <w:sz w:val="18"/>
                <w:szCs w:val="18"/>
                <w:color w:val="0000EE"/>
              </w:rPr>
            </w:pPr>
            <w:hyperlink w:anchor="page54">
              <w:r>
                <w:rPr>
                  <w:rFonts w:ascii="Arial" w:cs="Arial" w:eastAsia="Arial" w:hAnsi="Arial"/>
                  <w:sz w:val="18"/>
                  <w:szCs w:val="18"/>
                  <w:color w:val="0000EE"/>
                </w:rPr>
                <w:t>Executive Compensation Tables</w:t>
              </w:r>
            </w:hyperlink>
          </w:p>
        </w:tc>
        <w:tc>
          <w:tcPr>
            <w:tcW w:w="320" w:type="dxa"/>
            <w:vAlign w:val="bottom"/>
          </w:tcPr>
          <w:p>
            <w:pPr>
              <w:jc w:val="right"/>
              <w:spacing w:after="0" w:line="180" w:lineRule="exact"/>
              <w:rPr>
                <w:sz w:val="20"/>
                <w:szCs w:val="20"/>
                <w:color w:val="auto"/>
              </w:rPr>
            </w:pPr>
            <w:r>
              <w:rPr>
                <w:rFonts w:ascii="Arial" w:cs="Arial" w:eastAsia="Arial" w:hAnsi="Arial"/>
                <w:sz w:val="18"/>
                <w:szCs w:val="18"/>
                <w:color w:val="0075C9"/>
              </w:rPr>
              <w:t>47</w:t>
            </w:r>
          </w:p>
        </w:tc>
        <w:tc>
          <w:tcPr>
            <w:tcW w:w="0" w:type="dxa"/>
            <w:vAlign w:val="bottom"/>
          </w:tcPr>
          <w:p>
            <w:pPr>
              <w:spacing w:after="0"/>
              <w:rPr>
                <w:sz w:val="1"/>
                <w:szCs w:val="1"/>
                <w:color w:val="auto"/>
              </w:rPr>
            </w:pPr>
          </w:p>
        </w:tc>
      </w:tr>
      <w:tr>
        <w:trPr>
          <w:trHeight w:val="27"/>
        </w:trPr>
        <w:tc>
          <w:tcPr>
            <w:tcW w:w="160" w:type="dxa"/>
            <w:vAlign w:val="bottom"/>
            <w:tcBorders>
              <w:right w:val="single" w:sz="8" w:color="0000EE"/>
            </w:tcBorders>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60" w:type="dxa"/>
            <w:vAlign w:val="bottom"/>
          </w:tcPr>
          <w:p>
            <w:pPr>
              <w:spacing w:after="0"/>
              <w:rPr>
                <w:sz w:val="16"/>
                <w:szCs w:val="16"/>
                <w:color w:val="auto"/>
              </w:rPr>
            </w:pPr>
          </w:p>
        </w:tc>
        <w:tc>
          <w:tcPr>
            <w:tcW w:w="4060" w:type="dxa"/>
            <w:vAlign w:val="bottom"/>
            <w:gridSpan w:val="20"/>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Setting a New Course for 2021</w:t>
              </w:r>
            </w:hyperlink>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6"/>
                <w:szCs w:val="16"/>
                <w:color w:val="auto"/>
              </w:rPr>
            </w:pPr>
          </w:p>
        </w:tc>
        <w:tc>
          <w:tcPr>
            <w:tcW w:w="5240" w:type="dxa"/>
            <w:vAlign w:val="bottom"/>
            <w:gridSpan w:val="16"/>
          </w:tcPr>
          <w:p>
            <w:pPr>
              <w:ind w:left="160"/>
              <w:spacing w:after="0"/>
              <w:rPr>
                <w:rFonts w:ascii="Arial" w:cs="Arial" w:eastAsia="Arial" w:hAnsi="Arial"/>
                <w:sz w:val="14"/>
                <w:szCs w:val="14"/>
                <w:color w:val="0000EE"/>
              </w:rPr>
            </w:pPr>
            <w:hyperlink w:anchor="page54">
              <w:r>
                <w:rPr>
                  <w:rFonts w:ascii="Arial" w:cs="Arial" w:eastAsia="Arial" w:hAnsi="Arial"/>
                  <w:sz w:val="14"/>
                  <w:szCs w:val="14"/>
                  <w:color w:val="0000EE"/>
                </w:rPr>
                <w:t>Summary Compensation Table</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Borders>
              <w:bottom w:val="single" w:sz="8" w:color="0000EE"/>
            </w:tcBorders>
            <w:gridSpan w:val="11"/>
          </w:tcPr>
          <w:p>
            <w:pPr>
              <w:spacing w:after="0"/>
              <w:rPr>
                <w:rFonts w:ascii="Arial" w:cs="Arial" w:eastAsia="Arial" w:hAnsi="Arial"/>
                <w:sz w:val="14"/>
                <w:szCs w:val="14"/>
                <w:color w:val="0000EE"/>
                <w:w w:val="97"/>
              </w:rPr>
            </w:pPr>
            <w:hyperlink w:anchor="page30">
              <w:r>
                <w:rPr>
                  <w:rFonts w:ascii="Arial" w:cs="Arial" w:eastAsia="Arial" w:hAnsi="Arial"/>
                  <w:sz w:val="14"/>
                  <w:szCs w:val="14"/>
                  <w:color w:val="0000EE"/>
                  <w:w w:val="97"/>
                </w:rPr>
                <w:t>2021 Compensation Program Actions</w:t>
              </w:r>
            </w:hyperlink>
          </w:p>
        </w:tc>
        <w:tc>
          <w:tcPr>
            <w:tcW w:w="1600" w:type="dxa"/>
            <w:vAlign w:val="bottom"/>
            <w:gridSpan w:val="8"/>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Borders>
              <w:bottom w:val="single" w:sz="8" w:color="0000EE"/>
            </w:tcBorders>
            <w:gridSpan w:val="5"/>
          </w:tcPr>
          <w:p>
            <w:pPr>
              <w:spacing w:after="0"/>
              <w:rPr>
                <w:rFonts w:ascii="Arial" w:cs="Arial" w:eastAsia="Arial" w:hAnsi="Arial"/>
                <w:sz w:val="14"/>
                <w:szCs w:val="14"/>
                <w:color w:val="0000EE"/>
                <w:w w:val="99"/>
              </w:rPr>
            </w:pPr>
            <w:hyperlink w:anchor="page56">
              <w:r>
                <w:rPr>
                  <w:rFonts w:ascii="Arial" w:cs="Arial" w:eastAsia="Arial" w:hAnsi="Arial"/>
                  <w:sz w:val="14"/>
                  <w:szCs w:val="14"/>
                  <w:color w:val="0000EE"/>
                  <w:w w:val="99"/>
                </w:rPr>
                <w:t>Grants of Plan-Based Awards</w:t>
              </w:r>
            </w:hyperlink>
          </w:p>
        </w:tc>
        <w:tc>
          <w:tcPr>
            <w:tcW w:w="3220" w:type="dxa"/>
            <w:vAlign w:val="bottom"/>
            <w:gridSpan w:val="10"/>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12"/>
          </w:tcPr>
          <w:p>
            <w:pPr>
              <w:spacing w:after="0"/>
              <w:rPr>
                <w:rFonts w:ascii="Arial" w:cs="Arial" w:eastAsia="Arial" w:hAnsi="Arial"/>
                <w:sz w:val="14"/>
                <w:szCs w:val="14"/>
                <w:color w:val="0000EE"/>
                <w:w w:val="97"/>
              </w:rPr>
            </w:pPr>
            <w:hyperlink w:anchor="page32">
              <w:r>
                <w:rPr>
                  <w:rFonts w:ascii="Arial" w:cs="Arial" w:eastAsia="Arial" w:hAnsi="Arial"/>
                  <w:sz w:val="14"/>
                  <w:szCs w:val="14"/>
                  <w:color w:val="0000EE"/>
                  <w:w w:val="97"/>
                </w:rPr>
                <w:t>Original 2020 Compensation Program</w:t>
              </w:r>
            </w:hyperlink>
          </w:p>
        </w:tc>
        <w:tc>
          <w:tcPr>
            <w:tcW w:w="1580" w:type="dxa"/>
            <w:vAlign w:val="bottom"/>
            <w:gridSpan w:val="7"/>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Outstanding Equity Awards at December 31, 20</w:t>
              </w:r>
            </w:hyperlink>
            <w:r>
              <w:rPr>
                <w:rFonts w:ascii="Arial" w:cs="Arial" w:eastAsia="Arial" w:hAnsi="Arial"/>
                <w:sz w:val="14"/>
                <w:szCs w:val="14"/>
                <w:color w:val="000000"/>
              </w:rPr>
              <w:t>20</w:t>
            </w: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13"/>
          </w:tcPr>
          <w:p>
            <w:pPr>
              <w:spacing w:after="0"/>
              <w:rPr>
                <w:rFonts w:ascii="Arial" w:cs="Arial" w:eastAsia="Arial" w:hAnsi="Arial"/>
                <w:sz w:val="14"/>
                <w:szCs w:val="14"/>
                <w:color w:val="0000EE"/>
                <w:w w:val="97"/>
              </w:rPr>
            </w:pPr>
            <w:hyperlink w:anchor="page39">
              <w:r>
                <w:rPr>
                  <w:rFonts w:ascii="Arial" w:cs="Arial" w:eastAsia="Arial" w:hAnsi="Arial"/>
                  <w:sz w:val="14"/>
                  <w:szCs w:val="14"/>
                  <w:color w:val="0000EE"/>
                  <w:w w:val="97"/>
                </w:rPr>
                <w:t>Revised 2020 Compensation Program</w:t>
              </w:r>
            </w:hyperlink>
          </w:p>
        </w:tc>
        <w:tc>
          <w:tcPr>
            <w:tcW w:w="1560" w:type="dxa"/>
            <w:vAlign w:val="bottom"/>
            <w:gridSpan w:val="6"/>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Option Exercises and Stock Vested in 20</w:t>
              </w:r>
            </w:hyperlink>
            <w:r>
              <w:rPr>
                <w:rFonts w:ascii="Arial" w:cs="Arial" w:eastAsia="Arial" w:hAnsi="Arial"/>
                <w:sz w:val="14"/>
                <w:szCs w:val="14"/>
                <w:color w:val="000000"/>
              </w:rPr>
              <w:t>20</w:t>
            </w: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13"/>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Other Compensation and Benefits</w:t>
              </w:r>
            </w:hyperlink>
          </w:p>
        </w:tc>
        <w:tc>
          <w:tcPr>
            <w:tcW w:w="1560" w:type="dxa"/>
            <w:vAlign w:val="bottom"/>
            <w:gridSpan w:val="6"/>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2020 Nonqualified Deferred Compensation Table</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2440" w:type="dxa"/>
            <w:vAlign w:val="bottom"/>
            <w:gridSpan w:val="11"/>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Compensation Objectives and Process</w:t>
              </w:r>
            </w:hyperlink>
          </w:p>
        </w:tc>
        <w:tc>
          <w:tcPr>
            <w:tcW w:w="1620" w:type="dxa"/>
            <w:vAlign w:val="bottom"/>
            <w:gridSpan w:val="9"/>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Potential Payments upon Termination or Change in Control</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280" w:type="dxa"/>
            <w:vAlign w:val="bottom"/>
            <w:tcBorders>
              <w:top w:val="single" w:sz="8" w:color="0000EE"/>
            </w:tcBorders>
            <w:gridSpan w:val="10"/>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Executive Compensation Objectives</w:t>
              </w:r>
            </w:hyperlink>
          </w:p>
        </w:tc>
        <w:tc>
          <w:tcPr>
            <w:tcW w:w="1620" w:type="dxa"/>
            <w:vAlign w:val="bottom"/>
            <w:gridSpan w:val="9"/>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tcBorders>
              <w:top w:val="single" w:sz="8" w:color="0000EE"/>
            </w:tcBorders>
            <w:gridSpan w:val="14"/>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CEO Pay Ratio</w:t>
              </w:r>
            </w:hyperlink>
          </w:p>
        </w:tc>
        <w:tc>
          <w:tcPr>
            <w:tcW w:w="1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7"/>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Compensation Program Best Practices</w:t>
              </w:r>
            </w:hyperlink>
          </w:p>
        </w:tc>
        <w:tc>
          <w:tcPr>
            <w:tcW w:w="960" w:type="dxa"/>
            <w:vAlign w:val="bottom"/>
            <w:gridSpan w:val="2"/>
          </w:tcPr>
          <w:p>
            <w:pPr>
              <w:spacing w:after="0"/>
              <w:rPr>
                <w:sz w:val="16"/>
                <w:szCs w:val="16"/>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41</w:t>
            </w:r>
          </w:p>
        </w:tc>
        <w:tc>
          <w:tcPr>
            <w:tcW w:w="5440" w:type="dxa"/>
            <w:vAlign w:val="bottom"/>
            <w:gridSpan w:val="17"/>
          </w:tcPr>
          <w:p>
            <w:pPr>
              <w:ind w:left="180"/>
              <w:spacing w:after="0" w:line="179" w:lineRule="exact"/>
              <w:rPr>
                <w:rFonts w:ascii="Arial" w:cs="Arial" w:eastAsia="Arial" w:hAnsi="Arial"/>
                <w:sz w:val="18"/>
                <w:szCs w:val="18"/>
                <w:color w:val="0000EE"/>
              </w:rPr>
            </w:pPr>
            <w:hyperlink w:anchor="page62">
              <w:r>
                <w:rPr>
                  <w:rFonts w:ascii="Arial" w:cs="Arial" w:eastAsia="Arial" w:hAnsi="Arial"/>
                  <w:sz w:val="18"/>
                  <w:szCs w:val="18"/>
                  <w:color w:val="0000EE"/>
                </w:rPr>
                <w:t>Director Compensation</w:t>
              </w:r>
            </w:hyperlink>
          </w:p>
        </w:tc>
        <w:tc>
          <w:tcPr>
            <w:tcW w:w="320" w:type="dxa"/>
            <w:vAlign w:val="bottom"/>
          </w:tcPr>
          <w:p>
            <w:pPr>
              <w:jc w:val="right"/>
              <w:spacing w:after="0" w:line="179" w:lineRule="exact"/>
              <w:rPr>
                <w:sz w:val="20"/>
                <w:szCs w:val="20"/>
                <w:color w:val="auto"/>
              </w:rPr>
            </w:pPr>
            <w:r>
              <w:rPr>
                <w:rFonts w:ascii="Arial" w:cs="Arial" w:eastAsia="Arial" w:hAnsi="Arial"/>
                <w:sz w:val="18"/>
                <w:szCs w:val="18"/>
                <w:color w:val="0075C9"/>
              </w:rPr>
              <w:t>55</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40" w:type="dxa"/>
            <w:vAlign w:val="bottom"/>
            <w:tcBorders>
              <w:right w:val="single" w:sz="8" w:color="0000EE"/>
            </w:tcBorders>
            <w:gridSpan w:val="2"/>
            <w:shd w:val="clear" w:color="auto" w:fill="0000EE"/>
          </w:tcPr>
          <w:p>
            <w:pPr>
              <w:spacing w:after="0"/>
              <w:rPr>
                <w:sz w:val="2"/>
                <w:szCs w:val="2"/>
                <w:color w:val="auto"/>
              </w:rPr>
            </w:pPr>
          </w:p>
        </w:tc>
        <w:tc>
          <w:tcPr>
            <w:tcW w:w="280" w:type="dxa"/>
            <w:vAlign w:val="bottom"/>
            <w:gridSpan w:val="6"/>
            <w:shd w:val="clear" w:color="auto" w:fill="0000EE"/>
          </w:tcPr>
          <w:p>
            <w:pPr>
              <w:spacing w:after="0"/>
              <w:rPr>
                <w:sz w:val="2"/>
                <w:szCs w:val="2"/>
                <w:color w:val="auto"/>
              </w:rPr>
            </w:pPr>
          </w:p>
        </w:tc>
        <w:tc>
          <w:tcPr>
            <w:tcW w:w="540" w:type="dxa"/>
            <w:vAlign w:val="bottom"/>
            <w:gridSpan w:val="3"/>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860" w:type="dxa"/>
            <w:vAlign w:val="bottom"/>
            <w:gridSpan w:val="2"/>
            <w:shd w:val="clear" w:color="auto" w:fill="0000EE"/>
          </w:tcPr>
          <w:p>
            <w:pPr>
              <w:spacing w:after="0"/>
              <w:rPr>
                <w:sz w:val="2"/>
                <w:szCs w:val="2"/>
                <w:color w:val="auto"/>
              </w:rPr>
            </w:pPr>
          </w:p>
        </w:tc>
        <w:tc>
          <w:tcPr>
            <w:tcW w:w="920" w:type="dxa"/>
            <w:vAlign w:val="bottom"/>
            <w:gridSpan w:val="2"/>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480" w:type="dxa"/>
            <w:vAlign w:val="bottom"/>
            <w:gridSpan w:val="3"/>
          </w:tcPr>
          <w:p>
            <w:pPr>
              <w:spacing w:after="0"/>
              <w:rPr>
                <w:sz w:val="2"/>
                <w:szCs w:val="2"/>
                <w:color w:val="auto"/>
              </w:rPr>
            </w:pPr>
          </w:p>
        </w:tc>
        <w:tc>
          <w:tcPr>
            <w:tcW w:w="720" w:type="dxa"/>
            <w:vAlign w:val="bottom"/>
            <w:gridSpan w:val="3"/>
          </w:tcPr>
          <w:p>
            <w:pPr>
              <w:spacing w:after="0"/>
              <w:rPr>
                <w:sz w:val="2"/>
                <w:szCs w:val="2"/>
                <w:color w:val="auto"/>
              </w:rPr>
            </w:pPr>
          </w:p>
        </w:tc>
        <w:tc>
          <w:tcPr>
            <w:tcW w:w="1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17"/>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Role of Compensation Committee</w:t>
              </w:r>
            </w:hyperlink>
          </w:p>
        </w:tc>
        <w:tc>
          <w:tcPr>
            <w:tcW w:w="960" w:type="dxa"/>
            <w:vAlign w:val="bottom"/>
            <w:gridSpan w:val="2"/>
          </w:tcPr>
          <w:p>
            <w:pPr>
              <w:spacing w:after="0"/>
              <w:rPr>
                <w:sz w:val="17"/>
                <w:szCs w:val="17"/>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7"/>
                <w:szCs w:val="17"/>
                <w:color w:val="auto"/>
              </w:rPr>
            </w:pPr>
          </w:p>
        </w:tc>
        <w:tc>
          <w:tcPr>
            <w:tcW w:w="5240" w:type="dxa"/>
            <w:vAlign w:val="bottom"/>
            <w:gridSpan w:val="16"/>
          </w:tcPr>
          <w:p>
            <w:pPr>
              <w:ind w:left="160"/>
              <w:spacing w:after="0"/>
              <w:rPr>
                <w:rFonts w:ascii="Arial" w:cs="Arial" w:eastAsia="Arial" w:hAnsi="Arial"/>
                <w:sz w:val="14"/>
                <w:szCs w:val="14"/>
                <w:color w:val="0000EE"/>
              </w:rPr>
            </w:pPr>
            <w:hyperlink w:anchor="page62">
              <w:r>
                <w:rPr>
                  <w:rFonts w:ascii="Arial" w:cs="Arial" w:eastAsia="Arial" w:hAnsi="Arial"/>
                  <w:sz w:val="14"/>
                  <w:szCs w:val="14"/>
                  <w:color w:val="0000EE"/>
                </w:rPr>
                <w:t>Original Program Objectives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Role of Management</w:t>
              </w:r>
            </w:hyperlink>
          </w:p>
        </w:tc>
        <w:tc>
          <w:tcPr>
            <w:tcW w:w="800" w:type="dxa"/>
            <w:vAlign w:val="bottom"/>
            <w:gridSpan w:val="5"/>
          </w:tcPr>
          <w:p>
            <w:pPr>
              <w:spacing w:after="0"/>
              <w:rPr>
                <w:sz w:val="15"/>
                <w:szCs w:val="15"/>
                <w:color w:val="auto"/>
              </w:rPr>
            </w:pPr>
          </w:p>
        </w:tc>
        <w:tc>
          <w:tcPr>
            <w:tcW w:w="1780" w:type="dxa"/>
            <w:vAlign w:val="bottom"/>
            <w:gridSpan w:val="11"/>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Program Elements During Restructuring</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tcBorders>
              <w:bottom w:val="single" w:sz="8" w:color="0000EE"/>
            </w:tcBorders>
            <w:gridSpan w:val="18"/>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Role of Independent Compensation Consultants</w:t>
              </w:r>
            </w:hyperlink>
          </w:p>
        </w:tc>
        <w:tc>
          <w:tcPr>
            <w:tcW w:w="88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0000EE"/>
            </w:tcBorders>
            <w:gridSpan w:val="13"/>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New Program Elements Following Emergence from</w:t>
              </w:r>
            </w:hyperlink>
          </w:p>
        </w:tc>
        <w:tc>
          <w:tcPr>
            <w:tcW w:w="186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spacing w:after="0"/>
              <w:rPr>
                <w:rFonts w:ascii="Arial" w:cs="Arial" w:eastAsia="Arial" w:hAnsi="Arial"/>
                <w:sz w:val="14"/>
                <w:szCs w:val="14"/>
                <w:color w:val="0000EE"/>
                <w:w w:val="97"/>
              </w:rPr>
            </w:pPr>
            <w:hyperlink w:anchor="page50">
              <w:r>
                <w:rPr>
                  <w:rFonts w:ascii="Arial" w:cs="Arial" w:eastAsia="Arial" w:hAnsi="Arial"/>
                  <w:sz w:val="14"/>
                  <w:szCs w:val="14"/>
                  <w:color w:val="0000EE"/>
                  <w:w w:val="97"/>
                </w:rPr>
                <w:t>Use of Compensation Data</w:t>
              </w:r>
            </w:hyperlink>
          </w:p>
        </w:tc>
        <w:tc>
          <w:tcPr>
            <w:tcW w:w="2220" w:type="dxa"/>
            <w:vAlign w:val="bottom"/>
            <w:gridSpan w:val="14"/>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Bankruptcy</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Stockholder Outreach</w:t>
              </w:r>
            </w:hyperlink>
          </w:p>
        </w:tc>
        <w:tc>
          <w:tcPr>
            <w:tcW w:w="2220" w:type="dxa"/>
            <w:vAlign w:val="bottom"/>
            <w:gridSpan w:val="14"/>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15"/>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2020 Compensation of Directors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4060" w:type="dxa"/>
            <w:vAlign w:val="bottom"/>
            <w:gridSpan w:val="20"/>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Stockholder Approval of Executive Compensation</w:t>
              </w:r>
            </w:hyperlink>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6"/>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Other Compensation Matters</w:t>
              </w:r>
            </w:hyperlink>
          </w:p>
        </w:tc>
        <w:tc>
          <w:tcPr>
            <w:tcW w:w="1260" w:type="dxa"/>
            <w:vAlign w:val="bottom"/>
            <w:tcBorders>
              <w:top w:val="single" w:sz="8" w:color="0000EE"/>
            </w:tcBorders>
            <w:gridSpan w:val="12"/>
          </w:tcPr>
          <w:p>
            <w:pPr>
              <w:spacing w:after="0"/>
              <w:rPr>
                <w:sz w:val="15"/>
                <w:szCs w:val="15"/>
                <w:color w:val="auto"/>
              </w:rPr>
            </w:pPr>
          </w:p>
        </w:tc>
        <w:tc>
          <w:tcPr>
            <w:tcW w:w="960" w:type="dxa"/>
            <w:vAlign w:val="bottom"/>
            <w:gridSpan w:val="2"/>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Borders>
              <w:bottom w:val="single" w:sz="8" w:color="0000EE"/>
            </w:tcBorders>
            <w:gridSpan w:val="6"/>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Stock Ownership Guidelines</w:t>
              </w:r>
            </w:hyperlink>
          </w:p>
        </w:tc>
        <w:tc>
          <w:tcPr>
            <w:tcW w:w="2120" w:type="dxa"/>
            <w:vAlign w:val="bottom"/>
            <w:gridSpan w:val="13"/>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bottom w:val="single" w:sz="8" w:color="0000EE"/>
            </w:tcBorders>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Clawback Policy</w:t>
              </w:r>
            </w:hyperlink>
          </w:p>
        </w:tc>
        <w:tc>
          <w:tcPr>
            <w:tcW w:w="2860" w:type="dxa"/>
            <w:vAlign w:val="bottom"/>
            <w:gridSpan w:val="18"/>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tcBorders>
              <w:bottom w:val="single" w:sz="8" w:color="0000EE"/>
            </w:tcBorders>
            <w:gridSpan w:val="14"/>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Anti-Hedging and Anti-Pledging Policy</w:t>
              </w:r>
            </w:hyperlink>
          </w:p>
        </w:tc>
        <w:tc>
          <w:tcPr>
            <w:tcW w:w="1500" w:type="dxa"/>
            <w:vAlign w:val="bottom"/>
            <w:gridSpan w:val="5"/>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Borders>
              <w:bottom w:val="single" w:sz="8" w:color="0000EE"/>
            </w:tcBorders>
            <w:gridSpan w:val="8"/>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Compensation Risk Management</w:t>
              </w:r>
            </w:hyperlink>
          </w:p>
        </w:tc>
        <w:tc>
          <w:tcPr>
            <w:tcW w:w="1780" w:type="dxa"/>
            <w:vAlign w:val="bottom"/>
            <w:gridSpan w:val="11"/>
          </w:tcPr>
          <w:p>
            <w:pPr>
              <w:spacing w:after="0"/>
              <w:rPr>
                <w:sz w:val="16"/>
                <w:szCs w:val="16"/>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gridSpan w:val="19"/>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Tax Considerations</w:t>
              </w:r>
            </w:hyperlink>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9"/>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20" w:type="dxa"/>
            <w:vAlign w:val="bottom"/>
            <w:gridSpan w:val="13"/>
          </w:tcPr>
          <w:p>
            <w:pPr>
              <w:ind w:left="460"/>
              <w:spacing w:after="0"/>
              <w:rPr>
                <w:sz w:val="20"/>
                <w:szCs w:val="20"/>
                <w:color w:val="auto"/>
              </w:rPr>
            </w:pPr>
            <w:r>
              <w:rPr>
                <w:rFonts w:ascii="Arial" w:cs="Arial" w:eastAsia="Arial" w:hAnsi="Arial"/>
                <w:sz w:val="18"/>
                <w:szCs w:val="18"/>
                <w:color w:val="auto"/>
                <w:w w:val="99"/>
              </w:rPr>
              <w:t>CALIFORNIA RESOURCES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0"/>
        </w:trPr>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28" w:name="page29"/>
    <w:bookmarkEnd w:id="28"/>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0075C9"/>
        </w:rPr>
        <w:t>Restructuring of the Company</w:t>
      </w:r>
    </w:p>
    <w:p>
      <w:pPr>
        <w:spacing w:after="0" w:line="215"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On July 15, 2020, to address our unsustainable debt burden given the prevailing commodity markets at the time, the Company filed a voluntary petition for relief under Chapter 11 of the United States Bankruptcy Code.</w:t>
      </w:r>
    </w:p>
    <w:p>
      <w:pPr>
        <w:spacing w:after="0" w:line="19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On October 27, 2020, the Company emerged from the bankruptcy process with a new Board of Directors, new equity owners and a strong balance sheet. CRC’s Joint Plan of Reorganization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 in its Chapter 11 case cancelled all equity interests of the Company, including outstanding shares of the Company’s common stock issued and outstanding immediately prior to the emergence date. As a result, all outstanding stock- based compensation awards under our Long-Term Incentive Plan were also cancelled upon our emergence from bankruptcy, eliminating our NEOs’ prior equity interests in the Company.</w:t>
      </w:r>
    </w:p>
    <w:p>
      <w:pPr>
        <w:spacing w:after="0" w:line="17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Pursuant to the Plan, as of the emergence date, the pre-emergence Compensation Committee members (the “</w:t>
      </w:r>
      <w:r>
        <w:rPr>
          <w:rFonts w:ascii="Arial" w:cs="Arial" w:eastAsia="Arial" w:hAnsi="Arial"/>
          <w:sz w:val="18"/>
          <w:szCs w:val="18"/>
          <w:b w:val="1"/>
          <w:bCs w:val="1"/>
          <w:color w:val="auto"/>
        </w:rPr>
        <w:t>Former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ceased to serve on the Board and a new Compensation Committee was designated from the new Board members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New Compensation Committee</w:t>
      </w:r>
      <w:r>
        <w:rPr>
          <w:rFonts w:ascii="Arial" w:cs="Arial" w:eastAsia="Arial" w:hAnsi="Arial"/>
          <w:sz w:val="18"/>
          <w:szCs w:val="18"/>
          <w:color w:val="auto"/>
        </w:rPr>
        <w:t>”).</w:t>
      </w:r>
    </w:p>
    <w:p>
      <w:pPr>
        <w:spacing w:after="0" w:line="19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Plan also provided for issuance of new common stock to certain of the Company’s creditors and a joint venture partner and reservation of common stock for issuance under a new employee incentive plan. In January 2021, our new Board of Directors adopted the 2021 Long Term Incentive Plan.</w:t>
      </w:r>
    </w:p>
    <w:p>
      <w:pPr>
        <w:spacing w:after="0" w:line="200" w:lineRule="exact"/>
        <w:rPr>
          <w:sz w:val="20"/>
          <w:szCs w:val="20"/>
          <w:color w:val="auto"/>
        </w:rPr>
      </w:pPr>
    </w:p>
    <w:p>
      <w:pPr>
        <w:ind w:right="940"/>
        <w:spacing w:after="0" w:line="238" w:lineRule="auto"/>
        <w:rPr>
          <w:sz w:val="20"/>
          <w:szCs w:val="20"/>
          <w:color w:val="auto"/>
        </w:rPr>
      </w:pPr>
      <w:r>
        <w:rPr>
          <w:rFonts w:ascii="Arial" w:cs="Arial" w:eastAsia="Arial" w:hAnsi="Arial"/>
          <w:sz w:val="18"/>
          <w:szCs w:val="18"/>
          <w:color w:val="auto"/>
        </w:rPr>
        <w:t>As illustrated below, compensation decisions before, during and after our bankruptcy were made by our Former Compensation Committee, the bankruptcy court, and our New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127000</wp:posOffset>
            </wp:positionV>
            <wp:extent cx="5468620" cy="1455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68620"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color w:val="0075C9"/>
        </w:rPr>
        <w:t>Setting a New Course for 2021</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2020 executive compensation program was driven by unprecedented circumstances that our Former Compensation Committee believed required extraordinary changes to the original 2020 compensation program the Former Compensation Committee had previously approved in order to retain and motivate our executive management team and broader organization through our financial restructuring.</w:t>
      </w:r>
    </w:p>
    <w:p>
      <w:pPr>
        <w:spacing w:after="0" w:line="200"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Following our emergence from bankruptcy, our New Compensation Committee got right to work with the assistance of Lyons Benenson &amp; Company, Inc.(“</w:t>
      </w:r>
      <w:r>
        <w:rPr>
          <w:rFonts w:ascii="Arial" w:cs="Arial" w:eastAsia="Arial" w:hAnsi="Arial"/>
          <w:sz w:val="18"/>
          <w:szCs w:val="18"/>
          <w:b w:val="1"/>
          <w:bCs w:val="1"/>
          <w:color w:val="auto"/>
        </w:rPr>
        <w:t>LB&amp;Co</w:t>
      </w:r>
      <w:r>
        <w:rPr>
          <w:rFonts w:ascii="Arial" w:cs="Arial" w:eastAsia="Arial" w:hAnsi="Arial"/>
          <w:sz w:val="18"/>
          <w:szCs w:val="18"/>
          <w:color w:val="auto"/>
        </w:rPr>
        <w:t>”), independent compensation consultant to the New Compensation Committee, designing a new compensation program for 2021 which returns to a mix of short - and long-term incentives that are primarily performance-based, with a significant majority provided as equity awards, immediately aligning our NEO compensation with our new shareholders’ interests.</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9" w:name="page30"/>
    <w:bookmarkEnd w:id="29"/>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2021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Peer Group Selection</w:t>
      </w:r>
    </w:p>
    <w:p>
      <w:pPr>
        <w:spacing w:after="0" w:line="239"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first action taken by the New Compensation Committee was to develop a new compensation peer group. With consultation from LB&amp;Co, in November 2020, the New Compensation Committee adopted a new compensation peer group consisting of 20 companies in the same Global Industry Classification Standard (GICS) Sub-Industry classification of similar size and/or having similar geographic operating locations as the Company. This new compensation peer group was utilized by the New Compensation Committee in making decisions regarding the 2021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23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New Compensation Committee next focused on long-term incentives for the executive management team. Working with LB&amp;Co, the New Compensation Committee determined that the long-term incentive program for 2021 should consist of multi-year sized emergence grants to immediately realign the NEOs with shareholder interests and to reestablish the retention value of multi-year equity grants, since all of the NEOs’ prior Company stock holdings and equity awards were cancelled upon our emergence from bankruptcy.</w:t>
      </w:r>
    </w:p>
    <w:p>
      <w:pPr>
        <w:spacing w:after="0" w:line="200"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color w:val="auto"/>
        </w:rPr>
        <w:t>In January 2021, the New Compensation Committee approved emergence grants allocated between Restricted Stock Unit Awards and Performance Stock Unit Awards. The target grant date values for the awards were split evenly between the two award types for each NEO.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Restricted Stock Unit Award</w:t>
      </w:r>
    </w:p>
    <w:p>
      <w:pPr>
        <w:spacing w:after="0" w:line="2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2021 Restricted Stock Unit Award (“</w:t>
      </w:r>
      <w:r>
        <w:rPr>
          <w:rFonts w:ascii="Arial" w:cs="Arial" w:eastAsia="Arial" w:hAnsi="Arial"/>
          <w:sz w:val="18"/>
          <w:szCs w:val="18"/>
          <w:b w:val="1"/>
          <w:bCs w:val="1"/>
          <w:color w:val="auto"/>
        </w:rPr>
        <w:t>2021 RSU Award</w:t>
      </w:r>
      <w:r>
        <w:rPr>
          <w:rFonts w:ascii="Arial" w:cs="Arial" w:eastAsia="Arial" w:hAnsi="Arial"/>
          <w:sz w:val="18"/>
          <w:szCs w:val="18"/>
          <w:color w:val="auto"/>
        </w:rPr>
        <w:t>”) is a stock-based and stock-settled long-term incentive award primarily intended to promote retention and enhance alignment with stockholder interests through development of ownership in the Company with time-vested payouts. One-third of the 2021 RSU Award vests on each of the first three anniversary dates of the grant date. The delivery of vested shares under the 2021 RSU Award is generally deferred until the final vesting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Performance Stock Unit Award</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2021 Performance Stock Unit Award (“</w:t>
      </w:r>
      <w:r>
        <w:rPr>
          <w:rFonts w:ascii="Arial" w:cs="Arial" w:eastAsia="Arial" w:hAnsi="Arial"/>
          <w:sz w:val="18"/>
          <w:szCs w:val="18"/>
          <w:b w:val="1"/>
          <w:bCs w:val="1"/>
          <w:color w:val="auto"/>
        </w:rPr>
        <w:t>2021 PSU Award</w:t>
      </w:r>
      <w:r>
        <w:rPr>
          <w:rFonts w:ascii="Arial" w:cs="Arial" w:eastAsia="Arial" w:hAnsi="Arial"/>
          <w:sz w:val="18"/>
          <w:szCs w:val="18"/>
          <w:color w:val="auto"/>
        </w:rPr>
        <w:t>”) is a stock-based and stock-settled long-term incentive with performance measures based on the attainment of pre-determined 60-trading day Volume-Weighted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thresholds for the Company’s shares during the three-year performance period commencing on the grant date. Utilizing VWAP thresholds for the performance criteria is intended to focus the NEOs on actions that will increase shareholder value over the performance period.</w:t>
      </w:r>
    </w:p>
    <w:p>
      <w:pPr>
        <w:spacing w:after="0" w:line="201"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2021 PSU Award will cliff vest on the third anniversary of the grant date and payout in shares based on the performance level attained during the performance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w:t>
      </w:r>
    </w:p>
    <w:p>
      <w:pPr>
        <w:spacing w:after="0" w:line="217"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March 2021, the New Compensation Committee established a revised policy related to the annual incentive program or “</w:t>
      </w:r>
      <w:r>
        <w:rPr>
          <w:rFonts w:ascii="Arial" w:cs="Arial" w:eastAsia="Arial" w:hAnsi="Arial"/>
          <w:sz w:val="17"/>
          <w:szCs w:val="17"/>
          <w:b w:val="1"/>
          <w:bCs w:val="1"/>
          <w:color w:val="auto"/>
        </w:rPr>
        <w:t>AIP</w:t>
      </w:r>
      <w:r>
        <w:rPr>
          <w:rFonts w:ascii="Arial" w:cs="Arial" w:eastAsia="Arial" w:hAnsi="Arial"/>
          <w:sz w:val="17"/>
          <w:szCs w:val="17"/>
          <w:color w:val="auto"/>
        </w:rPr>
        <w:t>” to incentivize the AIP participants to undertake actions and invest capital to achieve sustainable long-term value for CRC. The construct of the new AIP recognizes the material impact that fluctuations in commodity prices have on CRC’s financial measures including adjusted EBITDAX, free cash flow and others. As such, while any AIP program cannot eliminate the impact of such fluctuations, the new AIP adds metrics related to capital efficiency and cost reductions, as well as the Company’s asset retirement obligations. Further, there is continued incentive for health, safety and environment (“</w:t>
      </w:r>
      <w:r>
        <w:rPr>
          <w:rFonts w:ascii="Arial" w:cs="Arial" w:eastAsia="Arial" w:hAnsi="Arial"/>
          <w:sz w:val="17"/>
          <w:szCs w:val="17"/>
          <w:b w:val="1"/>
          <w:bCs w:val="1"/>
          <w:color w:val="auto"/>
        </w:rPr>
        <w:t>HSE</w:t>
      </w:r>
      <w:r>
        <w:rPr>
          <w:rFonts w:ascii="Arial" w:cs="Arial" w:eastAsia="Arial" w:hAnsi="Arial"/>
          <w:sz w:val="17"/>
          <w:szCs w:val="17"/>
          <w:color w:val="auto"/>
        </w:rPr>
        <w:t>”) performance. CRC has always been committed to HSE standards and related policies, and continues the focus on the HSE metrics as well as the formation of a new Operations and Sustainability Committee serving at the discretion of the Board.</w:t>
      </w:r>
    </w:p>
    <w:p>
      <w:pPr>
        <w:spacing w:after="0" w:line="18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New Compensation Committee also has adopted a policy whereby management’s ability to achieve a maximum payout under the AIP should be due to extraordinary results, whether via financial performance or the other non-financial metrics incorporated into the AIP. The goal is to lessen the impact of commodity price volatility on AIP payouts.</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CEO Agreements</w:t>
      </w:r>
    </w:p>
    <w:p>
      <w:pPr>
        <w:spacing w:after="0" w:line="385"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Mr. McFarland was named Interim CEO following the departure of Mr. Stevens on December 31, 2020. We had an agreement with Mr. McFarland, that provided for a fee of $175,000 per month for his services as an independent contractor while he served as our Interim CEO. During the period he served as Interim CEO, he did not receive cash retainer fees for serving on our Board, but remained eligible to receive a non-employee director emergence grant.</w:t>
      </w:r>
    </w:p>
    <w:p>
      <w:pPr>
        <w:spacing w:after="0" w:line="3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Effective March 22, 2021 (the “</w:t>
      </w:r>
      <w:r>
        <w:rPr>
          <w:rFonts w:ascii="Arial" w:cs="Arial" w:eastAsia="Arial" w:hAnsi="Arial"/>
          <w:sz w:val="18"/>
          <w:szCs w:val="18"/>
          <w:b w:val="1"/>
          <w:bCs w:val="1"/>
          <w:color w:val="auto"/>
        </w:rPr>
        <w:t>Effective Date</w:t>
      </w:r>
      <w:r>
        <w:rPr>
          <w:rFonts w:ascii="Arial" w:cs="Arial" w:eastAsia="Arial" w:hAnsi="Arial"/>
          <w:sz w:val="18"/>
          <w:szCs w:val="18"/>
          <w:color w:val="auto"/>
        </w:rPr>
        <w:t>”), the Board named Mr. McFarland President and CEO, removing his previous interim title. In connection with Mr. McFarland’s appointment, the Company and Mr. McFarland entered into an Employment Agreement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 The Employment Agreement provides for a two-year term beginning on the Effective Date, during which either the Company or Mr. McFarland may terminate the employment relationship for any or no reason. The Employment Agreement may be extended by mutual agreement for additional one -year periods. The Employment Agreement provides for an annualized base salary of $850,000 and an annual cash bonus target for 2020 of 120% of his base salary, reduced by certain amounts he received as Interim CEO. Mr. McFarland also received an initial long-term incentive award consisting of Performance Stock Units and Restricted Stock Units, under the 2021 Long Term Incentive Plan in connection with his appointment as President and CEO of the Company.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Original 2020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2"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In February 2020, the Former Compensation Committee made decisions regarding the design of our compensation program prior to its reformulation in May, 2020 (the “</w:t>
      </w:r>
      <w:r>
        <w:rPr>
          <w:rFonts w:ascii="Arial" w:cs="Arial" w:eastAsia="Arial" w:hAnsi="Arial"/>
          <w:sz w:val="18"/>
          <w:szCs w:val="18"/>
          <w:b w:val="1"/>
          <w:bCs w:val="1"/>
          <w:color w:val="auto"/>
        </w:rPr>
        <w:t>Original 2020 Compensation Program</w:t>
      </w:r>
      <w:r>
        <w:rPr>
          <w:rFonts w:ascii="Arial" w:cs="Arial" w:eastAsia="Arial" w:hAnsi="Arial"/>
          <w:sz w:val="18"/>
          <w:szCs w:val="18"/>
          <w:color w:val="auto"/>
        </w:rPr>
        <w:t>”) that focused on paying for performance, motivating and retaining the current management team and managing shareholder dilution and the remaining shares available for grants with the continued low stock price, without the expectation of the unprecedented circumstances and restructuring which soon followed.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Original Compensation Program Changes Made for 2020</w:t>
      </w:r>
    </w:p>
    <w:p>
      <w:pPr>
        <w:spacing w:after="0" w:line="12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Former Compensation Committee considered the favorable feedback received through stockholder outreach regarding the changes to the compensation program made in 2019 and determined that the structure of the program remained appropriate for 2020 with the following changes to the performance metrics under the program’s annual incentive awards:</w:t>
      </w:r>
    </w:p>
    <w:p>
      <w:pPr>
        <w:spacing w:after="0" w:line="94" w:lineRule="exact"/>
        <w:rPr>
          <w:sz w:val="20"/>
          <w:szCs w:val="20"/>
          <w:color w:val="auto"/>
        </w:rPr>
      </w:pPr>
    </w:p>
    <w:p>
      <w:pPr>
        <w:ind w:left="580" w:hanging="349"/>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weighting of adjusted EBITDAX component from 25% to 20%</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Added a Sustainability Project Milestone component with a weighting of 5% to drive progress on our 2030 Sustainability Goals</w:t>
      </w:r>
    </w:p>
    <w:p>
      <w:pPr>
        <w:spacing w:after="0" w:line="21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2020 Compensation Peer Group Selection</w:t>
      </w:r>
    </w:p>
    <w:p>
      <w:pPr>
        <w:spacing w:after="0" w:line="67"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Former Compensation Committee believed that the most relevant compensation peer companies are those that could compete for our talent with similar operating complexity and financial characteristics to CRC. The Former Compensation Committee reviewed the peer companies each year based on the criteria below and made adjustments as necessary to ensure alignment with those objectives.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jc w:val="center"/>
              <w:ind w:left="152"/>
              <w:spacing w:after="0"/>
              <w:rPr>
                <w:sz w:val="20"/>
                <w:szCs w:val="20"/>
                <w:color w:val="auto"/>
              </w:rPr>
            </w:pPr>
            <w:r>
              <w:rPr>
                <w:rFonts w:ascii="Arial" w:cs="Arial" w:eastAsia="Arial" w:hAnsi="Arial"/>
                <w:sz w:val="18"/>
                <w:szCs w:val="18"/>
                <w:b w:val="1"/>
                <w:bCs w:val="1"/>
                <w:color w:val="0070C0"/>
              </w:rPr>
              <w:t>Characteristic</w:t>
            </w:r>
          </w:p>
        </w:tc>
        <w:tc>
          <w:tcPr>
            <w:tcW w:w="420" w:type="dxa"/>
            <w:vAlign w:val="bottom"/>
          </w:tcPr>
          <w:p>
            <w:pPr>
              <w:spacing w:after="0"/>
              <w:rPr>
                <w:sz w:val="20"/>
                <w:szCs w:val="20"/>
                <w:color w:val="auto"/>
              </w:rPr>
            </w:pPr>
          </w:p>
        </w:tc>
        <w:tc>
          <w:tcPr>
            <w:tcW w:w="8840" w:type="dxa"/>
            <w:vAlign w:val="bottom"/>
          </w:tcPr>
          <w:p>
            <w:pPr>
              <w:ind w:left="3920"/>
              <w:spacing w:after="0"/>
              <w:rPr>
                <w:sz w:val="20"/>
                <w:szCs w:val="20"/>
                <w:color w:val="auto"/>
              </w:rPr>
            </w:pPr>
            <w:r>
              <w:rPr>
                <w:rFonts w:ascii="Arial" w:cs="Arial" w:eastAsia="Arial" w:hAnsi="Arial"/>
                <w:sz w:val="18"/>
                <w:szCs w:val="18"/>
                <w:b w:val="1"/>
                <w:bCs w:val="1"/>
                <w:color w:val="0070C0"/>
              </w:rPr>
              <w:t>Rationale</w:t>
            </w:r>
          </w:p>
        </w:tc>
      </w:tr>
      <w:tr>
        <w:trPr>
          <w:trHeight w:val="114"/>
        </w:trPr>
        <w:tc>
          <w:tcPr>
            <w:tcW w:w="1980" w:type="dxa"/>
            <w:vAlign w:val="bottom"/>
            <w:tcBorders>
              <w:bottom w:val="single" w:sz="8" w:color="95B3D7"/>
            </w:tcBorders>
          </w:tcPr>
          <w:p>
            <w:pPr>
              <w:spacing w:after="0"/>
              <w:rPr>
                <w:sz w:val="9"/>
                <w:szCs w:val="9"/>
                <w:color w:val="auto"/>
              </w:rPr>
            </w:pPr>
          </w:p>
        </w:tc>
        <w:tc>
          <w:tcPr>
            <w:tcW w:w="9260" w:type="dxa"/>
            <w:vAlign w:val="bottom"/>
            <w:tcBorders>
              <w:bottom w:val="single" w:sz="8" w:color="95B3D7"/>
            </w:tcBorders>
            <w:gridSpan w:val="2"/>
          </w:tcPr>
          <w:p>
            <w:pPr>
              <w:spacing w:after="0"/>
              <w:rPr>
                <w:sz w:val="9"/>
                <w:szCs w:val="9"/>
                <w:color w:val="auto"/>
              </w:rPr>
            </w:pPr>
          </w:p>
        </w:tc>
      </w:tr>
      <w:tr>
        <w:trPr>
          <w:trHeight w:val="317"/>
        </w:trPr>
        <w:tc>
          <w:tcPr>
            <w:tcW w:w="1980" w:type="dxa"/>
            <w:vAlign w:val="bottom"/>
            <w:shd w:val="clear" w:color="auto" w:fill="F2F2F2"/>
          </w:tcPr>
          <w:p>
            <w:pPr>
              <w:jc w:val="center"/>
              <w:ind w:left="172"/>
              <w:spacing w:after="0"/>
              <w:rPr>
                <w:sz w:val="20"/>
                <w:szCs w:val="20"/>
                <w:color w:val="auto"/>
              </w:rPr>
            </w:pPr>
            <w:r>
              <w:rPr>
                <w:rFonts w:ascii="Arial" w:cs="Arial" w:eastAsia="Arial" w:hAnsi="Arial"/>
                <w:sz w:val="18"/>
                <w:szCs w:val="18"/>
                <w:b w:val="1"/>
                <w:bCs w:val="1"/>
                <w:color w:val="auto"/>
                <w:w w:val="97"/>
              </w:rPr>
              <w:t>Asset Value</w:t>
            </w:r>
          </w:p>
        </w:tc>
        <w:tc>
          <w:tcPr>
            <w:tcW w:w="9260" w:type="dxa"/>
            <w:vAlign w:val="bottom"/>
            <w:gridSpan w:val="2"/>
            <w:shd w:val="clear" w:color="auto" w:fill="F2F2F2"/>
          </w:tcPr>
          <w:p>
            <w:pPr>
              <w:ind w:left="260"/>
              <w:spacing w:after="0"/>
              <w:rPr>
                <w:sz w:val="20"/>
                <w:szCs w:val="20"/>
                <w:color w:val="auto"/>
              </w:rPr>
            </w:pPr>
            <w:r>
              <w:rPr>
                <w:rFonts w:ascii="Arial" w:cs="Arial" w:eastAsia="Arial" w:hAnsi="Arial"/>
                <w:sz w:val="18"/>
                <w:szCs w:val="18"/>
                <w:color w:val="auto"/>
              </w:rPr>
              <w:t>•   Indicator of size, situational factor and financial strategy</w:t>
            </w:r>
          </w:p>
        </w:tc>
      </w:tr>
      <w:tr>
        <w:trPr>
          <w:trHeight w:val="318"/>
        </w:trPr>
        <w:tc>
          <w:tcPr>
            <w:tcW w:w="1980" w:type="dxa"/>
            <w:vAlign w:val="bottom"/>
            <w:shd w:val="clear" w:color="auto" w:fill="F2F2F2"/>
          </w:tcPr>
          <w:p>
            <w:pPr>
              <w:spacing w:after="0"/>
              <w:rPr>
                <w:sz w:val="24"/>
                <w:szCs w:val="24"/>
                <w:color w:val="auto"/>
              </w:rPr>
            </w:pPr>
          </w:p>
        </w:tc>
        <w:tc>
          <w:tcPr>
            <w:tcW w:w="4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t>
            </w:r>
          </w:p>
        </w:tc>
        <w:tc>
          <w:tcPr>
            <w:tcW w:w="88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Indicator of geographic footprint, business model, operational complexity and competition for talent</w:t>
            </w:r>
          </w:p>
        </w:tc>
      </w:tr>
      <w:tr>
        <w:trPr>
          <w:trHeight w:val="318"/>
        </w:trPr>
        <w:tc>
          <w:tcPr>
            <w:tcW w:w="1980" w:type="dxa"/>
            <w:vAlign w:val="bottom"/>
            <w:shd w:val="clear" w:color="auto" w:fill="F2F2F2"/>
          </w:tcPr>
          <w:p>
            <w:pPr>
              <w:spacing w:after="0"/>
              <w:rPr>
                <w:sz w:val="24"/>
                <w:szCs w:val="24"/>
                <w:color w:val="auto"/>
              </w:rPr>
            </w:pPr>
          </w:p>
        </w:tc>
        <w:tc>
          <w:tcPr>
            <w:tcW w:w="4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t>
            </w:r>
          </w:p>
        </w:tc>
        <w:tc>
          <w:tcPr>
            <w:tcW w:w="88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The Former Compensation Committee did not believe executives at smaller companies faced comparable</w:t>
            </w:r>
          </w:p>
        </w:tc>
      </w:tr>
      <w:tr>
        <w:trPr>
          <w:trHeight w:val="212"/>
        </w:trPr>
        <w:tc>
          <w:tcPr>
            <w:tcW w:w="198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88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responsibilities and challenges</w:t>
            </w:r>
          </w:p>
        </w:tc>
      </w:tr>
      <w:tr>
        <w:trPr>
          <w:trHeight w:val="107"/>
        </w:trPr>
        <w:tc>
          <w:tcPr>
            <w:tcW w:w="1980" w:type="dxa"/>
            <w:vAlign w:val="bottom"/>
            <w:shd w:val="clear" w:color="auto" w:fill="F2F2F2"/>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8840" w:type="dxa"/>
            <w:vAlign w:val="bottom"/>
            <w:shd w:val="clear" w:color="auto" w:fill="F2F2F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-815340</wp:posOffset>
            </wp:positionV>
            <wp:extent cx="7134860" cy="1438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438910"/>
                    </a:xfrm>
                    <a:prstGeom prst="rect">
                      <a:avLst/>
                    </a:prstGeom>
                    <a:noFill/>
                  </pic:spPr>
                </pic:pic>
              </a:graphicData>
            </a:graphic>
          </wp:anchor>
        </w:drawing>
      </w:r>
    </w:p>
    <w:p>
      <w:pPr>
        <w:spacing w:after="0" w:line="76" w:lineRule="exact"/>
        <w:rPr>
          <w:sz w:val="20"/>
          <w:szCs w:val="20"/>
          <w:color w:val="auto"/>
        </w:rPr>
      </w:pPr>
    </w:p>
    <w:p>
      <w:pPr>
        <w:ind w:left="420"/>
        <w:spacing w:after="0"/>
        <w:tabs>
          <w:tab w:leader="none" w:pos="2220" w:val="left"/>
          <w:tab w:leader="none" w:pos="2480" w:val="left"/>
        </w:tabs>
        <w:rPr>
          <w:sz w:val="20"/>
          <w:szCs w:val="20"/>
          <w:color w:val="auto"/>
        </w:rPr>
      </w:pPr>
      <w:r>
        <w:rPr>
          <w:rFonts w:ascii="Arial" w:cs="Arial" w:eastAsia="Arial" w:hAnsi="Arial"/>
          <w:sz w:val="18"/>
          <w:szCs w:val="18"/>
          <w:b w:val="1"/>
          <w:bCs w:val="1"/>
          <w:color w:val="auto"/>
        </w:rPr>
        <w:t>Enterprise Value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Indicator of size</w:t>
      </w:r>
    </w:p>
    <w:p>
      <w:pPr>
        <w:spacing w:after="0" w:line="133" w:lineRule="exact"/>
        <w:rPr>
          <w:sz w:val="20"/>
          <w:szCs w:val="20"/>
          <w:color w:val="auto"/>
        </w:rPr>
      </w:pPr>
    </w:p>
    <w:p>
      <w:pPr>
        <w:ind w:left="2540" w:right="420" w:hanging="308"/>
        <w:spacing w:after="0" w:line="251" w:lineRule="auto"/>
        <w:tabs>
          <w:tab w:leader="none" w:pos="25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to our highly leveraged balance sheet, the Compensation Committee focused on Enterprise Value statistics</w:t>
      </w:r>
    </w:p>
    <w:p>
      <w:pPr>
        <w:spacing w:after="0" w:line="322"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Peer company selection based on equity market capitalization would generally result in companies that are much smaller in complexity and scope of operations than CRC due to our highly leveraged balance sheet and resulting depressed equity market capitalization. The Former Compensation Committee did not believe that companies with similar equity market capitalizations represented the competitive market for our executive team’s skills and experience and accordingly believed that setting CRC compensation levels consistent with these smaller companies would penalize our management team for factors beyond their control, causing substantial retention problems.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Peer Group</w:t>
      </w:r>
    </w:p>
    <w:p>
      <w:pPr>
        <w:spacing w:after="0" w:line="12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October 2019, the Former Compensation Committee reviewed the compensation peer companies and determined that no changes were needed for 2020 compensation planning purposes, other than removing Newfield Exploration Company and EP Energy Corporation, in light of their acquisition and distressed condition,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0070C0"/>
              </w:rPr>
              <w:t>Company</w:t>
            </w:r>
          </w:p>
        </w:tc>
        <w:tc>
          <w:tcPr>
            <w:tcW w:w="20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0070C0"/>
              </w:rPr>
              <w:t>Total Assets</w:t>
            </w: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0070C0"/>
                <w:w w:val="97"/>
              </w:rPr>
              <w:t>Enterprise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0070C0"/>
            </w:tcBorders>
            <w:vMerge w:val="continue"/>
          </w:tcPr>
          <w:p>
            <w:pPr>
              <w:spacing w:after="0"/>
              <w:rPr>
                <w:sz w:val="18"/>
                <w:szCs w:val="18"/>
                <w:color w:val="auto"/>
              </w:rPr>
            </w:pPr>
          </w:p>
        </w:tc>
        <w:tc>
          <w:tcPr>
            <w:tcW w:w="2080" w:type="dxa"/>
            <w:vAlign w:val="bottom"/>
            <w:tcBorders>
              <w:bottom w:val="single" w:sz="8" w:color="0070C0"/>
            </w:tcBorders>
            <w:gridSpan w:val="2"/>
          </w:tcPr>
          <w:p>
            <w:pPr>
              <w:jc w:val="right"/>
              <w:ind w:right="252"/>
              <w:spacing w:after="0"/>
              <w:rPr>
                <w:sz w:val="20"/>
                <w:szCs w:val="20"/>
                <w:color w:val="auto"/>
              </w:rPr>
            </w:pPr>
            <w:r>
              <w:rPr>
                <w:rFonts w:ascii="Arial" w:cs="Arial" w:eastAsia="Arial" w:hAnsi="Arial"/>
                <w:sz w:val="18"/>
                <w:szCs w:val="18"/>
                <w:color w:val="0070C0"/>
              </w:rPr>
              <w:t>(September 2019)</w:t>
            </w:r>
          </w:p>
        </w:tc>
        <w:tc>
          <w:tcPr>
            <w:tcW w:w="252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(October 2019)</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Diamondback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12"/>
              <w:spacing w:after="0"/>
              <w:rPr>
                <w:sz w:val="20"/>
                <w:szCs w:val="20"/>
                <w:color w:val="auto"/>
              </w:rPr>
            </w:pPr>
            <w:r>
              <w:rPr>
                <w:rFonts w:ascii="Arial" w:cs="Arial" w:eastAsia="Arial" w:hAnsi="Arial"/>
                <w:sz w:val="18"/>
                <w:szCs w:val="18"/>
                <w:color w:val="auto"/>
                <w:w w:val="98"/>
              </w:rPr>
              <w:t>23,171</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32"/>
              <w:spacing w:after="0"/>
              <w:rPr>
                <w:sz w:val="20"/>
                <w:szCs w:val="20"/>
                <w:color w:val="auto"/>
              </w:rPr>
            </w:pPr>
            <w:r>
              <w:rPr>
                <w:rFonts w:ascii="Arial" w:cs="Arial" w:eastAsia="Arial" w:hAnsi="Arial"/>
                <w:sz w:val="18"/>
                <w:szCs w:val="18"/>
                <w:color w:val="auto"/>
                <w:w w:val="98"/>
              </w:rPr>
              <w:t>19,167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Murphy Oil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w w:val="94"/>
              </w:rPr>
              <w:t>13,536</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8,786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Parsley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9,838</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7,567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Range Resources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9,728</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4,686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WPX Energy,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8,553</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6,349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Whiting Petroleum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7,776</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3,526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Oasis Petroleum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7,710</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4,123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Cimarex Energy Co.</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7,596</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6,882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Southwestern Energy Company</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6,545</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Gulfport Energy Corporation</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6,465</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SM Energy Company</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6,392</w:t>
            </w:r>
          </w:p>
        </w:tc>
        <w:tc>
          <w:tcPr>
            <w:tcW w:w="2520" w:type="dxa"/>
            <w:vAlign w:val="bottom"/>
            <w:gridSpan w:val="2"/>
            <w:shd w:val="clear" w:color="auto" w:fill="EBEBEC"/>
          </w:tcPr>
          <w:p>
            <w:pPr>
              <w:jc w:val="center"/>
              <w:spacing w:after="0"/>
              <w:rPr>
                <w:sz w:val="20"/>
                <w:szCs w:val="20"/>
                <w:color w:val="auto"/>
              </w:rPr>
            </w:pPr>
            <w:r>
              <w:rPr>
                <w:rFonts w:ascii="Arial" w:cs="Arial" w:eastAsia="Arial" w:hAnsi="Arial"/>
                <w:sz w:val="18"/>
                <w:szCs w:val="18"/>
                <w:color w:val="auto"/>
                <w:w w:val="93"/>
              </w:rPr>
              <w:t>$ 3,756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QEP Resources, Inc.</w:t>
            </w:r>
          </w:p>
        </w:tc>
        <w:tc>
          <w:tcPr>
            <w:tcW w:w="8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EBEC"/>
          </w:tcPr>
          <w:p>
            <w:pPr>
              <w:jc w:val="right"/>
              <w:ind w:right="632"/>
              <w:spacing w:after="0"/>
              <w:rPr>
                <w:sz w:val="20"/>
                <w:szCs w:val="20"/>
                <w:color w:val="auto"/>
              </w:rPr>
            </w:pPr>
            <w:r>
              <w:rPr>
                <w:rFonts w:ascii="Arial" w:cs="Arial" w:eastAsia="Arial" w:hAnsi="Arial"/>
                <w:sz w:val="18"/>
                <w:szCs w:val="18"/>
                <w:color w:val="auto"/>
              </w:rPr>
              <w:t>5,504</w:t>
            </w:r>
          </w:p>
        </w:tc>
        <w:tc>
          <w:tcPr>
            <w:tcW w:w="10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-1917700</wp:posOffset>
            </wp:positionV>
            <wp:extent cx="7143115" cy="1926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115" cy="1926590"/>
                    </a:xfrm>
                    <a:prstGeom prst="rect">
                      <a:avLst/>
                    </a:prstGeom>
                    <a:noFill/>
                  </pic:spPr>
                </pic:pic>
              </a:graphicData>
            </a:graphic>
          </wp:anchor>
        </w:drawing>
      </w:r>
    </w:p>
    <w:p>
      <w:pPr>
        <w:spacing w:after="0" w:line="204"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5"/>
        </w:trPr>
        <w:tc>
          <w:tcPr>
            <w:tcW w:w="6640" w:type="dxa"/>
            <w:vAlign w:val="bottom"/>
            <w:tcBorders>
              <w:bottom w:val="single" w:sz="8" w:color="0075C9"/>
            </w:tcBorders>
            <w:shd w:val="clear" w:color="auto" w:fill="0075C9"/>
          </w:tcPr>
          <w:p>
            <w:pPr>
              <w:spacing w:after="0"/>
              <w:rPr>
                <w:sz w:val="24"/>
                <w:szCs w:val="24"/>
                <w:color w:val="auto"/>
              </w:rPr>
            </w:pPr>
          </w:p>
        </w:tc>
        <w:tc>
          <w:tcPr>
            <w:tcW w:w="840" w:type="dxa"/>
            <w:vAlign w:val="bottom"/>
            <w:tcBorders>
              <w:bottom w:val="single" w:sz="8" w:color="0075C9"/>
            </w:tcBorders>
            <w:shd w:val="clear" w:color="auto" w:fill="0075C9"/>
          </w:tcPr>
          <w:p>
            <w:pPr>
              <w:spacing w:after="0"/>
              <w:rPr>
                <w:sz w:val="24"/>
                <w:szCs w:val="24"/>
                <w:color w:val="auto"/>
              </w:rPr>
            </w:pPr>
          </w:p>
        </w:tc>
        <w:tc>
          <w:tcPr>
            <w:tcW w:w="1040" w:type="dxa"/>
            <w:vAlign w:val="bottom"/>
            <w:tcBorders>
              <w:bottom w:val="single" w:sz="8" w:color="0075C9"/>
            </w:tcBorders>
            <w:shd w:val="clear" w:color="auto" w:fill="0075C9"/>
          </w:tcPr>
          <w:p>
            <w:pPr>
              <w:spacing w:after="0"/>
              <w:rPr>
                <w:sz w:val="24"/>
                <w:szCs w:val="24"/>
                <w:color w:val="auto"/>
              </w:rPr>
            </w:pPr>
          </w:p>
        </w:tc>
        <w:tc>
          <w:tcPr>
            <w:tcW w:w="2720" w:type="dxa"/>
            <w:vAlign w:val="bottom"/>
            <w:tcBorders>
              <w:bottom w:val="single" w:sz="8" w:color="0075C9"/>
            </w:tcBorders>
            <w:gridSpan w:val="2"/>
            <w:shd w:val="clear" w:color="auto" w:fill="0075C9"/>
          </w:tcPr>
          <w:p>
            <w:pPr>
              <w:jc w:val="right"/>
              <w:spacing w:after="0"/>
              <w:rPr>
                <w:sz w:val="20"/>
                <w:szCs w:val="20"/>
                <w:color w:val="auto"/>
              </w:rPr>
            </w:pPr>
            <w:r>
              <w:rPr>
                <w:rFonts w:ascii="Arial" w:cs="Arial" w:eastAsia="Arial" w:hAnsi="Arial"/>
                <w:sz w:val="18"/>
                <w:szCs w:val="18"/>
                <w:b w:val="1"/>
                <w:bCs w:val="1"/>
                <w:color w:val="FFFFFF"/>
              </w:rPr>
              <w:t>2021 PROXY STATEMENT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Compensation Discussion and Analysis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4"/>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0070C0"/>
              </w:rPr>
              <w:t>Company</w:t>
            </w:r>
          </w:p>
        </w:tc>
        <w:tc>
          <w:tcPr>
            <w:tcW w:w="188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0070C0"/>
                <w:w w:val="97"/>
              </w:rPr>
              <w:t>Total Assets</w:t>
            </w:r>
          </w:p>
        </w:tc>
        <w:tc>
          <w:tcPr>
            <w:tcW w:w="2720" w:type="dxa"/>
            <w:vAlign w:val="bottom"/>
            <w:gridSpan w:val="2"/>
          </w:tcPr>
          <w:p>
            <w:pPr>
              <w:jc w:val="center"/>
              <w:ind w:left="93"/>
              <w:spacing w:after="0"/>
              <w:rPr>
                <w:sz w:val="20"/>
                <w:szCs w:val="20"/>
                <w:color w:val="auto"/>
              </w:rPr>
            </w:pPr>
            <w:r>
              <w:rPr>
                <w:rFonts w:ascii="Arial" w:cs="Arial" w:eastAsia="Arial" w:hAnsi="Arial"/>
                <w:sz w:val="18"/>
                <w:szCs w:val="18"/>
                <w:b w:val="1"/>
                <w:bCs w:val="1"/>
                <w:color w:val="0070C0"/>
                <w:w w:val="97"/>
              </w:rPr>
              <w:t>Enterprise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0070C0"/>
            </w:tcBorders>
            <w:vMerge w:val="continue"/>
          </w:tcPr>
          <w:p>
            <w:pPr>
              <w:spacing w:after="0"/>
              <w:rPr>
                <w:sz w:val="18"/>
                <w:szCs w:val="18"/>
                <w:color w:val="auto"/>
              </w:rPr>
            </w:pPr>
          </w:p>
        </w:tc>
        <w:tc>
          <w:tcPr>
            <w:tcW w:w="1880" w:type="dxa"/>
            <w:vAlign w:val="bottom"/>
            <w:tcBorders>
              <w:bottom w:val="single" w:sz="8" w:color="0070C0"/>
            </w:tcBorders>
            <w:gridSpan w:val="2"/>
          </w:tcPr>
          <w:p>
            <w:pPr>
              <w:jc w:val="center"/>
              <w:ind w:left="92"/>
              <w:spacing w:after="0"/>
              <w:rPr>
                <w:sz w:val="20"/>
                <w:szCs w:val="20"/>
                <w:color w:val="auto"/>
              </w:rPr>
            </w:pPr>
            <w:r>
              <w:rPr>
                <w:rFonts w:ascii="Arial" w:cs="Arial" w:eastAsia="Arial" w:hAnsi="Arial"/>
                <w:sz w:val="18"/>
                <w:szCs w:val="18"/>
                <w:color w:val="0070C0"/>
                <w:w w:val="97"/>
              </w:rPr>
              <w:t>(September 2019)</w:t>
            </w:r>
          </w:p>
        </w:tc>
        <w:tc>
          <w:tcPr>
            <w:tcW w:w="2720" w:type="dxa"/>
            <w:vAlign w:val="bottom"/>
            <w:tcBorders>
              <w:bottom w:val="single" w:sz="8" w:color="0070C0"/>
            </w:tcBorders>
            <w:gridSpan w:val="2"/>
          </w:tcPr>
          <w:p>
            <w:pPr>
              <w:jc w:val="center"/>
              <w:ind w:left="113"/>
              <w:spacing w:after="0"/>
              <w:rPr>
                <w:sz w:val="20"/>
                <w:szCs w:val="20"/>
                <w:color w:val="auto"/>
              </w:rPr>
            </w:pPr>
            <w:r>
              <w:rPr>
                <w:rFonts w:ascii="Arial" w:cs="Arial" w:eastAsia="Arial" w:hAnsi="Arial"/>
                <w:sz w:val="18"/>
                <w:szCs w:val="18"/>
                <w:color w:val="0070C0"/>
                <w:w w:val="99"/>
              </w:rPr>
              <w:t>(October 2019)</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Denbury Inc.</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4,732</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3,096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PDC Energy, Inc.</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4,595</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2,840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Cabot Oil &amp; Gas Corporation</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4,564</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8,005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Callon Petroleum Company</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3,915</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Matador Resources Company</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3,751</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3,434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Carrizo Oil &amp; Gas, Inc.</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3,635</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2,676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Laredo Petroleum, Inc.</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color w:val="auto"/>
              </w:rPr>
              <w:t>2,620</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25th Percentile</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b w:val="1"/>
                <w:bCs w:val="1"/>
                <w:color w:val="auto"/>
              </w:rPr>
              <w:t>4,579</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b w:val="1"/>
                <w:bCs w:val="1"/>
                <w:color w:val="auto"/>
              </w:rPr>
              <w:t>2,813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50th Percentile</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b w:val="1"/>
                <w:bCs w:val="1"/>
                <w:color w:val="auto"/>
              </w:rPr>
              <w:t>6,465</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b w:val="1"/>
                <w:bCs w:val="1"/>
                <w:color w:val="auto"/>
              </w:rPr>
              <w:t>3,526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75th Percentile</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b w:val="1"/>
                <w:bCs w:val="1"/>
                <w:color w:val="auto"/>
              </w:rPr>
              <w:t>8,164</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b w:val="1"/>
                <w:bCs w:val="1"/>
                <w:color w:val="auto"/>
              </w:rPr>
              <w:t>6,616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California Resources Corporation</w:t>
            </w:r>
          </w:p>
        </w:tc>
        <w:tc>
          <w:tcPr>
            <w:tcW w:w="8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040" w:type="dxa"/>
            <w:vAlign w:val="bottom"/>
            <w:shd w:val="clear" w:color="auto" w:fill="EBEBEC"/>
          </w:tcPr>
          <w:p>
            <w:pPr>
              <w:jc w:val="right"/>
              <w:ind w:right="432"/>
              <w:spacing w:after="0"/>
              <w:rPr>
                <w:sz w:val="20"/>
                <w:szCs w:val="20"/>
                <w:color w:val="auto"/>
              </w:rPr>
            </w:pPr>
            <w:r>
              <w:rPr>
                <w:rFonts w:ascii="Arial" w:cs="Arial" w:eastAsia="Arial" w:hAnsi="Arial"/>
                <w:sz w:val="18"/>
                <w:szCs w:val="18"/>
                <w:b w:val="1"/>
                <w:bCs w:val="1"/>
                <w:color w:val="0070C0"/>
              </w:rPr>
              <w:t>7,032</w:t>
            </w:r>
          </w:p>
        </w:tc>
        <w:tc>
          <w:tcPr>
            <w:tcW w:w="126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460" w:type="dxa"/>
            <w:vAlign w:val="bottom"/>
            <w:shd w:val="clear" w:color="auto" w:fill="EBEBEC"/>
          </w:tcPr>
          <w:p>
            <w:pPr>
              <w:jc w:val="right"/>
              <w:ind w:right="852"/>
              <w:spacing w:after="0"/>
              <w:rPr>
                <w:sz w:val="20"/>
                <w:szCs w:val="20"/>
                <w:color w:val="auto"/>
              </w:rPr>
            </w:pPr>
            <w:r>
              <w:rPr>
                <w:rFonts w:ascii="Arial" w:cs="Arial" w:eastAsia="Arial" w:hAnsi="Arial"/>
                <w:sz w:val="18"/>
                <w:szCs w:val="18"/>
                <w:b w:val="1"/>
                <w:bCs w:val="1"/>
                <w:color w:val="0070C0"/>
              </w:rPr>
              <w:t>6,540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640" w:type="dxa"/>
            <w:vAlign w:val="bottom"/>
            <w:shd w:val="clear" w:color="auto" w:fill="EBEBEC"/>
          </w:tcPr>
          <w:p>
            <w:pPr>
              <w:ind w:left="280"/>
              <w:spacing w:after="0"/>
              <w:rPr>
                <w:sz w:val="20"/>
                <w:szCs w:val="20"/>
                <w:color w:val="auto"/>
              </w:rPr>
            </w:pPr>
            <w:r>
              <w:rPr>
                <w:rFonts w:ascii="Arial" w:cs="Arial" w:eastAsia="Arial" w:hAnsi="Arial"/>
                <w:sz w:val="18"/>
                <w:szCs w:val="18"/>
                <w:color w:val="0070C0"/>
              </w:rPr>
              <w:t>Percentile Rank</w:t>
            </w:r>
          </w:p>
        </w:tc>
        <w:tc>
          <w:tcPr>
            <w:tcW w:w="840" w:type="dxa"/>
            <w:vAlign w:val="bottom"/>
            <w:shd w:val="clear" w:color="auto" w:fill="EBEBEC"/>
          </w:tcPr>
          <w:p>
            <w:pPr>
              <w:spacing w:after="0"/>
              <w:rPr>
                <w:sz w:val="19"/>
                <w:szCs w:val="19"/>
                <w:color w:val="auto"/>
              </w:rPr>
            </w:pPr>
          </w:p>
        </w:tc>
        <w:tc>
          <w:tcPr>
            <w:tcW w:w="1040" w:type="dxa"/>
            <w:vAlign w:val="bottom"/>
            <w:shd w:val="clear" w:color="auto" w:fill="EBEBEC"/>
          </w:tcPr>
          <w:p>
            <w:pPr>
              <w:jc w:val="center"/>
              <w:ind w:right="552"/>
              <w:spacing w:after="0"/>
              <w:rPr>
                <w:sz w:val="20"/>
                <w:szCs w:val="20"/>
                <w:color w:val="auto"/>
              </w:rPr>
            </w:pPr>
            <w:r>
              <w:rPr>
                <w:rFonts w:ascii="Arial" w:cs="Arial" w:eastAsia="Arial" w:hAnsi="Arial"/>
                <w:sz w:val="18"/>
                <w:szCs w:val="18"/>
                <w:b w:val="1"/>
                <w:bCs w:val="1"/>
                <w:color w:val="auto"/>
                <w:w w:val="99"/>
              </w:rPr>
              <w:t>58%</w:t>
            </w:r>
          </w:p>
        </w:tc>
        <w:tc>
          <w:tcPr>
            <w:tcW w:w="1260" w:type="dxa"/>
            <w:vAlign w:val="bottom"/>
            <w:shd w:val="clear" w:color="auto" w:fill="EBEBEC"/>
          </w:tcPr>
          <w:p>
            <w:pPr>
              <w:spacing w:after="0"/>
              <w:rPr>
                <w:sz w:val="19"/>
                <w:szCs w:val="19"/>
                <w:color w:val="auto"/>
              </w:rPr>
            </w:pPr>
          </w:p>
        </w:tc>
        <w:tc>
          <w:tcPr>
            <w:tcW w:w="1460" w:type="dxa"/>
            <w:vAlign w:val="bottom"/>
            <w:shd w:val="clear" w:color="auto" w:fill="EBEBEC"/>
          </w:tcPr>
          <w:p>
            <w:pPr>
              <w:jc w:val="center"/>
              <w:ind w:right="972"/>
              <w:spacing w:after="0"/>
              <w:rPr>
                <w:sz w:val="20"/>
                <w:szCs w:val="20"/>
                <w:color w:val="auto"/>
              </w:rPr>
            </w:pPr>
            <w:r>
              <w:rPr>
                <w:rFonts w:ascii="Arial" w:cs="Arial" w:eastAsia="Arial" w:hAnsi="Arial"/>
                <w:sz w:val="18"/>
                <w:szCs w:val="18"/>
                <w:b w:val="1"/>
                <w:bCs w:val="1"/>
                <w:color w:val="auto"/>
                <w:w w:val="99"/>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-1892300</wp:posOffset>
            </wp:positionV>
            <wp:extent cx="7143115" cy="1901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115" cy="19011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Original 2020 Compensation Program Elements</w:t>
      </w:r>
    </w:p>
    <w:p>
      <w:pPr>
        <w:spacing w:after="0" w:line="1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Original 2020 Compensation Program for our CEO and other NEOs was comprised of the following elements, which are discussed in more detail below:</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5C9"/>
        </w:rPr>
        <w:t>ORIGINAL 2020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76835</wp:posOffset>
            </wp:positionV>
            <wp:extent cx="5376545" cy="32645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76545" cy="326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4" w:name="page35"/>
    <w:bookmarkEnd w:id="34"/>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2020 Base Salaries</w:t>
      </w:r>
    </w:p>
    <w:p>
      <w:pPr>
        <w:spacing w:after="0" w:line="120"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Former Compensation Committee reviewed the base salaries of the NEOs to determine if they remained appropriately positioned against the market data and internally aligned, and as a result the Former Compensation Committee decided to make no changes for 2020 as compared to 2019 based on each individual’s performance, scope of job responsibilities, internal alignment and position relative to peer group compensation data.</w:t>
      </w:r>
    </w:p>
    <w:p>
      <w:pPr>
        <w:spacing w:after="0" w:line="278"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75C9"/>
              </w:rPr>
              <w:t>2020 Annual</w:t>
            </w:r>
          </w:p>
        </w:tc>
      </w:tr>
      <w:tr>
        <w:trPr>
          <w:trHeight w:val="172"/>
        </w:trPr>
        <w:tc>
          <w:tcPr>
            <w:tcW w:w="300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160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r>
      <w:tr>
        <w:trPr>
          <w:trHeight w:val="179"/>
        </w:trPr>
        <w:tc>
          <w:tcPr>
            <w:tcW w:w="300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Todd A. Stevens</w:t>
            </w:r>
          </w:p>
        </w:tc>
        <w:tc>
          <w:tcPr>
            <w:tcW w:w="16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$875,000</w:t>
            </w:r>
          </w:p>
        </w:tc>
      </w:tr>
      <w:tr>
        <w:trPr>
          <w:trHeight w:val="185"/>
        </w:trPr>
        <w:tc>
          <w:tcPr>
            <w:tcW w:w="300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16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$385,000</w:t>
            </w:r>
          </w:p>
        </w:tc>
      </w:tr>
      <w:tr>
        <w:trPr>
          <w:trHeight w:val="172"/>
        </w:trPr>
        <w:tc>
          <w:tcPr>
            <w:tcW w:w="300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16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r>
      <w:tr>
        <w:trPr>
          <w:trHeight w:val="186"/>
        </w:trPr>
        <w:tc>
          <w:tcPr>
            <w:tcW w:w="300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16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r>
      <w:tr>
        <w:trPr>
          <w:trHeight w:val="188"/>
        </w:trPr>
        <w:tc>
          <w:tcPr>
            <w:tcW w:w="300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6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$425,000</w:t>
            </w:r>
          </w:p>
        </w:tc>
      </w:tr>
      <w:tr>
        <w:trPr>
          <w:trHeight w:val="183"/>
        </w:trPr>
        <w:tc>
          <w:tcPr>
            <w:tcW w:w="300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16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-706120</wp:posOffset>
            </wp:positionV>
            <wp:extent cx="2927985" cy="7150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27985" cy="7150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Original 2020 Annual Incentive Design</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annual incentive component of our Original 2020 Compensation Program was designed to promote the achievement of financial, operating and strategic results that are aligned with creation of stockholder value. Based on feedback from stockholders to emphasize the quantitative portion of the award, the performance measures were comprised of quantitative financial and operational measures for 80% of the target annual incentive and qualitative individual objective measures for 20% of the target annual incentive.</w:t>
      </w:r>
    </w:p>
    <w:p>
      <w:pPr>
        <w:spacing w:after="0" w:line="20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Aligning performance criteria with our strategic areas of focus for the year, the Former Compensation Committee approved performance measures designed to encourage decision making that would enhance stockholder value creation. The Former Compensation Committee approved performance criteria based on expected results under CRC’s business plan at the time the criteria were established in February 2020. Target performance criteria were set at levels that would represent successful execution of the 2020 business plan, and maximum performance criteria were set at levels that would represent significant outperformance against the 2020 business plan.</w:t>
      </w:r>
    </w:p>
    <w:p>
      <w:pPr>
        <w:spacing w:after="0" w:line="20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Project milestones relating to water recycling, renewable energy, methane capture, carbon capture, workforce diversity and development and community partnerships were added for 2020 to drive progress toward our 2030 Sustainability Goals. Many of our 2030 Sustainability Goals are multi-year efforts, so the project milestone approach would allow tracking interim progress during the current year against multi-year goals.</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weightings for each performance measure as established by the Former Compensation Committee.</w:t>
      </w:r>
    </w:p>
    <w:p>
      <w:pPr>
        <w:spacing w:after="0" w:line="211" w:lineRule="exact"/>
        <w:rPr>
          <w:sz w:val="20"/>
          <w:szCs w:val="20"/>
          <w:color w:val="auto"/>
        </w:rPr>
      </w:pPr>
    </w:p>
    <w:tbl>
      <w:tblPr>
        <w:tblLayout w:type="fixed"/>
        <w:tblInd w:w="2270" w:type="dxa"/>
        <w:tblCellMar>
          <w:top w:w="0" w:type="dxa"/>
          <w:left w:w="0" w:type="dxa"/>
          <w:bottom w:w="0" w:type="dxa"/>
          <w:right w:w="0" w:type="dxa"/>
        </w:tblCellMar>
      </w:tblPr>
      <w:tr>
        <w:trPr>
          <w:trHeight w:val="609"/>
        </w:trPr>
        <w:tc>
          <w:tcPr>
            <w:tcW w:w="51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227"/>
        </w:trPr>
        <w:tc>
          <w:tcPr>
            <w:tcW w:w="5140" w:type="dxa"/>
            <w:vAlign w:val="bottom"/>
            <w:tcBorders>
              <w:left w:val="single" w:sz="8" w:color="auto"/>
              <w:right w:val="single" w:sz="8" w:color="auto"/>
            </w:tcBorders>
            <w:shd w:val="clear" w:color="auto" w:fill="0070C0"/>
          </w:tcPr>
          <w:p>
            <w:pPr>
              <w:ind w:left="60"/>
              <w:spacing w:after="0"/>
              <w:rPr>
                <w:sz w:val="20"/>
                <w:szCs w:val="20"/>
                <w:color w:val="auto"/>
              </w:rPr>
            </w:pPr>
            <w:r>
              <w:rPr>
                <w:rFonts w:ascii="Arial" w:cs="Arial" w:eastAsia="Arial" w:hAnsi="Arial"/>
                <w:sz w:val="16"/>
                <w:szCs w:val="16"/>
                <w:b w:val="1"/>
                <w:bCs w:val="1"/>
                <w:color w:val="FFFFFF"/>
              </w:rPr>
              <w:t>Performance</w:t>
            </w:r>
          </w:p>
        </w:tc>
        <w:tc>
          <w:tcPr>
            <w:tcW w:w="1600" w:type="dxa"/>
            <w:vAlign w:val="bottom"/>
            <w:tcBorders>
              <w:right w:val="single" w:sz="8" w:color="auto"/>
            </w:tcBorders>
            <w:gridSpan w:val="5"/>
            <w:shd w:val="clear" w:color="auto" w:fill="0070C0"/>
          </w:tcPr>
          <w:p>
            <w:pPr>
              <w:jc w:val="center"/>
              <w:spacing w:after="0"/>
              <w:rPr>
                <w:sz w:val="20"/>
                <w:szCs w:val="20"/>
                <w:color w:val="auto"/>
              </w:rPr>
            </w:pPr>
            <w:r>
              <w:rPr>
                <w:rFonts w:ascii="Arial" w:cs="Arial" w:eastAsia="Arial" w:hAnsi="Arial"/>
                <w:sz w:val="16"/>
                <w:szCs w:val="16"/>
                <w:b w:val="1"/>
                <w:bCs w:val="1"/>
                <w:color w:val="FFFFFF"/>
                <w:w w:val="98"/>
              </w:rPr>
              <w:t>Component</w:t>
            </w:r>
          </w:p>
        </w:tc>
      </w:tr>
      <w:tr>
        <w:trPr>
          <w:trHeight w:val="275"/>
        </w:trPr>
        <w:tc>
          <w:tcPr>
            <w:tcW w:w="5140" w:type="dxa"/>
            <w:vAlign w:val="bottom"/>
            <w:tcBorders>
              <w:left w:val="single" w:sz="8" w:color="auto"/>
              <w:bottom w:val="single" w:sz="8" w:color="0070C0"/>
              <w:right w:val="single" w:sz="8" w:color="auto"/>
            </w:tcBorders>
            <w:shd w:val="clear" w:color="auto" w:fill="0070C0"/>
          </w:tcPr>
          <w:p>
            <w:pPr>
              <w:ind w:left="60"/>
              <w:spacing w:after="0"/>
              <w:rPr>
                <w:sz w:val="20"/>
                <w:szCs w:val="20"/>
                <w:color w:val="auto"/>
              </w:rPr>
            </w:pPr>
            <w:r>
              <w:rPr>
                <w:rFonts w:ascii="Arial" w:cs="Arial" w:eastAsia="Arial" w:hAnsi="Arial"/>
                <w:sz w:val="16"/>
                <w:szCs w:val="16"/>
                <w:b w:val="1"/>
                <w:bCs w:val="1"/>
                <w:color w:val="FFFFFF"/>
              </w:rPr>
              <w:t>Measure (1)</w:t>
            </w:r>
          </w:p>
        </w:tc>
        <w:tc>
          <w:tcPr>
            <w:tcW w:w="1600" w:type="dxa"/>
            <w:vAlign w:val="bottom"/>
            <w:tcBorders>
              <w:bottom w:val="single" w:sz="8" w:color="0070C0"/>
              <w:right w:val="single" w:sz="8" w:color="auto"/>
            </w:tcBorders>
            <w:gridSpan w:val="5"/>
            <w:shd w:val="clear" w:color="auto" w:fill="0070C0"/>
          </w:tcPr>
          <w:p>
            <w:pPr>
              <w:jc w:val="center"/>
              <w:spacing w:after="0"/>
              <w:rPr>
                <w:sz w:val="20"/>
                <w:szCs w:val="20"/>
                <w:color w:val="auto"/>
              </w:rPr>
            </w:pPr>
            <w:r>
              <w:rPr>
                <w:rFonts w:ascii="Arial" w:cs="Arial" w:eastAsia="Arial" w:hAnsi="Arial"/>
                <w:sz w:val="16"/>
                <w:szCs w:val="16"/>
                <w:b w:val="1"/>
                <w:bCs w:val="1"/>
                <w:color w:val="FFFFFF"/>
                <w:w w:val="98"/>
              </w:rPr>
              <w:t>Weighting</w:t>
            </w:r>
          </w:p>
        </w:tc>
      </w:tr>
      <w:tr>
        <w:trPr>
          <w:trHeight w:val="181"/>
        </w:trPr>
        <w:tc>
          <w:tcPr>
            <w:tcW w:w="5140" w:type="dxa"/>
            <w:vAlign w:val="bottom"/>
            <w:tcBorders>
              <w:top w:val="single" w:sz="8" w:color="auto"/>
              <w:left w:val="single" w:sz="8" w:color="auto"/>
              <w:right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auto"/>
              </w:rPr>
              <w:t>Investment</w:t>
            </w: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0" w:type="dxa"/>
            <w:vAlign w:val="bottom"/>
            <w:tcBorders>
              <w:top w:val="single" w:sz="8" w:color="auto"/>
              <w:right w:val="single" w:sz="8" w:color="auto"/>
            </w:tcBorders>
          </w:tcPr>
          <w:p>
            <w:pPr>
              <w:spacing w:after="0"/>
              <w:rPr>
                <w:sz w:val="15"/>
                <w:szCs w:val="15"/>
                <w:color w:val="auto"/>
              </w:rPr>
            </w:pPr>
          </w:p>
        </w:tc>
      </w:tr>
      <w:tr>
        <w:trPr>
          <w:trHeight w:val="197"/>
        </w:trPr>
        <w:tc>
          <w:tcPr>
            <w:tcW w:w="5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Value Creation Index (VCI) – current year</w:t>
            </w:r>
          </w:p>
        </w:tc>
        <w:tc>
          <w:tcPr>
            <w:tcW w:w="96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6"/>
                <w:szCs w:val="16"/>
                <w:color w:val="auto"/>
                <w:w w:val="99"/>
              </w:rPr>
              <w:t>25%</w:t>
            </w: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r>
      <w:tr>
        <w:trPr>
          <w:trHeight w:val="205"/>
        </w:trPr>
        <w:tc>
          <w:tcPr>
            <w:tcW w:w="51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Sustainability</w:t>
            </w:r>
          </w:p>
        </w:tc>
        <w:tc>
          <w:tcPr>
            <w:tcW w:w="64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340" w:type="dxa"/>
            <w:vAlign w:val="bottom"/>
            <w:tcBorders>
              <w:right w:val="single" w:sz="8" w:color="F2F2F2"/>
            </w:tcBorders>
            <w:shd w:val="clear" w:color="auto" w:fill="F2F2F2"/>
          </w:tcPr>
          <w:p>
            <w:pPr>
              <w:spacing w:after="0"/>
              <w:rPr>
                <w:sz w:val="17"/>
                <w:szCs w:val="17"/>
                <w:color w:val="auto"/>
              </w:rPr>
            </w:pPr>
          </w:p>
        </w:tc>
        <w:tc>
          <w:tcPr>
            <w:tcW w:w="300" w:type="dxa"/>
            <w:vAlign w:val="bottom"/>
            <w:tcBorders>
              <w:right w:val="single" w:sz="8" w:color="auto"/>
            </w:tcBorders>
            <w:shd w:val="clear" w:color="auto" w:fill="F2F2F2"/>
          </w:tcPr>
          <w:p>
            <w:pPr>
              <w:spacing w:after="0"/>
              <w:rPr>
                <w:sz w:val="17"/>
                <w:szCs w:val="17"/>
                <w:color w:val="auto"/>
              </w:rPr>
            </w:pPr>
          </w:p>
        </w:tc>
      </w:tr>
      <w:tr>
        <w:trPr>
          <w:trHeight w:val="186"/>
        </w:trPr>
        <w:tc>
          <w:tcPr>
            <w:tcW w:w="5140" w:type="dxa"/>
            <w:vAlign w:val="bottom"/>
            <w:tcBorders>
              <w:left w:val="single" w:sz="8" w:color="auto"/>
              <w:bottom w:val="single" w:sz="8" w:color="auto"/>
              <w:right w:val="single" w:sz="8" w:color="auto"/>
            </w:tcBorders>
            <w:shd w:val="clear" w:color="auto" w:fill="F2F2F2"/>
          </w:tcPr>
          <w:p>
            <w:pPr>
              <w:spacing w:after="0"/>
              <w:rPr>
                <w:sz w:val="16"/>
                <w:szCs w:val="16"/>
                <w:color w:val="auto"/>
              </w:rPr>
            </w:pP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79"/>
        </w:trPr>
        <w:tc>
          <w:tcPr>
            <w:tcW w:w="5140" w:type="dxa"/>
            <w:vAlign w:val="bottom"/>
            <w:tcBorders>
              <w:left w:val="single" w:sz="8" w:color="auto"/>
              <w:bottom w:val="single" w:sz="8" w:color="auto"/>
              <w:right w:val="single" w:sz="8" w:color="auto"/>
            </w:tcBorders>
            <w:shd w:val="clear" w:color="auto" w:fill="F2F2F2"/>
          </w:tcPr>
          <w:p>
            <w:pPr>
              <w:ind w:left="240"/>
              <w:spacing w:after="0" w:line="179" w:lineRule="exact"/>
              <w:rPr>
                <w:sz w:val="20"/>
                <w:szCs w:val="20"/>
                <w:color w:val="auto"/>
              </w:rPr>
            </w:pPr>
            <w:r>
              <w:rPr>
                <w:rFonts w:ascii="Arial" w:cs="Arial" w:eastAsia="Arial" w:hAnsi="Arial"/>
                <w:sz w:val="16"/>
                <w:szCs w:val="16"/>
                <w:color w:val="auto"/>
              </w:rPr>
              <w:t>- Safety - combined IIR</w:t>
            </w:r>
          </w:p>
        </w:tc>
        <w:tc>
          <w:tcPr>
            <w:tcW w:w="1300" w:type="dxa"/>
            <w:vAlign w:val="bottom"/>
            <w:tcBorders>
              <w:bottom w:val="single" w:sz="8" w:color="auto"/>
              <w:right w:val="single" w:sz="8" w:color="F2F2F2"/>
            </w:tcBorders>
            <w:gridSpan w:val="4"/>
            <w:shd w:val="clear" w:color="auto" w:fill="F2F2F2"/>
          </w:tcPr>
          <w:p>
            <w:pPr>
              <w:jc w:val="center"/>
              <w:ind w:left="201"/>
              <w:spacing w:after="0" w:line="179" w:lineRule="exact"/>
              <w:rPr>
                <w:sz w:val="20"/>
                <w:szCs w:val="20"/>
                <w:color w:val="auto"/>
              </w:rPr>
            </w:pPr>
            <w:r>
              <w:rPr>
                <w:rFonts w:ascii="Arial" w:cs="Arial" w:eastAsia="Arial" w:hAnsi="Arial"/>
                <w:sz w:val="16"/>
                <w:szCs w:val="16"/>
                <w:color w:val="auto"/>
              </w:rPr>
              <w:t>3.33%</w:t>
            </w:r>
          </w:p>
        </w:tc>
        <w:tc>
          <w:tcPr>
            <w:tcW w:w="30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179"/>
        </w:trPr>
        <w:tc>
          <w:tcPr>
            <w:tcW w:w="5140" w:type="dxa"/>
            <w:vAlign w:val="bottom"/>
            <w:tcBorders>
              <w:left w:val="single" w:sz="8" w:color="auto"/>
              <w:bottom w:val="single" w:sz="8" w:color="auto"/>
              <w:right w:val="single" w:sz="8" w:color="auto"/>
            </w:tcBorders>
            <w:shd w:val="clear" w:color="auto" w:fill="F2F2F2"/>
          </w:tcPr>
          <w:p>
            <w:pPr>
              <w:ind w:left="240"/>
              <w:spacing w:after="0" w:line="179" w:lineRule="exact"/>
              <w:rPr>
                <w:sz w:val="20"/>
                <w:szCs w:val="20"/>
                <w:color w:val="auto"/>
              </w:rPr>
            </w:pPr>
            <w:r>
              <w:rPr>
                <w:rFonts w:ascii="Arial" w:cs="Arial" w:eastAsia="Arial" w:hAnsi="Arial"/>
                <w:sz w:val="16"/>
                <w:szCs w:val="16"/>
                <w:color w:val="auto"/>
              </w:rPr>
              <w:t>- Spill prevention rate</w:t>
            </w:r>
          </w:p>
        </w:tc>
        <w:tc>
          <w:tcPr>
            <w:tcW w:w="1300" w:type="dxa"/>
            <w:vAlign w:val="bottom"/>
            <w:tcBorders>
              <w:bottom w:val="single" w:sz="8" w:color="auto"/>
              <w:right w:val="single" w:sz="8" w:color="F2F2F2"/>
            </w:tcBorders>
            <w:gridSpan w:val="4"/>
            <w:shd w:val="clear" w:color="auto" w:fill="F2F2F2"/>
          </w:tcPr>
          <w:p>
            <w:pPr>
              <w:jc w:val="center"/>
              <w:ind w:left="201"/>
              <w:spacing w:after="0" w:line="179" w:lineRule="exact"/>
              <w:rPr>
                <w:sz w:val="20"/>
                <w:szCs w:val="20"/>
                <w:color w:val="auto"/>
              </w:rPr>
            </w:pPr>
            <w:r>
              <w:rPr>
                <w:rFonts w:ascii="Arial" w:cs="Arial" w:eastAsia="Arial" w:hAnsi="Arial"/>
                <w:sz w:val="16"/>
                <w:szCs w:val="16"/>
                <w:color w:val="auto"/>
              </w:rPr>
              <w:t>3.33%</w:t>
            </w:r>
          </w:p>
        </w:tc>
        <w:tc>
          <w:tcPr>
            <w:tcW w:w="30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179"/>
        </w:trPr>
        <w:tc>
          <w:tcPr>
            <w:tcW w:w="5140" w:type="dxa"/>
            <w:vAlign w:val="bottom"/>
            <w:tcBorders>
              <w:left w:val="single" w:sz="8" w:color="auto"/>
              <w:bottom w:val="single" w:sz="8" w:color="auto"/>
              <w:right w:val="single" w:sz="8" w:color="auto"/>
            </w:tcBorders>
            <w:shd w:val="clear" w:color="auto" w:fill="F2F2F2"/>
          </w:tcPr>
          <w:p>
            <w:pPr>
              <w:ind w:left="240"/>
              <w:spacing w:after="0" w:line="179" w:lineRule="exact"/>
              <w:rPr>
                <w:sz w:val="20"/>
                <w:szCs w:val="20"/>
                <w:color w:val="auto"/>
              </w:rPr>
            </w:pPr>
            <w:r>
              <w:rPr>
                <w:rFonts w:ascii="Arial" w:cs="Arial" w:eastAsia="Arial" w:hAnsi="Arial"/>
                <w:sz w:val="16"/>
                <w:szCs w:val="16"/>
                <w:color w:val="auto"/>
              </w:rPr>
              <w:t>- Net water supplied to Ag</w:t>
            </w:r>
          </w:p>
        </w:tc>
        <w:tc>
          <w:tcPr>
            <w:tcW w:w="1300" w:type="dxa"/>
            <w:vAlign w:val="bottom"/>
            <w:tcBorders>
              <w:bottom w:val="single" w:sz="8" w:color="auto"/>
              <w:right w:val="single" w:sz="8" w:color="F2F2F2"/>
            </w:tcBorders>
            <w:gridSpan w:val="4"/>
            <w:shd w:val="clear" w:color="auto" w:fill="F2F2F2"/>
          </w:tcPr>
          <w:p>
            <w:pPr>
              <w:jc w:val="center"/>
              <w:ind w:left="201"/>
              <w:spacing w:after="0" w:line="179" w:lineRule="exact"/>
              <w:rPr>
                <w:sz w:val="20"/>
                <w:szCs w:val="20"/>
                <w:color w:val="auto"/>
              </w:rPr>
            </w:pPr>
            <w:r>
              <w:rPr>
                <w:rFonts w:ascii="Arial" w:cs="Arial" w:eastAsia="Arial" w:hAnsi="Arial"/>
                <w:sz w:val="16"/>
                <w:szCs w:val="16"/>
                <w:color w:val="auto"/>
              </w:rPr>
              <w:t>3.33%</w:t>
            </w:r>
          </w:p>
        </w:tc>
        <w:tc>
          <w:tcPr>
            <w:tcW w:w="30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179"/>
        </w:trPr>
        <w:tc>
          <w:tcPr>
            <w:tcW w:w="5140" w:type="dxa"/>
            <w:vAlign w:val="bottom"/>
            <w:tcBorders>
              <w:left w:val="single" w:sz="8" w:color="auto"/>
              <w:bottom w:val="single" w:sz="8" w:color="auto"/>
              <w:right w:val="single" w:sz="8" w:color="auto"/>
            </w:tcBorders>
            <w:shd w:val="clear" w:color="auto" w:fill="F2F2F2"/>
          </w:tcPr>
          <w:p>
            <w:pPr>
              <w:ind w:left="240"/>
              <w:spacing w:after="0" w:line="179" w:lineRule="exact"/>
              <w:rPr>
                <w:sz w:val="20"/>
                <w:szCs w:val="20"/>
                <w:color w:val="auto"/>
              </w:rPr>
            </w:pPr>
            <w:r>
              <w:rPr>
                <w:rFonts w:ascii="Arial" w:cs="Arial" w:eastAsia="Arial" w:hAnsi="Arial"/>
                <w:sz w:val="16"/>
                <w:szCs w:val="16"/>
                <w:color w:val="auto"/>
              </w:rPr>
              <w:t>- Project milestones relating to:</w:t>
            </w:r>
          </w:p>
        </w:tc>
        <w:tc>
          <w:tcPr>
            <w:tcW w:w="960" w:type="dxa"/>
            <w:vAlign w:val="bottom"/>
            <w:tcBorders>
              <w:bottom w:val="single" w:sz="8" w:color="auto"/>
            </w:tcBorders>
            <w:gridSpan w:val="3"/>
            <w:shd w:val="clear" w:color="auto" w:fill="F2F2F2"/>
          </w:tcPr>
          <w:p>
            <w:pPr>
              <w:jc w:val="center"/>
              <w:ind w:left="541"/>
              <w:spacing w:after="0" w:line="179" w:lineRule="exact"/>
              <w:rPr>
                <w:sz w:val="20"/>
                <w:szCs w:val="20"/>
                <w:color w:val="auto"/>
              </w:rPr>
            </w:pPr>
            <w:r>
              <w:rPr>
                <w:rFonts w:ascii="Arial" w:cs="Arial" w:eastAsia="Arial" w:hAnsi="Arial"/>
                <w:sz w:val="16"/>
                <w:szCs w:val="16"/>
                <w:color w:val="auto"/>
                <w:w w:val="94"/>
              </w:rPr>
              <w:t>5%</w:t>
            </w:r>
          </w:p>
        </w:tc>
        <w:tc>
          <w:tcPr>
            <w:tcW w:w="340" w:type="dxa"/>
            <w:vAlign w:val="bottom"/>
            <w:tcBorders>
              <w:bottom w:val="single" w:sz="8" w:color="auto"/>
              <w:right w:val="single" w:sz="8" w:color="F2F2F2"/>
            </w:tcBorders>
            <w:shd w:val="clear" w:color="auto" w:fill="F2F2F2"/>
          </w:tcPr>
          <w:p>
            <w:pPr>
              <w:spacing w:after="0"/>
              <w:rPr>
                <w:sz w:val="15"/>
                <w:szCs w:val="15"/>
                <w:color w:val="auto"/>
              </w:rPr>
            </w:pPr>
          </w:p>
        </w:tc>
        <w:tc>
          <w:tcPr>
            <w:tcW w:w="30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190"/>
        </w:trPr>
        <w:tc>
          <w:tcPr>
            <w:tcW w:w="5140" w:type="dxa"/>
            <w:vAlign w:val="bottom"/>
            <w:tcBorders>
              <w:left w:val="single" w:sz="8" w:color="auto"/>
              <w:bottom w:val="single" w:sz="8" w:color="auto"/>
              <w:right w:val="single" w:sz="8" w:color="auto"/>
            </w:tcBorders>
            <w:shd w:val="clear" w:color="auto" w:fill="F2F2F2"/>
          </w:tcPr>
          <w:p>
            <w:pPr>
              <w:ind w:left="780"/>
              <w:spacing w:after="0"/>
              <w:rPr>
                <w:sz w:val="20"/>
                <w:szCs w:val="20"/>
                <w:color w:val="auto"/>
              </w:rPr>
            </w:pPr>
            <w:r>
              <w:rPr>
                <w:rFonts w:ascii="Arial" w:cs="Arial" w:eastAsia="Arial" w:hAnsi="Arial"/>
                <w:sz w:val="16"/>
                <w:szCs w:val="16"/>
                <w:color w:val="auto"/>
              </w:rPr>
              <w:t>Water recycling</w:t>
            </w: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92"/>
        </w:trPr>
        <w:tc>
          <w:tcPr>
            <w:tcW w:w="5140" w:type="dxa"/>
            <w:vAlign w:val="bottom"/>
            <w:tcBorders>
              <w:left w:val="single" w:sz="8" w:color="auto"/>
              <w:bottom w:val="single" w:sz="8" w:color="auto"/>
              <w:right w:val="single" w:sz="8" w:color="auto"/>
            </w:tcBorders>
            <w:shd w:val="clear" w:color="auto" w:fill="F2F2F2"/>
          </w:tcPr>
          <w:p>
            <w:pPr>
              <w:ind w:left="780"/>
              <w:spacing w:after="0"/>
              <w:rPr>
                <w:sz w:val="20"/>
                <w:szCs w:val="20"/>
                <w:color w:val="auto"/>
              </w:rPr>
            </w:pPr>
            <w:r>
              <w:rPr>
                <w:rFonts w:ascii="Arial" w:cs="Arial" w:eastAsia="Arial" w:hAnsi="Arial"/>
                <w:sz w:val="16"/>
                <w:szCs w:val="16"/>
                <w:color w:val="auto"/>
              </w:rPr>
              <w:t>Renewable energy</w:t>
            </w: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92"/>
        </w:trPr>
        <w:tc>
          <w:tcPr>
            <w:tcW w:w="5140" w:type="dxa"/>
            <w:vAlign w:val="bottom"/>
            <w:tcBorders>
              <w:left w:val="single" w:sz="8" w:color="auto"/>
              <w:bottom w:val="single" w:sz="8" w:color="auto"/>
              <w:right w:val="single" w:sz="8" w:color="auto"/>
            </w:tcBorders>
            <w:shd w:val="clear" w:color="auto" w:fill="F2F2F2"/>
          </w:tcPr>
          <w:p>
            <w:pPr>
              <w:ind w:left="780"/>
              <w:spacing w:after="0"/>
              <w:rPr>
                <w:sz w:val="20"/>
                <w:szCs w:val="20"/>
                <w:color w:val="auto"/>
              </w:rPr>
            </w:pPr>
            <w:r>
              <w:rPr>
                <w:rFonts w:ascii="Arial" w:cs="Arial" w:eastAsia="Arial" w:hAnsi="Arial"/>
                <w:sz w:val="16"/>
                <w:szCs w:val="16"/>
                <w:color w:val="auto"/>
              </w:rPr>
              <w:t>Methane capture</w:t>
            </w: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92"/>
        </w:trPr>
        <w:tc>
          <w:tcPr>
            <w:tcW w:w="5140" w:type="dxa"/>
            <w:vAlign w:val="bottom"/>
            <w:tcBorders>
              <w:left w:val="single" w:sz="8" w:color="auto"/>
              <w:bottom w:val="single" w:sz="8" w:color="auto"/>
              <w:right w:val="single" w:sz="8" w:color="auto"/>
            </w:tcBorders>
            <w:shd w:val="clear" w:color="auto" w:fill="F2F2F2"/>
          </w:tcPr>
          <w:p>
            <w:pPr>
              <w:ind w:left="780"/>
              <w:spacing w:after="0"/>
              <w:rPr>
                <w:sz w:val="20"/>
                <w:szCs w:val="20"/>
                <w:color w:val="auto"/>
              </w:rPr>
            </w:pPr>
            <w:r>
              <w:rPr>
                <w:rFonts w:ascii="Arial" w:cs="Arial" w:eastAsia="Arial" w:hAnsi="Arial"/>
                <w:sz w:val="16"/>
                <w:szCs w:val="16"/>
                <w:color w:val="auto"/>
              </w:rPr>
              <w:t>Carbon capture</w:t>
            </w: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92"/>
        </w:trPr>
        <w:tc>
          <w:tcPr>
            <w:tcW w:w="5140" w:type="dxa"/>
            <w:vAlign w:val="bottom"/>
            <w:tcBorders>
              <w:left w:val="single" w:sz="8" w:color="auto"/>
              <w:bottom w:val="single" w:sz="8" w:color="auto"/>
              <w:right w:val="single" w:sz="8" w:color="auto"/>
            </w:tcBorders>
            <w:shd w:val="clear" w:color="auto" w:fill="F2F2F2"/>
          </w:tcPr>
          <w:p>
            <w:pPr>
              <w:ind w:left="780"/>
              <w:spacing w:after="0"/>
              <w:rPr>
                <w:sz w:val="20"/>
                <w:szCs w:val="20"/>
                <w:color w:val="auto"/>
              </w:rPr>
            </w:pPr>
            <w:r>
              <w:rPr>
                <w:rFonts w:ascii="Arial" w:cs="Arial" w:eastAsia="Arial" w:hAnsi="Arial"/>
                <w:sz w:val="16"/>
                <w:szCs w:val="16"/>
                <w:color w:val="auto"/>
              </w:rPr>
              <w:t>Workforce diversity and development</w:t>
            </w: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92"/>
        </w:trPr>
        <w:tc>
          <w:tcPr>
            <w:tcW w:w="5140" w:type="dxa"/>
            <w:vAlign w:val="bottom"/>
            <w:tcBorders>
              <w:left w:val="single" w:sz="8" w:color="auto"/>
              <w:bottom w:val="single" w:sz="8" w:color="auto"/>
              <w:right w:val="single" w:sz="8" w:color="auto"/>
            </w:tcBorders>
            <w:shd w:val="clear" w:color="auto" w:fill="F2F2F2"/>
          </w:tcPr>
          <w:p>
            <w:pPr>
              <w:ind w:left="780"/>
              <w:spacing w:after="0"/>
              <w:rPr>
                <w:sz w:val="20"/>
                <w:szCs w:val="20"/>
                <w:color w:val="auto"/>
              </w:rPr>
            </w:pPr>
            <w:r>
              <w:rPr>
                <w:rFonts w:ascii="Arial" w:cs="Arial" w:eastAsia="Arial" w:hAnsi="Arial"/>
                <w:sz w:val="16"/>
                <w:szCs w:val="16"/>
                <w:color w:val="auto"/>
              </w:rPr>
              <w:t>Community partnerships</w:t>
            </w:r>
          </w:p>
        </w:tc>
        <w:tc>
          <w:tcPr>
            <w:tcW w:w="640" w:type="dxa"/>
            <w:vAlign w:val="bottom"/>
            <w:tcBorders>
              <w:bottom w:val="single" w:sz="8" w:color="auto"/>
            </w:tcBorders>
            <w:shd w:val="clear" w:color="auto" w:fill="F2F2F2"/>
          </w:tcPr>
          <w:p>
            <w:pPr>
              <w:spacing w:after="0"/>
              <w:rPr>
                <w:sz w:val="16"/>
                <w:szCs w:val="16"/>
                <w:color w:val="auto"/>
              </w:rPr>
            </w:pPr>
          </w:p>
        </w:tc>
        <w:tc>
          <w:tcPr>
            <w:tcW w:w="20" w:type="dxa"/>
            <w:vAlign w:val="bottom"/>
            <w:tcBorders>
              <w:bottom w:val="single" w:sz="8" w:color="auto"/>
            </w:tcBorders>
            <w:shd w:val="clear" w:color="auto" w:fill="F2F2F2"/>
          </w:tcPr>
          <w:p>
            <w:pPr>
              <w:spacing w:after="0"/>
              <w:rPr>
                <w:sz w:val="16"/>
                <w:szCs w:val="16"/>
                <w:color w:val="auto"/>
              </w:rPr>
            </w:pPr>
          </w:p>
        </w:tc>
        <w:tc>
          <w:tcPr>
            <w:tcW w:w="300" w:type="dxa"/>
            <w:vAlign w:val="bottom"/>
            <w:tcBorders>
              <w:bottom w:val="single" w:sz="8" w:color="auto"/>
            </w:tcBorders>
            <w:shd w:val="clear" w:color="auto" w:fill="F2F2F2"/>
          </w:tcPr>
          <w:p>
            <w:pPr>
              <w:spacing w:after="0"/>
              <w:rPr>
                <w:sz w:val="16"/>
                <w:szCs w:val="16"/>
                <w:color w:val="auto"/>
              </w:rPr>
            </w:pPr>
          </w:p>
        </w:tc>
        <w:tc>
          <w:tcPr>
            <w:tcW w:w="340" w:type="dxa"/>
            <w:vAlign w:val="bottom"/>
            <w:tcBorders>
              <w:bottom w:val="single" w:sz="8" w:color="auto"/>
              <w:right w:val="single" w:sz="8" w:color="F2F2F2"/>
            </w:tcBorders>
            <w:shd w:val="clear" w:color="auto" w:fill="F2F2F2"/>
          </w:tcPr>
          <w:p>
            <w:pPr>
              <w:spacing w:after="0"/>
              <w:rPr>
                <w:sz w:val="16"/>
                <w:szCs w:val="16"/>
                <w:color w:val="auto"/>
              </w:rPr>
            </w:pPr>
          </w:p>
        </w:tc>
        <w:tc>
          <w:tcPr>
            <w:tcW w:w="300" w:type="dxa"/>
            <w:vAlign w:val="bottom"/>
            <w:tcBorders>
              <w:bottom w:val="single" w:sz="8" w:color="auto"/>
              <w:right w:val="single" w:sz="8" w:color="auto"/>
            </w:tcBorders>
            <w:shd w:val="clear" w:color="auto" w:fill="F2F2F2"/>
          </w:tcPr>
          <w:p>
            <w:pPr>
              <w:spacing w:after="0"/>
              <w:rPr>
                <w:sz w:val="16"/>
                <w:szCs w:val="16"/>
                <w:color w:val="auto"/>
              </w:rPr>
            </w:pPr>
          </w:p>
        </w:tc>
      </w:tr>
      <w:tr>
        <w:trPr>
          <w:trHeight w:val="183"/>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Liquidity</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r>
      <w:tr>
        <w:trPr>
          <w:trHeight w:val="18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Adjusted EBITDAX</w:t>
            </w:r>
          </w:p>
        </w:tc>
        <w:tc>
          <w:tcPr>
            <w:tcW w:w="960" w:type="dxa"/>
            <w:vAlign w:val="bottom"/>
            <w:gridSpan w:val="3"/>
          </w:tcPr>
          <w:p>
            <w:pPr>
              <w:jc w:val="center"/>
              <w:ind w:left="561"/>
              <w:spacing w:after="0"/>
              <w:rPr>
                <w:sz w:val="20"/>
                <w:szCs w:val="20"/>
                <w:color w:val="auto"/>
              </w:rPr>
            </w:pPr>
            <w:r>
              <w:rPr>
                <w:rFonts w:ascii="Arial" w:cs="Arial" w:eastAsia="Arial" w:hAnsi="Arial"/>
                <w:sz w:val="16"/>
                <w:szCs w:val="16"/>
                <w:color w:val="auto"/>
                <w:w w:val="99"/>
              </w:rPr>
              <w:t>20%</w:t>
            </w:r>
          </w:p>
        </w:tc>
        <w:tc>
          <w:tcPr>
            <w:tcW w:w="3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r>
      <w:tr>
        <w:trPr>
          <w:trHeight w:val="170"/>
        </w:trPr>
        <w:tc>
          <w:tcPr>
            <w:tcW w:w="514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6"/>
                <w:szCs w:val="16"/>
                <w:color w:val="auto"/>
              </w:rPr>
              <w:t>Net Debt</w:t>
            </w:r>
          </w:p>
        </w:tc>
        <w:tc>
          <w:tcPr>
            <w:tcW w:w="960" w:type="dxa"/>
            <w:vAlign w:val="bottom"/>
            <w:gridSpan w:val="3"/>
          </w:tcPr>
          <w:p>
            <w:pPr>
              <w:jc w:val="center"/>
              <w:ind w:left="561"/>
              <w:spacing w:after="0" w:line="171" w:lineRule="exact"/>
              <w:rPr>
                <w:sz w:val="20"/>
                <w:szCs w:val="20"/>
                <w:color w:val="auto"/>
              </w:rPr>
            </w:pPr>
            <w:r>
              <w:rPr>
                <w:rFonts w:ascii="Arial" w:cs="Arial" w:eastAsia="Arial" w:hAnsi="Arial"/>
                <w:sz w:val="16"/>
                <w:szCs w:val="16"/>
                <w:color w:val="auto"/>
                <w:w w:val="99"/>
              </w:rPr>
              <w:t>20%</w:t>
            </w:r>
          </w:p>
        </w:tc>
        <w:tc>
          <w:tcPr>
            <w:tcW w:w="3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r>
      <w:tr>
        <w:trPr>
          <w:trHeight w:val="20"/>
        </w:trPr>
        <w:tc>
          <w:tcPr>
            <w:tcW w:w="5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5140" w:type="dxa"/>
            <w:vAlign w:val="bottom"/>
            <w:tcBorders>
              <w:left w:val="single" w:sz="8" w:color="auto"/>
              <w:bottom w:val="single" w:sz="8" w:color="auto"/>
              <w:right w:val="single" w:sz="8" w:color="auto"/>
            </w:tcBorders>
            <w:shd w:val="clear" w:color="auto" w:fill="F2F2F2"/>
          </w:tcPr>
          <w:p>
            <w:pPr>
              <w:ind w:left="60"/>
              <w:spacing w:after="0" w:line="165" w:lineRule="exact"/>
              <w:rPr>
                <w:sz w:val="20"/>
                <w:szCs w:val="20"/>
                <w:color w:val="auto"/>
              </w:rPr>
            </w:pPr>
            <w:r>
              <w:rPr>
                <w:rFonts w:ascii="Arial" w:cs="Arial" w:eastAsia="Arial" w:hAnsi="Arial"/>
                <w:sz w:val="16"/>
                <w:szCs w:val="16"/>
                <w:b w:val="1"/>
                <w:bCs w:val="1"/>
                <w:color w:val="0075C9"/>
              </w:rPr>
              <w:t>Total Quantitative Performance Measures</w:t>
            </w:r>
          </w:p>
        </w:tc>
        <w:tc>
          <w:tcPr>
            <w:tcW w:w="960" w:type="dxa"/>
            <w:vAlign w:val="bottom"/>
            <w:tcBorders>
              <w:bottom w:val="single" w:sz="8" w:color="auto"/>
            </w:tcBorders>
            <w:gridSpan w:val="3"/>
            <w:shd w:val="clear" w:color="auto" w:fill="F2F2F2"/>
          </w:tcPr>
          <w:p>
            <w:pPr>
              <w:jc w:val="center"/>
              <w:ind w:left="561"/>
              <w:spacing w:after="0" w:line="165" w:lineRule="exact"/>
              <w:rPr>
                <w:sz w:val="20"/>
                <w:szCs w:val="20"/>
                <w:color w:val="auto"/>
              </w:rPr>
            </w:pPr>
            <w:r>
              <w:rPr>
                <w:rFonts w:ascii="Arial" w:cs="Arial" w:eastAsia="Arial" w:hAnsi="Arial"/>
                <w:sz w:val="16"/>
                <w:szCs w:val="16"/>
                <w:b w:val="1"/>
                <w:bCs w:val="1"/>
                <w:color w:val="0075C9"/>
                <w:w w:val="99"/>
              </w:rPr>
              <w:t>80%</w:t>
            </w:r>
          </w:p>
        </w:tc>
        <w:tc>
          <w:tcPr>
            <w:tcW w:w="340" w:type="dxa"/>
            <w:vAlign w:val="bottom"/>
            <w:tcBorders>
              <w:bottom w:val="single" w:sz="8" w:color="auto"/>
              <w:right w:val="single" w:sz="8" w:color="F2F2F2"/>
            </w:tcBorders>
            <w:shd w:val="clear" w:color="auto" w:fill="F2F2F2"/>
          </w:tcPr>
          <w:p>
            <w:pPr>
              <w:spacing w:after="0"/>
              <w:rPr>
                <w:sz w:val="14"/>
                <w:szCs w:val="14"/>
                <w:color w:val="auto"/>
              </w:rPr>
            </w:pPr>
          </w:p>
        </w:tc>
        <w:tc>
          <w:tcPr>
            <w:tcW w:w="300" w:type="dxa"/>
            <w:vAlign w:val="bottom"/>
            <w:tcBorders>
              <w:bottom w:val="single" w:sz="8" w:color="auto"/>
              <w:right w:val="single" w:sz="8" w:color="auto"/>
            </w:tcBorders>
            <w:shd w:val="clear" w:color="auto" w:fill="F2F2F2"/>
          </w:tcPr>
          <w:p>
            <w:pPr>
              <w:spacing w:after="0"/>
              <w:rPr>
                <w:sz w:val="14"/>
                <w:szCs w:val="14"/>
                <w:color w:val="auto"/>
              </w:rPr>
            </w:pPr>
          </w:p>
        </w:tc>
      </w:tr>
      <w:tr>
        <w:trPr>
          <w:trHeight w:val="244"/>
        </w:trPr>
        <w:tc>
          <w:tcPr>
            <w:tcW w:w="5140" w:type="dxa"/>
            <w:vAlign w:val="bottom"/>
            <w:tcBorders>
              <w:left w:val="single" w:sz="8" w:color="auto"/>
              <w:bottom w:val="single" w:sz="8" w:color="auto"/>
              <w:right w:val="single" w:sz="8" w:color="auto"/>
            </w:tcBorders>
            <w:shd w:val="clear" w:color="auto" w:fill="F2F2F2"/>
          </w:tcPr>
          <w:p>
            <w:pPr>
              <w:ind w:left="60"/>
              <w:spacing w:after="0" w:line="179" w:lineRule="exact"/>
              <w:rPr>
                <w:sz w:val="20"/>
                <w:szCs w:val="20"/>
                <w:color w:val="auto"/>
              </w:rPr>
            </w:pPr>
            <w:r>
              <w:rPr>
                <w:rFonts w:ascii="Arial" w:cs="Arial" w:eastAsia="Arial" w:hAnsi="Arial"/>
                <w:sz w:val="16"/>
                <w:szCs w:val="16"/>
                <w:b w:val="1"/>
                <w:bCs w:val="1"/>
                <w:color w:val="0075C9"/>
              </w:rPr>
              <w:t>Strategic and Individual Objectives</w:t>
            </w:r>
          </w:p>
        </w:tc>
        <w:tc>
          <w:tcPr>
            <w:tcW w:w="960" w:type="dxa"/>
            <w:vAlign w:val="bottom"/>
            <w:tcBorders>
              <w:bottom w:val="single" w:sz="8" w:color="auto"/>
            </w:tcBorders>
            <w:gridSpan w:val="3"/>
            <w:shd w:val="clear" w:color="auto" w:fill="F2F2F2"/>
          </w:tcPr>
          <w:p>
            <w:pPr>
              <w:jc w:val="center"/>
              <w:ind w:left="561"/>
              <w:spacing w:after="0" w:line="179" w:lineRule="exact"/>
              <w:rPr>
                <w:sz w:val="20"/>
                <w:szCs w:val="20"/>
                <w:color w:val="auto"/>
              </w:rPr>
            </w:pPr>
            <w:r>
              <w:rPr>
                <w:rFonts w:ascii="Arial" w:cs="Arial" w:eastAsia="Arial" w:hAnsi="Arial"/>
                <w:sz w:val="16"/>
                <w:szCs w:val="16"/>
                <w:b w:val="1"/>
                <w:bCs w:val="1"/>
                <w:color w:val="0075C9"/>
                <w:w w:val="99"/>
              </w:rPr>
              <w:t>20%</w:t>
            </w:r>
          </w:p>
        </w:tc>
        <w:tc>
          <w:tcPr>
            <w:tcW w:w="340" w:type="dxa"/>
            <w:vAlign w:val="bottom"/>
            <w:tcBorders>
              <w:bottom w:val="single" w:sz="8" w:color="auto"/>
              <w:right w:val="single" w:sz="8" w:color="F2F2F2"/>
            </w:tcBorders>
            <w:shd w:val="clear" w:color="auto" w:fill="F2F2F2"/>
          </w:tcPr>
          <w:p>
            <w:pPr>
              <w:spacing w:after="0"/>
              <w:rPr>
                <w:sz w:val="20"/>
                <w:szCs w:val="20"/>
                <w:color w:val="auto"/>
              </w:rPr>
            </w:pPr>
          </w:p>
        </w:tc>
        <w:tc>
          <w:tcPr>
            <w:tcW w:w="300" w:type="dxa"/>
            <w:vAlign w:val="bottom"/>
            <w:tcBorders>
              <w:bottom w:val="single" w:sz="8" w:color="auto"/>
              <w:right w:val="single" w:sz="8" w:color="auto"/>
            </w:tcBorders>
            <w:shd w:val="clear" w:color="auto" w:fill="F2F2F2"/>
          </w:tcPr>
          <w:p>
            <w:pPr>
              <w:spacing w:after="0"/>
              <w:rPr>
                <w:sz w:val="20"/>
                <w:szCs w:val="20"/>
                <w:color w:val="auto"/>
              </w:rPr>
            </w:pPr>
          </w:p>
        </w:tc>
      </w:tr>
      <w:tr>
        <w:trPr>
          <w:trHeight w:val="132"/>
        </w:trPr>
        <w:tc>
          <w:tcPr>
            <w:tcW w:w="5140" w:type="dxa"/>
            <w:vAlign w:val="bottom"/>
            <w:tcBorders>
              <w:top w:val="single" w:sz="8" w:color="F2F2F2"/>
              <w:left w:val="single" w:sz="8" w:color="auto"/>
              <w:bottom w:val="single" w:sz="8" w:color="auto"/>
              <w:right w:val="single" w:sz="8" w:color="auto"/>
            </w:tcBorders>
            <w:shd w:val="clear" w:color="auto" w:fill="F2F2F2"/>
          </w:tcPr>
          <w:p>
            <w:pPr>
              <w:ind w:left="60"/>
              <w:spacing w:after="0" w:line="132" w:lineRule="exact"/>
              <w:rPr>
                <w:sz w:val="20"/>
                <w:szCs w:val="20"/>
                <w:color w:val="auto"/>
              </w:rPr>
            </w:pPr>
            <w:r>
              <w:rPr>
                <w:rFonts w:ascii="Arial" w:cs="Arial" w:eastAsia="Arial" w:hAnsi="Arial"/>
                <w:sz w:val="15"/>
                <w:szCs w:val="15"/>
                <w:b w:val="1"/>
                <w:bCs w:val="1"/>
                <w:color w:val="auto"/>
              </w:rPr>
              <w:t>Total</w:t>
            </w:r>
          </w:p>
        </w:tc>
        <w:tc>
          <w:tcPr>
            <w:tcW w:w="640" w:type="dxa"/>
            <w:vAlign w:val="bottom"/>
            <w:tcBorders>
              <w:top w:val="single" w:sz="8" w:color="F2F2F2"/>
              <w:bottom w:val="single" w:sz="8" w:color="auto"/>
            </w:tcBorders>
            <w:shd w:val="clear" w:color="auto" w:fill="F2F2F2"/>
          </w:tcPr>
          <w:p>
            <w:pPr>
              <w:spacing w:after="0"/>
              <w:rPr>
                <w:sz w:val="11"/>
                <w:szCs w:val="11"/>
                <w:color w:val="auto"/>
              </w:rPr>
            </w:pPr>
          </w:p>
        </w:tc>
        <w:tc>
          <w:tcPr>
            <w:tcW w:w="20" w:type="dxa"/>
            <w:vAlign w:val="bottom"/>
            <w:tcBorders>
              <w:top w:val="single" w:sz="8" w:color="F2F2F2"/>
              <w:bottom w:val="single" w:sz="8" w:color="auto"/>
            </w:tcBorders>
            <w:shd w:val="clear" w:color="auto" w:fill="F2F2F2"/>
          </w:tcPr>
          <w:p>
            <w:pPr>
              <w:spacing w:after="0"/>
              <w:rPr>
                <w:sz w:val="11"/>
                <w:szCs w:val="11"/>
                <w:color w:val="auto"/>
              </w:rPr>
            </w:pPr>
          </w:p>
        </w:tc>
        <w:tc>
          <w:tcPr>
            <w:tcW w:w="300" w:type="dxa"/>
            <w:vAlign w:val="bottom"/>
            <w:tcBorders>
              <w:top w:val="single" w:sz="8" w:color="0075C9"/>
              <w:bottom w:val="single" w:sz="8" w:color="auto"/>
            </w:tcBorders>
            <w:shd w:val="clear" w:color="auto" w:fill="F2F2F2"/>
          </w:tcPr>
          <w:p>
            <w:pPr>
              <w:jc w:val="center"/>
              <w:spacing w:after="0" w:line="132" w:lineRule="exact"/>
              <w:rPr>
                <w:sz w:val="20"/>
                <w:szCs w:val="20"/>
                <w:color w:val="auto"/>
              </w:rPr>
            </w:pPr>
            <w:r>
              <w:rPr>
                <w:rFonts w:ascii="Arial" w:cs="Arial" w:eastAsia="Arial" w:hAnsi="Arial"/>
                <w:sz w:val="15"/>
                <w:szCs w:val="15"/>
                <w:b w:val="1"/>
                <w:bCs w:val="1"/>
                <w:color w:val="auto"/>
                <w:w w:val="78"/>
              </w:rPr>
              <w:t>100%</w:t>
            </w:r>
          </w:p>
        </w:tc>
        <w:tc>
          <w:tcPr>
            <w:tcW w:w="340" w:type="dxa"/>
            <w:vAlign w:val="bottom"/>
            <w:tcBorders>
              <w:top w:val="single" w:sz="8" w:color="F2F2F2"/>
              <w:bottom w:val="single" w:sz="8" w:color="auto"/>
              <w:right w:val="single" w:sz="8" w:color="F2F2F2"/>
            </w:tcBorders>
            <w:shd w:val="clear" w:color="auto" w:fill="F2F2F2"/>
          </w:tcPr>
          <w:p>
            <w:pPr>
              <w:spacing w:after="0"/>
              <w:rPr>
                <w:sz w:val="11"/>
                <w:szCs w:val="11"/>
                <w:color w:val="auto"/>
              </w:rPr>
            </w:pPr>
          </w:p>
        </w:tc>
        <w:tc>
          <w:tcPr>
            <w:tcW w:w="300" w:type="dxa"/>
            <w:vAlign w:val="bottom"/>
            <w:tcBorders>
              <w:top w:val="single" w:sz="8" w:color="F2F2F2"/>
              <w:bottom w:val="single" w:sz="8" w:color="auto"/>
              <w:right w:val="single" w:sz="8" w:color="auto"/>
            </w:tcBorders>
            <w:shd w:val="clear" w:color="auto" w:fill="F2F2F2"/>
          </w:tcPr>
          <w:p>
            <w:pPr>
              <w:spacing w:after="0"/>
              <w:rPr>
                <w:sz w:val="11"/>
                <w:szCs w:val="11"/>
                <w:color w:val="auto"/>
              </w:rPr>
            </w:pPr>
          </w:p>
        </w:tc>
      </w:tr>
    </w:tbl>
    <w:p>
      <w:pPr>
        <w:spacing w:after="0" w:line="217" w:lineRule="exact"/>
        <w:rPr>
          <w:sz w:val="20"/>
          <w:szCs w:val="20"/>
          <w:color w:val="auto"/>
        </w:rPr>
      </w:pPr>
    </w:p>
    <w:p>
      <w:pPr>
        <w:ind w:left="360" w:hanging="35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Descriptions of the quantitative performance measures were as follows:</w:t>
      </w:r>
    </w:p>
    <w:p>
      <w:pPr>
        <w:spacing w:after="0" w:line="212" w:lineRule="exact"/>
        <w:rPr>
          <w:sz w:val="20"/>
          <w:szCs w:val="20"/>
          <w:color w:val="auto"/>
        </w:rPr>
      </w:pPr>
    </w:p>
    <w:tbl>
      <w:tblPr>
        <w:tblLayout w:type="fixed"/>
        <w:tblInd w:w="970" w:type="dxa"/>
        <w:tblCellMar>
          <w:top w:w="0" w:type="dxa"/>
          <w:left w:w="0" w:type="dxa"/>
          <w:bottom w:w="0" w:type="dxa"/>
          <w:right w:w="0" w:type="dxa"/>
        </w:tblCellMar>
      </w:tblPr>
      <w:tr>
        <w:trPr>
          <w:trHeight w:val="146"/>
        </w:trPr>
        <w:tc>
          <w:tcPr>
            <w:tcW w:w="354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3540" w:type="dxa"/>
            <w:vAlign w:val="bottom"/>
            <w:tcBorders>
              <w:left w:val="single" w:sz="8" w:color="auto"/>
              <w:right w:val="single" w:sz="8" w:color="auto"/>
            </w:tcBorders>
          </w:tcPr>
          <w:p>
            <w:pPr>
              <w:ind w:left="100"/>
              <w:spacing w:after="0" w:line="120" w:lineRule="exact"/>
              <w:rPr>
                <w:sz w:val="20"/>
                <w:szCs w:val="20"/>
                <w:color w:val="auto"/>
              </w:rPr>
            </w:pPr>
            <w:r>
              <w:rPr>
                <w:rFonts w:ascii="Arial" w:cs="Arial" w:eastAsia="Arial" w:hAnsi="Arial"/>
                <w:sz w:val="12"/>
                <w:szCs w:val="12"/>
                <w:color w:val="auto"/>
              </w:rPr>
              <w:t>Value Creation Index (VCI)</w:t>
            </w:r>
          </w:p>
        </w:tc>
        <w:tc>
          <w:tcPr>
            <w:tcW w:w="674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We used a Value Creation Index (VCI) for project selection and capital allocation across our portfolio of opportunities. VCI</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is a ratio that measures the present value of the future cash flows from all development (new drills and capital</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workovers) in each plan year per discounted dollar of investment, calculated as A divided by B where “A” is the</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discounted expected future cash flows and “B” is the discounted capital invested for the plan year, excluding JV partner</w:t>
            </w:r>
          </w:p>
        </w:tc>
      </w:tr>
      <w:tr>
        <w:trPr>
          <w:trHeight w:val="148"/>
        </w:trPr>
        <w:tc>
          <w:tcPr>
            <w:tcW w:w="3540" w:type="dxa"/>
            <w:vAlign w:val="bottom"/>
            <w:tcBorders>
              <w:left w:val="single" w:sz="8" w:color="auto"/>
              <w:right w:val="single" w:sz="8" w:color="auto"/>
            </w:tcBorders>
          </w:tcPr>
          <w:p>
            <w:pPr>
              <w:spacing w:after="0"/>
              <w:rPr>
                <w:sz w:val="12"/>
                <w:szCs w:val="12"/>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funding.</w:t>
            </w:r>
          </w:p>
        </w:tc>
      </w:tr>
      <w:tr>
        <w:trPr>
          <w:trHeight w:val="150"/>
        </w:trPr>
        <w:tc>
          <w:tcPr>
            <w:tcW w:w="3540" w:type="dxa"/>
            <w:vAlign w:val="bottom"/>
            <w:tcBorders>
              <w:left w:val="single" w:sz="8" w:color="auto"/>
              <w:bottom w:val="single" w:sz="8" w:color="auto"/>
              <w:right w:val="single" w:sz="8" w:color="auto"/>
            </w:tcBorders>
          </w:tcPr>
          <w:p>
            <w:pPr>
              <w:spacing w:after="0"/>
              <w:rPr>
                <w:sz w:val="13"/>
                <w:szCs w:val="13"/>
                <w:color w:val="auto"/>
              </w:rPr>
            </w:pPr>
          </w:p>
        </w:tc>
        <w:tc>
          <w:tcPr>
            <w:tcW w:w="6740" w:type="dxa"/>
            <w:vAlign w:val="bottom"/>
            <w:tcBorders>
              <w:bottom w:val="single" w:sz="8" w:color="auto"/>
              <w:right w:val="single" w:sz="8" w:color="auto"/>
            </w:tcBorders>
          </w:tcPr>
          <w:p>
            <w:pPr>
              <w:spacing w:after="0"/>
              <w:rPr>
                <w:sz w:val="13"/>
                <w:szCs w:val="13"/>
                <w:color w:val="auto"/>
              </w:rPr>
            </w:pPr>
          </w:p>
        </w:tc>
      </w:tr>
      <w:tr>
        <w:trPr>
          <w:trHeight w:val="120"/>
        </w:trPr>
        <w:tc>
          <w:tcPr>
            <w:tcW w:w="3540" w:type="dxa"/>
            <w:vAlign w:val="bottom"/>
            <w:tcBorders>
              <w:left w:val="single" w:sz="8" w:color="auto"/>
              <w:right w:val="single" w:sz="8" w:color="auto"/>
            </w:tcBorders>
          </w:tcPr>
          <w:p>
            <w:pPr>
              <w:spacing w:after="0"/>
              <w:rPr>
                <w:sz w:val="10"/>
                <w:szCs w:val="10"/>
                <w:color w:val="auto"/>
              </w:rPr>
            </w:pPr>
          </w:p>
        </w:tc>
        <w:tc>
          <w:tcPr>
            <w:tcW w:w="674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The discounted expected future cash flows of the 2020 investments would have been calculated by taking our share of</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future revenues minus production costs and production taxes but before any general and administrative charges, interest</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expense, income taxes and other corporate payments. The future cash flow calculations would have been based on the</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SEC price for each respective year and include impacts of hedges placed within the calendar year. Discounting would</w:t>
            </w:r>
          </w:p>
        </w:tc>
      </w:tr>
      <w:tr>
        <w:trPr>
          <w:trHeight w:val="133"/>
        </w:trPr>
        <w:tc>
          <w:tcPr>
            <w:tcW w:w="354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have been at 10% (consistent with SEC requirements). Except as otherwise stated, all values would have been</w:t>
            </w:r>
          </w:p>
        </w:tc>
      </w:tr>
      <w:tr>
        <w:trPr>
          <w:trHeight w:val="138"/>
        </w:trPr>
        <w:tc>
          <w:tcPr>
            <w:tcW w:w="3540" w:type="dxa"/>
            <w:vAlign w:val="bottom"/>
            <w:tcBorders>
              <w:left w:val="single" w:sz="8" w:color="auto"/>
              <w:bottom w:val="single" w:sz="8" w:color="auto"/>
              <w:right w:val="single" w:sz="8" w:color="auto"/>
            </w:tcBorders>
          </w:tcPr>
          <w:p>
            <w:pPr>
              <w:spacing w:after="0"/>
              <w:rPr>
                <w:sz w:val="12"/>
                <w:szCs w:val="12"/>
                <w:color w:val="auto"/>
              </w:rPr>
            </w:pPr>
          </w:p>
        </w:tc>
        <w:tc>
          <w:tcPr>
            <w:tcW w:w="6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determined consistently with SEC regulations.</w:t>
            </w:r>
          </w:p>
        </w:tc>
      </w:tr>
      <w:tr>
        <w:trPr>
          <w:trHeight w:val="126"/>
        </w:trPr>
        <w:tc>
          <w:tcPr>
            <w:tcW w:w="354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2"/>
                <w:szCs w:val="12"/>
                <w:color w:val="auto"/>
              </w:rPr>
              <w:t>Safety – Combined IIR</w:t>
            </w:r>
          </w:p>
        </w:tc>
        <w:tc>
          <w:tcPr>
            <w:tcW w:w="674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2"/>
                <w:szCs w:val="12"/>
                <w:color w:val="auto"/>
              </w:rPr>
              <w:t>Injury and illness incidence rate of employees and contractors.</w:t>
            </w:r>
          </w:p>
        </w:tc>
      </w:tr>
      <w:tr>
        <w:trPr>
          <w:trHeight w:val="126"/>
        </w:trPr>
        <w:tc>
          <w:tcPr>
            <w:tcW w:w="354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2"/>
                <w:szCs w:val="12"/>
                <w:color w:val="auto"/>
              </w:rPr>
              <w:t>Spill prevention rate</w:t>
            </w:r>
          </w:p>
        </w:tc>
        <w:tc>
          <w:tcPr>
            <w:tcW w:w="674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2"/>
                <w:szCs w:val="12"/>
                <w:color w:val="auto"/>
              </w:rPr>
              <w:t>(Boe produced minus net reportable oil spill volume) divided by Boe produced.</w:t>
            </w:r>
          </w:p>
        </w:tc>
      </w:tr>
      <w:tr>
        <w:trPr>
          <w:trHeight w:val="126"/>
        </w:trPr>
        <w:tc>
          <w:tcPr>
            <w:tcW w:w="354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2"/>
                <w:szCs w:val="12"/>
                <w:color w:val="auto"/>
              </w:rPr>
              <w:t>Net water supplied to agriculture</w:t>
            </w:r>
          </w:p>
        </w:tc>
        <w:tc>
          <w:tcPr>
            <w:tcW w:w="674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2"/>
                <w:szCs w:val="12"/>
                <w:color w:val="auto"/>
              </w:rPr>
              <w:t>Water supplied to agriculture divided by fresh water purchased.</w:t>
            </w:r>
          </w:p>
        </w:tc>
      </w:tr>
      <w:tr>
        <w:trPr>
          <w:trHeight w:val="120"/>
        </w:trPr>
        <w:tc>
          <w:tcPr>
            <w:tcW w:w="3540" w:type="dxa"/>
            <w:vAlign w:val="bottom"/>
            <w:tcBorders>
              <w:left w:val="single" w:sz="8" w:color="auto"/>
              <w:right w:val="single" w:sz="8" w:color="auto"/>
            </w:tcBorders>
          </w:tcPr>
          <w:p>
            <w:pPr>
              <w:ind w:left="100"/>
              <w:spacing w:after="0" w:line="120" w:lineRule="exact"/>
              <w:rPr>
                <w:sz w:val="20"/>
                <w:szCs w:val="20"/>
                <w:color w:val="auto"/>
              </w:rPr>
            </w:pPr>
            <w:r>
              <w:rPr>
                <w:rFonts w:ascii="Arial" w:cs="Arial" w:eastAsia="Arial" w:hAnsi="Arial"/>
                <w:sz w:val="12"/>
                <w:szCs w:val="12"/>
                <w:color w:val="auto"/>
              </w:rPr>
              <w:t>Project milestones relating to</w:t>
            </w:r>
          </w:p>
        </w:tc>
        <w:tc>
          <w:tcPr>
            <w:tcW w:w="674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In order to advance our 2030 Sustainability Goals, which are multi-year endeavors, attainment of these metrics</w:t>
            </w:r>
          </w:p>
        </w:tc>
      </w:tr>
      <w:tr>
        <w:trPr>
          <w:trHeight w:val="133"/>
        </w:trPr>
        <w:tc>
          <w:tcPr>
            <w:tcW w:w="3540" w:type="dxa"/>
            <w:vAlign w:val="bottom"/>
            <w:tcBorders>
              <w:left w:val="single" w:sz="8" w:color="auto"/>
              <w:right w:val="single" w:sz="8" w:color="auto"/>
            </w:tcBorders>
          </w:tcPr>
          <w:p>
            <w:pPr>
              <w:ind w:left="480"/>
              <w:spacing w:after="0" w:line="133" w:lineRule="exact"/>
              <w:rPr>
                <w:sz w:val="20"/>
                <w:szCs w:val="20"/>
                <w:color w:val="auto"/>
              </w:rPr>
            </w:pPr>
            <w:r>
              <w:rPr>
                <w:rFonts w:ascii="Arial" w:cs="Arial" w:eastAsia="Arial" w:hAnsi="Arial"/>
                <w:sz w:val="12"/>
                <w:szCs w:val="12"/>
                <w:color w:val="auto"/>
              </w:rPr>
              <w:t>Water recycling</w:t>
            </w: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would have been based on specific project milestones achieved during 2020 for each area. See</w:t>
            </w:r>
          </w:p>
        </w:tc>
      </w:tr>
      <w:tr>
        <w:trPr>
          <w:trHeight w:val="133"/>
        </w:trPr>
        <w:tc>
          <w:tcPr>
            <w:tcW w:w="3540" w:type="dxa"/>
            <w:vAlign w:val="bottom"/>
            <w:tcBorders>
              <w:left w:val="single" w:sz="8" w:color="auto"/>
              <w:right w:val="single" w:sz="8" w:color="auto"/>
            </w:tcBorders>
          </w:tcPr>
          <w:p>
            <w:pPr>
              <w:ind w:left="480"/>
              <w:spacing w:after="0" w:line="133" w:lineRule="exact"/>
              <w:rPr>
                <w:sz w:val="20"/>
                <w:szCs w:val="20"/>
                <w:color w:val="auto"/>
              </w:rPr>
            </w:pPr>
            <w:r>
              <w:rPr>
                <w:rFonts w:ascii="Arial" w:cs="Arial" w:eastAsia="Arial" w:hAnsi="Arial"/>
                <w:sz w:val="12"/>
                <w:szCs w:val="12"/>
                <w:color w:val="auto"/>
              </w:rPr>
              <w:t>Renewable energy</w:t>
            </w:r>
          </w:p>
        </w:tc>
        <w:tc>
          <w:tcPr>
            <w:tcW w:w="6740" w:type="dxa"/>
            <w:vAlign w:val="bottom"/>
            <w:tcBorders>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www.crc.com/sustainability for more information regarding our 2030 Sustainability Goals.</w:t>
            </w:r>
          </w:p>
        </w:tc>
      </w:tr>
      <w:tr>
        <w:trPr>
          <w:trHeight w:val="133"/>
        </w:trPr>
        <w:tc>
          <w:tcPr>
            <w:tcW w:w="3540" w:type="dxa"/>
            <w:vAlign w:val="bottom"/>
            <w:tcBorders>
              <w:left w:val="single" w:sz="8" w:color="auto"/>
              <w:right w:val="single" w:sz="8" w:color="auto"/>
            </w:tcBorders>
          </w:tcPr>
          <w:p>
            <w:pPr>
              <w:ind w:left="480"/>
              <w:spacing w:after="0" w:line="133" w:lineRule="exact"/>
              <w:rPr>
                <w:sz w:val="20"/>
                <w:szCs w:val="20"/>
                <w:color w:val="auto"/>
              </w:rPr>
            </w:pPr>
            <w:r>
              <w:rPr>
                <w:rFonts w:ascii="Arial" w:cs="Arial" w:eastAsia="Arial" w:hAnsi="Arial"/>
                <w:sz w:val="12"/>
                <w:szCs w:val="12"/>
                <w:color w:val="auto"/>
              </w:rPr>
              <w:t>Methane capture</w:t>
            </w:r>
          </w:p>
        </w:tc>
        <w:tc>
          <w:tcPr>
            <w:tcW w:w="6740" w:type="dxa"/>
            <w:vAlign w:val="bottom"/>
            <w:tcBorders>
              <w:right w:val="single" w:sz="8" w:color="auto"/>
            </w:tcBorders>
          </w:tcPr>
          <w:p>
            <w:pPr>
              <w:spacing w:after="0"/>
              <w:rPr>
                <w:sz w:val="11"/>
                <w:szCs w:val="11"/>
                <w:color w:val="auto"/>
              </w:rPr>
            </w:pPr>
          </w:p>
        </w:tc>
      </w:tr>
      <w:tr>
        <w:trPr>
          <w:trHeight w:val="133"/>
        </w:trPr>
        <w:tc>
          <w:tcPr>
            <w:tcW w:w="3540" w:type="dxa"/>
            <w:vAlign w:val="bottom"/>
            <w:tcBorders>
              <w:left w:val="single" w:sz="8" w:color="auto"/>
              <w:right w:val="single" w:sz="8" w:color="auto"/>
            </w:tcBorders>
          </w:tcPr>
          <w:p>
            <w:pPr>
              <w:ind w:left="480"/>
              <w:spacing w:after="0" w:line="133" w:lineRule="exact"/>
              <w:rPr>
                <w:sz w:val="20"/>
                <w:szCs w:val="20"/>
                <w:color w:val="auto"/>
              </w:rPr>
            </w:pPr>
            <w:r>
              <w:rPr>
                <w:rFonts w:ascii="Arial" w:cs="Arial" w:eastAsia="Arial" w:hAnsi="Arial"/>
                <w:sz w:val="12"/>
                <w:szCs w:val="12"/>
                <w:color w:val="auto"/>
              </w:rPr>
              <w:t>Carbon capture</w:t>
            </w:r>
          </w:p>
        </w:tc>
        <w:tc>
          <w:tcPr>
            <w:tcW w:w="6740" w:type="dxa"/>
            <w:vAlign w:val="bottom"/>
            <w:tcBorders>
              <w:right w:val="single" w:sz="8" w:color="auto"/>
            </w:tcBorders>
          </w:tcPr>
          <w:p>
            <w:pPr>
              <w:spacing w:after="0"/>
              <w:rPr>
                <w:sz w:val="11"/>
                <w:szCs w:val="11"/>
                <w:color w:val="auto"/>
              </w:rPr>
            </w:pPr>
          </w:p>
        </w:tc>
      </w:tr>
      <w:tr>
        <w:trPr>
          <w:trHeight w:val="133"/>
        </w:trPr>
        <w:tc>
          <w:tcPr>
            <w:tcW w:w="3540" w:type="dxa"/>
            <w:vAlign w:val="bottom"/>
            <w:tcBorders>
              <w:left w:val="single" w:sz="8" w:color="auto"/>
              <w:right w:val="single" w:sz="8" w:color="auto"/>
            </w:tcBorders>
          </w:tcPr>
          <w:p>
            <w:pPr>
              <w:ind w:left="480"/>
              <w:spacing w:after="0" w:line="133" w:lineRule="exact"/>
              <w:rPr>
                <w:sz w:val="20"/>
                <w:szCs w:val="20"/>
                <w:color w:val="auto"/>
              </w:rPr>
            </w:pPr>
            <w:r>
              <w:rPr>
                <w:rFonts w:ascii="Arial" w:cs="Arial" w:eastAsia="Arial" w:hAnsi="Arial"/>
                <w:sz w:val="12"/>
                <w:szCs w:val="12"/>
                <w:color w:val="auto"/>
              </w:rPr>
              <w:t>Workforce diversity and development</w:t>
            </w:r>
          </w:p>
        </w:tc>
        <w:tc>
          <w:tcPr>
            <w:tcW w:w="6740" w:type="dxa"/>
            <w:vAlign w:val="bottom"/>
            <w:tcBorders>
              <w:right w:val="single" w:sz="8" w:color="auto"/>
            </w:tcBorders>
          </w:tcPr>
          <w:p>
            <w:pPr>
              <w:spacing w:after="0"/>
              <w:rPr>
                <w:sz w:val="11"/>
                <w:szCs w:val="11"/>
                <w:color w:val="auto"/>
              </w:rPr>
            </w:pPr>
          </w:p>
        </w:tc>
      </w:tr>
      <w:tr>
        <w:trPr>
          <w:trHeight w:val="138"/>
        </w:trPr>
        <w:tc>
          <w:tcPr>
            <w:tcW w:w="354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Community partnerships</w:t>
            </w:r>
          </w:p>
        </w:tc>
        <w:tc>
          <w:tcPr>
            <w:tcW w:w="6740" w:type="dxa"/>
            <w:vAlign w:val="bottom"/>
            <w:tcBorders>
              <w:bottom w:val="single" w:sz="8" w:color="auto"/>
              <w:right w:val="single" w:sz="8" w:color="auto"/>
            </w:tcBorders>
          </w:tcPr>
          <w:p>
            <w:pPr>
              <w:spacing w:after="0"/>
              <w:rPr>
                <w:sz w:val="12"/>
                <w:szCs w:val="12"/>
                <w:color w:val="auto"/>
              </w:rPr>
            </w:pPr>
          </w:p>
        </w:tc>
      </w:tr>
      <w:tr>
        <w:trPr>
          <w:trHeight w:val="126"/>
        </w:trPr>
        <w:tc>
          <w:tcPr>
            <w:tcW w:w="354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2"/>
                <w:szCs w:val="12"/>
                <w:color w:val="auto"/>
              </w:rPr>
              <w:t>Adjusted EBITDAX</w:t>
            </w:r>
          </w:p>
        </w:tc>
        <w:tc>
          <w:tcPr>
            <w:tcW w:w="674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2"/>
                <w:szCs w:val="12"/>
                <w:color w:val="auto"/>
              </w:rPr>
              <w:t>EBITDAX adjusted to remove certain one-time or unusual items.</w:t>
            </w:r>
          </w:p>
        </w:tc>
      </w:tr>
      <w:tr>
        <w:trPr>
          <w:trHeight w:val="126"/>
        </w:trPr>
        <w:tc>
          <w:tcPr>
            <w:tcW w:w="3540" w:type="dxa"/>
            <w:vAlign w:val="bottom"/>
            <w:tcBorders>
              <w:left w:val="single" w:sz="8" w:color="auto"/>
              <w:bottom w:val="single" w:sz="8" w:color="auto"/>
              <w:right w:val="single" w:sz="8" w:color="auto"/>
            </w:tcBorders>
          </w:tcPr>
          <w:p>
            <w:pPr>
              <w:ind w:left="100"/>
              <w:spacing w:after="0" w:line="126" w:lineRule="exact"/>
              <w:rPr>
                <w:sz w:val="20"/>
                <w:szCs w:val="20"/>
                <w:color w:val="auto"/>
              </w:rPr>
            </w:pPr>
            <w:r>
              <w:rPr>
                <w:rFonts w:ascii="Arial" w:cs="Arial" w:eastAsia="Arial" w:hAnsi="Arial"/>
                <w:sz w:val="12"/>
                <w:szCs w:val="12"/>
                <w:color w:val="auto"/>
              </w:rPr>
              <w:t>Net Debt</w:t>
            </w:r>
          </w:p>
        </w:tc>
        <w:tc>
          <w:tcPr>
            <w:tcW w:w="6740" w:type="dxa"/>
            <w:vAlign w:val="bottom"/>
            <w:tcBorders>
              <w:bottom w:val="single" w:sz="8" w:color="auto"/>
              <w:right w:val="single" w:sz="8" w:color="auto"/>
            </w:tcBorders>
          </w:tcPr>
          <w:p>
            <w:pPr>
              <w:ind w:left="80"/>
              <w:spacing w:after="0" w:line="126" w:lineRule="exact"/>
              <w:rPr>
                <w:sz w:val="20"/>
                <w:szCs w:val="20"/>
                <w:color w:val="auto"/>
              </w:rPr>
            </w:pPr>
            <w:r>
              <w:rPr>
                <w:rFonts w:ascii="Arial" w:cs="Arial" w:eastAsia="Arial" w:hAnsi="Arial"/>
                <w:sz w:val="12"/>
                <w:szCs w:val="12"/>
                <w:color w:val="auto"/>
              </w:rPr>
              <w:t>Face value of outstanding debt less unrestricted cash.</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 executives were subject to the same investment, sustainability, and liquidity quantitative measures.</w:t>
      </w:r>
    </w:p>
    <w:p>
      <w:pPr>
        <w:spacing w:after="0" w:line="204"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Original 2020 Annual Incentive Targets</w:t>
      </w: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Former Compensation Committee reviewed the annual incentive targets for each of our NEOs against the 2020 Peer Group market data, and with consideration to internal alignment. In February 2020, the Former Compensation Committee determined that the original 2020 annual incentive targets for the NEOs, other than Messrs. Leon and Weiss, remained appropriate at the 2019 levels and no changes were made for 2020. For Messrs. Leon and Weiss, the Former Compensation Committee determined their targets should be increased by 5% based on the scope of their jobs and internal alignment.</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0075C9"/>
              </w:rPr>
              <w:t>Name</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0075C9"/>
              </w:rPr>
              <w:t>2020 Annual Incentive Target</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0075C9"/>
              </w:rPr>
              <w:t>2019 Annual Incentive Target</w:t>
            </w:r>
          </w:p>
        </w:tc>
        <w:tc>
          <w:tcPr>
            <w:tcW w:w="0" w:type="dxa"/>
            <w:vAlign w:val="bottom"/>
          </w:tcPr>
          <w:p>
            <w:pPr>
              <w:spacing w:after="0"/>
              <w:rPr>
                <w:sz w:val="1"/>
                <w:szCs w:val="1"/>
                <w:color w:val="auto"/>
              </w:rPr>
            </w:pPr>
          </w:p>
        </w:tc>
      </w:tr>
      <w:tr>
        <w:trPr>
          <w:trHeight w:val="172"/>
        </w:trPr>
        <w:tc>
          <w:tcPr>
            <w:tcW w:w="2060" w:type="dxa"/>
            <w:vAlign w:val="bottom"/>
            <w:tcBorders>
              <w:bottom w:val="single" w:sz="8" w:color="0070C0"/>
            </w:tcBorders>
            <w:vMerge w:val="continue"/>
          </w:tcPr>
          <w:p>
            <w:pPr>
              <w:spacing w:after="0"/>
              <w:rPr>
                <w:sz w:val="14"/>
                <w:szCs w:val="14"/>
                <w:color w:val="auto"/>
              </w:rPr>
            </w:pPr>
          </w:p>
        </w:tc>
        <w:tc>
          <w:tcPr>
            <w:tcW w:w="280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base salary)</w:t>
            </w:r>
          </w:p>
        </w:tc>
        <w:tc>
          <w:tcPr>
            <w:tcW w:w="300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base salary)</w:t>
            </w:r>
          </w:p>
        </w:tc>
        <w:tc>
          <w:tcPr>
            <w:tcW w:w="0" w:type="dxa"/>
            <w:vAlign w:val="bottom"/>
          </w:tcPr>
          <w:p>
            <w:pPr>
              <w:spacing w:after="0"/>
              <w:rPr>
                <w:sz w:val="1"/>
                <w:szCs w:val="1"/>
                <w:color w:val="auto"/>
              </w:rPr>
            </w:pPr>
          </w:p>
        </w:tc>
      </w:tr>
      <w:tr>
        <w:trPr>
          <w:trHeight w:val="181"/>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Todd A. Stevens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12"/>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Francisco J. Leon</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75%</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70%</w:t>
            </w:r>
          </w:p>
        </w:tc>
        <w:tc>
          <w:tcPr>
            <w:tcW w:w="0" w:type="dxa"/>
            <w:vAlign w:val="bottom"/>
          </w:tcPr>
          <w:p>
            <w:pPr>
              <w:spacing w:after="0"/>
              <w:rPr>
                <w:sz w:val="1"/>
                <w:szCs w:val="1"/>
                <w:color w:val="auto"/>
              </w:rPr>
            </w:pPr>
          </w:p>
        </w:tc>
      </w:tr>
      <w:tr>
        <w:trPr>
          <w:trHeight w:val="212"/>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Marshall D. Smith</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5"/>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Charles F. Weiss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85%</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80%</w:t>
            </w:r>
          </w:p>
        </w:tc>
        <w:tc>
          <w:tcPr>
            <w:tcW w:w="0" w:type="dxa"/>
            <w:vAlign w:val="bottom"/>
          </w:tcPr>
          <w:p>
            <w:pPr>
              <w:spacing w:after="0"/>
              <w:rPr>
                <w:sz w:val="1"/>
                <w:szCs w:val="1"/>
                <w:color w:val="auto"/>
              </w:rPr>
            </w:pPr>
          </w:p>
        </w:tc>
      </w:tr>
      <w:tr>
        <w:trPr>
          <w:trHeight w:val="225"/>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Shawn M. Kerns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0" w:type="dxa"/>
            <w:vAlign w:val="bottom"/>
          </w:tcPr>
          <w:p>
            <w:pPr>
              <w:spacing w:after="0"/>
              <w:rPr>
                <w:sz w:val="1"/>
                <w:szCs w:val="1"/>
                <w:color w:val="auto"/>
              </w:rPr>
            </w:pPr>
          </w:p>
        </w:tc>
      </w:tr>
      <w:tr>
        <w:trPr>
          <w:trHeight w:val="212"/>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Darren Williams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c>
          <w:tcPr>
            <w:tcW w:w="0" w:type="dxa"/>
            <w:vAlign w:val="bottom"/>
          </w:tcPr>
          <w:p>
            <w:pPr>
              <w:spacing w:after="0"/>
              <w:rPr>
                <w:sz w:val="1"/>
                <w:szCs w:val="1"/>
                <w:color w:val="auto"/>
              </w:rPr>
            </w:pPr>
          </w:p>
        </w:tc>
      </w:tr>
      <w:tr>
        <w:trPr>
          <w:trHeight w:val="24"/>
        </w:trPr>
        <w:tc>
          <w:tcPr>
            <w:tcW w:w="2060" w:type="dxa"/>
            <w:vAlign w:val="bottom"/>
            <w:shd w:val="clear" w:color="auto" w:fill="EBEBEC"/>
          </w:tcPr>
          <w:p>
            <w:pPr>
              <w:spacing w:after="0"/>
              <w:rPr>
                <w:sz w:val="2"/>
                <w:szCs w:val="2"/>
                <w:color w:val="auto"/>
              </w:rPr>
            </w:pPr>
          </w:p>
        </w:tc>
        <w:tc>
          <w:tcPr>
            <w:tcW w:w="2800" w:type="dxa"/>
            <w:vAlign w:val="bottom"/>
            <w:shd w:val="clear" w:color="auto" w:fill="EBEBEC"/>
          </w:tcPr>
          <w:p>
            <w:pPr>
              <w:spacing w:after="0"/>
              <w:rPr>
                <w:sz w:val="2"/>
                <w:szCs w:val="2"/>
                <w:color w:val="auto"/>
              </w:rPr>
            </w:pPr>
          </w:p>
        </w:tc>
        <w:tc>
          <w:tcPr>
            <w:tcW w:w="3000" w:type="dxa"/>
            <w:vAlign w:val="bottom"/>
            <w:shd w:val="clear" w:color="auto" w:fill="EBEB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-832485</wp:posOffset>
            </wp:positionV>
            <wp:extent cx="4989195" cy="841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89195" cy="8413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Original 2020 Long-Term Incentives</w:t>
      </w:r>
    </w:p>
    <w:p>
      <w:pPr>
        <w:spacing w:after="0" w:line="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the Original 2020 Compensation Program, the long-term incentives (“</w:t>
      </w:r>
      <w:r>
        <w:rPr>
          <w:rFonts w:ascii="Arial" w:cs="Arial" w:eastAsia="Arial" w:hAnsi="Arial"/>
          <w:sz w:val="18"/>
          <w:szCs w:val="18"/>
          <w:b w:val="1"/>
          <w:bCs w:val="1"/>
          <w:color w:val="auto"/>
        </w:rPr>
        <w:t>LTI</w:t>
      </w:r>
      <w:r>
        <w:rPr>
          <w:rFonts w:ascii="Arial" w:cs="Arial" w:eastAsia="Arial" w:hAnsi="Arial"/>
          <w:sz w:val="18"/>
          <w:szCs w:val="18"/>
          <w:color w:val="auto"/>
        </w:rPr>
        <w:t>”) consisted of a mix of time-vested restricted stock unit awards and performance-based awards, to promote retention and pay for performance. The total grant date values were allocated 40% to time-vested restricted stock unit awards and 60% to performance-based awards. The performance-based awards consisted of performance stock unit awards and premium-priced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1896745</wp:posOffset>
            </wp:positionH>
            <wp:positionV relativeFrom="paragraph">
              <wp:posOffset>220980</wp:posOffset>
            </wp:positionV>
            <wp:extent cx="3609340" cy="20275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09340" cy="202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2020 Restricted Stock Unit Award </w:t>
      </w:r>
      <w:r>
        <w:rPr>
          <w:rFonts w:ascii="Arial" w:cs="Arial" w:eastAsia="Arial" w:hAnsi="Arial"/>
          <w:sz w:val="18"/>
          <w:szCs w:val="18"/>
          <w:color w:val="auto"/>
        </w:rPr>
        <w:t>– The 2020 Restricted Stock Unit Award (“</w:t>
      </w:r>
      <w:r>
        <w:rPr>
          <w:rFonts w:ascii="Arial" w:cs="Arial" w:eastAsia="Arial" w:hAnsi="Arial"/>
          <w:sz w:val="18"/>
          <w:szCs w:val="18"/>
          <w:b w:val="1"/>
          <w:bCs w:val="1"/>
          <w:color w:val="auto"/>
        </w:rPr>
        <w:t>2020 RSU Award</w:t>
      </w:r>
      <w:r>
        <w:rPr>
          <w:rFonts w:ascii="Arial" w:cs="Arial" w:eastAsia="Arial" w:hAnsi="Arial"/>
          <w:sz w:val="18"/>
          <w:szCs w:val="18"/>
          <w:color w:val="auto"/>
        </w:rPr>
        <w:t>”) was a stock-based, stock- and cash-settled long-term incentive award intended to primarily promote retention and enhance alignment with stockholder interests through development of ownership in the Company with time- vested payouts. One- third of the 2020 RSU Award was to vest at the end of each year during the three -year period commencing at the grant date. The 2020 RSU Award would have been settled 50% in shares and 50% in cash with required tax withholding taken first from the cash portion of the payout.</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2020 Performance Stock Unit Award </w:t>
      </w:r>
      <w:r>
        <w:rPr>
          <w:rFonts w:ascii="Arial" w:cs="Arial" w:eastAsia="Arial" w:hAnsi="Arial"/>
          <w:sz w:val="18"/>
          <w:szCs w:val="18"/>
          <w:color w:val="auto"/>
        </w:rPr>
        <w:t>– The 2020 Performance Stock Unit Award (“</w:t>
      </w:r>
      <w:r>
        <w:rPr>
          <w:rFonts w:ascii="Arial" w:cs="Arial" w:eastAsia="Arial" w:hAnsi="Arial"/>
          <w:sz w:val="18"/>
          <w:szCs w:val="18"/>
          <w:b w:val="1"/>
          <w:bCs w:val="1"/>
          <w:color w:val="auto"/>
        </w:rPr>
        <w:t>2020 PSU Award</w:t>
      </w:r>
      <w:r>
        <w:rPr>
          <w:rFonts w:ascii="Arial" w:cs="Arial" w:eastAsia="Arial" w:hAnsi="Arial"/>
          <w:sz w:val="18"/>
          <w:szCs w:val="18"/>
          <w:color w:val="auto"/>
        </w:rPr>
        <w:t>”) was a stock-based,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-settled long-term performance award with performance measures based 50% on relative total shareholder return and 50% on VCI, both measured over a three-year period. For payouts up to the target number of units, the 2020 PSU Award would have been settled 50% in stock and 50% in cash. For payouts greater than the target number of units, the payout of such excess units would have been settled in cash. Required tax withholding on payouts would have been taken first from the cash portion of the payouts.</w:t>
      </w:r>
    </w:p>
    <w:p>
      <w:pPr>
        <w:spacing w:after="0" w:line="20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performance measures for the 2020 PSU Award continued to focus the management team on making decisions that would enhance stockholder value over the long term. Utilization of the VCI measure drove our capital allocation decisions to ensure that we focused spending on the highest return projects over the long term. The relative total shareholder return measure directly ties compensation to shareholder returns.</w:t>
      </w:r>
    </w:p>
    <w:p>
      <w:pPr>
        <w:spacing w:after="0" w:line="200"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The peer companies chosen for the relative total shareholder return performance measures under these awards were the same as those selected by the Former Compensation Committee for the 2020 Compensation Peer Group, as shown above, excluding Carrizo Oil &amp; Gas, Inc., due to its acquisition by Callon Petroleum Company.</w:t>
      </w:r>
    </w:p>
    <w:p>
      <w:pPr>
        <w:spacing w:after="0" w:line="20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PSU Award would have vested at the end of three years from the grant date based on achieved performance against pre-established performance criteria.</w:t>
      </w:r>
    </w:p>
    <w:p>
      <w:pPr>
        <w:spacing w:after="0" w:line="177"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 xml:space="preserve">2020 Stock Options </w:t>
      </w:r>
      <w:r>
        <w:rPr>
          <w:rFonts w:ascii="Arial" w:cs="Arial" w:eastAsia="Arial" w:hAnsi="Arial"/>
          <w:sz w:val="18"/>
          <w:szCs w:val="18"/>
          <w:color w:val="auto"/>
        </w:rPr>
        <w:t>– The Former Compensation Committee granted stock options as part of the original 2020 long- 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further align executives with stockholders. The 2020 stock options were granted with an exercise price that was 10% above stock price on the grant date. The options would have vested one-third at the end of each year during the three-year period commencing on the grant date and remained exercisable until the end of the seventh year following the grant date.</w:t>
      </w:r>
    </w:p>
    <w:p>
      <w:pPr>
        <w:spacing w:after="0" w:line="20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Former Compensation Committee reviewed the LTI grant date target values of the NEOs to determine if they remained appropriately positioned against the 2020 Peer Group data and internally aligned. The Former Compensation Committee set the long-term incentive grant date values for the CEO and other NEOs at the same amounts as 2019 based on the individual’s performance and position relative to peer group compensation data.</w:t>
      </w:r>
    </w:p>
    <w:p>
      <w:pPr>
        <w:spacing w:after="0" w:line="212"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0075C9"/>
              </w:rPr>
              <w:t>Original</w:t>
            </w:r>
          </w:p>
        </w:tc>
      </w:tr>
      <w:tr>
        <w:trPr>
          <w:trHeight w:val="159"/>
        </w:trPr>
        <w:tc>
          <w:tcPr>
            <w:tcW w:w="2840" w:type="dxa"/>
            <w:vAlign w:val="bottom"/>
          </w:tcPr>
          <w:p>
            <w:pPr>
              <w:spacing w:after="0"/>
              <w:rPr>
                <w:sz w:val="13"/>
                <w:szCs w:val="13"/>
                <w:color w:val="auto"/>
              </w:rPr>
            </w:pPr>
          </w:p>
        </w:tc>
        <w:tc>
          <w:tcPr>
            <w:tcW w:w="2520" w:type="dxa"/>
            <w:vAlign w:val="bottom"/>
          </w:tcPr>
          <w:p>
            <w:pPr>
              <w:jc w:val="center"/>
              <w:spacing w:after="0" w:line="159" w:lineRule="exact"/>
              <w:rPr>
                <w:sz w:val="20"/>
                <w:szCs w:val="20"/>
                <w:color w:val="auto"/>
              </w:rPr>
            </w:pPr>
            <w:r>
              <w:rPr>
                <w:rFonts w:ascii="Arial" w:cs="Arial" w:eastAsia="Arial" w:hAnsi="Arial"/>
                <w:sz w:val="14"/>
                <w:szCs w:val="14"/>
                <w:b w:val="1"/>
                <w:bCs w:val="1"/>
                <w:color w:val="0075C9"/>
              </w:rPr>
              <w:t>2020 LTI Grant</w:t>
            </w:r>
          </w:p>
        </w:tc>
      </w:tr>
      <w:tr>
        <w:trPr>
          <w:trHeight w:val="159"/>
        </w:trPr>
        <w:tc>
          <w:tcPr>
            <w:tcW w:w="2840" w:type="dxa"/>
            <w:vAlign w:val="bottom"/>
          </w:tcPr>
          <w:p>
            <w:pPr>
              <w:spacing w:after="0"/>
              <w:rPr>
                <w:sz w:val="13"/>
                <w:szCs w:val="13"/>
                <w:color w:val="auto"/>
              </w:rPr>
            </w:pPr>
          </w:p>
        </w:tc>
        <w:tc>
          <w:tcPr>
            <w:tcW w:w="2520" w:type="dxa"/>
            <w:vAlign w:val="bottom"/>
          </w:tcPr>
          <w:p>
            <w:pPr>
              <w:jc w:val="center"/>
              <w:spacing w:after="0" w:line="159" w:lineRule="exact"/>
              <w:rPr>
                <w:sz w:val="20"/>
                <w:szCs w:val="20"/>
                <w:color w:val="auto"/>
              </w:rPr>
            </w:pPr>
            <w:r>
              <w:rPr>
                <w:rFonts w:ascii="Arial" w:cs="Arial" w:eastAsia="Arial" w:hAnsi="Arial"/>
                <w:sz w:val="14"/>
                <w:szCs w:val="14"/>
                <w:b w:val="1"/>
                <w:bCs w:val="1"/>
                <w:color w:val="0075C9"/>
              </w:rPr>
              <w:t>Date Target</w:t>
            </w:r>
          </w:p>
        </w:tc>
      </w:tr>
      <w:tr>
        <w:trPr>
          <w:trHeight w:val="172"/>
        </w:trPr>
        <w:tc>
          <w:tcPr>
            <w:tcW w:w="284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25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Value</w:t>
            </w:r>
          </w:p>
        </w:tc>
      </w:tr>
      <w:tr>
        <w:trPr>
          <w:trHeight w:val="152"/>
        </w:trPr>
        <w:tc>
          <w:tcPr>
            <w:tcW w:w="2840" w:type="dxa"/>
            <w:vAlign w:val="bottom"/>
            <w:shd w:val="clear" w:color="auto" w:fill="EBEBEC"/>
          </w:tcPr>
          <w:p>
            <w:pPr>
              <w:ind w:left="20"/>
              <w:spacing w:after="0" w:line="152" w:lineRule="exact"/>
              <w:rPr>
                <w:sz w:val="20"/>
                <w:szCs w:val="20"/>
                <w:color w:val="auto"/>
              </w:rPr>
            </w:pPr>
            <w:r>
              <w:rPr>
                <w:rFonts w:ascii="Arial" w:cs="Arial" w:eastAsia="Arial" w:hAnsi="Arial"/>
                <w:sz w:val="14"/>
                <w:szCs w:val="14"/>
                <w:b w:val="1"/>
                <w:bCs w:val="1"/>
                <w:color w:val="0075C9"/>
              </w:rPr>
              <w:t>Todd A. Stevens</w:t>
            </w:r>
          </w:p>
        </w:tc>
        <w:tc>
          <w:tcPr>
            <w:tcW w:w="2520" w:type="dxa"/>
            <w:vAlign w:val="bottom"/>
            <w:shd w:val="clear" w:color="auto" w:fill="EBEBEC"/>
          </w:tcPr>
          <w:p>
            <w:pPr>
              <w:jc w:val="center"/>
              <w:spacing w:after="0" w:line="152" w:lineRule="exact"/>
              <w:rPr>
                <w:sz w:val="20"/>
                <w:szCs w:val="20"/>
                <w:color w:val="auto"/>
              </w:rPr>
            </w:pPr>
            <w:r>
              <w:rPr>
                <w:rFonts w:ascii="Arial" w:cs="Arial" w:eastAsia="Arial" w:hAnsi="Arial"/>
                <w:sz w:val="14"/>
                <w:szCs w:val="14"/>
                <w:color w:val="auto"/>
              </w:rPr>
              <w:t>$5,400,000</w:t>
            </w:r>
          </w:p>
        </w:tc>
      </w:tr>
      <w:tr>
        <w:trPr>
          <w:trHeight w:val="185"/>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$2,000,000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$1,150,000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$1,175,000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-664210</wp:posOffset>
            </wp:positionV>
            <wp:extent cx="3399155" cy="673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99155" cy="673100"/>
                    </a:xfrm>
                    <a:prstGeom prst="rect">
                      <a:avLst/>
                    </a:prstGeom>
                    <a:noFill/>
                  </pic:spPr>
                </pic:pic>
              </a:graphicData>
            </a:graphic>
          </wp:anchor>
        </w:drawing>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12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Our Original 2020 Compensation Program was designed to link the pay realized by our executives to the performance of CRC and the returns to our stockholders, while also providing incentives necessary to retain our executives through this challenging period.</w:t>
      </w:r>
    </w:p>
    <w:p>
      <w:pPr>
        <w:spacing w:after="0" w:line="19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pay mix at target grant date values for our CEO and other NEOs under the Original 2020 Compensation Program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143510</wp:posOffset>
            </wp:positionV>
            <wp:extent cx="4198620" cy="2052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98620"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Revised 2020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2"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As commodity market conditions deteriorated in March 2020, the Former Compensation Committee determined it would be in the best interest of shareholders to change the 2020 compensation program to focus on short -term cash incentives, since the Company’s diminishing stock price and increasingly likely bankruptcy filing reduced the retention and motivation value of equity-based compensation.</w:t>
      </w:r>
    </w:p>
    <w:p>
      <w:pPr>
        <w:spacing w:after="0" w:line="200"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After reviewing the Original 2020 Compensation Program in light of the circumstances at the time, the Former Compensation Committee determined that the performance metrics and primarily stock-based compensation awards were no longer appropriate and would not provide the compensation opportunities needed to retain our management team during those challenging times. The Former Compensation Committee engaged Alvarez &amp; Marsal North America LLC (“</w:t>
      </w:r>
      <w:r>
        <w:rPr>
          <w:rFonts w:ascii="Arial" w:cs="Arial" w:eastAsia="Arial" w:hAnsi="Arial"/>
          <w:sz w:val="18"/>
          <w:szCs w:val="18"/>
          <w:b w:val="1"/>
          <w:bCs w:val="1"/>
          <w:color w:val="auto"/>
        </w:rPr>
        <w:t>A&amp;M</w:t>
      </w:r>
      <w:r>
        <w:rPr>
          <w:rFonts w:ascii="Arial" w:cs="Arial" w:eastAsia="Arial" w:hAnsi="Arial"/>
          <w:sz w:val="18"/>
          <w:szCs w:val="18"/>
          <w:color w:val="auto"/>
        </w:rPr>
        <w:t>”), an independent outside compensation consultant, to assist in developing a revised compensation program which was all cash-based with performance metrics for variable compensation opportunities which aligned with the changed priorities of the Company as it restructured following the bankruptcy filing.</w:t>
      </w:r>
    </w:p>
    <w:p>
      <w:pPr>
        <w:spacing w:after="0" w:line="18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Under the revised program (the “</w:t>
      </w:r>
      <w:r>
        <w:rPr>
          <w:rFonts w:ascii="Arial" w:cs="Arial" w:eastAsia="Arial" w:hAnsi="Arial"/>
          <w:sz w:val="18"/>
          <w:szCs w:val="18"/>
          <w:b w:val="1"/>
          <w:bCs w:val="1"/>
          <w:color w:val="auto"/>
        </w:rPr>
        <w:t>Revised 2020 Compensation Program</w:t>
      </w:r>
      <w:r>
        <w:rPr>
          <w:rFonts w:ascii="Arial" w:cs="Arial" w:eastAsia="Arial" w:hAnsi="Arial"/>
          <w:sz w:val="18"/>
          <w:szCs w:val="18"/>
          <w:color w:val="auto"/>
        </w:rPr>
        <w:t>”), each named executive officer was eligible to earn total payments for 2020, at the target level of performance, equal to that named executive officer’s 2020 target annual incentive and grant date target value of the long-term incentive established earlier in the Original 2020 Compensation Program. A portion of each named executive officer’s target opportunity was provided in the form of a retention payment (the “</w:t>
      </w:r>
      <w:r>
        <w:rPr>
          <w:rFonts w:ascii="Arial" w:cs="Arial" w:eastAsia="Arial" w:hAnsi="Arial"/>
          <w:sz w:val="18"/>
          <w:szCs w:val="18"/>
          <w:b w:val="1"/>
          <w:bCs w:val="1"/>
          <w:color w:val="auto"/>
        </w:rPr>
        <w:t>Retention Bonus</w:t>
      </w:r>
      <w:r>
        <w:rPr>
          <w:rFonts w:ascii="Arial" w:cs="Arial" w:eastAsia="Arial" w:hAnsi="Arial"/>
          <w:sz w:val="18"/>
          <w:szCs w:val="18"/>
          <w:color w:val="auto"/>
        </w:rPr>
        <w:t>”) and a portion in the form of a quarterly incentive opportunity (the “</w:t>
      </w:r>
      <w:r>
        <w:rPr>
          <w:rFonts w:ascii="Arial" w:cs="Arial" w:eastAsia="Arial" w:hAnsi="Arial"/>
          <w:sz w:val="18"/>
          <w:szCs w:val="18"/>
          <w:b w:val="1"/>
          <w:bCs w:val="1"/>
          <w:color w:val="auto"/>
        </w:rPr>
        <w:t>Quarterly Incentive Plan</w:t>
      </w:r>
      <w:r>
        <w:rPr>
          <w:rFonts w:ascii="Arial" w:cs="Arial" w:eastAsia="Arial" w:hAnsi="Arial"/>
          <w:sz w:val="18"/>
          <w:szCs w:val="18"/>
          <w:color w:val="auto"/>
        </w:rPr>
        <w:t>”).</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9" w:name="page40"/>
    <w:bookmarkEnd w:id="39"/>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264795</wp:posOffset>
            </wp:positionV>
            <wp:extent cx="5468620" cy="1674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68620" cy="167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target amounts of 2020 variable compensation for the NEOs under the Revised 2020 Compensation Program were not changed from the Original 2020 Compensation Program amounts. The Retention Bonus portion of the annual target opportunity for each of the NEOs was paid immediately, subject to a requirement generally to repay the full amount, on an after-tax basis, if the NEO were to voluntarily terminate employment without good reason or were terminated for cause before the earlier of 18 months following the payment, or the Company’s emergence from bankruptcy. Given our successful emergence from bankruptcy in October 2020, this clawback requirement has terminated. The Retention Bonus replaced, and was equal in amount to, the previously established target amount of the 2020 annual incentive for each of the NEOs under the Original 2020 Compensation Program.</w:t>
      </w:r>
    </w:p>
    <w:p>
      <w:pPr>
        <w:spacing w:after="0" w:line="215"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0075C9"/>
              </w:rPr>
              <w:t>Retention</w:t>
            </w:r>
          </w:p>
        </w:tc>
      </w:tr>
      <w:tr>
        <w:trPr>
          <w:trHeight w:val="159"/>
        </w:trPr>
        <w:tc>
          <w:tcPr>
            <w:tcW w:w="2840" w:type="dxa"/>
            <w:vAlign w:val="bottom"/>
          </w:tcPr>
          <w:p>
            <w:pPr>
              <w:spacing w:after="0"/>
              <w:rPr>
                <w:sz w:val="13"/>
                <w:szCs w:val="13"/>
                <w:color w:val="auto"/>
              </w:rPr>
            </w:pPr>
          </w:p>
        </w:tc>
        <w:tc>
          <w:tcPr>
            <w:tcW w:w="2520" w:type="dxa"/>
            <w:vAlign w:val="bottom"/>
          </w:tcPr>
          <w:p>
            <w:pPr>
              <w:jc w:val="center"/>
              <w:spacing w:after="0" w:line="159" w:lineRule="exact"/>
              <w:rPr>
                <w:sz w:val="20"/>
                <w:szCs w:val="20"/>
                <w:color w:val="auto"/>
              </w:rPr>
            </w:pPr>
            <w:r>
              <w:rPr>
                <w:rFonts w:ascii="Arial" w:cs="Arial" w:eastAsia="Arial" w:hAnsi="Arial"/>
                <w:sz w:val="14"/>
                <w:szCs w:val="14"/>
                <w:b w:val="1"/>
                <w:bCs w:val="1"/>
                <w:color w:val="0075C9"/>
              </w:rPr>
              <w:t>Bonus</w:t>
            </w:r>
          </w:p>
        </w:tc>
      </w:tr>
      <w:tr>
        <w:trPr>
          <w:trHeight w:val="172"/>
        </w:trPr>
        <w:tc>
          <w:tcPr>
            <w:tcW w:w="284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25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Amount</w:t>
            </w:r>
          </w:p>
        </w:tc>
      </w:tr>
      <w:tr>
        <w:trPr>
          <w:trHeight w:val="152"/>
        </w:trPr>
        <w:tc>
          <w:tcPr>
            <w:tcW w:w="2840" w:type="dxa"/>
            <w:vAlign w:val="bottom"/>
            <w:shd w:val="clear" w:color="auto" w:fill="EBEBEC"/>
          </w:tcPr>
          <w:p>
            <w:pPr>
              <w:ind w:left="20"/>
              <w:spacing w:after="0" w:line="152" w:lineRule="exact"/>
              <w:rPr>
                <w:sz w:val="20"/>
                <w:szCs w:val="20"/>
                <w:color w:val="auto"/>
              </w:rPr>
            </w:pPr>
            <w:r>
              <w:rPr>
                <w:rFonts w:ascii="Arial" w:cs="Arial" w:eastAsia="Arial" w:hAnsi="Arial"/>
                <w:sz w:val="14"/>
                <w:szCs w:val="14"/>
                <w:b w:val="1"/>
                <w:bCs w:val="1"/>
                <w:color w:val="0075C9"/>
              </w:rPr>
              <w:t>Todd A. Stevens</w:t>
            </w:r>
          </w:p>
        </w:tc>
        <w:tc>
          <w:tcPr>
            <w:tcW w:w="2520" w:type="dxa"/>
            <w:vAlign w:val="bottom"/>
            <w:shd w:val="clear" w:color="auto" w:fill="EBEBEC"/>
          </w:tcPr>
          <w:p>
            <w:pPr>
              <w:jc w:val="center"/>
              <w:spacing w:after="0" w:line="152" w:lineRule="exact"/>
              <w:rPr>
                <w:sz w:val="20"/>
                <w:szCs w:val="20"/>
                <w:color w:val="auto"/>
              </w:rPr>
            </w:pPr>
            <w:r>
              <w:rPr>
                <w:rFonts w:ascii="Arial" w:cs="Arial" w:eastAsia="Arial" w:hAnsi="Arial"/>
                <w:sz w:val="14"/>
                <w:szCs w:val="14"/>
                <w:color w:val="auto"/>
              </w:rPr>
              <w:t>$962,500</w:t>
            </w:r>
          </w:p>
        </w:tc>
      </w:tr>
      <w:tr>
        <w:trPr>
          <w:trHeight w:val="185"/>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$288,750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$374,000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$382,500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$405,000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-664210</wp:posOffset>
            </wp:positionV>
            <wp:extent cx="3399155" cy="673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99155" cy="6731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annual target opportunity under the Quarterly Incentive Plan for each NEO was set equal to his 2020 long-term incentive grant date target value under the Original 2020 Compensation Program, which remained unchanged from the 2019 long-term incentive grant date target disclosed in the Company’s 2020 Proxy Statement.</w:t>
      </w:r>
    </w:p>
    <w:p>
      <w:pPr>
        <w:spacing w:after="0" w:line="212"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0075C9"/>
              </w:rPr>
              <w:t>Quarterly</w:t>
            </w:r>
          </w:p>
        </w:tc>
      </w:tr>
      <w:tr>
        <w:trPr>
          <w:trHeight w:val="159"/>
        </w:trPr>
        <w:tc>
          <w:tcPr>
            <w:tcW w:w="2840" w:type="dxa"/>
            <w:vAlign w:val="bottom"/>
          </w:tcPr>
          <w:p>
            <w:pPr>
              <w:spacing w:after="0"/>
              <w:rPr>
                <w:sz w:val="13"/>
                <w:szCs w:val="13"/>
                <w:color w:val="auto"/>
              </w:rPr>
            </w:pPr>
          </w:p>
        </w:tc>
        <w:tc>
          <w:tcPr>
            <w:tcW w:w="2520" w:type="dxa"/>
            <w:vAlign w:val="bottom"/>
          </w:tcPr>
          <w:p>
            <w:pPr>
              <w:jc w:val="center"/>
              <w:spacing w:after="0" w:line="159" w:lineRule="exact"/>
              <w:rPr>
                <w:sz w:val="20"/>
                <w:szCs w:val="20"/>
                <w:color w:val="auto"/>
              </w:rPr>
            </w:pPr>
            <w:r>
              <w:rPr>
                <w:rFonts w:ascii="Arial" w:cs="Arial" w:eastAsia="Arial" w:hAnsi="Arial"/>
                <w:sz w:val="14"/>
                <w:szCs w:val="14"/>
                <w:b w:val="1"/>
                <w:bCs w:val="1"/>
                <w:color w:val="0075C9"/>
              </w:rPr>
              <w:t>Incentive</w:t>
            </w:r>
          </w:p>
        </w:tc>
      </w:tr>
      <w:tr>
        <w:trPr>
          <w:trHeight w:val="159"/>
        </w:trPr>
        <w:tc>
          <w:tcPr>
            <w:tcW w:w="2840" w:type="dxa"/>
            <w:vAlign w:val="bottom"/>
          </w:tcPr>
          <w:p>
            <w:pPr>
              <w:spacing w:after="0"/>
              <w:rPr>
                <w:sz w:val="13"/>
                <w:szCs w:val="13"/>
                <w:color w:val="auto"/>
              </w:rPr>
            </w:pPr>
          </w:p>
        </w:tc>
        <w:tc>
          <w:tcPr>
            <w:tcW w:w="2520" w:type="dxa"/>
            <w:vAlign w:val="bottom"/>
          </w:tcPr>
          <w:p>
            <w:pPr>
              <w:jc w:val="center"/>
              <w:spacing w:after="0" w:line="159" w:lineRule="exact"/>
              <w:rPr>
                <w:sz w:val="20"/>
                <w:szCs w:val="20"/>
                <w:color w:val="auto"/>
              </w:rPr>
            </w:pPr>
            <w:r>
              <w:rPr>
                <w:rFonts w:ascii="Arial" w:cs="Arial" w:eastAsia="Arial" w:hAnsi="Arial"/>
                <w:sz w:val="14"/>
                <w:szCs w:val="14"/>
                <w:b w:val="1"/>
                <w:bCs w:val="1"/>
                <w:color w:val="0075C9"/>
              </w:rPr>
              <w:t>Plan</w:t>
            </w:r>
          </w:p>
        </w:tc>
      </w:tr>
      <w:tr>
        <w:trPr>
          <w:trHeight w:val="159"/>
        </w:trPr>
        <w:tc>
          <w:tcPr>
            <w:tcW w:w="2840" w:type="dxa"/>
            <w:vAlign w:val="bottom"/>
          </w:tcPr>
          <w:p>
            <w:pPr>
              <w:spacing w:after="0"/>
              <w:rPr>
                <w:sz w:val="13"/>
                <w:szCs w:val="13"/>
                <w:color w:val="auto"/>
              </w:rPr>
            </w:pPr>
          </w:p>
        </w:tc>
        <w:tc>
          <w:tcPr>
            <w:tcW w:w="2520" w:type="dxa"/>
            <w:vAlign w:val="bottom"/>
          </w:tcPr>
          <w:p>
            <w:pPr>
              <w:jc w:val="center"/>
              <w:spacing w:after="0" w:line="159" w:lineRule="exact"/>
              <w:rPr>
                <w:sz w:val="20"/>
                <w:szCs w:val="20"/>
                <w:color w:val="auto"/>
              </w:rPr>
            </w:pPr>
            <w:r>
              <w:rPr>
                <w:rFonts w:ascii="Arial" w:cs="Arial" w:eastAsia="Arial" w:hAnsi="Arial"/>
                <w:sz w:val="14"/>
                <w:szCs w:val="14"/>
                <w:b w:val="1"/>
                <w:bCs w:val="1"/>
                <w:color w:val="0075C9"/>
              </w:rPr>
              <w:t>Annual</w:t>
            </w:r>
          </w:p>
        </w:tc>
      </w:tr>
      <w:tr>
        <w:trPr>
          <w:trHeight w:val="172"/>
        </w:trPr>
        <w:tc>
          <w:tcPr>
            <w:tcW w:w="284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25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Target</w:t>
            </w:r>
          </w:p>
        </w:tc>
      </w:tr>
      <w:tr>
        <w:trPr>
          <w:trHeight w:val="152"/>
        </w:trPr>
        <w:tc>
          <w:tcPr>
            <w:tcW w:w="2840" w:type="dxa"/>
            <w:vAlign w:val="bottom"/>
            <w:shd w:val="clear" w:color="auto" w:fill="EBEBEC"/>
          </w:tcPr>
          <w:p>
            <w:pPr>
              <w:ind w:left="20"/>
              <w:spacing w:after="0" w:line="152" w:lineRule="exact"/>
              <w:rPr>
                <w:sz w:val="20"/>
                <w:szCs w:val="20"/>
                <w:color w:val="auto"/>
              </w:rPr>
            </w:pPr>
            <w:r>
              <w:rPr>
                <w:rFonts w:ascii="Arial" w:cs="Arial" w:eastAsia="Arial" w:hAnsi="Arial"/>
                <w:sz w:val="14"/>
                <w:szCs w:val="14"/>
                <w:b w:val="1"/>
                <w:bCs w:val="1"/>
                <w:color w:val="0075C9"/>
              </w:rPr>
              <w:t>Todd A. Stevens</w:t>
            </w:r>
          </w:p>
        </w:tc>
        <w:tc>
          <w:tcPr>
            <w:tcW w:w="2520" w:type="dxa"/>
            <w:vAlign w:val="bottom"/>
            <w:shd w:val="clear" w:color="auto" w:fill="EBEBEC"/>
          </w:tcPr>
          <w:p>
            <w:pPr>
              <w:jc w:val="center"/>
              <w:spacing w:after="0" w:line="152" w:lineRule="exact"/>
              <w:rPr>
                <w:sz w:val="20"/>
                <w:szCs w:val="20"/>
                <w:color w:val="auto"/>
              </w:rPr>
            </w:pPr>
            <w:r>
              <w:rPr>
                <w:rFonts w:ascii="Arial" w:cs="Arial" w:eastAsia="Arial" w:hAnsi="Arial"/>
                <w:sz w:val="14"/>
                <w:szCs w:val="14"/>
                <w:color w:val="auto"/>
              </w:rPr>
              <w:t>$5,400,000</w:t>
            </w:r>
          </w:p>
        </w:tc>
      </w:tr>
      <w:tr>
        <w:trPr>
          <w:trHeight w:val="185"/>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$2,000,000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$1,150,000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$1,175,000</w:t>
            </w:r>
          </w:p>
        </w:tc>
      </w:tr>
      <w:tr>
        <w:trPr>
          <w:trHeight w:val="172"/>
        </w:trPr>
        <w:tc>
          <w:tcPr>
            <w:tcW w:w="284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25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-664210</wp:posOffset>
            </wp:positionV>
            <wp:extent cx="3399155" cy="673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99155" cy="673100"/>
                    </a:xfrm>
                    <a:prstGeom prst="rect">
                      <a:avLst/>
                    </a:prstGeom>
                    <a:noFill/>
                  </pic:spPr>
                </pic:pic>
              </a:graphicData>
            </a:graphic>
          </wp:anchor>
        </w:drawing>
      </w:r>
    </w:p>
    <w:p>
      <w:pPr>
        <w:spacing w:after="0" w:line="23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Under the Quarterly Incentive Plan, NEOs were paid 50% of the annual opportunity at target for the period January 1 through June 30, 2020, and target quarterly opportunities were set at 25% of the annual opportunity for each of the quarters ending on September 30 and December 31, 2020, subject to continued employment and achievement of performance metrics determined by the Former Compensation Committee. Amounts earned under the Quarterly Incentive Plan for the third and fourth quarters could range from 0% to 200% of</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0" w:name="page41"/>
    <w:bookmarkEnd w:id="40"/>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4"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color w:val="auto"/>
        </w:rPr>
        <w:t>the target opportunity based on the level at which metrics were achieved. In the event of a termination of employment without “cause” or for certain participants for “good reason”, or due to death or disability, prior to a vesting date, the named executive officer would be entitled to a prorated portion of the applicable quarterly incentive payment, based on actual performance, and would forfeit all remaining amounts. The target opportunities for each named executive officer were payable to the extent earned under the Quarterly Incentive Plan’s performance metrics.</w:t>
      </w:r>
    </w:p>
    <w:p>
      <w:pPr>
        <w:spacing w:after="0" w:line="20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Performance Metrics and associated Performance Targets with respect to each Performance Period under the Quarterly Incentive Plan, were as follows:</w:t>
      </w:r>
    </w:p>
    <w:p>
      <w:pPr>
        <w:spacing w:after="0" w:line="180" w:lineRule="exact"/>
        <w:rPr>
          <w:sz w:val="20"/>
          <w:szCs w:val="20"/>
          <w:color w:val="auto"/>
        </w:rPr>
      </w:pPr>
    </w:p>
    <w:tbl>
      <w:tblPr>
        <w:tblLayout w:type="fixed"/>
        <w:tblInd w:w="1570" w:type="dxa"/>
        <w:tblCellMar>
          <w:top w:w="0" w:type="dxa"/>
          <w:left w:w="0" w:type="dxa"/>
          <w:bottom w:w="0" w:type="dxa"/>
          <w:right w:w="0" w:type="dxa"/>
        </w:tblCellMar>
      </w:tblPr>
      <w:tr>
        <w:trPr>
          <w:trHeight w:val="251"/>
        </w:trPr>
        <w:tc>
          <w:tcPr>
            <w:tcW w:w="1660" w:type="dxa"/>
            <w:vAlign w:val="bottom"/>
            <w:tcBorders>
              <w:top w:val="single" w:sz="8" w:color="auto"/>
              <w:left w:val="single" w:sz="8" w:color="auto"/>
              <w:right w:val="single" w:sz="8" w:color="4F81BD"/>
            </w:tcBorders>
            <w:shd w:val="clear" w:color="auto" w:fill="4F81BD"/>
          </w:tcPr>
          <w:p>
            <w:pPr>
              <w:spacing w:after="0"/>
              <w:rPr>
                <w:sz w:val="21"/>
                <w:szCs w:val="21"/>
                <w:color w:val="auto"/>
              </w:rPr>
            </w:pPr>
          </w:p>
        </w:tc>
        <w:tc>
          <w:tcPr>
            <w:tcW w:w="880" w:type="dxa"/>
            <w:vAlign w:val="bottom"/>
            <w:tcBorders>
              <w:top w:val="single" w:sz="8" w:color="auto"/>
              <w:right w:val="single" w:sz="8" w:color="auto"/>
            </w:tcBorders>
            <w:shd w:val="clear" w:color="auto" w:fill="4F81BD"/>
          </w:tcPr>
          <w:p>
            <w:pPr>
              <w:spacing w:after="0"/>
              <w:rPr>
                <w:sz w:val="21"/>
                <w:szCs w:val="21"/>
                <w:color w:val="auto"/>
              </w:rPr>
            </w:pPr>
          </w:p>
        </w:tc>
        <w:tc>
          <w:tcPr>
            <w:tcW w:w="100" w:type="dxa"/>
            <w:vAlign w:val="bottom"/>
            <w:tcBorders>
              <w:top w:val="single" w:sz="8" w:color="auto"/>
            </w:tcBorders>
            <w:shd w:val="clear" w:color="auto" w:fill="4F81BD"/>
          </w:tcPr>
          <w:p>
            <w:pPr>
              <w:spacing w:after="0"/>
              <w:rPr>
                <w:sz w:val="21"/>
                <w:szCs w:val="21"/>
                <w:color w:val="auto"/>
              </w:rPr>
            </w:pPr>
          </w:p>
        </w:tc>
        <w:tc>
          <w:tcPr>
            <w:tcW w:w="1700" w:type="dxa"/>
            <w:vAlign w:val="bottom"/>
            <w:tcBorders>
              <w:top w:val="single" w:sz="8" w:color="auto"/>
              <w:right w:val="single" w:sz="8" w:color="4F81BD"/>
            </w:tcBorders>
            <w:shd w:val="clear" w:color="auto" w:fill="4F81BD"/>
          </w:tcPr>
          <w:p>
            <w:pPr>
              <w:spacing w:after="0"/>
              <w:rPr>
                <w:sz w:val="21"/>
                <w:szCs w:val="21"/>
                <w:color w:val="auto"/>
              </w:rPr>
            </w:pPr>
          </w:p>
        </w:tc>
        <w:tc>
          <w:tcPr>
            <w:tcW w:w="1820" w:type="dxa"/>
            <w:vAlign w:val="bottom"/>
            <w:tcBorders>
              <w:top w:val="single" w:sz="8" w:color="auto"/>
              <w:right w:val="single" w:sz="8" w:color="4F81BD"/>
            </w:tcBorders>
            <w:shd w:val="clear" w:color="auto" w:fill="4F81BD"/>
          </w:tcPr>
          <w:p>
            <w:pPr>
              <w:ind w:left="380"/>
              <w:spacing w:after="0"/>
              <w:rPr>
                <w:sz w:val="20"/>
                <w:szCs w:val="20"/>
                <w:color w:val="auto"/>
              </w:rPr>
            </w:pPr>
            <w:r>
              <w:rPr>
                <w:rFonts w:ascii="Arial" w:cs="Arial" w:eastAsia="Arial" w:hAnsi="Arial"/>
                <w:sz w:val="18"/>
                <w:szCs w:val="18"/>
                <w:b w:val="1"/>
                <w:bCs w:val="1"/>
                <w:color w:val="FFFFFF"/>
              </w:rPr>
              <w:t>Payout Earned</w:t>
            </w:r>
          </w:p>
        </w:tc>
        <w:tc>
          <w:tcPr>
            <w:tcW w:w="1980" w:type="dxa"/>
            <w:vAlign w:val="bottom"/>
            <w:tcBorders>
              <w:top w:val="single" w:sz="8" w:color="auto"/>
            </w:tcBorders>
            <w:shd w:val="clear" w:color="auto" w:fill="4F81BD"/>
          </w:tcPr>
          <w:p>
            <w:pPr>
              <w:spacing w:after="0"/>
              <w:rPr>
                <w:sz w:val="21"/>
                <w:szCs w:val="21"/>
                <w:color w:val="auto"/>
              </w:rPr>
            </w:pPr>
          </w:p>
        </w:tc>
        <w:tc>
          <w:tcPr>
            <w:tcW w:w="20" w:type="dxa"/>
            <w:vAlign w:val="bottom"/>
            <w:tcBorders>
              <w:top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1660" w:type="dxa"/>
            <w:vAlign w:val="bottom"/>
            <w:tcBorders>
              <w:left w:val="single" w:sz="8" w:color="auto"/>
              <w:right w:val="single" w:sz="8" w:color="4F81BD"/>
            </w:tcBorders>
            <w:vMerge w:val="restart"/>
            <w:shd w:val="clear" w:color="auto" w:fill="4F81BD"/>
          </w:tcPr>
          <w:p>
            <w:pPr>
              <w:ind w:left="340"/>
              <w:spacing w:after="0"/>
              <w:rPr>
                <w:sz w:val="20"/>
                <w:szCs w:val="20"/>
                <w:color w:val="auto"/>
              </w:rPr>
            </w:pPr>
            <w:r>
              <w:rPr>
                <w:rFonts w:ascii="Arial" w:cs="Arial" w:eastAsia="Arial" w:hAnsi="Arial"/>
                <w:sz w:val="18"/>
                <w:szCs w:val="18"/>
                <w:b w:val="1"/>
                <w:bCs w:val="1"/>
                <w:color w:val="FFFFFF"/>
              </w:rPr>
              <w:t>Performance</w:t>
            </w:r>
          </w:p>
        </w:tc>
        <w:tc>
          <w:tcPr>
            <w:tcW w:w="880" w:type="dxa"/>
            <w:vAlign w:val="bottom"/>
            <w:tcBorders>
              <w:right w:val="single" w:sz="8" w:color="auto"/>
            </w:tcBorders>
            <w:shd w:val="clear" w:color="auto" w:fill="4F81BD"/>
          </w:tcPr>
          <w:p>
            <w:pPr>
              <w:spacing w:after="0"/>
              <w:rPr>
                <w:sz w:val="12"/>
                <w:szCs w:val="12"/>
                <w:color w:val="auto"/>
              </w:rPr>
            </w:pPr>
          </w:p>
        </w:tc>
        <w:tc>
          <w:tcPr>
            <w:tcW w:w="100" w:type="dxa"/>
            <w:vAlign w:val="bottom"/>
            <w:shd w:val="clear" w:color="auto" w:fill="4F81BD"/>
          </w:tcPr>
          <w:p>
            <w:pPr>
              <w:spacing w:after="0"/>
              <w:rPr>
                <w:sz w:val="12"/>
                <w:szCs w:val="12"/>
                <w:color w:val="auto"/>
              </w:rPr>
            </w:pPr>
          </w:p>
        </w:tc>
        <w:tc>
          <w:tcPr>
            <w:tcW w:w="1700" w:type="dxa"/>
            <w:vAlign w:val="bottom"/>
            <w:tcBorders>
              <w:right w:val="single" w:sz="8" w:color="4F81BD"/>
            </w:tcBorders>
            <w:vMerge w:val="restart"/>
            <w:shd w:val="clear" w:color="auto" w:fill="4F81BD"/>
          </w:tcPr>
          <w:p>
            <w:pPr>
              <w:jc w:val="center"/>
              <w:spacing w:after="0"/>
              <w:rPr>
                <w:sz w:val="20"/>
                <w:szCs w:val="20"/>
                <w:color w:val="auto"/>
              </w:rPr>
            </w:pPr>
            <w:r>
              <w:rPr>
                <w:rFonts w:ascii="Arial" w:cs="Arial" w:eastAsia="Arial" w:hAnsi="Arial"/>
                <w:sz w:val="18"/>
                <w:szCs w:val="18"/>
                <w:b w:val="1"/>
                <w:bCs w:val="1"/>
                <w:color w:val="FFFFFF"/>
                <w:w w:val="98"/>
              </w:rPr>
              <w:t>Threshold</w:t>
            </w:r>
          </w:p>
        </w:tc>
        <w:tc>
          <w:tcPr>
            <w:tcW w:w="1820" w:type="dxa"/>
            <w:vAlign w:val="bottom"/>
            <w:tcBorders>
              <w:right w:val="single" w:sz="8" w:color="4F81BD"/>
            </w:tcBorders>
            <w:vMerge w:val="restart"/>
            <w:shd w:val="clear" w:color="auto" w:fill="4F81BD"/>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980" w:type="dxa"/>
            <w:vAlign w:val="bottom"/>
            <w:vMerge w:val="restart"/>
            <w:shd w:val="clear" w:color="auto" w:fill="4F81BD"/>
          </w:tcPr>
          <w:p>
            <w:pPr>
              <w:jc w:val="center"/>
              <w:ind w:left="12"/>
              <w:spacing w:after="0"/>
              <w:rPr>
                <w:sz w:val="20"/>
                <w:szCs w:val="20"/>
                <w:color w:val="auto"/>
              </w:rPr>
            </w:pPr>
            <w:r>
              <w:rPr>
                <w:rFonts w:ascii="Arial" w:cs="Arial" w:eastAsia="Arial" w:hAnsi="Arial"/>
                <w:sz w:val="18"/>
                <w:szCs w:val="18"/>
                <w:b w:val="1"/>
                <w:bCs w:val="1"/>
                <w:color w:val="FFFFFF"/>
                <w:w w:val="96"/>
              </w:rPr>
              <w:t>Maximum</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660" w:type="dxa"/>
            <w:vAlign w:val="bottom"/>
            <w:tcBorders>
              <w:left w:val="single" w:sz="8" w:color="auto"/>
              <w:right w:val="single" w:sz="8" w:color="4F81BD"/>
            </w:tcBorders>
            <w:vMerge w:val="continue"/>
            <w:shd w:val="clear" w:color="auto" w:fill="4F81BD"/>
          </w:tcPr>
          <w:p>
            <w:pPr>
              <w:spacing w:after="0"/>
              <w:rPr>
                <w:sz w:val="17"/>
                <w:szCs w:val="17"/>
                <w:color w:val="auto"/>
              </w:rPr>
            </w:pPr>
          </w:p>
        </w:tc>
        <w:tc>
          <w:tcPr>
            <w:tcW w:w="980" w:type="dxa"/>
            <w:vAlign w:val="bottom"/>
            <w:gridSpan w:val="2"/>
            <w:shd w:val="clear" w:color="auto" w:fill="4F81BD"/>
          </w:tcPr>
          <w:p>
            <w:pPr>
              <w:ind w:left="160"/>
              <w:spacing w:after="0" w:line="202" w:lineRule="exact"/>
              <w:rPr>
                <w:sz w:val="20"/>
                <w:szCs w:val="20"/>
                <w:color w:val="auto"/>
              </w:rPr>
            </w:pPr>
            <w:r>
              <w:rPr>
                <w:rFonts w:ascii="Arial" w:cs="Arial" w:eastAsia="Arial" w:hAnsi="Arial"/>
                <w:sz w:val="18"/>
                <w:szCs w:val="18"/>
                <w:b w:val="1"/>
                <w:bCs w:val="1"/>
                <w:color w:val="FFFFFF"/>
              </w:rPr>
              <w:t>Weight</w:t>
            </w:r>
          </w:p>
        </w:tc>
        <w:tc>
          <w:tcPr>
            <w:tcW w:w="1700" w:type="dxa"/>
            <w:vAlign w:val="bottom"/>
            <w:tcBorders>
              <w:right w:val="single" w:sz="8" w:color="4F81BD"/>
            </w:tcBorders>
            <w:vMerge w:val="continue"/>
            <w:shd w:val="clear" w:color="auto" w:fill="4F81BD"/>
          </w:tcPr>
          <w:p>
            <w:pPr>
              <w:spacing w:after="0"/>
              <w:rPr>
                <w:sz w:val="17"/>
                <w:szCs w:val="17"/>
                <w:color w:val="auto"/>
              </w:rPr>
            </w:pPr>
          </w:p>
        </w:tc>
        <w:tc>
          <w:tcPr>
            <w:tcW w:w="1820" w:type="dxa"/>
            <w:vAlign w:val="bottom"/>
            <w:tcBorders>
              <w:right w:val="single" w:sz="8" w:color="4F81BD"/>
            </w:tcBorders>
            <w:vMerge w:val="continue"/>
            <w:shd w:val="clear" w:color="auto" w:fill="4F81BD"/>
          </w:tcPr>
          <w:p>
            <w:pPr>
              <w:spacing w:after="0"/>
              <w:rPr>
                <w:sz w:val="17"/>
                <w:szCs w:val="17"/>
                <w:color w:val="auto"/>
              </w:rPr>
            </w:pPr>
          </w:p>
        </w:tc>
        <w:tc>
          <w:tcPr>
            <w:tcW w:w="1980" w:type="dxa"/>
            <w:vAlign w:val="bottom"/>
            <w:vMerge w:val="continue"/>
            <w:shd w:val="clear" w:color="auto" w:fill="4F81B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660" w:type="dxa"/>
            <w:vAlign w:val="bottom"/>
            <w:tcBorders>
              <w:left w:val="single" w:sz="8" w:color="auto"/>
              <w:right w:val="single" w:sz="8" w:color="4F81BD"/>
            </w:tcBorders>
            <w:shd w:val="clear" w:color="auto" w:fill="4F81BD"/>
          </w:tcPr>
          <w:p>
            <w:pPr>
              <w:ind w:left="600"/>
              <w:spacing w:after="0"/>
              <w:rPr>
                <w:sz w:val="20"/>
                <w:szCs w:val="20"/>
                <w:color w:val="auto"/>
              </w:rPr>
            </w:pPr>
            <w:r>
              <w:rPr>
                <w:rFonts w:ascii="Arial" w:cs="Arial" w:eastAsia="Arial" w:hAnsi="Arial"/>
                <w:sz w:val="18"/>
                <w:szCs w:val="18"/>
                <w:b w:val="1"/>
                <w:bCs w:val="1"/>
                <w:color w:val="FFFFFF"/>
              </w:rPr>
              <w:t>Metric</w:t>
            </w:r>
          </w:p>
        </w:tc>
        <w:tc>
          <w:tcPr>
            <w:tcW w:w="880" w:type="dxa"/>
            <w:vAlign w:val="bottom"/>
            <w:tcBorders>
              <w:right w:val="single" w:sz="8" w:color="4F81BD"/>
            </w:tcBorders>
            <w:shd w:val="clear" w:color="auto" w:fill="4F81BD"/>
          </w:tcPr>
          <w:p>
            <w:pPr>
              <w:spacing w:after="0"/>
              <w:rPr>
                <w:sz w:val="21"/>
                <w:szCs w:val="21"/>
                <w:color w:val="auto"/>
              </w:rPr>
            </w:pPr>
          </w:p>
        </w:tc>
        <w:tc>
          <w:tcPr>
            <w:tcW w:w="100" w:type="dxa"/>
            <w:vAlign w:val="bottom"/>
            <w:shd w:val="clear" w:color="auto" w:fill="4F81BD"/>
          </w:tcPr>
          <w:p>
            <w:pPr>
              <w:spacing w:after="0"/>
              <w:rPr>
                <w:sz w:val="21"/>
                <w:szCs w:val="21"/>
                <w:color w:val="auto"/>
              </w:rPr>
            </w:pPr>
          </w:p>
        </w:tc>
        <w:tc>
          <w:tcPr>
            <w:tcW w:w="170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7"/>
              </w:rPr>
              <w:t>(50% Payout)</w:t>
            </w:r>
          </w:p>
        </w:tc>
        <w:tc>
          <w:tcPr>
            <w:tcW w:w="182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9"/>
              </w:rPr>
              <w:t>(100% Payout)</w:t>
            </w:r>
          </w:p>
        </w:tc>
        <w:tc>
          <w:tcPr>
            <w:tcW w:w="1980" w:type="dxa"/>
            <w:vAlign w:val="bottom"/>
            <w:shd w:val="clear" w:color="auto" w:fill="4F81BD"/>
          </w:tcPr>
          <w:p>
            <w:pPr>
              <w:jc w:val="center"/>
              <w:ind w:left="12"/>
              <w:spacing w:after="0"/>
              <w:rPr>
                <w:sz w:val="20"/>
                <w:szCs w:val="20"/>
                <w:color w:val="auto"/>
              </w:rPr>
            </w:pPr>
            <w:r>
              <w:rPr>
                <w:rFonts w:ascii="Arial" w:cs="Arial" w:eastAsia="Arial" w:hAnsi="Arial"/>
                <w:sz w:val="18"/>
                <w:szCs w:val="18"/>
                <w:b w:val="1"/>
                <w:bCs w:val="1"/>
                <w:color w:val="FFFFFF"/>
                <w:w w:val="97"/>
              </w:rPr>
              <w:t>(200% Payout)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1660" w:type="dxa"/>
            <w:vAlign w:val="bottom"/>
            <w:tcBorders>
              <w:left w:val="single" w:sz="8" w:color="auto"/>
              <w:bottom w:val="single" w:sz="8" w:color="auto"/>
              <w:right w:val="single" w:sz="8" w:color="4F81BD"/>
            </w:tcBorders>
            <w:shd w:val="clear" w:color="auto" w:fill="4F81BD"/>
          </w:tcPr>
          <w:p>
            <w:pPr>
              <w:spacing w:after="0"/>
              <w:rPr>
                <w:sz w:val="10"/>
                <w:szCs w:val="10"/>
                <w:color w:val="auto"/>
              </w:rPr>
            </w:pPr>
          </w:p>
        </w:tc>
        <w:tc>
          <w:tcPr>
            <w:tcW w:w="880" w:type="dxa"/>
            <w:vAlign w:val="bottom"/>
            <w:tcBorders>
              <w:bottom w:val="single" w:sz="8" w:color="auto"/>
              <w:right w:val="single" w:sz="8" w:color="4F81BD"/>
            </w:tcBorders>
            <w:shd w:val="clear" w:color="auto" w:fill="4F81BD"/>
          </w:tcPr>
          <w:p>
            <w:pPr>
              <w:spacing w:after="0"/>
              <w:rPr>
                <w:sz w:val="10"/>
                <w:szCs w:val="10"/>
                <w:color w:val="auto"/>
              </w:rPr>
            </w:pPr>
          </w:p>
        </w:tc>
        <w:tc>
          <w:tcPr>
            <w:tcW w:w="100" w:type="dxa"/>
            <w:vAlign w:val="bottom"/>
            <w:tcBorders>
              <w:bottom w:val="single" w:sz="8" w:color="auto"/>
            </w:tcBorders>
            <w:shd w:val="clear" w:color="auto" w:fill="4F81BD"/>
          </w:tcPr>
          <w:p>
            <w:pPr>
              <w:spacing w:after="0"/>
              <w:rPr>
                <w:sz w:val="10"/>
                <w:szCs w:val="10"/>
                <w:color w:val="auto"/>
              </w:rPr>
            </w:pPr>
          </w:p>
        </w:tc>
        <w:tc>
          <w:tcPr>
            <w:tcW w:w="1700" w:type="dxa"/>
            <w:vAlign w:val="bottom"/>
            <w:tcBorders>
              <w:bottom w:val="single" w:sz="8" w:color="auto"/>
              <w:right w:val="single" w:sz="8" w:color="4F81BD"/>
            </w:tcBorders>
            <w:shd w:val="clear" w:color="auto" w:fill="4F81BD"/>
          </w:tcPr>
          <w:p>
            <w:pPr>
              <w:spacing w:after="0"/>
              <w:rPr>
                <w:sz w:val="10"/>
                <w:szCs w:val="10"/>
                <w:color w:val="auto"/>
              </w:rPr>
            </w:pPr>
          </w:p>
        </w:tc>
        <w:tc>
          <w:tcPr>
            <w:tcW w:w="1820" w:type="dxa"/>
            <w:vAlign w:val="bottom"/>
            <w:tcBorders>
              <w:bottom w:val="single" w:sz="8" w:color="auto"/>
              <w:right w:val="single" w:sz="8" w:color="4F81BD"/>
            </w:tcBorders>
            <w:shd w:val="clear" w:color="auto" w:fill="4F81BD"/>
          </w:tcPr>
          <w:p>
            <w:pPr>
              <w:spacing w:after="0"/>
              <w:rPr>
                <w:sz w:val="10"/>
                <w:szCs w:val="10"/>
                <w:color w:val="auto"/>
              </w:rPr>
            </w:pPr>
          </w:p>
        </w:tc>
        <w:tc>
          <w:tcPr>
            <w:tcW w:w="1980" w:type="dxa"/>
            <w:vAlign w:val="bottom"/>
            <w:tcBorders>
              <w:bottom w:val="single" w:sz="8" w:color="auto"/>
            </w:tcBorders>
            <w:shd w:val="clear" w:color="auto" w:fill="4F81BD"/>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640" w:type="dxa"/>
            <w:vAlign w:val="bottom"/>
            <w:tcBorders>
              <w:left w:val="single" w:sz="8" w:color="auto"/>
              <w:bottom w:val="single" w:sz="8" w:color="E7E6E6"/>
            </w:tcBorders>
            <w:gridSpan w:val="3"/>
            <w:shd w:val="clear" w:color="auto" w:fill="E7E6E6"/>
          </w:tcPr>
          <w:p>
            <w:pPr>
              <w:ind w:left="160"/>
              <w:spacing w:after="0"/>
              <w:rPr>
                <w:sz w:val="20"/>
                <w:szCs w:val="20"/>
                <w:color w:val="auto"/>
              </w:rPr>
            </w:pPr>
            <w:r>
              <w:rPr>
                <w:rFonts w:ascii="Arial" w:cs="Arial" w:eastAsia="Arial" w:hAnsi="Arial"/>
                <w:sz w:val="18"/>
                <w:szCs w:val="18"/>
                <w:b w:val="1"/>
                <w:bCs w:val="1"/>
                <w:color w:val="auto"/>
                <w:w w:val="99"/>
              </w:rPr>
              <w:t>Expense Reduction / Control</w:t>
            </w:r>
          </w:p>
        </w:tc>
        <w:tc>
          <w:tcPr>
            <w:tcW w:w="1700" w:type="dxa"/>
            <w:vAlign w:val="bottom"/>
            <w:tcBorders>
              <w:bottom w:val="single" w:sz="8" w:color="E7E6E6"/>
              <w:right w:val="single" w:sz="8" w:color="E7E6E6"/>
            </w:tcBorders>
            <w:shd w:val="clear" w:color="auto" w:fill="E7E6E6"/>
          </w:tcPr>
          <w:p>
            <w:pPr>
              <w:spacing w:after="0"/>
              <w:rPr>
                <w:sz w:val="24"/>
                <w:szCs w:val="24"/>
                <w:color w:val="auto"/>
              </w:rPr>
            </w:pPr>
          </w:p>
        </w:tc>
        <w:tc>
          <w:tcPr>
            <w:tcW w:w="1820" w:type="dxa"/>
            <w:vAlign w:val="bottom"/>
            <w:tcBorders>
              <w:bottom w:val="single" w:sz="8" w:color="E7E6E6"/>
              <w:right w:val="single" w:sz="8" w:color="E7E6E6"/>
            </w:tcBorders>
            <w:shd w:val="clear" w:color="auto" w:fill="E7E6E6"/>
          </w:tcPr>
          <w:p>
            <w:pPr>
              <w:spacing w:after="0"/>
              <w:rPr>
                <w:sz w:val="24"/>
                <w:szCs w:val="24"/>
                <w:color w:val="auto"/>
              </w:rPr>
            </w:pPr>
          </w:p>
        </w:tc>
        <w:tc>
          <w:tcPr>
            <w:tcW w:w="1980" w:type="dxa"/>
            <w:vAlign w:val="bottom"/>
            <w:tcBorders>
              <w:bottom w:val="single" w:sz="8" w:color="E7E6E6"/>
            </w:tcBorders>
            <w:shd w:val="clear" w:color="auto" w:fill="E7E6E6"/>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Cumulative</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Operating</w:t>
            </w:r>
          </w:p>
        </w:tc>
        <w:tc>
          <w:tcPr>
            <w:tcW w:w="8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60" w:type="dxa"/>
            <w:vAlign w:val="bottom"/>
            <w:tcBorders>
              <w:left w:val="single" w:sz="8" w:color="auto"/>
              <w:bottom w:val="single" w:sz="8" w:color="auto"/>
              <w:right w:val="single" w:sz="8" w:color="auto"/>
            </w:tcBorders>
          </w:tcPr>
          <w:p>
            <w:pPr>
              <w:ind w:left="100"/>
              <w:spacing w:after="0" w:line="200" w:lineRule="exact"/>
              <w:rPr>
                <w:sz w:val="20"/>
                <w:szCs w:val="20"/>
                <w:color w:val="auto"/>
              </w:rPr>
            </w:pPr>
            <w:r>
              <w:rPr>
                <w:rFonts w:ascii="Arial" w:cs="Arial" w:eastAsia="Arial" w:hAnsi="Arial"/>
                <w:sz w:val="18"/>
                <w:szCs w:val="18"/>
                <w:color w:val="auto"/>
              </w:rPr>
              <w:t>Margin</w:t>
            </w:r>
          </w:p>
        </w:tc>
        <w:tc>
          <w:tcPr>
            <w:tcW w:w="8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G&amp;A Reduction</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1980" w:type="dxa"/>
            <w:vAlign w:val="bottom"/>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Liquidity / Facility</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1980" w:type="dxa"/>
            <w:vAlign w:val="bottom"/>
          </w:tcPr>
          <w:p>
            <w:pPr>
              <w:jc w:val="center"/>
              <w:spacing w:after="0"/>
              <w:rPr>
                <w:sz w:val="20"/>
                <w:szCs w:val="20"/>
                <w:color w:val="auto"/>
              </w:rPr>
            </w:pPr>
            <w:r>
              <w:rPr>
                <w:rFonts w:ascii="Arial" w:cs="Arial" w:eastAsia="Arial" w:hAnsi="Arial"/>
                <w:sz w:val="18"/>
                <w:szCs w:val="18"/>
                <w:i w:val="1"/>
                <w:iCs w:val="1"/>
                <w:color w:val="auto"/>
                <w:w w:val="98"/>
              </w:rPr>
              <w:t>See table below</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Utilization</w:t>
            </w:r>
          </w:p>
        </w:tc>
        <w:tc>
          <w:tcPr>
            <w:tcW w:w="8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bottom w:val="single" w:sz="8" w:color="auto"/>
              <w:right w:val="single" w:sz="8" w:color="E7E6E6"/>
            </w:tcBorders>
            <w:shd w:val="clear" w:color="auto" w:fill="E7E6E6"/>
          </w:tcPr>
          <w:p>
            <w:pPr>
              <w:ind w:left="160"/>
              <w:spacing w:after="0"/>
              <w:rPr>
                <w:sz w:val="20"/>
                <w:szCs w:val="20"/>
                <w:color w:val="auto"/>
              </w:rPr>
            </w:pPr>
            <w:r>
              <w:rPr>
                <w:rFonts w:ascii="Arial" w:cs="Arial" w:eastAsia="Arial" w:hAnsi="Arial"/>
                <w:sz w:val="18"/>
                <w:szCs w:val="18"/>
                <w:b w:val="1"/>
                <w:bCs w:val="1"/>
                <w:color w:val="auto"/>
              </w:rPr>
              <w:t>Sustainability</w:t>
            </w:r>
          </w:p>
        </w:tc>
        <w:tc>
          <w:tcPr>
            <w:tcW w:w="880" w:type="dxa"/>
            <w:vAlign w:val="bottom"/>
            <w:tcBorders>
              <w:bottom w:val="single" w:sz="8" w:color="auto"/>
              <w:right w:val="single" w:sz="8" w:color="E7E6E6"/>
            </w:tcBorders>
            <w:shd w:val="clear" w:color="auto" w:fill="E7E6E6"/>
          </w:tcPr>
          <w:p>
            <w:pPr>
              <w:spacing w:after="0"/>
              <w:rPr>
                <w:sz w:val="20"/>
                <w:szCs w:val="20"/>
                <w:color w:val="auto"/>
              </w:rPr>
            </w:pPr>
          </w:p>
        </w:tc>
        <w:tc>
          <w:tcPr>
            <w:tcW w:w="100" w:type="dxa"/>
            <w:vAlign w:val="bottom"/>
            <w:tcBorders>
              <w:bottom w:val="single" w:sz="8" w:color="auto"/>
            </w:tcBorders>
            <w:shd w:val="clear" w:color="auto" w:fill="E7E6E6"/>
          </w:tcPr>
          <w:p>
            <w:pPr>
              <w:spacing w:after="0"/>
              <w:rPr>
                <w:sz w:val="20"/>
                <w:szCs w:val="20"/>
                <w:color w:val="auto"/>
              </w:rPr>
            </w:pPr>
          </w:p>
        </w:tc>
        <w:tc>
          <w:tcPr>
            <w:tcW w:w="1700" w:type="dxa"/>
            <w:vAlign w:val="bottom"/>
            <w:tcBorders>
              <w:bottom w:val="single" w:sz="8" w:color="auto"/>
              <w:right w:val="single" w:sz="8" w:color="E7E6E6"/>
            </w:tcBorders>
            <w:shd w:val="clear" w:color="auto" w:fill="E7E6E6"/>
          </w:tcPr>
          <w:p>
            <w:pPr>
              <w:spacing w:after="0"/>
              <w:rPr>
                <w:sz w:val="20"/>
                <w:szCs w:val="20"/>
                <w:color w:val="auto"/>
              </w:rPr>
            </w:pPr>
          </w:p>
        </w:tc>
        <w:tc>
          <w:tcPr>
            <w:tcW w:w="1820" w:type="dxa"/>
            <w:vAlign w:val="bottom"/>
            <w:tcBorders>
              <w:bottom w:val="single" w:sz="8" w:color="auto"/>
              <w:right w:val="single" w:sz="8" w:color="E7E6E6"/>
            </w:tcBorders>
            <w:shd w:val="clear" w:color="auto" w:fill="E7E6E6"/>
          </w:tcPr>
          <w:p>
            <w:pPr>
              <w:spacing w:after="0"/>
              <w:rPr>
                <w:sz w:val="20"/>
                <w:szCs w:val="20"/>
                <w:color w:val="auto"/>
              </w:rPr>
            </w:pPr>
          </w:p>
        </w:tc>
        <w:tc>
          <w:tcPr>
            <w:tcW w:w="1980" w:type="dxa"/>
            <w:vAlign w:val="bottom"/>
            <w:tcBorders>
              <w:bottom w:val="single" w:sz="8" w:color="auto"/>
            </w:tcBorders>
            <w:shd w:val="clear" w:color="auto" w:fill="E7E6E6"/>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Safety (Workforce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0.60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0.50</w:t>
            </w:r>
          </w:p>
        </w:tc>
        <w:tc>
          <w:tcPr>
            <w:tcW w:w="1980" w:type="dxa"/>
            <w:vAlign w:val="bottom"/>
          </w:tcPr>
          <w:p>
            <w:pPr>
              <w:jc w:val="center"/>
              <w:ind w:left="12"/>
              <w:spacing w:after="0"/>
              <w:rPr>
                <w:sz w:val="20"/>
                <w:szCs w:val="20"/>
                <w:color w:val="auto"/>
              </w:rPr>
            </w:pPr>
            <w:r>
              <w:rPr>
                <w:rFonts w:ascii="Arial" w:cs="Arial" w:eastAsia="Arial" w:hAnsi="Arial"/>
                <w:sz w:val="18"/>
                <w:szCs w:val="18"/>
                <w:color w:val="auto"/>
              </w:rPr>
              <w:t>0.40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bottom w:val="single" w:sz="8" w:color="auto"/>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IIR)</w:t>
            </w:r>
          </w:p>
        </w:tc>
        <w:tc>
          <w:tcPr>
            <w:tcW w:w="8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Spill Prevention</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99.9996%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99.9997%</w:t>
            </w:r>
          </w:p>
        </w:tc>
        <w:tc>
          <w:tcPr>
            <w:tcW w:w="1980" w:type="dxa"/>
            <w:vAlign w:val="bottom"/>
          </w:tcPr>
          <w:p>
            <w:pPr>
              <w:jc w:val="center"/>
              <w:ind w:left="12"/>
              <w:spacing w:after="0"/>
              <w:rPr>
                <w:sz w:val="20"/>
                <w:szCs w:val="20"/>
                <w:color w:val="auto"/>
              </w:rPr>
            </w:pPr>
            <w:r>
              <w:rPr>
                <w:rFonts w:ascii="Arial" w:cs="Arial" w:eastAsia="Arial" w:hAnsi="Arial"/>
                <w:sz w:val="18"/>
                <w:szCs w:val="18"/>
                <w:color w:val="auto"/>
                <w:w w:val="98"/>
              </w:rPr>
              <w:t>99.9998%</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bottom w:val="single" w:sz="8" w:color="auto"/>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Rate</w:t>
            </w:r>
          </w:p>
        </w:tc>
        <w:tc>
          <w:tcPr>
            <w:tcW w:w="8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Net Water Supplied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240%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270%</w:t>
            </w:r>
          </w:p>
        </w:tc>
        <w:tc>
          <w:tcPr>
            <w:tcW w:w="1980" w:type="dxa"/>
            <w:vAlign w:val="bottom"/>
          </w:tcPr>
          <w:p>
            <w:pPr>
              <w:jc w:val="center"/>
              <w:ind w:left="12"/>
              <w:spacing w:after="0"/>
              <w:rPr>
                <w:sz w:val="20"/>
                <w:szCs w:val="20"/>
                <w:color w:val="auto"/>
              </w:rPr>
            </w:pPr>
            <w:r>
              <w:rPr>
                <w:rFonts w:ascii="Arial" w:cs="Arial" w:eastAsia="Arial" w:hAnsi="Arial"/>
                <w:sz w:val="18"/>
                <w:szCs w:val="18"/>
                <w:color w:val="auto"/>
                <w:w w:val="95"/>
              </w:rPr>
              <w:t>290%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bottom w:val="single" w:sz="8" w:color="auto"/>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to Ag</w:t>
            </w:r>
          </w:p>
        </w:tc>
        <w:tc>
          <w:tcPr>
            <w:tcW w:w="8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Sustainability</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Complete 1 of the 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Complete 2 of the 3</w:t>
            </w:r>
          </w:p>
        </w:tc>
        <w:tc>
          <w:tcPr>
            <w:tcW w:w="1980" w:type="dxa"/>
            <w:vAlign w:val="bottom"/>
          </w:tcPr>
          <w:p>
            <w:pPr>
              <w:jc w:val="center"/>
              <w:ind w:left="12"/>
              <w:spacing w:after="0"/>
              <w:rPr>
                <w:sz w:val="20"/>
                <w:szCs w:val="20"/>
                <w:color w:val="auto"/>
              </w:rPr>
            </w:pPr>
            <w:r>
              <w:rPr>
                <w:rFonts w:ascii="Arial" w:cs="Arial" w:eastAsia="Arial" w:hAnsi="Arial"/>
                <w:sz w:val="18"/>
                <w:szCs w:val="18"/>
                <w:color w:val="auto"/>
                <w:w w:val="97"/>
              </w:rPr>
              <w:t>Complete all 3 of the 3</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60" w:type="dxa"/>
            <w:vAlign w:val="bottom"/>
            <w:tcBorders>
              <w:left w:val="single" w:sz="8" w:color="auto"/>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Progress</w:t>
            </w:r>
          </w:p>
        </w:tc>
        <w:tc>
          <w:tcPr>
            <w:tcW w:w="8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7"/>
              </w:rPr>
              <w:t>Project Milestones</w:t>
            </w:r>
          </w:p>
        </w:tc>
        <w:tc>
          <w:tcPr>
            <w:tcW w:w="182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9"/>
              </w:rPr>
              <w:t>Project Milestones</w:t>
            </w:r>
          </w:p>
        </w:tc>
        <w:tc>
          <w:tcPr>
            <w:tcW w:w="1980" w:type="dxa"/>
            <w:vAlign w:val="bottom"/>
          </w:tcPr>
          <w:p>
            <w:pPr>
              <w:jc w:val="center"/>
              <w:ind w:left="12"/>
              <w:spacing w:after="0" w:line="199" w:lineRule="exact"/>
              <w:rPr>
                <w:sz w:val="20"/>
                <w:szCs w:val="20"/>
                <w:color w:val="auto"/>
              </w:rPr>
            </w:pPr>
            <w:r>
              <w:rPr>
                <w:rFonts w:ascii="Arial" w:cs="Arial" w:eastAsia="Arial" w:hAnsi="Arial"/>
                <w:sz w:val="18"/>
                <w:szCs w:val="18"/>
                <w:color w:val="auto"/>
                <w:w w:val="97"/>
              </w:rPr>
              <w:t>Project Milestones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bottom w:val="single" w:sz="8" w:color="auto"/>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Milestones:</w:t>
            </w:r>
          </w:p>
        </w:tc>
        <w:tc>
          <w:tcPr>
            <w:tcW w:w="8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Water Recycling</w:t>
            </w:r>
          </w:p>
        </w:tc>
        <w:tc>
          <w:tcPr>
            <w:tcW w:w="8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Carbon Capture</w:t>
            </w:r>
          </w:p>
        </w:tc>
        <w:tc>
          <w:tcPr>
            <w:tcW w:w="8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6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Methane</w:t>
            </w:r>
          </w:p>
        </w:tc>
        <w:tc>
          <w:tcPr>
            <w:tcW w:w="8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bottom w:val="single" w:sz="8" w:color="auto"/>
              <w:right w:val="single" w:sz="8" w:color="auto"/>
            </w:tcBorders>
          </w:tcPr>
          <w:p>
            <w:pPr>
              <w:ind w:left="300"/>
              <w:spacing w:after="0" w:line="187" w:lineRule="exact"/>
              <w:rPr>
                <w:sz w:val="20"/>
                <w:szCs w:val="20"/>
                <w:color w:val="auto"/>
              </w:rPr>
            </w:pPr>
            <w:r>
              <w:rPr>
                <w:rFonts w:ascii="Arial" w:cs="Arial" w:eastAsia="Arial" w:hAnsi="Arial"/>
                <w:sz w:val="18"/>
                <w:szCs w:val="18"/>
                <w:color w:val="auto"/>
              </w:rPr>
              <w:t>Capture</w:t>
            </w:r>
          </w:p>
        </w:tc>
        <w:tc>
          <w:tcPr>
            <w:tcW w:w="8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-3457575</wp:posOffset>
            </wp:positionV>
            <wp:extent cx="5174615" cy="3784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74615" cy="3784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Cumulative Operating Margin</w:t>
      </w:r>
      <w:r>
        <w:rPr>
          <w:rFonts w:ascii="Arial" w:cs="Arial" w:eastAsia="Arial" w:hAnsi="Arial"/>
          <w:sz w:val="15"/>
          <w:szCs w:val="15"/>
          <w:b w:val="1"/>
          <w:bCs w:val="1"/>
          <w:color w:val="auto"/>
        </w:rPr>
        <w:t>(1)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(Measured April 1, 2020 through end of applicable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62865</wp:posOffset>
            </wp:positionV>
            <wp:extent cx="4131310" cy="3784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31310" cy="378460"/>
                    </a:xfrm>
                    <a:prstGeom prst="rect">
                      <a:avLst/>
                    </a:prstGeom>
                    <a:noFill/>
                  </pic:spPr>
                </pic:pic>
              </a:graphicData>
            </a:graphic>
          </wp:anchor>
        </w:drawing>
      </w:r>
    </w:p>
    <w:p>
      <w:pPr>
        <w:spacing w:after="0" w:line="79" w:lineRule="exact"/>
        <w:rPr>
          <w:sz w:val="20"/>
          <w:szCs w:val="20"/>
          <w:color w:val="auto"/>
        </w:rPr>
      </w:pPr>
    </w:p>
    <w:tbl>
      <w:tblPr>
        <w:tblLayout w:type="fixed"/>
        <w:tblInd w:w="2390" w:type="dxa"/>
        <w:tblCellMar>
          <w:top w:w="0" w:type="dxa"/>
          <w:left w:w="0" w:type="dxa"/>
          <w:bottom w:w="0" w:type="dxa"/>
          <w:right w:w="0" w:type="dxa"/>
        </w:tblCellMar>
      </w:tblPr>
      <w:tr>
        <w:trPr>
          <w:trHeight w:val="216"/>
        </w:trPr>
        <w:tc>
          <w:tcPr>
            <w:tcW w:w="1660" w:type="dxa"/>
            <w:vAlign w:val="bottom"/>
            <w:tcBorders>
              <w:left w:val="single" w:sz="8" w:color="auto"/>
              <w:right w:val="single" w:sz="8" w:color="4F81BD"/>
            </w:tcBorders>
            <w:shd w:val="clear" w:color="auto" w:fill="4F81BD"/>
          </w:tcPr>
          <w:p>
            <w:pPr>
              <w:jc w:val="center"/>
              <w:ind w:left="12"/>
              <w:spacing w:after="0"/>
              <w:rPr>
                <w:sz w:val="20"/>
                <w:szCs w:val="20"/>
                <w:color w:val="auto"/>
              </w:rPr>
            </w:pPr>
            <w:r>
              <w:rPr>
                <w:rFonts w:ascii="Arial" w:cs="Arial" w:eastAsia="Arial" w:hAnsi="Arial"/>
                <w:sz w:val="18"/>
                <w:szCs w:val="18"/>
                <w:b w:val="1"/>
                <w:bCs w:val="1"/>
                <w:color w:val="FFFFFF"/>
                <w:w w:val="98"/>
              </w:rPr>
              <w:t>Performance</w:t>
            </w:r>
          </w:p>
        </w:tc>
        <w:tc>
          <w:tcPr>
            <w:tcW w:w="162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8"/>
              </w:rPr>
              <w:t>Threshold</w:t>
            </w:r>
          </w:p>
        </w:tc>
        <w:tc>
          <w:tcPr>
            <w:tcW w:w="1620" w:type="dxa"/>
            <w:vAlign w:val="bottom"/>
            <w:tcBorders>
              <w:right w:val="single" w:sz="8" w:color="4F81BD"/>
            </w:tcBorders>
            <w:shd w:val="clear" w:color="auto" w:fill="4F81BD"/>
          </w:tcPr>
          <w:p>
            <w:pPr>
              <w:ind w:left="600"/>
              <w:spacing w:after="0"/>
              <w:rPr>
                <w:sz w:val="20"/>
                <w:szCs w:val="20"/>
                <w:color w:val="auto"/>
              </w:rPr>
            </w:pPr>
            <w:r>
              <w:rPr>
                <w:rFonts w:ascii="Arial" w:cs="Arial" w:eastAsia="Arial" w:hAnsi="Arial"/>
                <w:sz w:val="18"/>
                <w:szCs w:val="18"/>
                <w:b w:val="1"/>
                <w:bCs w:val="1"/>
                <w:color w:val="FFFFFF"/>
              </w:rPr>
              <w:t>Target</w:t>
            </w:r>
          </w:p>
        </w:tc>
        <w:tc>
          <w:tcPr>
            <w:tcW w:w="1600" w:type="dxa"/>
            <w:vAlign w:val="bottom"/>
            <w:shd w:val="clear" w:color="auto" w:fill="4F81BD"/>
          </w:tcPr>
          <w:p>
            <w:pPr>
              <w:jc w:val="center"/>
              <w:spacing w:after="0"/>
              <w:rPr>
                <w:sz w:val="20"/>
                <w:szCs w:val="20"/>
                <w:color w:val="auto"/>
              </w:rPr>
            </w:pPr>
            <w:r>
              <w:rPr>
                <w:rFonts w:ascii="Arial" w:cs="Arial" w:eastAsia="Arial" w:hAnsi="Arial"/>
                <w:sz w:val="18"/>
                <w:szCs w:val="18"/>
                <w:b w:val="1"/>
                <w:bCs w:val="1"/>
                <w:color w:val="FFFFFF"/>
                <w:w w:val="96"/>
              </w:rPr>
              <w:t>Maximum</w:t>
            </w:r>
          </w:p>
        </w:tc>
        <w:tc>
          <w:tcPr>
            <w:tcW w:w="20" w:type="dxa"/>
            <w:vAlign w:val="bottom"/>
          </w:tcPr>
          <w:p>
            <w:pPr>
              <w:spacing w:after="0"/>
              <w:rPr>
                <w:sz w:val="18"/>
                <w:szCs w:val="18"/>
                <w:color w:val="auto"/>
              </w:rPr>
            </w:pPr>
          </w:p>
        </w:tc>
      </w:tr>
      <w:tr>
        <w:trPr>
          <w:trHeight w:val="247"/>
        </w:trPr>
        <w:tc>
          <w:tcPr>
            <w:tcW w:w="1660" w:type="dxa"/>
            <w:vAlign w:val="bottom"/>
            <w:tcBorders>
              <w:left w:val="single" w:sz="8" w:color="auto"/>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6"/>
              </w:rPr>
              <w:t>Period</w:t>
            </w:r>
          </w:p>
        </w:tc>
        <w:tc>
          <w:tcPr>
            <w:tcW w:w="162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7"/>
              </w:rPr>
              <w:t>(50% Payout)</w:t>
            </w:r>
          </w:p>
        </w:tc>
        <w:tc>
          <w:tcPr>
            <w:tcW w:w="1620" w:type="dxa"/>
            <w:vAlign w:val="bottom"/>
            <w:tcBorders>
              <w:right w:val="single" w:sz="8" w:color="4F81BD"/>
            </w:tcBorders>
            <w:shd w:val="clear" w:color="auto" w:fill="4F81BD"/>
          </w:tcPr>
          <w:p>
            <w:pPr>
              <w:ind w:left="260"/>
              <w:spacing w:after="0"/>
              <w:rPr>
                <w:sz w:val="20"/>
                <w:szCs w:val="20"/>
                <w:color w:val="auto"/>
              </w:rPr>
            </w:pPr>
            <w:r>
              <w:rPr>
                <w:rFonts w:ascii="Arial" w:cs="Arial" w:eastAsia="Arial" w:hAnsi="Arial"/>
                <w:sz w:val="18"/>
                <w:szCs w:val="18"/>
                <w:b w:val="1"/>
                <w:bCs w:val="1"/>
                <w:color w:val="FFFFFF"/>
              </w:rPr>
              <w:t>(100% Payout)</w:t>
            </w:r>
          </w:p>
        </w:tc>
        <w:tc>
          <w:tcPr>
            <w:tcW w:w="1600" w:type="dxa"/>
            <w:vAlign w:val="bottom"/>
            <w:shd w:val="clear" w:color="auto" w:fill="4F81BD"/>
          </w:tcPr>
          <w:p>
            <w:pPr>
              <w:jc w:val="center"/>
              <w:spacing w:after="0"/>
              <w:rPr>
                <w:sz w:val="20"/>
                <w:szCs w:val="20"/>
                <w:color w:val="auto"/>
              </w:rPr>
            </w:pPr>
            <w:r>
              <w:rPr>
                <w:rFonts w:ascii="Arial" w:cs="Arial" w:eastAsia="Arial" w:hAnsi="Arial"/>
                <w:sz w:val="18"/>
                <w:szCs w:val="18"/>
                <w:b w:val="1"/>
                <w:bCs w:val="1"/>
                <w:color w:val="FFFFFF"/>
                <w:w w:val="97"/>
              </w:rPr>
              <w:t>(200% Payout)</w:t>
            </w:r>
          </w:p>
        </w:tc>
        <w:tc>
          <w:tcPr>
            <w:tcW w:w="20" w:type="dxa"/>
            <w:vAlign w:val="bottom"/>
          </w:tcPr>
          <w:p>
            <w:pPr>
              <w:spacing w:after="0"/>
              <w:rPr>
                <w:sz w:val="21"/>
                <w:szCs w:val="21"/>
                <w:color w:val="auto"/>
              </w:rPr>
            </w:pPr>
          </w:p>
        </w:tc>
      </w:tr>
      <w:tr>
        <w:trPr>
          <w:trHeight w:val="120"/>
        </w:trPr>
        <w:tc>
          <w:tcPr>
            <w:tcW w:w="1660" w:type="dxa"/>
            <w:vAlign w:val="bottom"/>
            <w:tcBorders>
              <w:left w:val="single" w:sz="8" w:color="auto"/>
              <w:bottom w:val="single" w:sz="8" w:color="auto"/>
              <w:right w:val="single" w:sz="8" w:color="4F81BD"/>
            </w:tcBorders>
            <w:shd w:val="clear" w:color="auto" w:fill="4F81BD"/>
          </w:tcPr>
          <w:p>
            <w:pPr>
              <w:spacing w:after="0"/>
              <w:rPr>
                <w:sz w:val="10"/>
                <w:szCs w:val="10"/>
                <w:color w:val="auto"/>
              </w:rPr>
            </w:pPr>
          </w:p>
        </w:tc>
        <w:tc>
          <w:tcPr>
            <w:tcW w:w="1620" w:type="dxa"/>
            <w:vAlign w:val="bottom"/>
            <w:tcBorders>
              <w:bottom w:val="single" w:sz="8" w:color="auto"/>
              <w:right w:val="single" w:sz="8" w:color="4F81BD"/>
            </w:tcBorders>
            <w:shd w:val="clear" w:color="auto" w:fill="4F81BD"/>
          </w:tcPr>
          <w:p>
            <w:pPr>
              <w:spacing w:after="0"/>
              <w:rPr>
                <w:sz w:val="10"/>
                <w:szCs w:val="10"/>
                <w:color w:val="auto"/>
              </w:rPr>
            </w:pPr>
          </w:p>
        </w:tc>
        <w:tc>
          <w:tcPr>
            <w:tcW w:w="1620" w:type="dxa"/>
            <w:vAlign w:val="bottom"/>
            <w:tcBorders>
              <w:bottom w:val="single" w:sz="8" w:color="auto"/>
              <w:right w:val="single" w:sz="8" w:color="4F81BD"/>
            </w:tcBorders>
            <w:shd w:val="clear" w:color="auto" w:fill="4F81BD"/>
          </w:tcPr>
          <w:p>
            <w:pPr>
              <w:spacing w:after="0"/>
              <w:rPr>
                <w:sz w:val="10"/>
                <w:szCs w:val="10"/>
                <w:color w:val="auto"/>
              </w:rPr>
            </w:pPr>
          </w:p>
        </w:tc>
        <w:tc>
          <w:tcPr>
            <w:tcW w:w="1600" w:type="dxa"/>
            <w:vAlign w:val="bottom"/>
            <w:tcBorders>
              <w:bottom w:val="single" w:sz="8" w:color="auto"/>
            </w:tcBorders>
            <w:shd w:val="clear" w:color="auto" w:fill="4F81BD"/>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166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8"/>
              </w:rPr>
              <w:t>Q3 2020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25.1%</w:t>
            </w:r>
          </w:p>
        </w:tc>
        <w:tc>
          <w:tcPr>
            <w:tcW w:w="16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35.3%</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43.0%</w:t>
            </w:r>
          </w:p>
        </w:tc>
        <w:tc>
          <w:tcPr>
            <w:tcW w:w="20" w:type="dxa"/>
            <w:vAlign w:val="bottom"/>
            <w:shd w:val="clear" w:color="auto" w:fill="000000"/>
          </w:tcPr>
          <w:p>
            <w:pPr>
              <w:spacing w:after="0"/>
              <w:rPr>
                <w:sz w:val="21"/>
                <w:szCs w:val="21"/>
                <w:color w:val="auto"/>
              </w:rPr>
            </w:pPr>
          </w:p>
        </w:tc>
      </w:tr>
      <w:tr>
        <w:trPr>
          <w:trHeight w:val="28"/>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166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8"/>
              </w:rPr>
              <w:t>Q4 2020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27.7%</w:t>
            </w:r>
          </w:p>
        </w:tc>
        <w:tc>
          <w:tcPr>
            <w:tcW w:w="16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40.3%</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49.0%</w:t>
            </w:r>
          </w:p>
        </w:tc>
        <w:tc>
          <w:tcPr>
            <w:tcW w:w="20" w:type="dxa"/>
            <w:vAlign w:val="bottom"/>
            <w:shd w:val="clear" w:color="auto" w:fill="000000"/>
          </w:tcPr>
          <w:p>
            <w:pPr>
              <w:spacing w:after="0"/>
              <w:rPr>
                <w:sz w:val="21"/>
                <w:szCs w:val="21"/>
                <w:color w:val="auto"/>
              </w:rPr>
            </w:pPr>
          </w:p>
        </w:tc>
      </w:tr>
      <w:tr>
        <w:trPr>
          <w:trHeight w:val="28"/>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G&amp;A Reduction</w:t>
      </w:r>
      <w:r>
        <w:rPr>
          <w:rFonts w:ascii="Arial" w:cs="Arial" w:eastAsia="Arial" w:hAnsi="Arial"/>
          <w:sz w:val="15"/>
          <w:szCs w:val="15"/>
          <w:b w:val="1"/>
          <w:bCs w:val="1"/>
          <w:color w:val="auto"/>
        </w:rPr>
        <w:t>(1)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(Measured July 1, 2020 through end of applicable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62865</wp:posOffset>
            </wp:positionV>
            <wp:extent cx="5157470" cy="673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57470" cy="673100"/>
                    </a:xfrm>
                    <a:prstGeom prst="rect">
                      <a:avLst/>
                    </a:prstGeom>
                    <a:noFill/>
                  </pic:spPr>
                </pic:pic>
              </a:graphicData>
            </a:graphic>
          </wp:anchor>
        </w:drawing>
      </w:r>
    </w:p>
    <w:p>
      <w:pPr>
        <w:spacing w:after="0" w:line="79" w:lineRule="exact"/>
        <w:rPr>
          <w:sz w:val="20"/>
          <w:szCs w:val="20"/>
          <w:color w:val="auto"/>
        </w:rPr>
      </w:pPr>
    </w:p>
    <w:tbl>
      <w:tblPr>
        <w:tblLayout w:type="fixed"/>
        <w:tblInd w:w="1390" w:type="dxa"/>
        <w:tblCellMar>
          <w:top w:w="0" w:type="dxa"/>
          <w:left w:w="0" w:type="dxa"/>
          <w:bottom w:w="0" w:type="dxa"/>
          <w:right w:w="0" w:type="dxa"/>
        </w:tblCellMar>
      </w:tblPr>
      <w:tr>
        <w:trPr>
          <w:trHeight w:val="216"/>
        </w:trPr>
        <w:tc>
          <w:tcPr>
            <w:tcW w:w="200" w:type="dxa"/>
            <w:vAlign w:val="bottom"/>
            <w:tcBorders>
              <w:right w:val="single" w:sz="8" w:color="auto"/>
            </w:tcBorders>
          </w:tcPr>
          <w:p>
            <w:pPr>
              <w:spacing w:after="0"/>
              <w:rPr>
                <w:sz w:val="18"/>
                <w:szCs w:val="18"/>
                <w:color w:val="auto"/>
              </w:rPr>
            </w:pPr>
          </w:p>
        </w:tc>
        <w:tc>
          <w:tcPr>
            <w:tcW w:w="1780" w:type="dxa"/>
            <w:vAlign w:val="bottom"/>
            <w:tcBorders>
              <w:right w:val="single" w:sz="8" w:color="4F81BD"/>
            </w:tcBorders>
            <w:gridSpan w:val="2"/>
            <w:shd w:val="clear" w:color="auto" w:fill="4F81BD"/>
          </w:tcPr>
          <w:p>
            <w:pPr>
              <w:jc w:val="center"/>
              <w:ind w:right="160"/>
              <w:spacing w:after="0"/>
              <w:rPr>
                <w:sz w:val="20"/>
                <w:szCs w:val="20"/>
                <w:color w:val="auto"/>
              </w:rPr>
            </w:pPr>
            <w:r>
              <w:rPr>
                <w:rFonts w:ascii="Arial" w:cs="Arial" w:eastAsia="Arial" w:hAnsi="Arial"/>
                <w:sz w:val="18"/>
                <w:szCs w:val="18"/>
                <w:b w:val="1"/>
                <w:bCs w:val="1"/>
                <w:color w:val="FFFFFF"/>
                <w:w w:val="98"/>
              </w:rPr>
              <w:t>Quarter /</w:t>
            </w:r>
          </w:p>
        </w:tc>
        <w:tc>
          <w:tcPr>
            <w:tcW w:w="1700" w:type="dxa"/>
            <w:vAlign w:val="bottom"/>
            <w:gridSpan w:val="3"/>
            <w:shd w:val="clear" w:color="auto" w:fill="4F81BD"/>
          </w:tcPr>
          <w:p>
            <w:pPr>
              <w:jc w:val="center"/>
              <w:ind w:right="420"/>
              <w:spacing w:after="0"/>
              <w:rPr>
                <w:sz w:val="20"/>
                <w:szCs w:val="20"/>
                <w:color w:val="auto"/>
              </w:rPr>
            </w:pPr>
            <w:r>
              <w:rPr>
                <w:rFonts w:ascii="Arial" w:cs="Arial" w:eastAsia="Arial" w:hAnsi="Arial"/>
                <w:sz w:val="18"/>
                <w:szCs w:val="18"/>
                <w:b w:val="1"/>
                <w:bCs w:val="1"/>
                <w:color w:val="FFFFFF"/>
                <w:w w:val="98"/>
              </w:rPr>
              <w:t>Average Price /</w:t>
            </w:r>
          </w:p>
        </w:tc>
        <w:tc>
          <w:tcPr>
            <w:tcW w:w="1660" w:type="dxa"/>
            <w:vAlign w:val="bottom"/>
            <w:gridSpan w:val="3"/>
            <w:shd w:val="clear" w:color="auto" w:fill="4F81BD"/>
          </w:tcPr>
          <w:p>
            <w:pPr>
              <w:jc w:val="center"/>
              <w:ind w:right="440"/>
              <w:spacing w:after="0"/>
              <w:rPr>
                <w:sz w:val="20"/>
                <w:szCs w:val="20"/>
                <w:color w:val="auto"/>
              </w:rPr>
            </w:pPr>
            <w:r>
              <w:rPr>
                <w:rFonts w:ascii="Arial" w:cs="Arial" w:eastAsia="Arial" w:hAnsi="Arial"/>
                <w:sz w:val="18"/>
                <w:szCs w:val="18"/>
                <w:b w:val="1"/>
                <w:bCs w:val="1"/>
                <w:color w:val="FFFFFF"/>
                <w:w w:val="98"/>
              </w:rPr>
              <w:t>Threshold</w:t>
            </w:r>
          </w:p>
        </w:tc>
        <w:tc>
          <w:tcPr>
            <w:tcW w:w="1360" w:type="dxa"/>
            <w:vAlign w:val="bottom"/>
            <w:tcBorders>
              <w:right w:val="single" w:sz="8" w:color="4F81BD"/>
            </w:tcBorders>
            <w:gridSpan w:val="2"/>
            <w:shd w:val="clear" w:color="auto" w:fill="4F81BD"/>
          </w:tcPr>
          <w:p>
            <w:pPr>
              <w:jc w:val="center"/>
              <w:ind w:right="140"/>
              <w:spacing w:after="0"/>
              <w:rPr>
                <w:sz w:val="20"/>
                <w:szCs w:val="20"/>
                <w:color w:val="auto"/>
              </w:rPr>
            </w:pPr>
            <w:r>
              <w:rPr>
                <w:rFonts w:ascii="Arial" w:cs="Arial" w:eastAsia="Arial" w:hAnsi="Arial"/>
                <w:sz w:val="18"/>
                <w:szCs w:val="18"/>
                <w:b w:val="1"/>
                <w:bCs w:val="1"/>
                <w:color w:val="FFFFFF"/>
                <w:w w:val="98"/>
              </w:rPr>
              <w:t>Target</w:t>
            </w:r>
          </w:p>
        </w:tc>
        <w:tc>
          <w:tcPr>
            <w:tcW w:w="1600" w:type="dxa"/>
            <w:vAlign w:val="bottom"/>
            <w:shd w:val="clear" w:color="auto" w:fill="4F81BD"/>
          </w:tcPr>
          <w:p>
            <w:pPr>
              <w:jc w:val="center"/>
              <w:ind w:left="12"/>
              <w:spacing w:after="0"/>
              <w:rPr>
                <w:sz w:val="20"/>
                <w:szCs w:val="20"/>
                <w:color w:val="auto"/>
              </w:rPr>
            </w:pPr>
            <w:r>
              <w:rPr>
                <w:rFonts w:ascii="Arial" w:cs="Arial" w:eastAsia="Arial" w:hAnsi="Arial"/>
                <w:sz w:val="18"/>
                <w:szCs w:val="18"/>
                <w:b w:val="1"/>
                <w:bCs w:val="1"/>
                <w:color w:val="FFFFFF"/>
                <w:w w:val="98"/>
              </w:rPr>
              <w:t>Maximum</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Borders>
              <w:right w:val="single" w:sz="8" w:color="auto"/>
            </w:tcBorders>
          </w:tcPr>
          <w:p>
            <w:pPr>
              <w:spacing w:after="0"/>
              <w:rPr>
                <w:sz w:val="17"/>
                <w:szCs w:val="17"/>
                <w:color w:val="auto"/>
              </w:rPr>
            </w:pPr>
          </w:p>
        </w:tc>
        <w:tc>
          <w:tcPr>
            <w:tcW w:w="1780" w:type="dxa"/>
            <w:vAlign w:val="bottom"/>
            <w:tcBorders>
              <w:right w:val="single" w:sz="8" w:color="4F81BD"/>
            </w:tcBorders>
            <w:gridSpan w:val="2"/>
            <w:shd w:val="clear" w:color="auto" w:fill="4F81BD"/>
          </w:tcPr>
          <w:p>
            <w:pPr>
              <w:jc w:val="center"/>
              <w:ind w:right="180"/>
              <w:spacing w:after="0" w:line="199" w:lineRule="exact"/>
              <w:rPr>
                <w:sz w:val="20"/>
                <w:szCs w:val="20"/>
                <w:color w:val="auto"/>
              </w:rPr>
            </w:pPr>
            <w:r>
              <w:rPr>
                <w:rFonts w:ascii="Arial" w:cs="Arial" w:eastAsia="Arial" w:hAnsi="Arial"/>
                <w:sz w:val="18"/>
                <w:szCs w:val="18"/>
                <w:b w:val="1"/>
                <w:bCs w:val="1"/>
                <w:color w:val="FFFFFF"/>
                <w:w w:val="97"/>
              </w:rPr>
              <w:t>Baseline</w:t>
            </w:r>
          </w:p>
        </w:tc>
        <w:tc>
          <w:tcPr>
            <w:tcW w:w="1700" w:type="dxa"/>
            <w:vAlign w:val="bottom"/>
            <w:gridSpan w:val="3"/>
            <w:shd w:val="clear" w:color="auto" w:fill="4F81BD"/>
          </w:tcPr>
          <w:p>
            <w:pPr>
              <w:jc w:val="center"/>
              <w:ind w:right="420"/>
              <w:spacing w:after="0" w:line="199" w:lineRule="exact"/>
              <w:rPr>
                <w:sz w:val="20"/>
                <w:szCs w:val="20"/>
                <w:color w:val="auto"/>
              </w:rPr>
            </w:pPr>
            <w:r>
              <w:rPr>
                <w:rFonts w:ascii="Arial" w:cs="Arial" w:eastAsia="Arial" w:hAnsi="Arial"/>
                <w:sz w:val="18"/>
                <w:szCs w:val="18"/>
                <w:b w:val="1"/>
                <w:bCs w:val="1"/>
                <w:color w:val="FFFFFF"/>
                <w:w w:val="96"/>
              </w:rPr>
              <w:t>Barrel of Oil for</w:t>
            </w:r>
          </w:p>
        </w:tc>
        <w:tc>
          <w:tcPr>
            <w:tcW w:w="1660" w:type="dxa"/>
            <w:vAlign w:val="bottom"/>
            <w:gridSpan w:val="3"/>
            <w:shd w:val="clear" w:color="auto" w:fill="4F81BD"/>
          </w:tcPr>
          <w:p>
            <w:pPr>
              <w:jc w:val="center"/>
              <w:ind w:right="440"/>
              <w:spacing w:after="0" w:line="199" w:lineRule="exact"/>
              <w:rPr>
                <w:sz w:val="20"/>
                <w:szCs w:val="20"/>
                <w:color w:val="auto"/>
              </w:rPr>
            </w:pPr>
            <w:r>
              <w:rPr>
                <w:rFonts w:ascii="Arial" w:cs="Arial" w:eastAsia="Arial" w:hAnsi="Arial"/>
                <w:sz w:val="18"/>
                <w:szCs w:val="18"/>
                <w:b w:val="1"/>
                <w:bCs w:val="1"/>
                <w:color w:val="FFFFFF"/>
                <w:w w:val="97"/>
              </w:rPr>
              <w:t>(50% Payout)</w:t>
            </w:r>
          </w:p>
        </w:tc>
        <w:tc>
          <w:tcPr>
            <w:tcW w:w="1360" w:type="dxa"/>
            <w:vAlign w:val="bottom"/>
            <w:tcBorders>
              <w:right w:val="single" w:sz="8" w:color="4F81BD"/>
            </w:tcBorders>
            <w:gridSpan w:val="2"/>
            <w:shd w:val="clear" w:color="auto" w:fill="4F81BD"/>
          </w:tcPr>
          <w:p>
            <w:pPr>
              <w:jc w:val="center"/>
              <w:ind w:right="140"/>
              <w:spacing w:after="0" w:line="199" w:lineRule="exact"/>
              <w:rPr>
                <w:sz w:val="20"/>
                <w:szCs w:val="20"/>
                <w:color w:val="auto"/>
              </w:rPr>
            </w:pPr>
            <w:r>
              <w:rPr>
                <w:rFonts w:ascii="Arial" w:cs="Arial" w:eastAsia="Arial" w:hAnsi="Arial"/>
                <w:sz w:val="18"/>
                <w:szCs w:val="18"/>
                <w:b w:val="1"/>
                <w:bCs w:val="1"/>
                <w:color w:val="FFFFFF"/>
                <w:w w:val="99"/>
              </w:rPr>
              <w:t>(100% Payout)</w:t>
            </w:r>
          </w:p>
        </w:tc>
        <w:tc>
          <w:tcPr>
            <w:tcW w:w="1600" w:type="dxa"/>
            <w:vAlign w:val="bottom"/>
            <w:shd w:val="clear" w:color="auto" w:fill="4F81BD"/>
          </w:tcPr>
          <w:p>
            <w:pPr>
              <w:jc w:val="center"/>
              <w:ind w:left="12"/>
              <w:spacing w:after="0" w:line="199" w:lineRule="exact"/>
              <w:rPr>
                <w:sz w:val="20"/>
                <w:szCs w:val="20"/>
                <w:color w:val="auto"/>
              </w:rPr>
            </w:pPr>
            <w:r>
              <w:rPr>
                <w:rFonts w:ascii="Arial" w:cs="Arial" w:eastAsia="Arial" w:hAnsi="Arial"/>
                <w:sz w:val="18"/>
                <w:szCs w:val="18"/>
                <w:b w:val="1"/>
                <w:bCs w:val="1"/>
                <w:color w:val="FFFFFF"/>
                <w:w w:val="99"/>
              </w:rPr>
              <w:t>(200% Payout)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right w:val="single" w:sz="8" w:color="auto"/>
            </w:tcBorders>
          </w:tcPr>
          <w:p>
            <w:pPr>
              <w:spacing w:after="0"/>
              <w:rPr>
                <w:sz w:val="17"/>
                <w:szCs w:val="17"/>
                <w:color w:val="auto"/>
              </w:rPr>
            </w:pPr>
          </w:p>
        </w:tc>
        <w:tc>
          <w:tcPr>
            <w:tcW w:w="1780" w:type="dxa"/>
            <w:vAlign w:val="bottom"/>
            <w:tcBorders>
              <w:right w:val="single" w:sz="8" w:color="4F81BD"/>
            </w:tcBorders>
            <w:gridSpan w:val="2"/>
            <w:shd w:val="clear" w:color="auto" w:fill="4F81BD"/>
          </w:tcPr>
          <w:p>
            <w:pPr>
              <w:jc w:val="center"/>
              <w:ind w:right="180"/>
              <w:spacing w:after="0" w:line="199" w:lineRule="exact"/>
              <w:rPr>
                <w:sz w:val="20"/>
                <w:szCs w:val="20"/>
                <w:color w:val="auto"/>
              </w:rPr>
            </w:pPr>
            <w:r>
              <w:rPr>
                <w:rFonts w:ascii="Arial" w:cs="Arial" w:eastAsia="Arial" w:hAnsi="Arial"/>
                <w:sz w:val="18"/>
                <w:szCs w:val="18"/>
                <w:b w:val="1"/>
                <w:bCs w:val="1"/>
                <w:color w:val="FFFFFF"/>
                <w:w w:val="98"/>
              </w:rPr>
              <w:t>Cumulative G&amp;A</w:t>
            </w:r>
          </w:p>
        </w:tc>
        <w:tc>
          <w:tcPr>
            <w:tcW w:w="1700" w:type="dxa"/>
            <w:vAlign w:val="bottom"/>
            <w:gridSpan w:val="3"/>
            <w:shd w:val="clear" w:color="auto" w:fill="4F81BD"/>
          </w:tcPr>
          <w:p>
            <w:pPr>
              <w:jc w:val="center"/>
              <w:ind w:right="420"/>
              <w:spacing w:after="0" w:line="199" w:lineRule="exact"/>
              <w:rPr>
                <w:sz w:val="20"/>
                <w:szCs w:val="20"/>
                <w:color w:val="auto"/>
              </w:rPr>
            </w:pPr>
            <w:r>
              <w:rPr>
                <w:rFonts w:ascii="Arial" w:cs="Arial" w:eastAsia="Arial" w:hAnsi="Arial"/>
                <w:sz w:val="18"/>
                <w:szCs w:val="18"/>
                <w:b w:val="1"/>
                <w:bCs w:val="1"/>
                <w:color w:val="FFFFFF"/>
                <w:w w:val="98"/>
              </w:rPr>
              <w:t>Performance</w:t>
            </w:r>
          </w:p>
        </w:tc>
        <w:tc>
          <w:tcPr>
            <w:tcW w:w="260" w:type="dxa"/>
            <w:vAlign w:val="bottom"/>
            <w:tcBorders>
              <w:right w:val="single" w:sz="8" w:color="4F81BD"/>
            </w:tcBorders>
            <w:shd w:val="clear" w:color="auto" w:fill="4F81BD"/>
          </w:tcPr>
          <w:p>
            <w:pPr>
              <w:spacing w:after="0"/>
              <w:rPr>
                <w:sz w:val="17"/>
                <w:szCs w:val="17"/>
                <w:color w:val="auto"/>
              </w:rPr>
            </w:pPr>
          </w:p>
        </w:tc>
        <w:tc>
          <w:tcPr>
            <w:tcW w:w="1140" w:type="dxa"/>
            <w:vAlign w:val="bottom"/>
            <w:tcBorders>
              <w:right w:val="single" w:sz="8" w:color="4F81BD"/>
            </w:tcBorders>
            <w:shd w:val="clear" w:color="auto" w:fill="4F81BD"/>
          </w:tcPr>
          <w:p>
            <w:pPr>
              <w:spacing w:after="0"/>
              <w:rPr>
                <w:sz w:val="17"/>
                <w:szCs w:val="17"/>
                <w:color w:val="auto"/>
              </w:rPr>
            </w:pPr>
          </w:p>
        </w:tc>
        <w:tc>
          <w:tcPr>
            <w:tcW w:w="260" w:type="dxa"/>
            <w:vAlign w:val="bottom"/>
            <w:shd w:val="clear" w:color="auto" w:fill="4F81BD"/>
          </w:tcPr>
          <w:p>
            <w:pPr>
              <w:spacing w:after="0"/>
              <w:rPr>
                <w:sz w:val="17"/>
                <w:szCs w:val="17"/>
                <w:color w:val="auto"/>
              </w:rPr>
            </w:pPr>
          </w:p>
        </w:tc>
        <w:tc>
          <w:tcPr>
            <w:tcW w:w="880" w:type="dxa"/>
            <w:vAlign w:val="bottom"/>
            <w:tcBorders>
              <w:right w:val="single" w:sz="8" w:color="4F81BD"/>
            </w:tcBorders>
            <w:shd w:val="clear" w:color="auto" w:fill="4F81BD"/>
          </w:tcPr>
          <w:p>
            <w:pPr>
              <w:spacing w:after="0"/>
              <w:rPr>
                <w:sz w:val="17"/>
                <w:szCs w:val="17"/>
                <w:color w:val="auto"/>
              </w:rPr>
            </w:pPr>
          </w:p>
        </w:tc>
        <w:tc>
          <w:tcPr>
            <w:tcW w:w="480" w:type="dxa"/>
            <w:vAlign w:val="bottom"/>
            <w:tcBorders>
              <w:right w:val="single" w:sz="8" w:color="4F81BD"/>
            </w:tcBorders>
            <w:shd w:val="clear" w:color="auto" w:fill="4F81BD"/>
          </w:tcPr>
          <w:p>
            <w:pPr>
              <w:spacing w:after="0"/>
              <w:rPr>
                <w:sz w:val="17"/>
                <w:szCs w:val="17"/>
                <w:color w:val="auto"/>
              </w:rPr>
            </w:pPr>
          </w:p>
        </w:tc>
        <w:tc>
          <w:tcPr>
            <w:tcW w:w="1600" w:type="dxa"/>
            <w:vAlign w:val="bottom"/>
            <w:shd w:val="clear" w:color="auto" w:fill="4F81BD"/>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 w:type="dxa"/>
            <w:vAlign w:val="bottom"/>
            <w:tcBorders>
              <w:right w:val="single" w:sz="8" w:color="auto"/>
            </w:tcBorders>
          </w:tcPr>
          <w:p>
            <w:pPr>
              <w:spacing w:after="0"/>
              <w:rPr>
                <w:sz w:val="18"/>
                <w:szCs w:val="18"/>
                <w:color w:val="auto"/>
              </w:rPr>
            </w:pPr>
          </w:p>
        </w:tc>
        <w:tc>
          <w:tcPr>
            <w:tcW w:w="1780" w:type="dxa"/>
            <w:vAlign w:val="bottom"/>
            <w:tcBorders>
              <w:right w:val="single" w:sz="8" w:color="4F81BD"/>
            </w:tcBorders>
            <w:gridSpan w:val="2"/>
            <w:shd w:val="clear" w:color="auto" w:fill="4F81BD"/>
          </w:tcPr>
          <w:p>
            <w:pPr>
              <w:jc w:val="center"/>
              <w:ind w:right="160"/>
              <w:spacing w:after="0"/>
              <w:rPr>
                <w:sz w:val="20"/>
                <w:szCs w:val="20"/>
                <w:color w:val="auto"/>
              </w:rPr>
            </w:pPr>
            <w:r>
              <w:rPr>
                <w:rFonts w:ascii="Arial" w:cs="Arial" w:eastAsia="Arial" w:hAnsi="Arial"/>
                <w:sz w:val="18"/>
                <w:szCs w:val="18"/>
                <w:b w:val="1"/>
                <w:bCs w:val="1"/>
                <w:color w:val="FFFFFF"/>
                <w:w w:val="97"/>
              </w:rPr>
              <w:t>Expenses</w:t>
            </w:r>
          </w:p>
        </w:tc>
        <w:tc>
          <w:tcPr>
            <w:tcW w:w="1700" w:type="dxa"/>
            <w:vAlign w:val="bottom"/>
            <w:gridSpan w:val="3"/>
            <w:shd w:val="clear" w:color="auto" w:fill="4F81BD"/>
          </w:tcPr>
          <w:p>
            <w:pPr>
              <w:jc w:val="center"/>
              <w:ind w:right="420"/>
              <w:spacing w:after="0"/>
              <w:rPr>
                <w:sz w:val="20"/>
                <w:szCs w:val="20"/>
                <w:color w:val="auto"/>
              </w:rPr>
            </w:pPr>
            <w:r>
              <w:rPr>
                <w:rFonts w:ascii="Arial" w:cs="Arial" w:eastAsia="Arial" w:hAnsi="Arial"/>
                <w:sz w:val="18"/>
                <w:szCs w:val="18"/>
                <w:b w:val="1"/>
                <w:bCs w:val="1"/>
                <w:color w:val="FFFFFF"/>
                <w:w w:val="99"/>
              </w:rPr>
              <w:t>Period</w:t>
            </w:r>
          </w:p>
        </w:tc>
        <w:tc>
          <w:tcPr>
            <w:tcW w:w="260" w:type="dxa"/>
            <w:vAlign w:val="bottom"/>
            <w:tcBorders>
              <w:right w:val="single" w:sz="8" w:color="4F81BD"/>
            </w:tcBorders>
            <w:shd w:val="clear" w:color="auto" w:fill="4F81BD"/>
          </w:tcPr>
          <w:p>
            <w:pPr>
              <w:spacing w:after="0"/>
              <w:rPr>
                <w:sz w:val="18"/>
                <w:szCs w:val="18"/>
                <w:color w:val="auto"/>
              </w:rPr>
            </w:pPr>
          </w:p>
        </w:tc>
        <w:tc>
          <w:tcPr>
            <w:tcW w:w="1140" w:type="dxa"/>
            <w:vAlign w:val="bottom"/>
            <w:tcBorders>
              <w:right w:val="single" w:sz="8" w:color="4F81BD"/>
            </w:tcBorders>
            <w:shd w:val="clear" w:color="auto" w:fill="4F81BD"/>
          </w:tcPr>
          <w:p>
            <w:pPr>
              <w:spacing w:after="0"/>
              <w:rPr>
                <w:sz w:val="18"/>
                <w:szCs w:val="18"/>
                <w:color w:val="auto"/>
              </w:rPr>
            </w:pPr>
          </w:p>
        </w:tc>
        <w:tc>
          <w:tcPr>
            <w:tcW w:w="260" w:type="dxa"/>
            <w:vAlign w:val="bottom"/>
            <w:shd w:val="clear" w:color="auto" w:fill="4F81BD"/>
          </w:tcPr>
          <w:p>
            <w:pPr>
              <w:spacing w:after="0"/>
              <w:rPr>
                <w:sz w:val="18"/>
                <w:szCs w:val="18"/>
                <w:color w:val="auto"/>
              </w:rPr>
            </w:pPr>
          </w:p>
        </w:tc>
        <w:tc>
          <w:tcPr>
            <w:tcW w:w="880" w:type="dxa"/>
            <w:vAlign w:val="bottom"/>
            <w:tcBorders>
              <w:right w:val="single" w:sz="8" w:color="4F81BD"/>
            </w:tcBorders>
            <w:shd w:val="clear" w:color="auto" w:fill="4F81BD"/>
          </w:tcPr>
          <w:p>
            <w:pPr>
              <w:spacing w:after="0"/>
              <w:rPr>
                <w:sz w:val="18"/>
                <w:szCs w:val="18"/>
                <w:color w:val="auto"/>
              </w:rPr>
            </w:pPr>
          </w:p>
        </w:tc>
        <w:tc>
          <w:tcPr>
            <w:tcW w:w="480" w:type="dxa"/>
            <w:vAlign w:val="bottom"/>
            <w:tcBorders>
              <w:right w:val="single" w:sz="8" w:color="4F81BD"/>
            </w:tcBorders>
            <w:shd w:val="clear" w:color="auto" w:fill="4F81BD"/>
          </w:tcPr>
          <w:p>
            <w:pPr>
              <w:spacing w:after="0"/>
              <w:rPr>
                <w:sz w:val="18"/>
                <w:szCs w:val="18"/>
                <w:color w:val="auto"/>
              </w:rPr>
            </w:pPr>
          </w:p>
        </w:tc>
        <w:tc>
          <w:tcPr>
            <w:tcW w:w="1600" w:type="dxa"/>
            <w:vAlign w:val="bottom"/>
            <w:shd w:val="clear" w:color="auto" w:fill="4F81BD"/>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Borders>
              <w:right w:val="single" w:sz="8" w:color="auto"/>
            </w:tcBorders>
          </w:tcPr>
          <w:p>
            <w:pPr>
              <w:spacing w:after="0"/>
              <w:rPr>
                <w:sz w:val="19"/>
                <w:szCs w:val="19"/>
                <w:color w:val="auto"/>
              </w:rPr>
            </w:pPr>
          </w:p>
        </w:tc>
        <w:tc>
          <w:tcPr>
            <w:tcW w:w="1780" w:type="dxa"/>
            <w:vAlign w:val="bottom"/>
            <w:tcBorders>
              <w:bottom w:val="single" w:sz="8" w:color="auto"/>
              <w:right w:val="single" w:sz="8" w:color="4F81BD"/>
            </w:tcBorders>
            <w:gridSpan w:val="2"/>
            <w:shd w:val="clear" w:color="auto" w:fill="4F81BD"/>
          </w:tcPr>
          <w:p>
            <w:pPr>
              <w:jc w:val="center"/>
              <w:ind w:right="160"/>
              <w:spacing w:after="0"/>
              <w:rPr>
                <w:sz w:val="20"/>
                <w:szCs w:val="20"/>
                <w:color w:val="auto"/>
              </w:rPr>
            </w:pPr>
            <w:r>
              <w:rPr>
                <w:rFonts w:ascii="Arial" w:cs="Arial" w:eastAsia="Arial" w:hAnsi="Arial"/>
                <w:sz w:val="18"/>
                <w:szCs w:val="18"/>
                <w:b w:val="1"/>
                <w:bCs w:val="1"/>
                <w:color w:val="FFFFFF"/>
                <w:w w:val="97"/>
              </w:rPr>
              <w:t>($ in 000s)</w:t>
            </w:r>
          </w:p>
        </w:tc>
        <w:tc>
          <w:tcPr>
            <w:tcW w:w="980" w:type="dxa"/>
            <w:vAlign w:val="bottom"/>
            <w:tcBorders>
              <w:bottom w:val="single" w:sz="8" w:color="auto"/>
            </w:tcBorders>
            <w:shd w:val="clear" w:color="auto" w:fill="4F81BD"/>
          </w:tcPr>
          <w:p>
            <w:pPr>
              <w:spacing w:after="0"/>
              <w:rPr>
                <w:sz w:val="19"/>
                <w:szCs w:val="19"/>
                <w:color w:val="auto"/>
              </w:rPr>
            </w:pPr>
          </w:p>
        </w:tc>
        <w:tc>
          <w:tcPr>
            <w:tcW w:w="500" w:type="dxa"/>
            <w:vAlign w:val="bottom"/>
            <w:tcBorders>
              <w:bottom w:val="single" w:sz="8" w:color="auto"/>
              <w:right w:val="single" w:sz="8" w:color="4F81BD"/>
            </w:tcBorders>
            <w:shd w:val="clear" w:color="auto" w:fill="4F81BD"/>
          </w:tcPr>
          <w:p>
            <w:pPr>
              <w:spacing w:after="0"/>
              <w:rPr>
                <w:sz w:val="19"/>
                <w:szCs w:val="19"/>
                <w:color w:val="auto"/>
              </w:rPr>
            </w:pPr>
          </w:p>
        </w:tc>
        <w:tc>
          <w:tcPr>
            <w:tcW w:w="220" w:type="dxa"/>
            <w:vAlign w:val="bottom"/>
            <w:tcBorders>
              <w:bottom w:val="single" w:sz="8" w:color="auto"/>
            </w:tcBorders>
            <w:shd w:val="clear" w:color="auto" w:fill="4F81BD"/>
          </w:tcPr>
          <w:p>
            <w:pPr>
              <w:spacing w:after="0"/>
              <w:rPr>
                <w:sz w:val="19"/>
                <w:szCs w:val="19"/>
                <w:color w:val="auto"/>
              </w:rPr>
            </w:pPr>
          </w:p>
        </w:tc>
        <w:tc>
          <w:tcPr>
            <w:tcW w:w="260" w:type="dxa"/>
            <w:vAlign w:val="bottom"/>
            <w:tcBorders>
              <w:bottom w:val="single" w:sz="8" w:color="auto"/>
              <w:right w:val="single" w:sz="8" w:color="4F81BD"/>
            </w:tcBorders>
            <w:shd w:val="clear" w:color="auto" w:fill="4F81BD"/>
          </w:tcPr>
          <w:p>
            <w:pPr>
              <w:spacing w:after="0"/>
              <w:rPr>
                <w:sz w:val="19"/>
                <w:szCs w:val="19"/>
                <w:color w:val="auto"/>
              </w:rPr>
            </w:pPr>
          </w:p>
        </w:tc>
        <w:tc>
          <w:tcPr>
            <w:tcW w:w="1140" w:type="dxa"/>
            <w:vAlign w:val="bottom"/>
            <w:tcBorders>
              <w:bottom w:val="single" w:sz="8" w:color="auto"/>
              <w:right w:val="single" w:sz="8" w:color="4F81BD"/>
            </w:tcBorders>
            <w:shd w:val="clear" w:color="auto" w:fill="4F81BD"/>
          </w:tcPr>
          <w:p>
            <w:pPr>
              <w:spacing w:after="0"/>
              <w:rPr>
                <w:sz w:val="19"/>
                <w:szCs w:val="19"/>
                <w:color w:val="auto"/>
              </w:rPr>
            </w:pPr>
          </w:p>
        </w:tc>
        <w:tc>
          <w:tcPr>
            <w:tcW w:w="260" w:type="dxa"/>
            <w:vAlign w:val="bottom"/>
            <w:tcBorders>
              <w:bottom w:val="single" w:sz="8" w:color="auto"/>
            </w:tcBorders>
            <w:shd w:val="clear" w:color="auto" w:fill="4F81BD"/>
          </w:tcPr>
          <w:p>
            <w:pPr>
              <w:spacing w:after="0"/>
              <w:rPr>
                <w:sz w:val="19"/>
                <w:szCs w:val="19"/>
                <w:color w:val="auto"/>
              </w:rPr>
            </w:pPr>
          </w:p>
        </w:tc>
        <w:tc>
          <w:tcPr>
            <w:tcW w:w="880" w:type="dxa"/>
            <w:vAlign w:val="bottom"/>
            <w:tcBorders>
              <w:bottom w:val="single" w:sz="8" w:color="auto"/>
              <w:right w:val="single" w:sz="8" w:color="4F81BD"/>
            </w:tcBorders>
            <w:shd w:val="clear" w:color="auto" w:fill="4F81BD"/>
          </w:tcPr>
          <w:p>
            <w:pPr>
              <w:spacing w:after="0"/>
              <w:rPr>
                <w:sz w:val="19"/>
                <w:szCs w:val="19"/>
                <w:color w:val="auto"/>
              </w:rPr>
            </w:pPr>
          </w:p>
        </w:tc>
        <w:tc>
          <w:tcPr>
            <w:tcW w:w="480" w:type="dxa"/>
            <w:vAlign w:val="bottom"/>
            <w:tcBorders>
              <w:bottom w:val="single" w:sz="8" w:color="auto"/>
              <w:right w:val="single" w:sz="8" w:color="4F81BD"/>
            </w:tcBorders>
            <w:shd w:val="clear" w:color="auto" w:fill="4F81BD"/>
          </w:tcPr>
          <w:p>
            <w:pPr>
              <w:spacing w:after="0"/>
              <w:rPr>
                <w:sz w:val="19"/>
                <w:szCs w:val="19"/>
                <w:color w:val="auto"/>
              </w:rPr>
            </w:pPr>
          </w:p>
        </w:tc>
        <w:tc>
          <w:tcPr>
            <w:tcW w:w="1600" w:type="dxa"/>
            <w:vAlign w:val="bottom"/>
            <w:tcBorders>
              <w:bottom w:val="single" w:sz="8" w:color="auto"/>
            </w:tcBorders>
            <w:shd w:val="clear" w:color="auto" w:fill="4F81BD"/>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Q3 2020</w:t>
            </w:r>
          </w:p>
        </w:tc>
        <w:tc>
          <w:tcPr>
            <w:tcW w:w="24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98"/>
              </w:rPr>
              <w:t>$35 or higher</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98"/>
              </w:rPr>
              <w:t>(0.7%)</w:t>
            </w:r>
          </w:p>
        </w:tc>
        <w:tc>
          <w:tcPr>
            <w:tcW w:w="260" w:type="dxa"/>
            <w:vAlign w:val="bottom"/>
          </w:tcPr>
          <w:p>
            <w:pPr>
              <w:spacing w:after="0"/>
              <w:rPr>
                <w:sz w:val="20"/>
                <w:szCs w:val="20"/>
                <w:color w:val="auto"/>
              </w:rPr>
            </w:pPr>
          </w:p>
        </w:tc>
        <w:tc>
          <w:tcPr>
            <w:tcW w:w="880" w:type="dxa"/>
            <w:vAlign w:val="bottom"/>
          </w:tcPr>
          <w:p>
            <w:pPr>
              <w:jc w:val="center"/>
              <w:ind w:left="192"/>
              <w:spacing w:after="0"/>
              <w:rPr>
                <w:sz w:val="20"/>
                <w:szCs w:val="20"/>
                <w:color w:val="auto"/>
              </w:rPr>
            </w:pPr>
            <w:r>
              <w:rPr>
                <w:rFonts w:ascii="Arial" w:cs="Arial" w:eastAsia="Arial" w:hAnsi="Arial"/>
                <w:sz w:val="18"/>
                <w:szCs w:val="18"/>
                <w:color w:val="auto"/>
                <w:w w:val="98"/>
              </w:rPr>
              <w:t>(1.4%)</w:t>
            </w:r>
          </w:p>
        </w:tc>
        <w:tc>
          <w:tcPr>
            <w:tcW w:w="480" w:type="dxa"/>
            <w:vAlign w:val="bottom"/>
            <w:tcBorders>
              <w:right w:val="single" w:sz="8" w:color="auto"/>
            </w:tcBorders>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(2.2%)</w:t>
            </w:r>
          </w:p>
        </w:tc>
        <w:tc>
          <w:tcPr>
            <w:tcW w:w="22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vMerge w:val="restart"/>
          </w:tcPr>
          <w:p>
            <w:pPr>
              <w:spacing w:after="0"/>
              <w:rPr>
                <w:sz w:val="4"/>
                <w:szCs w:val="4"/>
                <w:color w:val="auto"/>
              </w:rPr>
            </w:pPr>
          </w:p>
        </w:tc>
        <w:tc>
          <w:tcPr>
            <w:tcW w:w="154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18"/>
                <w:szCs w:val="18"/>
                <w:color w:val="auto"/>
              </w:rPr>
              <w:t>$55,153</w:t>
            </w: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20" w:type="dxa"/>
            <w:vAlign w:val="bottom"/>
            <w:tcBorders>
              <w:lef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center"/>
              <w:ind w:left="231"/>
              <w:spacing w:after="0"/>
              <w:rPr>
                <w:sz w:val="20"/>
                <w:szCs w:val="20"/>
                <w:color w:val="auto"/>
              </w:rPr>
            </w:pPr>
            <w:r>
              <w:rPr>
                <w:rFonts w:ascii="Arial" w:cs="Arial" w:eastAsia="Arial" w:hAnsi="Arial"/>
                <w:sz w:val="18"/>
                <w:szCs w:val="18"/>
                <w:color w:val="auto"/>
                <w:w w:val="99"/>
              </w:rPr>
              <w:t>$25-$35</w:t>
            </w:r>
          </w:p>
        </w:tc>
        <w:tc>
          <w:tcPr>
            <w:tcW w:w="5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jc w:val="center"/>
              <w:ind w:right="72"/>
              <w:spacing w:after="0"/>
              <w:rPr>
                <w:sz w:val="20"/>
                <w:szCs w:val="20"/>
                <w:color w:val="auto"/>
              </w:rPr>
            </w:pPr>
            <w:r>
              <w:rPr>
                <w:rFonts w:ascii="Arial" w:cs="Arial" w:eastAsia="Arial" w:hAnsi="Arial"/>
                <w:sz w:val="18"/>
                <w:szCs w:val="18"/>
                <w:color w:val="auto"/>
                <w:w w:val="98"/>
              </w:rPr>
              <w:t>(1.4%)</w:t>
            </w:r>
          </w:p>
        </w:tc>
        <w:tc>
          <w:tcPr>
            <w:tcW w:w="260" w:type="dxa"/>
            <w:vAlign w:val="bottom"/>
          </w:tcPr>
          <w:p>
            <w:pPr>
              <w:spacing w:after="0"/>
              <w:rPr>
                <w:sz w:val="12"/>
                <w:szCs w:val="12"/>
                <w:color w:val="auto"/>
              </w:rPr>
            </w:pPr>
          </w:p>
        </w:tc>
        <w:tc>
          <w:tcPr>
            <w:tcW w:w="880" w:type="dxa"/>
            <w:vAlign w:val="bottom"/>
            <w:vMerge w:val="restart"/>
          </w:tcPr>
          <w:p>
            <w:pPr>
              <w:jc w:val="center"/>
              <w:ind w:left="192"/>
              <w:spacing w:after="0"/>
              <w:rPr>
                <w:sz w:val="20"/>
                <w:szCs w:val="20"/>
                <w:color w:val="auto"/>
              </w:rPr>
            </w:pPr>
            <w:r>
              <w:rPr>
                <w:rFonts w:ascii="Arial" w:cs="Arial" w:eastAsia="Arial" w:hAnsi="Arial"/>
                <w:sz w:val="18"/>
                <w:szCs w:val="18"/>
                <w:color w:val="auto"/>
                <w:w w:val="98"/>
              </w:rPr>
              <w:t>(2.9%)</w:t>
            </w:r>
          </w:p>
        </w:tc>
        <w:tc>
          <w:tcPr>
            <w:tcW w:w="480" w:type="dxa"/>
            <w:vAlign w:val="bottom"/>
            <w:tcBorders>
              <w:right w:val="single" w:sz="8" w:color="auto"/>
            </w:tcBorders>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8"/>
              </w:rPr>
              <w:t>(4.3%)</w:t>
            </w:r>
          </w:p>
        </w:tc>
        <w:tc>
          <w:tcPr>
            <w:tcW w:w="220" w:type="dxa"/>
            <w:vAlign w:val="bottom"/>
            <w:tcBorders>
              <w:lef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right w:val="single" w:sz="8" w:color="auto"/>
            </w:tcBorders>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60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Borders>
              <w:right w:val="single" w:sz="8" w:color="auto"/>
            </w:tcBorders>
            <w:gridSpan w:val="2"/>
          </w:tcPr>
          <w:p>
            <w:pPr>
              <w:jc w:val="center"/>
              <w:ind w:right="92"/>
              <w:spacing w:after="0"/>
              <w:rPr>
                <w:sz w:val="20"/>
                <w:szCs w:val="20"/>
                <w:color w:val="auto"/>
              </w:rPr>
            </w:pPr>
            <w:r>
              <w:rPr>
                <w:rFonts w:ascii="Arial" w:cs="Arial" w:eastAsia="Arial" w:hAnsi="Arial"/>
                <w:sz w:val="18"/>
                <w:szCs w:val="18"/>
                <w:color w:val="auto"/>
                <w:w w:val="97"/>
              </w:rPr>
              <w:t>Less than $25</w:t>
            </w:r>
          </w:p>
        </w:tc>
        <w:tc>
          <w:tcPr>
            <w:tcW w:w="220" w:type="dxa"/>
            <w:vAlign w:val="bottom"/>
          </w:tcPr>
          <w:p>
            <w:pPr>
              <w:spacing w:after="0"/>
              <w:rPr>
                <w:sz w:val="21"/>
                <w:szCs w:val="21"/>
                <w:color w:val="auto"/>
              </w:rPr>
            </w:pPr>
          </w:p>
        </w:tc>
        <w:tc>
          <w:tcPr>
            <w:tcW w:w="1400" w:type="dxa"/>
            <w:vAlign w:val="bottom"/>
            <w:tcBorders>
              <w:right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98"/>
              </w:rPr>
              <w:t>(2.2%)</w:t>
            </w:r>
          </w:p>
        </w:tc>
        <w:tc>
          <w:tcPr>
            <w:tcW w:w="260" w:type="dxa"/>
            <w:vAlign w:val="bottom"/>
          </w:tcPr>
          <w:p>
            <w:pPr>
              <w:spacing w:after="0"/>
              <w:rPr>
                <w:sz w:val="21"/>
                <w:szCs w:val="21"/>
                <w:color w:val="auto"/>
              </w:rPr>
            </w:pPr>
          </w:p>
        </w:tc>
        <w:tc>
          <w:tcPr>
            <w:tcW w:w="880" w:type="dxa"/>
            <w:vAlign w:val="bottom"/>
          </w:tcPr>
          <w:p>
            <w:pPr>
              <w:jc w:val="center"/>
              <w:ind w:left="192"/>
              <w:spacing w:after="0"/>
              <w:rPr>
                <w:sz w:val="20"/>
                <w:szCs w:val="20"/>
                <w:color w:val="auto"/>
              </w:rPr>
            </w:pPr>
            <w:r>
              <w:rPr>
                <w:rFonts w:ascii="Arial" w:cs="Arial" w:eastAsia="Arial" w:hAnsi="Arial"/>
                <w:sz w:val="18"/>
                <w:szCs w:val="18"/>
                <w:color w:val="auto"/>
                <w:w w:val="98"/>
              </w:rPr>
              <w:t>(4.3%)</w:t>
            </w:r>
          </w:p>
        </w:tc>
        <w:tc>
          <w:tcPr>
            <w:tcW w:w="480" w:type="dxa"/>
            <w:vAlign w:val="bottom"/>
            <w:tcBorders>
              <w:right w:val="single" w:sz="8" w:color="auto"/>
            </w:tcBorders>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(6.5%)</w:t>
            </w:r>
          </w:p>
        </w:tc>
        <w:tc>
          <w:tcPr>
            <w:tcW w:w="220" w:type="dxa"/>
            <w:vAlign w:val="bottom"/>
            <w:tcBorders>
              <w:lef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20" w:type="dxa"/>
            <w:vAlign w:val="bottom"/>
            <w:tcBorders>
              <w:lef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Q4 2020</w:t>
            </w:r>
          </w:p>
        </w:tc>
        <w:tc>
          <w:tcPr>
            <w:tcW w:w="24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98"/>
              </w:rPr>
              <w:t>$35 or higher</w:t>
            </w:r>
          </w:p>
        </w:tc>
        <w:tc>
          <w:tcPr>
            <w:tcW w:w="22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98"/>
              </w:rPr>
              <w:t>(2.0%)</w:t>
            </w:r>
          </w:p>
        </w:tc>
        <w:tc>
          <w:tcPr>
            <w:tcW w:w="260" w:type="dxa"/>
            <w:vAlign w:val="bottom"/>
          </w:tcPr>
          <w:p>
            <w:pPr>
              <w:spacing w:after="0"/>
              <w:rPr>
                <w:sz w:val="18"/>
                <w:szCs w:val="18"/>
                <w:color w:val="auto"/>
              </w:rPr>
            </w:pPr>
          </w:p>
        </w:tc>
        <w:tc>
          <w:tcPr>
            <w:tcW w:w="880" w:type="dxa"/>
            <w:vAlign w:val="bottom"/>
          </w:tcPr>
          <w:p>
            <w:pPr>
              <w:jc w:val="center"/>
              <w:ind w:left="192"/>
              <w:spacing w:after="0"/>
              <w:rPr>
                <w:sz w:val="20"/>
                <w:szCs w:val="20"/>
                <w:color w:val="auto"/>
              </w:rPr>
            </w:pPr>
            <w:r>
              <w:rPr>
                <w:rFonts w:ascii="Arial" w:cs="Arial" w:eastAsia="Arial" w:hAnsi="Arial"/>
                <w:sz w:val="18"/>
                <w:szCs w:val="18"/>
                <w:color w:val="auto"/>
                <w:w w:val="98"/>
              </w:rPr>
              <w:t>(3.9%)</w:t>
            </w:r>
          </w:p>
        </w:tc>
        <w:tc>
          <w:tcPr>
            <w:tcW w:w="480" w:type="dxa"/>
            <w:vAlign w:val="bottom"/>
            <w:tcBorders>
              <w:right w:val="single" w:sz="8" w:color="auto"/>
            </w:tcBorders>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(5.9%)</w:t>
            </w:r>
          </w:p>
        </w:tc>
        <w:tc>
          <w:tcPr>
            <w:tcW w:w="22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0" w:type="dxa"/>
            <w:vAlign w:val="bottom"/>
            <w:tcBorders>
              <w:right w:val="single" w:sz="8" w:color="auto"/>
            </w:tcBorders>
            <w:vMerge w:val="restart"/>
          </w:tcPr>
          <w:p>
            <w:pPr>
              <w:spacing w:after="0"/>
              <w:rPr>
                <w:sz w:val="6"/>
                <w:szCs w:val="6"/>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$112,627</w:t>
            </w: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restart"/>
          </w:tcPr>
          <w:p>
            <w:pPr>
              <w:jc w:val="center"/>
              <w:ind w:left="231"/>
              <w:spacing w:after="0"/>
              <w:rPr>
                <w:sz w:val="20"/>
                <w:szCs w:val="20"/>
                <w:color w:val="auto"/>
              </w:rPr>
            </w:pPr>
            <w:r>
              <w:rPr>
                <w:rFonts w:ascii="Arial" w:cs="Arial" w:eastAsia="Arial" w:hAnsi="Arial"/>
                <w:sz w:val="18"/>
                <w:szCs w:val="18"/>
                <w:color w:val="auto"/>
                <w:w w:val="99"/>
              </w:rPr>
              <w:t>$25-$35</w:t>
            </w:r>
          </w:p>
        </w:tc>
        <w:tc>
          <w:tcPr>
            <w:tcW w:w="50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right w:val="single" w:sz="8" w:color="auto"/>
            </w:tcBorders>
            <w:gridSpan w:val="2"/>
            <w:vMerge w:val="restart"/>
          </w:tcPr>
          <w:p>
            <w:pPr>
              <w:jc w:val="center"/>
              <w:ind w:right="72"/>
              <w:spacing w:after="0"/>
              <w:rPr>
                <w:sz w:val="20"/>
                <w:szCs w:val="20"/>
                <w:color w:val="auto"/>
              </w:rPr>
            </w:pPr>
            <w:r>
              <w:rPr>
                <w:rFonts w:ascii="Arial" w:cs="Arial" w:eastAsia="Arial" w:hAnsi="Arial"/>
                <w:sz w:val="18"/>
                <w:szCs w:val="18"/>
                <w:color w:val="auto"/>
                <w:w w:val="98"/>
              </w:rPr>
              <w:t>(3.9%)</w:t>
            </w:r>
          </w:p>
        </w:tc>
        <w:tc>
          <w:tcPr>
            <w:tcW w:w="260" w:type="dxa"/>
            <w:vAlign w:val="bottom"/>
          </w:tcPr>
          <w:p>
            <w:pPr>
              <w:spacing w:after="0"/>
              <w:rPr>
                <w:sz w:val="9"/>
                <w:szCs w:val="9"/>
                <w:color w:val="auto"/>
              </w:rPr>
            </w:pPr>
          </w:p>
        </w:tc>
        <w:tc>
          <w:tcPr>
            <w:tcW w:w="880" w:type="dxa"/>
            <w:vAlign w:val="bottom"/>
            <w:vMerge w:val="restart"/>
          </w:tcPr>
          <w:p>
            <w:pPr>
              <w:jc w:val="center"/>
              <w:ind w:left="192"/>
              <w:spacing w:after="0"/>
              <w:rPr>
                <w:sz w:val="20"/>
                <w:szCs w:val="20"/>
                <w:color w:val="auto"/>
              </w:rPr>
            </w:pPr>
            <w:r>
              <w:rPr>
                <w:rFonts w:ascii="Arial" w:cs="Arial" w:eastAsia="Arial" w:hAnsi="Arial"/>
                <w:sz w:val="18"/>
                <w:szCs w:val="18"/>
                <w:color w:val="auto"/>
                <w:w w:val="98"/>
              </w:rPr>
              <w:t>(7.9%)</w:t>
            </w:r>
          </w:p>
        </w:tc>
        <w:tc>
          <w:tcPr>
            <w:tcW w:w="480" w:type="dxa"/>
            <w:vAlign w:val="bottom"/>
            <w:tcBorders>
              <w:right w:val="single" w:sz="8" w:color="auto"/>
            </w:tcBorders>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8"/>
              </w:rPr>
              <w:t>(11.8%)</w:t>
            </w:r>
          </w:p>
        </w:tc>
        <w:tc>
          <w:tcPr>
            <w:tcW w:w="22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0" w:type="dxa"/>
            <w:vAlign w:val="bottom"/>
            <w:vMerge w:val="continue"/>
          </w:tcPr>
          <w:p>
            <w:pPr>
              <w:spacing w:after="0"/>
              <w:rPr>
                <w:sz w:val="11"/>
                <w:szCs w:val="11"/>
                <w:color w:val="auto"/>
              </w:rPr>
            </w:pPr>
          </w:p>
        </w:tc>
        <w:tc>
          <w:tcPr>
            <w:tcW w:w="220" w:type="dxa"/>
            <w:vAlign w:val="bottom"/>
            <w:tcBorders>
              <w:lef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20" w:type="dxa"/>
            <w:vAlign w:val="bottom"/>
            <w:tcBorders>
              <w:lef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Borders>
              <w:right w:val="single" w:sz="8" w:color="auto"/>
            </w:tcBorders>
            <w:gridSpan w:val="2"/>
          </w:tcPr>
          <w:p>
            <w:pPr>
              <w:jc w:val="center"/>
              <w:ind w:right="92"/>
              <w:spacing w:after="0"/>
              <w:rPr>
                <w:sz w:val="20"/>
                <w:szCs w:val="20"/>
                <w:color w:val="auto"/>
              </w:rPr>
            </w:pPr>
            <w:r>
              <w:rPr>
                <w:rFonts w:ascii="Arial" w:cs="Arial" w:eastAsia="Arial" w:hAnsi="Arial"/>
                <w:sz w:val="18"/>
                <w:szCs w:val="18"/>
                <w:color w:val="auto"/>
                <w:w w:val="97"/>
              </w:rPr>
              <w:t>Less than $25</w:t>
            </w:r>
          </w:p>
        </w:tc>
        <w:tc>
          <w:tcPr>
            <w:tcW w:w="220" w:type="dxa"/>
            <w:vAlign w:val="bottom"/>
          </w:tcPr>
          <w:p>
            <w:pPr>
              <w:spacing w:after="0"/>
              <w:rPr>
                <w:sz w:val="21"/>
                <w:szCs w:val="21"/>
                <w:color w:val="auto"/>
              </w:rPr>
            </w:pPr>
          </w:p>
        </w:tc>
        <w:tc>
          <w:tcPr>
            <w:tcW w:w="1400" w:type="dxa"/>
            <w:vAlign w:val="bottom"/>
            <w:tcBorders>
              <w:right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98"/>
              </w:rPr>
              <w:t>(5.9%)</w:t>
            </w:r>
          </w:p>
        </w:tc>
        <w:tc>
          <w:tcPr>
            <w:tcW w:w="260" w:type="dxa"/>
            <w:vAlign w:val="bottom"/>
          </w:tcPr>
          <w:p>
            <w:pPr>
              <w:spacing w:after="0"/>
              <w:rPr>
                <w:sz w:val="21"/>
                <w:szCs w:val="21"/>
                <w:color w:val="auto"/>
              </w:rPr>
            </w:pPr>
          </w:p>
        </w:tc>
        <w:tc>
          <w:tcPr>
            <w:tcW w:w="13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8"/>
              </w:rPr>
              <w:t>(11.8%)</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(17.7%)</w:t>
            </w:r>
          </w:p>
        </w:tc>
        <w:tc>
          <w:tcPr>
            <w:tcW w:w="220" w:type="dxa"/>
            <w:vAlign w:val="bottom"/>
            <w:tcBorders>
              <w:lef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20" w:type="dxa"/>
            <w:vAlign w:val="bottom"/>
            <w:tcBorders>
              <w:lef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3"/>
        </w:trPr>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w w:val="97"/>
              </w:rPr>
              <w:t>Liquidity / Facility Utilization</w:t>
            </w:r>
            <w:r>
              <w:rPr>
                <w:rFonts w:ascii="Arial" w:cs="Arial" w:eastAsia="Arial" w:hAnsi="Arial"/>
                <w:sz w:val="15"/>
                <w:szCs w:val="15"/>
                <w:b w:val="1"/>
                <w:bCs w:val="1"/>
                <w:color w:val="auto"/>
                <w:w w:val="97"/>
              </w:rPr>
              <w:t>(1)</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gridSpan w:val="5"/>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gridSpan w:val="8"/>
          </w:tcPr>
          <w:p>
            <w:pPr>
              <w:jc w:val="center"/>
              <w:ind w:right="180"/>
              <w:spacing w:after="0"/>
              <w:rPr>
                <w:sz w:val="20"/>
                <w:szCs w:val="20"/>
                <w:color w:val="auto"/>
              </w:rPr>
            </w:pPr>
            <w:r>
              <w:rPr>
                <w:rFonts w:ascii="Arial" w:cs="Arial" w:eastAsia="Arial" w:hAnsi="Arial"/>
                <w:sz w:val="19"/>
                <w:szCs w:val="19"/>
                <w:color w:val="auto"/>
                <w:w w:val="97"/>
              </w:rPr>
              <w:t>For a Month-End Measurement</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980" w:type="dxa"/>
            <w:vAlign w:val="bottom"/>
            <w:tcBorders>
              <w:bottom w:val="single" w:sz="8" w:color="auto"/>
            </w:tcBorders>
            <w:gridSpan w:val="3"/>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gridSpan w:val="2"/>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80" w:type="dxa"/>
            <w:vAlign w:val="bottom"/>
            <w:tcBorders>
              <w:left w:val="single" w:sz="8" w:color="auto"/>
              <w:right w:val="single" w:sz="8" w:color="auto"/>
            </w:tcBorders>
            <w:gridSpan w:val="3"/>
            <w:shd w:val="clear" w:color="auto" w:fill="4F81BD"/>
          </w:tcPr>
          <w:p>
            <w:pPr>
              <w:jc w:val="center"/>
              <w:ind w:right="20"/>
              <w:spacing w:after="0" w:line="170" w:lineRule="exact"/>
              <w:rPr>
                <w:sz w:val="20"/>
                <w:szCs w:val="20"/>
                <w:color w:val="auto"/>
              </w:rPr>
            </w:pPr>
            <w:r>
              <w:rPr>
                <w:rFonts w:ascii="Arial" w:cs="Arial" w:eastAsia="Arial" w:hAnsi="Arial"/>
                <w:sz w:val="18"/>
                <w:szCs w:val="18"/>
                <w:b w:val="1"/>
                <w:bCs w:val="1"/>
                <w:color w:val="FFFFFF"/>
                <w:w w:val="98"/>
              </w:rPr>
              <w:t>Performance Period</w:t>
            </w:r>
          </w:p>
        </w:tc>
        <w:tc>
          <w:tcPr>
            <w:tcW w:w="1700" w:type="dxa"/>
            <w:vAlign w:val="bottom"/>
            <w:gridSpan w:val="3"/>
            <w:shd w:val="clear" w:color="auto" w:fill="4F81BD"/>
          </w:tcPr>
          <w:p>
            <w:pPr>
              <w:jc w:val="center"/>
              <w:ind w:left="131"/>
              <w:spacing w:after="0" w:line="170" w:lineRule="exact"/>
              <w:rPr>
                <w:sz w:val="20"/>
                <w:szCs w:val="20"/>
                <w:color w:val="auto"/>
              </w:rPr>
            </w:pPr>
            <w:r>
              <w:rPr>
                <w:rFonts w:ascii="Arial" w:cs="Arial" w:eastAsia="Arial" w:hAnsi="Arial"/>
                <w:sz w:val="18"/>
                <w:szCs w:val="18"/>
                <w:b w:val="1"/>
                <w:bCs w:val="1"/>
                <w:color w:val="FFFFFF"/>
                <w:w w:val="98"/>
              </w:rPr>
              <w:t>Threshold (50%</w:t>
            </w:r>
          </w:p>
        </w:tc>
        <w:tc>
          <w:tcPr>
            <w:tcW w:w="260" w:type="dxa"/>
            <w:vAlign w:val="bottom"/>
            <w:tcBorders>
              <w:right w:val="single" w:sz="8" w:color="auto"/>
            </w:tcBorders>
            <w:shd w:val="clear" w:color="auto" w:fill="4F81BD"/>
          </w:tcPr>
          <w:p>
            <w:pPr>
              <w:spacing w:after="0"/>
              <w:rPr>
                <w:sz w:val="14"/>
                <w:szCs w:val="14"/>
                <w:color w:val="auto"/>
              </w:rPr>
            </w:pPr>
          </w:p>
        </w:tc>
        <w:tc>
          <w:tcPr>
            <w:tcW w:w="1400" w:type="dxa"/>
            <w:vAlign w:val="bottom"/>
            <w:gridSpan w:val="2"/>
            <w:shd w:val="clear" w:color="auto" w:fill="4F81BD"/>
          </w:tcPr>
          <w:p>
            <w:pPr>
              <w:jc w:val="center"/>
              <w:ind w:left="712"/>
              <w:spacing w:after="0" w:line="170" w:lineRule="exact"/>
              <w:rPr>
                <w:sz w:val="20"/>
                <w:szCs w:val="20"/>
                <w:color w:val="auto"/>
              </w:rPr>
            </w:pPr>
            <w:r>
              <w:rPr>
                <w:rFonts w:ascii="Arial" w:cs="Arial" w:eastAsia="Arial" w:hAnsi="Arial"/>
                <w:sz w:val="18"/>
                <w:szCs w:val="18"/>
                <w:b w:val="1"/>
                <w:bCs w:val="1"/>
                <w:color w:val="FFFFFF"/>
                <w:w w:val="94"/>
              </w:rPr>
              <w:t>Target</w:t>
            </w:r>
          </w:p>
        </w:tc>
        <w:tc>
          <w:tcPr>
            <w:tcW w:w="880" w:type="dxa"/>
            <w:vAlign w:val="bottom"/>
            <w:tcBorders>
              <w:right w:val="single" w:sz="8" w:color="auto"/>
            </w:tcBorders>
            <w:shd w:val="clear" w:color="auto" w:fill="4F81BD"/>
          </w:tcPr>
          <w:p>
            <w:pPr>
              <w:spacing w:after="0"/>
              <w:rPr>
                <w:sz w:val="14"/>
                <w:szCs w:val="14"/>
                <w:color w:val="auto"/>
              </w:rPr>
            </w:pPr>
          </w:p>
        </w:tc>
        <w:tc>
          <w:tcPr>
            <w:tcW w:w="480" w:type="dxa"/>
            <w:vAlign w:val="bottom"/>
            <w:tcBorders>
              <w:right w:val="single" w:sz="8" w:color="4F81BD"/>
            </w:tcBorders>
            <w:shd w:val="clear" w:color="auto" w:fill="4F81BD"/>
          </w:tcPr>
          <w:p>
            <w:pPr>
              <w:spacing w:after="0"/>
              <w:rPr>
                <w:sz w:val="14"/>
                <w:szCs w:val="14"/>
                <w:color w:val="auto"/>
              </w:rPr>
            </w:pPr>
          </w:p>
        </w:tc>
        <w:tc>
          <w:tcPr>
            <w:tcW w:w="1600" w:type="dxa"/>
            <w:vAlign w:val="bottom"/>
            <w:shd w:val="clear" w:color="auto" w:fill="4F81BD"/>
          </w:tcPr>
          <w:p>
            <w:pPr>
              <w:jc w:val="center"/>
              <w:ind w:right="252"/>
              <w:spacing w:after="0" w:line="170" w:lineRule="exact"/>
              <w:rPr>
                <w:sz w:val="20"/>
                <w:szCs w:val="20"/>
                <w:color w:val="auto"/>
              </w:rPr>
            </w:pPr>
            <w:r>
              <w:rPr>
                <w:rFonts w:ascii="Arial" w:cs="Arial" w:eastAsia="Arial" w:hAnsi="Arial"/>
                <w:sz w:val="18"/>
                <w:szCs w:val="18"/>
                <w:b w:val="1"/>
                <w:bCs w:val="1"/>
                <w:color w:val="FFFFFF"/>
                <w:w w:val="98"/>
              </w:rPr>
              <w:t>Maximum</w:t>
            </w:r>
          </w:p>
        </w:tc>
        <w:tc>
          <w:tcPr>
            <w:tcW w:w="220" w:type="dxa"/>
            <w:vAlign w:val="bottom"/>
            <w:tcBorders>
              <w:left w:val="single" w:sz="8" w:color="4F81BD"/>
              <w:right w:val="single" w:sz="8" w:color="auto"/>
            </w:tcBorders>
            <w:shd w:val="clear" w:color="auto" w:fill="4F81BD"/>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0" w:type="dxa"/>
            <w:vAlign w:val="bottom"/>
            <w:tcBorders>
              <w:left w:val="single" w:sz="8" w:color="auto"/>
              <w:bottom w:val="single" w:sz="8" w:color="auto"/>
              <w:right w:val="single" w:sz="8" w:color="4F81BD"/>
            </w:tcBorders>
            <w:shd w:val="clear" w:color="auto" w:fill="4F81BD"/>
          </w:tcPr>
          <w:p>
            <w:pPr>
              <w:spacing w:after="0"/>
              <w:rPr>
                <w:sz w:val="19"/>
                <w:szCs w:val="19"/>
                <w:color w:val="auto"/>
              </w:rPr>
            </w:pPr>
          </w:p>
        </w:tc>
        <w:tc>
          <w:tcPr>
            <w:tcW w:w="1540" w:type="dxa"/>
            <w:vAlign w:val="bottom"/>
            <w:tcBorders>
              <w:bottom w:val="single" w:sz="8" w:color="auto"/>
              <w:right w:val="single" w:sz="8" w:color="4F81BD"/>
            </w:tcBorders>
            <w:shd w:val="clear" w:color="auto" w:fill="4F81BD"/>
          </w:tcPr>
          <w:p>
            <w:pPr>
              <w:spacing w:after="0"/>
              <w:rPr>
                <w:sz w:val="19"/>
                <w:szCs w:val="19"/>
                <w:color w:val="auto"/>
              </w:rPr>
            </w:pPr>
          </w:p>
        </w:tc>
        <w:tc>
          <w:tcPr>
            <w:tcW w:w="240" w:type="dxa"/>
            <w:vAlign w:val="bottom"/>
            <w:tcBorders>
              <w:bottom w:val="single" w:sz="8" w:color="auto"/>
              <w:right w:val="single" w:sz="8" w:color="auto"/>
            </w:tcBorders>
            <w:shd w:val="clear" w:color="auto" w:fill="4F81BD"/>
          </w:tcPr>
          <w:p>
            <w:pPr>
              <w:spacing w:after="0"/>
              <w:rPr>
                <w:sz w:val="19"/>
                <w:szCs w:val="19"/>
                <w:color w:val="auto"/>
              </w:rPr>
            </w:pPr>
          </w:p>
        </w:tc>
        <w:tc>
          <w:tcPr>
            <w:tcW w:w="1700" w:type="dxa"/>
            <w:vAlign w:val="bottom"/>
            <w:tcBorders>
              <w:bottom w:val="single" w:sz="8" w:color="auto"/>
            </w:tcBorders>
            <w:gridSpan w:val="3"/>
            <w:shd w:val="clear" w:color="auto" w:fill="4F81BD"/>
          </w:tcPr>
          <w:p>
            <w:pPr>
              <w:jc w:val="center"/>
              <w:ind w:left="131"/>
              <w:spacing w:after="0"/>
              <w:rPr>
                <w:sz w:val="20"/>
                <w:szCs w:val="20"/>
                <w:color w:val="auto"/>
              </w:rPr>
            </w:pPr>
            <w:r>
              <w:rPr>
                <w:rFonts w:ascii="Arial" w:cs="Arial" w:eastAsia="Arial" w:hAnsi="Arial"/>
                <w:sz w:val="18"/>
                <w:szCs w:val="18"/>
                <w:b w:val="1"/>
                <w:bCs w:val="1"/>
                <w:color w:val="FFFFFF"/>
                <w:w w:val="96"/>
              </w:rPr>
              <w:t>Payout)</w:t>
            </w:r>
          </w:p>
        </w:tc>
        <w:tc>
          <w:tcPr>
            <w:tcW w:w="260" w:type="dxa"/>
            <w:vAlign w:val="bottom"/>
            <w:tcBorders>
              <w:bottom w:val="single" w:sz="8" w:color="auto"/>
              <w:right w:val="single" w:sz="8" w:color="auto"/>
            </w:tcBorders>
            <w:shd w:val="clear" w:color="auto" w:fill="4F81BD"/>
          </w:tcPr>
          <w:p>
            <w:pPr>
              <w:spacing w:after="0"/>
              <w:rPr>
                <w:sz w:val="19"/>
                <w:szCs w:val="19"/>
                <w:color w:val="auto"/>
              </w:rPr>
            </w:pPr>
          </w:p>
        </w:tc>
        <w:tc>
          <w:tcPr>
            <w:tcW w:w="2280" w:type="dxa"/>
            <w:vAlign w:val="bottom"/>
            <w:tcBorders>
              <w:bottom w:val="single" w:sz="8" w:color="auto"/>
              <w:right w:val="single" w:sz="8" w:color="auto"/>
            </w:tcBorders>
            <w:gridSpan w:val="3"/>
            <w:shd w:val="clear" w:color="auto" w:fill="4F81BD"/>
          </w:tcPr>
          <w:p>
            <w:pPr>
              <w:jc w:val="center"/>
              <w:spacing w:after="0"/>
              <w:rPr>
                <w:sz w:val="20"/>
                <w:szCs w:val="20"/>
                <w:color w:val="auto"/>
              </w:rPr>
            </w:pPr>
            <w:r>
              <w:rPr>
                <w:rFonts w:ascii="Arial" w:cs="Arial" w:eastAsia="Arial" w:hAnsi="Arial"/>
                <w:sz w:val="18"/>
                <w:szCs w:val="18"/>
                <w:b w:val="1"/>
                <w:bCs w:val="1"/>
                <w:color w:val="FFFFFF"/>
                <w:w w:val="97"/>
              </w:rPr>
              <w:t>(100% Payout)</w:t>
            </w:r>
          </w:p>
        </w:tc>
        <w:tc>
          <w:tcPr>
            <w:tcW w:w="480" w:type="dxa"/>
            <w:vAlign w:val="bottom"/>
            <w:tcBorders>
              <w:bottom w:val="single" w:sz="8" w:color="auto"/>
              <w:right w:val="single" w:sz="8" w:color="4F81BD"/>
            </w:tcBorders>
            <w:shd w:val="clear" w:color="auto" w:fill="4F81BD"/>
          </w:tcPr>
          <w:p>
            <w:pPr>
              <w:spacing w:after="0"/>
              <w:rPr>
                <w:sz w:val="19"/>
                <w:szCs w:val="19"/>
                <w:color w:val="auto"/>
              </w:rPr>
            </w:pPr>
          </w:p>
        </w:tc>
        <w:tc>
          <w:tcPr>
            <w:tcW w:w="1600" w:type="dxa"/>
            <w:vAlign w:val="bottom"/>
            <w:tcBorders>
              <w:bottom w:val="single" w:sz="8" w:color="auto"/>
            </w:tcBorders>
            <w:shd w:val="clear" w:color="auto" w:fill="4F81BD"/>
          </w:tcPr>
          <w:p>
            <w:pPr>
              <w:jc w:val="center"/>
              <w:ind w:right="212"/>
              <w:spacing w:after="0"/>
              <w:rPr>
                <w:sz w:val="20"/>
                <w:szCs w:val="20"/>
                <w:color w:val="auto"/>
              </w:rPr>
            </w:pPr>
            <w:r>
              <w:rPr>
                <w:rFonts w:ascii="Arial" w:cs="Arial" w:eastAsia="Arial" w:hAnsi="Arial"/>
                <w:sz w:val="18"/>
                <w:szCs w:val="18"/>
                <w:b w:val="1"/>
                <w:bCs w:val="1"/>
                <w:color w:val="FFFFFF"/>
                <w:w w:val="99"/>
              </w:rPr>
              <w:t>(200% Payout)</w:t>
            </w:r>
          </w:p>
        </w:tc>
        <w:tc>
          <w:tcPr>
            <w:tcW w:w="220" w:type="dxa"/>
            <w:vAlign w:val="bottom"/>
            <w:tcBorders>
              <w:left w:val="single" w:sz="8" w:color="4F81BD"/>
              <w:bottom w:val="single" w:sz="8" w:color="auto"/>
              <w:right w:val="single" w:sz="8" w:color="auto"/>
            </w:tcBorders>
            <w:shd w:val="clear" w:color="auto" w:fill="4F81BD"/>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0" w:type="dxa"/>
            <w:vAlign w:val="bottom"/>
            <w:tcBorders>
              <w:left w:val="single" w:sz="8" w:color="auto"/>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gridSpan w:val="2"/>
          </w:tcPr>
          <w:p>
            <w:pPr>
              <w:jc w:val="right"/>
              <w:ind w:right="660"/>
              <w:spacing w:after="0" w:line="192" w:lineRule="exact"/>
              <w:rPr>
                <w:sz w:val="20"/>
                <w:szCs w:val="20"/>
                <w:color w:val="auto"/>
              </w:rPr>
            </w:pPr>
            <w:r>
              <w:rPr>
                <w:rFonts w:ascii="Arial" w:cs="Arial" w:eastAsia="Arial" w:hAnsi="Arial"/>
                <w:sz w:val="18"/>
                <w:szCs w:val="18"/>
                <w:color w:val="auto"/>
              </w:rPr>
              <w:t>Q3 2020</w:t>
            </w:r>
          </w:p>
        </w:tc>
        <w:tc>
          <w:tcPr>
            <w:tcW w:w="1480" w:type="dxa"/>
            <w:vAlign w:val="bottom"/>
            <w:tcBorders>
              <w:bottom w:val="single" w:sz="8" w:color="auto"/>
            </w:tcBorders>
            <w:gridSpan w:val="2"/>
          </w:tcPr>
          <w:p>
            <w:pPr>
              <w:jc w:val="center"/>
              <w:ind w:left="371"/>
              <w:spacing w:after="0" w:line="192" w:lineRule="exact"/>
              <w:rPr>
                <w:sz w:val="20"/>
                <w:szCs w:val="20"/>
                <w:color w:val="auto"/>
              </w:rPr>
            </w:pPr>
            <w:r>
              <w:rPr>
                <w:rFonts w:ascii="Arial" w:cs="Arial" w:eastAsia="Arial" w:hAnsi="Arial"/>
                <w:sz w:val="18"/>
                <w:szCs w:val="18"/>
                <w:color w:val="auto"/>
                <w:w w:val="97"/>
              </w:rPr>
              <w:t>15.0%</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752"/>
              <w:spacing w:after="0" w:line="192" w:lineRule="exact"/>
              <w:rPr>
                <w:sz w:val="20"/>
                <w:szCs w:val="20"/>
                <w:color w:val="auto"/>
              </w:rPr>
            </w:pPr>
            <w:r>
              <w:rPr>
                <w:rFonts w:ascii="Arial" w:cs="Arial" w:eastAsia="Arial" w:hAnsi="Arial"/>
                <w:sz w:val="18"/>
                <w:szCs w:val="18"/>
                <w:color w:val="auto"/>
                <w:w w:val="97"/>
              </w:rPr>
              <w:t>5.0%</w:t>
            </w:r>
          </w:p>
        </w:tc>
        <w:tc>
          <w:tcPr>
            <w:tcW w:w="8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12"/>
              <w:spacing w:after="0" w:line="192" w:lineRule="exact"/>
              <w:rPr>
                <w:sz w:val="20"/>
                <w:szCs w:val="20"/>
                <w:color w:val="auto"/>
              </w:rPr>
            </w:pPr>
            <w:r>
              <w:rPr>
                <w:rFonts w:ascii="Arial" w:cs="Arial" w:eastAsia="Arial" w:hAnsi="Arial"/>
                <w:sz w:val="18"/>
                <w:szCs w:val="18"/>
                <w:color w:val="auto"/>
              </w:rPr>
              <w:t>0.0%</w:t>
            </w: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Borders>
              <w:left w:val="single" w:sz="8" w:color="auto"/>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gridSpan w:val="2"/>
          </w:tcPr>
          <w:p>
            <w:pPr>
              <w:jc w:val="right"/>
              <w:ind w:right="660"/>
              <w:spacing w:after="0" w:line="192" w:lineRule="exact"/>
              <w:rPr>
                <w:sz w:val="20"/>
                <w:szCs w:val="20"/>
                <w:color w:val="auto"/>
              </w:rPr>
            </w:pPr>
            <w:r>
              <w:rPr>
                <w:rFonts w:ascii="Arial" w:cs="Arial" w:eastAsia="Arial" w:hAnsi="Arial"/>
                <w:sz w:val="18"/>
                <w:szCs w:val="18"/>
                <w:color w:val="auto"/>
              </w:rPr>
              <w:t>Q4 2020</w:t>
            </w:r>
          </w:p>
        </w:tc>
        <w:tc>
          <w:tcPr>
            <w:tcW w:w="1480" w:type="dxa"/>
            <w:vAlign w:val="bottom"/>
            <w:tcBorders>
              <w:bottom w:val="single" w:sz="8" w:color="auto"/>
            </w:tcBorders>
            <w:gridSpan w:val="2"/>
          </w:tcPr>
          <w:p>
            <w:pPr>
              <w:jc w:val="center"/>
              <w:ind w:left="371"/>
              <w:spacing w:after="0" w:line="192" w:lineRule="exact"/>
              <w:rPr>
                <w:sz w:val="20"/>
                <w:szCs w:val="20"/>
                <w:color w:val="auto"/>
              </w:rPr>
            </w:pPr>
            <w:r>
              <w:rPr>
                <w:rFonts w:ascii="Arial" w:cs="Arial" w:eastAsia="Arial" w:hAnsi="Arial"/>
                <w:sz w:val="18"/>
                <w:szCs w:val="18"/>
                <w:color w:val="auto"/>
                <w:w w:val="97"/>
              </w:rPr>
              <w:t>17.5%</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752"/>
              <w:spacing w:after="0" w:line="192" w:lineRule="exact"/>
              <w:rPr>
                <w:sz w:val="20"/>
                <w:szCs w:val="20"/>
                <w:color w:val="auto"/>
              </w:rPr>
            </w:pPr>
            <w:r>
              <w:rPr>
                <w:rFonts w:ascii="Arial" w:cs="Arial" w:eastAsia="Arial" w:hAnsi="Arial"/>
                <w:sz w:val="18"/>
                <w:szCs w:val="18"/>
                <w:color w:val="auto"/>
                <w:w w:val="97"/>
              </w:rPr>
              <w:t>7.5%</w:t>
            </w:r>
          </w:p>
        </w:tc>
        <w:tc>
          <w:tcPr>
            <w:tcW w:w="8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12"/>
              <w:spacing w:after="0" w:line="192" w:lineRule="exact"/>
              <w:rPr>
                <w:sz w:val="20"/>
                <w:szCs w:val="20"/>
                <w:color w:val="auto"/>
              </w:rPr>
            </w:pPr>
            <w:r>
              <w:rPr>
                <w:rFonts w:ascii="Arial" w:cs="Arial" w:eastAsia="Arial" w:hAnsi="Arial"/>
                <w:sz w:val="18"/>
                <w:szCs w:val="18"/>
                <w:color w:val="auto"/>
              </w:rPr>
              <w:t>0.0%</w:t>
            </w: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gridSpan w:val="8"/>
          </w:tcPr>
          <w:p>
            <w:pPr>
              <w:jc w:val="center"/>
              <w:ind w:right="200"/>
              <w:spacing w:after="0"/>
              <w:rPr>
                <w:sz w:val="20"/>
                <w:szCs w:val="20"/>
                <w:color w:val="auto"/>
              </w:rPr>
            </w:pPr>
            <w:r>
              <w:rPr>
                <w:rFonts w:ascii="Arial" w:cs="Arial" w:eastAsia="Arial" w:hAnsi="Arial"/>
                <w:sz w:val="19"/>
                <w:szCs w:val="19"/>
                <w:color w:val="auto"/>
                <w:w w:val="97"/>
              </w:rPr>
              <w:t>For an Intra-Month Measurement</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980" w:type="dxa"/>
            <w:vAlign w:val="bottom"/>
            <w:tcBorders>
              <w:bottom w:val="single" w:sz="8" w:color="auto"/>
            </w:tcBorders>
            <w:gridSpan w:val="3"/>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gridSpan w:val="2"/>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80" w:type="dxa"/>
            <w:vAlign w:val="bottom"/>
            <w:tcBorders>
              <w:left w:val="single" w:sz="8" w:color="auto"/>
              <w:right w:val="single" w:sz="8" w:color="auto"/>
            </w:tcBorders>
            <w:gridSpan w:val="3"/>
            <w:shd w:val="clear" w:color="auto" w:fill="4F81BD"/>
          </w:tcPr>
          <w:p>
            <w:pPr>
              <w:jc w:val="center"/>
              <w:ind w:right="20"/>
              <w:spacing w:after="0" w:line="170" w:lineRule="exact"/>
              <w:rPr>
                <w:sz w:val="20"/>
                <w:szCs w:val="20"/>
                <w:color w:val="auto"/>
              </w:rPr>
            </w:pPr>
            <w:r>
              <w:rPr>
                <w:rFonts w:ascii="Arial" w:cs="Arial" w:eastAsia="Arial" w:hAnsi="Arial"/>
                <w:sz w:val="18"/>
                <w:szCs w:val="18"/>
                <w:b w:val="1"/>
                <w:bCs w:val="1"/>
                <w:color w:val="FFFFFF"/>
                <w:w w:val="98"/>
              </w:rPr>
              <w:t>Performance Period</w:t>
            </w:r>
          </w:p>
        </w:tc>
        <w:tc>
          <w:tcPr>
            <w:tcW w:w="1700" w:type="dxa"/>
            <w:vAlign w:val="bottom"/>
            <w:gridSpan w:val="3"/>
            <w:shd w:val="clear" w:color="auto" w:fill="4F81BD"/>
          </w:tcPr>
          <w:p>
            <w:pPr>
              <w:jc w:val="center"/>
              <w:ind w:left="131"/>
              <w:spacing w:after="0" w:line="170" w:lineRule="exact"/>
              <w:rPr>
                <w:sz w:val="20"/>
                <w:szCs w:val="20"/>
                <w:color w:val="auto"/>
              </w:rPr>
            </w:pPr>
            <w:r>
              <w:rPr>
                <w:rFonts w:ascii="Arial" w:cs="Arial" w:eastAsia="Arial" w:hAnsi="Arial"/>
                <w:sz w:val="18"/>
                <w:szCs w:val="18"/>
                <w:b w:val="1"/>
                <w:bCs w:val="1"/>
                <w:color w:val="FFFFFF"/>
                <w:w w:val="98"/>
              </w:rPr>
              <w:t>Threshold (50%</w:t>
            </w:r>
          </w:p>
        </w:tc>
        <w:tc>
          <w:tcPr>
            <w:tcW w:w="260" w:type="dxa"/>
            <w:vAlign w:val="bottom"/>
            <w:tcBorders>
              <w:right w:val="single" w:sz="8" w:color="auto"/>
            </w:tcBorders>
            <w:shd w:val="clear" w:color="auto" w:fill="4F81BD"/>
          </w:tcPr>
          <w:p>
            <w:pPr>
              <w:spacing w:after="0"/>
              <w:rPr>
                <w:sz w:val="14"/>
                <w:szCs w:val="14"/>
                <w:color w:val="auto"/>
              </w:rPr>
            </w:pPr>
          </w:p>
        </w:tc>
        <w:tc>
          <w:tcPr>
            <w:tcW w:w="1400" w:type="dxa"/>
            <w:vAlign w:val="bottom"/>
            <w:gridSpan w:val="2"/>
            <w:shd w:val="clear" w:color="auto" w:fill="4F81BD"/>
          </w:tcPr>
          <w:p>
            <w:pPr>
              <w:jc w:val="center"/>
              <w:ind w:left="712"/>
              <w:spacing w:after="0" w:line="170" w:lineRule="exact"/>
              <w:rPr>
                <w:sz w:val="20"/>
                <w:szCs w:val="20"/>
                <w:color w:val="auto"/>
              </w:rPr>
            </w:pPr>
            <w:r>
              <w:rPr>
                <w:rFonts w:ascii="Arial" w:cs="Arial" w:eastAsia="Arial" w:hAnsi="Arial"/>
                <w:sz w:val="18"/>
                <w:szCs w:val="18"/>
                <w:b w:val="1"/>
                <w:bCs w:val="1"/>
                <w:color w:val="FFFFFF"/>
                <w:w w:val="94"/>
              </w:rPr>
              <w:t>Target</w:t>
            </w:r>
          </w:p>
        </w:tc>
        <w:tc>
          <w:tcPr>
            <w:tcW w:w="880" w:type="dxa"/>
            <w:vAlign w:val="bottom"/>
            <w:tcBorders>
              <w:right w:val="single" w:sz="8" w:color="auto"/>
            </w:tcBorders>
            <w:shd w:val="clear" w:color="auto" w:fill="4F81BD"/>
          </w:tcPr>
          <w:p>
            <w:pPr>
              <w:spacing w:after="0"/>
              <w:rPr>
                <w:sz w:val="14"/>
                <w:szCs w:val="14"/>
                <w:color w:val="auto"/>
              </w:rPr>
            </w:pPr>
          </w:p>
        </w:tc>
        <w:tc>
          <w:tcPr>
            <w:tcW w:w="480" w:type="dxa"/>
            <w:vAlign w:val="bottom"/>
            <w:tcBorders>
              <w:right w:val="single" w:sz="8" w:color="4F81BD"/>
            </w:tcBorders>
            <w:shd w:val="clear" w:color="auto" w:fill="4F81BD"/>
          </w:tcPr>
          <w:p>
            <w:pPr>
              <w:spacing w:after="0"/>
              <w:rPr>
                <w:sz w:val="14"/>
                <w:szCs w:val="14"/>
                <w:color w:val="auto"/>
              </w:rPr>
            </w:pPr>
          </w:p>
        </w:tc>
        <w:tc>
          <w:tcPr>
            <w:tcW w:w="1600" w:type="dxa"/>
            <w:vAlign w:val="bottom"/>
            <w:shd w:val="clear" w:color="auto" w:fill="4F81BD"/>
          </w:tcPr>
          <w:p>
            <w:pPr>
              <w:jc w:val="center"/>
              <w:ind w:right="252"/>
              <w:spacing w:after="0" w:line="170" w:lineRule="exact"/>
              <w:rPr>
                <w:sz w:val="20"/>
                <w:szCs w:val="20"/>
                <w:color w:val="auto"/>
              </w:rPr>
            </w:pPr>
            <w:r>
              <w:rPr>
                <w:rFonts w:ascii="Arial" w:cs="Arial" w:eastAsia="Arial" w:hAnsi="Arial"/>
                <w:sz w:val="18"/>
                <w:szCs w:val="18"/>
                <w:b w:val="1"/>
                <w:bCs w:val="1"/>
                <w:color w:val="FFFFFF"/>
                <w:w w:val="98"/>
              </w:rPr>
              <w:t>Maximum</w:t>
            </w:r>
          </w:p>
        </w:tc>
        <w:tc>
          <w:tcPr>
            <w:tcW w:w="220" w:type="dxa"/>
            <w:vAlign w:val="bottom"/>
            <w:tcBorders>
              <w:left w:val="single" w:sz="8" w:color="4F81BD"/>
              <w:right w:val="single" w:sz="8" w:color="auto"/>
            </w:tcBorders>
            <w:shd w:val="clear" w:color="auto" w:fill="4F81BD"/>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0" w:type="dxa"/>
            <w:vAlign w:val="bottom"/>
            <w:tcBorders>
              <w:left w:val="single" w:sz="8" w:color="auto"/>
              <w:bottom w:val="single" w:sz="8" w:color="auto"/>
              <w:right w:val="single" w:sz="8" w:color="4F81BD"/>
            </w:tcBorders>
            <w:shd w:val="clear" w:color="auto" w:fill="4F81BD"/>
          </w:tcPr>
          <w:p>
            <w:pPr>
              <w:spacing w:after="0"/>
              <w:rPr>
                <w:sz w:val="19"/>
                <w:szCs w:val="19"/>
                <w:color w:val="auto"/>
              </w:rPr>
            </w:pPr>
          </w:p>
        </w:tc>
        <w:tc>
          <w:tcPr>
            <w:tcW w:w="1540" w:type="dxa"/>
            <w:vAlign w:val="bottom"/>
            <w:tcBorders>
              <w:bottom w:val="single" w:sz="8" w:color="auto"/>
              <w:right w:val="single" w:sz="8" w:color="4F81BD"/>
            </w:tcBorders>
            <w:shd w:val="clear" w:color="auto" w:fill="4F81BD"/>
          </w:tcPr>
          <w:p>
            <w:pPr>
              <w:spacing w:after="0"/>
              <w:rPr>
                <w:sz w:val="19"/>
                <w:szCs w:val="19"/>
                <w:color w:val="auto"/>
              </w:rPr>
            </w:pPr>
          </w:p>
        </w:tc>
        <w:tc>
          <w:tcPr>
            <w:tcW w:w="240" w:type="dxa"/>
            <w:vAlign w:val="bottom"/>
            <w:tcBorders>
              <w:bottom w:val="single" w:sz="8" w:color="auto"/>
              <w:right w:val="single" w:sz="8" w:color="auto"/>
            </w:tcBorders>
            <w:shd w:val="clear" w:color="auto" w:fill="4F81BD"/>
          </w:tcPr>
          <w:p>
            <w:pPr>
              <w:spacing w:after="0"/>
              <w:rPr>
                <w:sz w:val="19"/>
                <w:szCs w:val="19"/>
                <w:color w:val="auto"/>
              </w:rPr>
            </w:pPr>
          </w:p>
        </w:tc>
        <w:tc>
          <w:tcPr>
            <w:tcW w:w="1700" w:type="dxa"/>
            <w:vAlign w:val="bottom"/>
            <w:tcBorders>
              <w:bottom w:val="single" w:sz="8" w:color="auto"/>
            </w:tcBorders>
            <w:gridSpan w:val="3"/>
            <w:shd w:val="clear" w:color="auto" w:fill="4F81BD"/>
          </w:tcPr>
          <w:p>
            <w:pPr>
              <w:jc w:val="center"/>
              <w:ind w:left="131"/>
              <w:spacing w:after="0"/>
              <w:rPr>
                <w:sz w:val="20"/>
                <w:szCs w:val="20"/>
                <w:color w:val="auto"/>
              </w:rPr>
            </w:pPr>
            <w:r>
              <w:rPr>
                <w:rFonts w:ascii="Arial" w:cs="Arial" w:eastAsia="Arial" w:hAnsi="Arial"/>
                <w:sz w:val="18"/>
                <w:szCs w:val="18"/>
                <w:b w:val="1"/>
                <w:bCs w:val="1"/>
                <w:color w:val="FFFFFF"/>
                <w:w w:val="96"/>
              </w:rPr>
              <w:t>Payout)</w:t>
            </w:r>
          </w:p>
        </w:tc>
        <w:tc>
          <w:tcPr>
            <w:tcW w:w="260" w:type="dxa"/>
            <w:vAlign w:val="bottom"/>
            <w:tcBorders>
              <w:bottom w:val="single" w:sz="8" w:color="auto"/>
              <w:right w:val="single" w:sz="8" w:color="auto"/>
            </w:tcBorders>
            <w:shd w:val="clear" w:color="auto" w:fill="4F81BD"/>
          </w:tcPr>
          <w:p>
            <w:pPr>
              <w:spacing w:after="0"/>
              <w:rPr>
                <w:sz w:val="19"/>
                <w:szCs w:val="19"/>
                <w:color w:val="auto"/>
              </w:rPr>
            </w:pPr>
          </w:p>
        </w:tc>
        <w:tc>
          <w:tcPr>
            <w:tcW w:w="2280" w:type="dxa"/>
            <w:vAlign w:val="bottom"/>
            <w:tcBorders>
              <w:bottom w:val="single" w:sz="8" w:color="auto"/>
              <w:right w:val="single" w:sz="8" w:color="auto"/>
            </w:tcBorders>
            <w:gridSpan w:val="3"/>
            <w:shd w:val="clear" w:color="auto" w:fill="4F81BD"/>
          </w:tcPr>
          <w:p>
            <w:pPr>
              <w:jc w:val="center"/>
              <w:spacing w:after="0"/>
              <w:rPr>
                <w:sz w:val="20"/>
                <w:szCs w:val="20"/>
                <w:color w:val="auto"/>
              </w:rPr>
            </w:pPr>
            <w:r>
              <w:rPr>
                <w:rFonts w:ascii="Arial" w:cs="Arial" w:eastAsia="Arial" w:hAnsi="Arial"/>
                <w:sz w:val="18"/>
                <w:szCs w:val="18"/>
                <w:b w:val="1"/>
                <w:bCs w:val="1"/>
                <w:color w:val="FFFFFF"/>
                <w:w w:val="97"/>
              </w:rPr>
              <w:t>(100% Payout)</w:t>
            </w:r>
          </w:p>
        </w:tc>
        <w:tc>
          <w:tcPr>
            <w:tcW w:w="480" w:type="dxa"/>
            <w:vAlign w:val="bottom"/>
            <w:tcBorders>
              <w:bottom w:val="single" w:sz="8" w:color="auto"/>
              <w:right w:val="single" w:sz="8" w:color="4F81BD"/>
            </w:tcBorders>
            <w:shd w:val="clear" w:color="auto" w:fill="4F81BD"/>
          </w:tcPr>
          <w:p>
            <w:pPr>
              <w:spacing w:after="0"/>
              <w:rPr>
                <w:sz w:val="19"/>
                <w:szCs w:val="19"/>
                <w:color w:val="auto"/>
              </w:rPr>
            </w:pPr>
          </w:p>
        </w:tc>
        <w:tc>
          <w:tcPr>
            <w:tcW w:w="1600" w:type="dxa"/>
            <w:vAlign w:val="bottom"/>
            <w:tcBorders>
              <w:bottom w:val="single" w:sz="8" w:color="auto"/>
            </w:tcBorders>
            <w:shd w:val="clear" w:color="auto" w:fill="4F81BD"/>
          </w:tcPr>
          <w:p>
            <w:pPr>
              <w:jc w:val="center"/>
              <w:ind w:right="212"/>
              <w:spacing w:after="0"/>
              <w:rPr>
                <w:sz w:val="20"/>
                <w:szCs w:val="20"/>
                <w:color w:val="auto"/>
              </w:rPr>
            </w:pPr>
            <w:r>
              <w:rPr>
                <w:rFonts w:ascii="Arial" w:cs="Arial" w:eastAsia="Arial" w:hAnsi="Arial"/>
                <w:sz w:val="18"/>
                <w:szCs w:val="18"/>
                <w:b w:val="1"/>
                <w:bCs w:val="1"/>
                <w:color w:val="FFFFFF"/>
                <w:w w:val="99"/>
              </w:rPr>
              <w:t>(200% Payout)</w:t>
            </w:r>
          </w:p>
        </w:tc>
        <w:tc>
          <w:tcPr>
            <w:tcW w:w="220" w:type="dxa"/>
            <w:vAlign w:val="bottom"/>
            <w:tcBorders>
              <w:left w:val="single" w:sz="8" w:color="4F81BD"/>
              <w:bottom w:val="single" w:sz="8" w:color="auto"/>
              <w:right w:val="single" w:sz="8" w:color="auto"/>
            </w:tcBorders>
            <w:shd w:val="clear" w:color="auto" w:fill="4F81BD"/>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0" w:type="dxa"/>
            <w:vAlign w:val="bottom"/>
            <w:tcBorders>
              <w:left w:val="single" w:sz="8" w:color="auto"/>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gridSpan w:val="2"/>
          </w:tcPr>
          <w:p>
            <w:pPr>
              <w:jc w:val="right"/>
              <w:ind w:right="660"/>
              <w:spacing w:after="0" w:line="192" w:lineRule="exact"/>
              <w:rPr>
                <w:sz w:val="20"/>
                <w:szCs w:val="20"/>
                <w:color w:val="auto"/>
              </w:rPr>
            </w:pPr>
            <w:r>
              <w:rPr>
                <w:rFonts w:ascii="Arial" w:cs="Arial" w:eastAsia="Arial" w:hAnsi="Arial"/>
                <w:sz w:val="18"/>
                <w:szCs w:val="18"/>
                <w:color w:val="auto"/>
              </w:rPr>
              <w:t>Q3 2020</w:t>
            </w:r>
          </w:p>
        </w:tc>
        <w:tc>
          <w:tcPr>
            <w:tcW w:w="1480" w:type="dxa"/>
            <w:vAlign w:val="bottom"/>
            <w:tcBorders>
              <w:bottom w:val="single" w:sz="8" w:color="auto"/>
            </w:tcBorders>
            <w:gridSpan w:val="2"/>
          </w:tcPr>
          <w:p>
            <w:pPr>
              <w:jc w:val="center"/>
              <w:ind w:left="371"/>
              <w:spacing w:after="0" w:line="192" w:lineRule="exact"/>
              <w:rPr>
                <w:sz w:val="20"/>
                <w:szCs w:val="20"/>
                <w:color w:val="auto"/>
              </w:rPr>
            </w:pPr>
            <w:r>
              <w:rPr>
                <w:rFonts w:ascii="Arial" w:cs="Arial" w:eastAsia="Arial" w:hAnsi="Arial"/>
                <w:sz w:val="18"/>
                <w:szCs w:val="18"/>
                <w:color w:val="auto"/>
                <w:w w:val="97"/>
              </w:rPr>
              <w:t>45.0%</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772"/>
              <w:spacing w:after="0" w:line="192" w:lineRule="exact"/>
              <w:rPr>
                <w:sz w:val="20"/>
                <w:szCs w:val="20"/>
                <w:color w:val="auto"/>
              </w:rPr>
            </w:pPr>
            <w:r>
              <w:rPr>
                <w:rFonts w:ascii="Arial" w:cs="Arial" w:eastAsia="Arial" w:hAnsi="Arial"/>
                <w:sz w:val="18"/>
                <w:szCs w:val="18"/>
                <w:color w:val="auto"/>
                <w:w w:val="97"/>
              </w:rPr>
              <w:t>35.0%</w:t>
            </w:r>
          </w:p>
        </w:tc>
        <w:tc>
          <w:tcPr>
            <w:tcW w:w="8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2"/>
              <w:spacing w:after="0" w:line="192" w:lineRule="exact"/>
              <w:rPr>
                <w:sz w:val="20"/>
                <w:szCs w:val="20"/>
                <w:color w:val="auto"/>
              </w:rPr>
            </w:pPr>
            <w:r>
              <w:rPr>
                <w:rFonts w:ascii="Arial" w:cs="Arial" w:eastAsia="Arial" w:hAnsi="Arial"/>
                <w:sz w:val="18"/>
                <w:szCs w:val="18"/>
                <w:color w:val="auto"/>
                <w:w w:val="98"/>
              </w:rPr>
              <w:t>&lt;=25%</w:t>
            </w: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Borders>
              <w:left w:val="single" w:sz="8" w:color="auto"/>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gridSpan w:val="2"/>
          </w:tcPr>
          <w:p>
            <w:pPr>
              <w:jc w:val="right"/>
              <w:ind w:right="660"/>
              <w:spacing w:after="0" w:line="192" w:lineRule="exact"/>
              <w:rPr>
                <w:sz w:val="20"/>
                <w:szCs w:val="20"/>
                <w:color w:val="auto"/>
              </w:rPr>
            </w:pPr>
            <w:r>
              <w:rPr>
                <w:rFonts w:ascii="Arial" w:cs="Arial" w:eastAsia="Arial" w:hAnsi="Arial"/>
                <w:sz w:val="18"/>
                <w:szCs w:val="18"/>
                <w:color w:val="auto"/>
              </w:rPr>
              <w:t>Q4 2020</w:t>
            </w:r>
          </w:p>
        </w:tc>
        <w:tc>
          <w:tcPr>
            <w:tcW w:w="1480" w:type="dxa"/>
            <w:vAlign w:val="bottom"/>
            <w:tcBorders>
              <w:bottom w:val="single" w:sz="8" w:color="auto"/>
            </w:tcBorders>
            <w:gridSpan w:val="2"/>
          </w:tcPr>
          <w:p>
            <w:pPr>
              <w:jc w:val="center"/>
              <w:ind w:left="371"/>
              <w:spacing w:after="0" w:line="192" w:lineRule="exact"/>
              <w:rPr>
                <w:sz w:val="20"/>
                <w:szCs w:val="20"/>
                <w:color w:val="auto"/>
              </w:rPr>
            </w:pPr>
            <w:r>
              <w:rPr>
                <w:rFonts w:ascii="Arial" w:cs="Arial" w:eastAsia="Arial" w:hAnsi="Arial"/>
                <w:sz w:val="18"/>
                <w:szCs w:val="18"/>
                <w:color w:val="auto"/>
                <w:w w:val="97"/>
              </w:rPr>
              <w:t>45.0%</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772"/>
              <w:spacing w:after="0" w:line="192" w:lineRule="exact"/>
              <w:rPr>
                <w:sz w:val="20"/>
                <w:szCs w:val="20"/>
                <w:color w:val="auto"/>
              </w:rPr>
            </w:pPr>
            <w:r>
              <w:rPr>
                <w:rFonts w:ascii="Arial" w:cs="Arial" w:eastAsia="Arial" w:hAnsi="Arial"/>
                <w:sz w:val="18"/>
                <w:szCs w:val="18"/>
                <w:color w:val="auto"/>
                <w:w w:val="97"/>
              </w:rPr>
              <w:t>35.0%</w:t>
            </w:r>
          </w:p>
        </w:tc>
        <w:tc>
          <w:tcPr>
            <w:tcW w:w="88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2"/>
              <w:spacing w:after="0" w:line="192" w:lineRule="exact"/>
              <w:rPr>
                <w:sz w:val="20"/>
                <w:szCs w:val="20"/>
                <w:color w:val="auto"/>
              </w:rPr>
            </w:pPr>
            <w:r>
              <w:rPr>
                <w:rFonts w:ascii="Arial" w:cs="Arial" w:eastAsia="Arial" w:hAnsi="Arial"/>
                <w:sz w:val="18"/>
                <w:szCs w:val="18"/>
                <w:color w:val="auto"/>
                <w:w w:val="98"/>
              </w:rPr>
              <w:t>&lt;=25%</w:t>
            </w: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420" w:hanging="414"/>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Descriptions of the performance metrics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80" w:type="dxa"/>
            <w:vAlign w:val="bottom"/>
            <w:tcBorders>
              <w:right w:val="single" w:sz="8" w:color="auto"/>
            </w:tcBorders>
          </w:tcPr>
          <w:p>
            <w:pPr>
              <w:spacing w:after="0"/>
              <w:rPr>
                <w:sz w:val="12"/>
                <w:szCs w:val="12"/>
                <w:color w:val="auto"/>
              </w:rPr>
            </w:pPr>
          </w:p>
        </w:tc>
        <w:tc>
          <w:tcPr>
            <w:tcW w:w="352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2"/>
                <w:szCs w:val="12"/>
                <w:color w:val="auto"/>
              </w:rPr>
            </w:pPr>
          </w:p>
        </w:tc>
      </w:tr>
      <w:tr>
        <w:trPr>
          <w:trHeight w:val="226"/>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Cumulative Operating Margin</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Cumulative Operating Margin is calculated as our aggregate operating income, defined as revenues (prices, production,</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and realizations) less production costs, as measured from April 1, 2020 through the end of the applicable Performance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Period expressed as a percentage of aggregate revenues during such period. Cumulative Operating Margin was selected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as a Performance Metric to incentivize our employees to maximize value for our stakeholders by operating efficiently within</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a volatile and uncertain environment. In addition, by measuring Cumulative Operating Margin on an accrual basis</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beginning April 1, 2020, the metric reflects the post-COVID 19 environment impact on commodity pricing and lessens the</w:t>
            </w:r>
          </w:p>
        </w:tc>
        <w:tc>
          <w:tcPr>
            <w:tcW w:w="20" w:type="dxa"/>
            <w:vAlign w:val="bottom"/>
          </w:tcPr>
          <w:p>
            <w:pPr>
              <w:spacing w:after="0"/>
              <w:rPr>
                <w:sz w:val="11"/>
                <w:szCs w:val="11"/>
                <w:color w:val="auto"/>
              </w:rPr>
            </w:pPr>
          </w:p>
        </w:tc>
      </w:tr>
      <w:tr>
        <w:trPr>
          <w:trHeight w:val="148"/>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impact of volatility due to current quarter oil prices.</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6"/>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G&amp;A Reduction</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G&amp;A Reduction is calculated as the total amount of reductions in our general and administrative expenses, including</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payroll and non-payroll related expenses, but excluding restructuring expenses, incentive/retention compensation and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severance costs, as measured on an accrual basis. Each G&amp;A Reduction performance level is tied to different levels of oil</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prices and requires increasing reductions in consistently lower pricing environments. G&amp;A Reduction was selected as a</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Performance Metric to incentivize employees to cut costs and operate the Company efficiently to maximize value for the</w:t>
            </w:r>
          </w:p>
        </w:tc>
        <w:tc>
          <w:tcPr>
            <w:tcW w:w="20" w:type="dxa"/>
            <w:vAlign w:val="bottom"/>
          </w:tcPr>
          <w:p>
            <w:pPr>
              <w:spacing w:after="0"/>
              <w:rPr>
                <w:sz w:val="11"/>
                <w:szCs w:val="11"/>
                <w:color w:val="auto"/>
              </w:rPr>
            </w:pPr>
          </w:p>
        </w:tc>
      </w:tr>
      <w:tr>
        <w:trPr>
          <w:trHeight w:val="148"/>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benefit of all stakeholders.</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16"/>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60" w:type="dxa"/>
            <w:vAlign w:val="bottom"/>
            <w:gridSpan w:val="2"/>
          </w:tcPr>
          <w:p>
            <w:pPr>
              <w:ind w:left="2780"/>
              <w:spacing w:after="0"/>
              <w:rPr>
                <w:sz w:val="20"/>
                <w:szCs w:val="20"/>
                <w:color w:val="auto"/>
              </w:rPr>
            </w:pPr>
            <w:r>
              <w:rPr>
                <w:rFonts w:ascii="Arial" w:cs="Arial" w:eastAsia="Arial" w:hAnsi="Arial"/>
                <w:sz w:val="18"/>
                <w:szCs w:val="18"/>
                <w:color w:val="auto"/>
                <w:w w:val="99"/>
              </w:rPr>
              <w:t>CALIFORNIA RESOURCES CORPORATION  35</w:t>
            </w:r>
          </w:p>
        </w:tc>
      </w:tr>
      <w:tr>
        <w:trPr>
          <w:trHeight w:val="100"/>
        </w:trPr>
        <w:tc>
          <w:tcPr>
            <w:tcW w:w="9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6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85"/>
        </w:trPr>
        <w:tc>
          <w:tcPr>
            <w:tcW w:w="980" w:type="dxa"/>
            <w:vAlign w:val="bottom"/>
            <w:tcBorders>
              <w:bottom w:val="single" w:sz="8" w:color="0075C9"/>
              <w:right w:val="single" w:sz="8" w:color="0075C9"/>
            </w:tcBorders>
            <w:shd w:val="clear" w:color="auto" w:fill="0075C9"/>
          </w:tcPr>
          <w:p>
            <w:pPr>
              <w:spacing w:after="0"/>
              <w:rPr>
                <w:sz w:val="24"/>
                <w:szCs w:val="24"/>
                <w:color w:val="auto"/>
              </w:rPr>
            </w:pPr>
          </w:p>
        </w:tc>
        <w:tc>
          <w:tcPr>
            <w:tcW w:w="3520" w:type="dxa"/>
            <w:vAlign w:val="bottom"/>
            <w:tcBorders>
              <w:bottom w:val="single" w:sz="8" w:color="0075C9"/>
              <w:right w:val="single" w:sz="8" w:color="0075C9"/>
            </w:tcBorders>
            <w:shd w:val="clear" w:color="auto" w:fill="0075C9"/>
          </w:tcPr>
          <w:p>
            <w:pPr>
              <w:spacing w:after="0"/>
              <w:rPr>
                <w:sz w:val="24"/>
                <w:szCs w:val="24"/>
                <w:color w:val="auto"/>
              </w:rPr>
            </w:pPr>
          </w:p>
        </w:tc>
        <w:tc>
          <w:tcPr>
            <w:tcW w:w="6740" w:type="dxa"/>
            <w:vAlign w:val="bottom"/>
            <w:tcBorders>
              <w:bottom w:val="single" w:sz="8" w:color="0075C9"/>
              <w:right w:val="single" w:sz="8" w:color="0075C9"/>
            </w:tcBorders>
            <w:shd w:val="clear" w:color="auto" w:fill="0075C9"/>
          </w:tcPr>
          <w:p>
            <w:pPr>
              <w:ind w:left="4540"/>
              <w:spacing w:after="0"/>
              <w:rPr>
                <w:sz w:val="20"/>
                <w:szCs w:val="20"/>
                <w:color w:val="auto"/>
              </w:rPr>
            </w:pPr>
            <w:r>
              <w:rPr>
                <w:rFonts w:ascii="Arial" w:cs="Arial" w:eastAsia="Arial" w:hAnsi="Arial"/>
                <w:sz w:val="18"/>
                <w:szCs w:val="18"/>
                <w:b w:val="1"/>
                <w:bCs w:val="1"/>
                <w:color w:val="FFFFFF"/>
                <w:w w:val="96"/>
              </w:rPr>
              <w:t>2021 PROXY STATEMENT</w:t>
            </w:r>
          </w:p>
        </w:tc>
      </w:tr>
      <w:tr>
        <w:trPr>
          <w:trHeight w:val="188"/>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740" w:type="dxa"/>
            <w:vAlign w:val="bottom"/>
          </w:tcPr>
          <w:p>
            <w:pPr>
              <w:ind w:left="4140"/>
              <w:spacing w:after="0"/>
              <w:rPr>
                <w:sz w:val="20"/>
                <w:szCs w:val="20"/>
                <w:color w:val="auto"/>
              </w:rPr>
            </w:pPr>
            <w:r>
              <w:rPr>
                <w:rFonts w:ascii="Arial" w:cs="Arial" w:eastAsia="Arial" w:hAnsi="Arial"/>
                <w:sz w:val="14"/>
                <w:szCs w:val="14"/>
                <w:color w:val="auto"/>
              </w:rPr>
              <w:t>Compensation Discussion and Analysis</w:t>
            </w:r>
          </w:p>
        </w:tc>
      </w:tr>
      <w:tr>
        <w:trPr>
          <w:trHeight w:val="197"/>
        </w:trPr>
        <w:tc>
          <w:tcPr>
            <w:tcW w:w="98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r>
      <w:tr>
        <w:trPr>
          <w:trHeight w:val="126"/>
        </w:trPr>
        <w:tc>
          <w:tcPr>
            <w:tcW w:w="980" w:type="dxa"/>
            <w:vAlign w:val="bottom"/>
            <w:tcBorders>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shd w:val="clear" w:color="auto" w:fill="F2F2F2"/>
          </w:tcPr>
          <w:p>
            <w:pPr>
              <w:ind w:left="80"/>
              <w:spacing w:after="0" w:line="126" w:lineRule="exact"/>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bottom w:val="single" w:sz="8" w:color="auto"/>
              <w:right w:val="single" w:sz="8" w:color="auto"/>
            </w:tcBorders>
            <w:shd w:val="clear" w:color="auto" w:fill="F2F2F2"/>
          </w:tcPr>
          <w:p>
            <w:pPr>
              <w:ind w:left="80"/>
              <w:spacing w:after="0" w:line="126" w:lineRule="exact"/>
              <w:rPr>
                <w:sz w:val="20"/>
                <w:szCs w:val="20"/>
                <w:color w:val="auto"/>
              </w:rPr>
            </w:pPr>
            <w:r>
              <w:rPr>
                <w:rFonts w:ascii="Arial" w:cs="Arial" w:eastAsia="Arial" w:hAnsi="Arial"/>
                <w:sz w:val="12"/>
                <w:szCs w:val="12"/>
                <w:b w:val="1"/>
                <w:bCs w:val="1"/>
                <w:color w:val="auto"/>
              </w:rPr>
              <w:t>Description</w:t>
            </w:r>
          </w:p>
        </w:tc>
      </w:tr>
      <w:tr>
        <w:trPr>
          <w:trHeight w:val="226"/>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Liquidity / Facility Utilization</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Utilization measures the capacity utilization on the “funded” portion of our credit facility during our restructuring on a cash</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basis excluding (1) any incremental new letters of credit issued under the credit sub-facility, (2) restructuring professional</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fees, and (3) incentive payments made under the Revised 2020 Compensation Program; provided that if the metric is</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measured in connection with a restructuring that is consummated prior to the 20</w:t>
            </w:r>
            <w:r>
              <w:rPr>
                <w:rFonts w:ascii="Arial" w:cs="Arial" w:eastAsia="Arial" w:hAnsi="Arial"/>
                <w:sz w:val="10"/>
                <w:szCs w:val="10"/>
                <w:color w:val="auto"/>
              </w:rPr>
              <w:t>th</w:t>
            </w:r>
            <w:r>
              <w:rPr>
                <w:rFonts w:ascii="Arial" w:cs="Arial" w:eastAsia="Arial" w:hAnsi="Arial"/>
                <w:sz w:val="12"/>
                <w:szCs w:val="12"/>
                <w:color w:val="auto"/>
              </w:rPr>
              <w:t xml:space="preserve"> of the month, then the Intra-Month</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Measurement Goals (as set forth above) will be utilized to determine achievement. The Utilization metric is to be</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measured at the end of each applicable Performance Period or, if earlier, upon emergence from chapter 11 as determined</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by the Former Compensation Committee. Utilization was selected as a Performance Metric to incentivize employees to</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efficiently manage liquidity during the pendency of the bankruptcy in order to maximize value for the benefit of all</w:t>
            </w:r>
          </w:p>
        </w:tc>
      </w:tr>
      <w:tr>
        <w:trPr>
          <w:trHeight w:val="148"/>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stakeholders.</w:t>
            </w: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right w:val="single" w:sz="8" w:color="auto"/>
            </w:tcBorders>
          </w:tcPr>
          <w:p>
            <w:pPr>
              <w:spacing w:after="0"/>
              <w:rPr>
                <w:sz w:val="8"/>
                <w:szCs w:val="8"/>
                <w:color w:val="auto"/>
              </w:rPr>
            </w:pPr>
          </w:p>
        </w:tc>
      </w:tr>
      <w:tr>
        <w:trPr>
          <w:trHeight w:val="226"/>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Sustainability</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The Sustainability metric includes safety and sustainability goals to promote safety and responsibility by our employees in</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performing their duties, some of which were included as performance metrics underlying our Original 2020 Compensation</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Program design. Moreover, achievement of the Sustainability goals continues to drive the Company towards its 2030</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Sustainability Goals. The safety component measures injury and illness incidence rate of employees and contractors per</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100 workers. The spill prevention rate measures the difference between barrels of oil equivalent (BOE) produced and the</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net volume of reportable spills of crude oil or condensate not recovered in liquid form. The net water supplied to agriculture</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component measures the ratio of the volume of reclaimed water supplied to agriculture or recharge to the volume of fresh</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water purchased for our statewide operations, expressed as a percentage. The Sustainability progress milestones—tied to</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water recycling, methane emission reduction and carbon capture and sequestration—support our ongoing commitment to</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provide sustainable, safe and reliable energy solutions. Specifically, these metrics require the Company to (1) design and</w:t>
            </w: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permit the Elk Hills water recycling pipeline expansion, (2) complete the Elk Hills front-end engineering and design study</w:t>
            </w:r>
          </w:p>
        </w:tc>
      </w:tr>
      <w:tr>
        <w:trPr>
          <w:trHeight w:val="148"/>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for carbon capture technologies and (3) design a statewide methane capture strategy for gas-operated pneumatic valves.</w:t>
            </w: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Payouts Under the Quarterly Incentive Plan </w:t>
      </w:r>
      <w:r>
        <w:rPr>
          <w:rFonts w:ascii="Arial" w:cs="Arial" w:eastAsia="Arial" w:hAnsi="Arial"/>
          <w:sz w:val="18"/>
          <w:szCs w:val="18"/>
          <w:color w:val="auto"/>
        </w:rPr>
        <w:t>– In October 2020, the Former Compensation Committee certified the performance results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Quarterly Incentive Plan for the third quarter of 2020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132715</wp:posOffset>
            </wp:positionV>
            <wp:extent cx="5468620" cy="21202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6862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3" w:name="page44"/>
    <w:bookmarkEnd w:id="43"/>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4"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In February 2021, the New Compensation Committee certified the performance results under the Quarterly Incentive Plan for the fourth quarter of 2020, based solely on the stipulated criteria previously established by the Former Compensation Committee and approved by the bankruptcy court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144780</wp:posOffset>
            </wp:positionV>
            <wp:extent cx="5468620" cy="21037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68620"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Payouts for the fourth quarter of 2020 were accrued in 2020 and are included as 2020 compensation in the Executive Compensation Tables which follow.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amounts realized by the NEOs under the Quarterly Incentive Plan:</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2160" w:type="dxa"/>
            <w:vAlign w:val="bottom"/>
          </w:tcPr>
          <w:p>
            <w:pPr>
              <w:jc w:val="right"/>
              <w:ind w:right="245"/>
              <w:spacing w:after="0"/>
              <w:rPr>
                <w:sz w:val="20"/>
                <w:szCs w:val="20"/>
                <w:color w:val="auto"/>
              </w:rPr>
            </w:pPr>
            <w:r>
              <w:rPr>
                <w:rFonts w:ascii="Arial" w:cs="Arial" w:eastAsia="Arial" w:hAnsi="Arial"/>
                <w:sz w:val="18"/>
                <w:szCs w:val="18"/>
                <w:b w:val="1"/>
                <w:bCs w:val="1"/>
                <w:color w:val="4472C4"/>
              </w:rPr>
              <w:t>Q1</w:t>
            </w:r>
          </w:p>
        </w:tc>
        <w:tc>
          <w:tcPr>
            <w:tcW w:w="1820" w:type="dxa"/>
            <w:vAlign w:val="bottom"/>
          </w:tcPr>
          <w:p>
            <w:pPr>
              <w:jc w:val="right"/>
              <w:ind w:right="205"/>
              <w:spacing w:after="0"/>
              <w:rPr>
                <w:sz w:val="20"/>
                <w:szCs w:val="20"/>
                <w:color w:val="auto"/>
              </w:rPr>
            </w:pPr>
            <w:r>
              <w:rPr>
                <w:rFonts w:ascii="Arial" w:cs="Arial" w:eastAsia="Arial" w:hAnsi="Arial"/>
                <w:sz w:val="18"/>
                <w:szCs w:val="18"/>
                <w:b w:val="1"/>
                <w:bCs w:val="1"/>
                <w:color w:val="4472C4"/>
              </w:rPr>
              <w:t>Q2</w:t>
            </w:r>
          </w:p>
        </w:tc>
        <w:tc>
          <w:tcPr>
            <w:tcW w:w="1780" w:type="dxa"/>
            <w:vAlign w:val="bottom"/>
          </w:tcPr>
          <w:p>
            <w:pPr>
              <w:jc w:val="right"/>
              <w:ind w:right="245"/>
              <w:spacing w:after="0"/>
              <w:rPr>
                <w:sz w:val="20"/>
                <w:szCs w:val="20"/>
                <w:color w:val="auto"/>
              </w:rPr>
            </w:pPr>
            <w:r>
              <w:rPr>
                <w:rFonts w:ascii="Arial" w:cs="Arial" w:eastAsia="Arial" w:hAnsi="Arial"/>
                <w:sz w:val="18"/>
                <w:szCs w:val="18"/>
                <w:b w:val="1"/>
                <w:bCs w:val="1"/>
                <w:color w:val="4472C4"/>
              </w:rPr>
              <w:t>Q3</w:t>
            </w:r>
          </w:p>
        </w:tc>
        <w:tc>
          <w:tcPr>
            <w:tcW w:w="2200" w:type="dxa"/>
            <w:vAlign w:val="bottom"/>
          </w:tcPr>
          <w:p>
            <w:pPr>
              <w:jc w:val="right"/>
              <w:ind w:right="365"/>
              <w:spacing w:after="0"/>
              <w:rPr>
                <w:sz w:val="20"/>
                <w:szCs w:val="20"/>
                <w:color w:val="auto"/>
              </w:rPr>
            </w:pPr>
            <w:r>
              <w:rPr>
                <w:rFonts w:ascii="Arial" w:cs="Arial" w:eastAsia="Arial" w:hAnsi="Arial"/>
                <w:sz w:val="18"/>
                <w:szCs w:val="18"/>
                <w:b w:val="1"/>
                <w:bCs w:val="1"/>
                <w:color w:val="4472C4"/>
              </w:rPr>
              <w:t>Q4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4472C4"/>
              </w:rPr>
              <w:t>To</w:t>
            </w:r>
          </w:p>
        </w:tc>
      </w:tr>
      <w:tr>
        <w:trPr>
          <w:trHeight w:val="222"/>
        </w:trPr>
        <w:tc>
          <w:tcPr>
            <w:tcW w:w="2360" w:type="dxa"/>
            <w:vAlign w:val="bottom"/>
            <w:tcBorders>
              <w:bottom w:val="single" w:sz="8" w:color="0070C0"/>
            </w:tcBorders>
          </w:tcPr>
          <w:p>
            <w:pPr>
              <w:spacing w:after="0"/>
              <w:rPr>
                <w:sz w:val="20"/>
                <w:szCs w:val="20"/>
                <w:color w:val="auto"/>
              </w:rPr>
            </w:pPr>
            <w:r>
              <w:rPr>
                <w:rFonts w:ascii="Arial" w:cs="Arial" w:eastAsia="Arial" w:hAnsi="Arial"/>
                <w:sz w:val="18"/>
                <w:szCs w:val="18"/>
                <w:b w:val="1"/>
                <w:bCs w:val="1"/>
                <w:color w:val="4472C4"/>
              </w:rPr>
              <w:t>Name</w:t>
            </w:r>
          </w:p>
        </w:tc>
        <w:tc>
          <w:tcPr>
            <w:tcW w:w="2160" w:type="dxa"/>
            <w:vAlign w:val="bottom"/>
            <w:tcBorders>
              <w:bottom w:val="single" w:sz="8" w:color="0070C0"/>
            </w:tcBorders>
          </w:tcPr>
          <w:p>
            <w:pPr>
              <w:jc w:val="right"/>
              <w:ind w:right="245"/>
              <w:spacing w:after="0"/>
              <w:rPr>
                <w:sz w:val="20"/>
                <w:szCs w:val="20"/>
                <w:color w:val="auto"/>
              </w:rPr>
            </w:pPr>
            <w:r>
              <w:rPr>
                <w:rFonts w:ascii="Arial" w:cs="Arial" w:eastAsia="Arial" w:hAnsi="Arial"/>
                <w:sz w:val="18"/>
                <w:szCs w:val="18"/>
                <w:b w:val="1"/>
                <w:bCs w:val="1"/>
                <w:color w:val="4472C4"/>
              </w:rPr>
              <w:t>(paid at target)</w:t>
            </w:r>
          </w:p>
        </w:tc>
        <w:tc>
          <w:tcPr>
            <w:tcW w:w="1820" w:type="dxa"/>
            <w:vAlign w:val="bottom"/>
            <w:tcBorders>
              <w:bottom w:val="single" w:sz="8" w:color="0070C0"/>
            </w:tcBorders>
          </w:tcPr>
          <w:p>
            <w:pPr>
              <w:jc w:val="right"/>
              <w:ind w:right="205"/>
              <w:spacing w:after="0"/>
              <w:rPr>
                <w:sz w:val="20"/>
                <w:szCs w:val="20"/>
                <w:color w:val="auto"/>
              </w:rPr>
            </w:pPr>
            <w:r>
              <w:rPr>
                <w:rFonts w:ascii="Arial" w:cs="Arial" w:eastAsia="Arial" w:hAnsi="Arial"/>
                <w:sz w:val="18"/>
                <w:szCs w:val="18"/>
                <w:b w:val="1"/>
                <w:bCs w:val="1"/>
                <w:color w:val="4472C4"/>
              </w:rPr>
              <w:t>(paid at target)</w:t>
            </w:r>
          </w:p>
        </w:tc>
        <w:tc>
          <w:tcPr>
            <w:tcW w:w="1780" w:type="dxa"/>
            <w:vAlign w:val="bottom"/>
            <w:tcBorders>
              <w:bottom w:val="single" w:sz="8" w:color="0070C0"/>
            </w:tcBorders>
          </w:tcPr>
          <w:p>
            <w:pPr>
              <w:jc w:val="right"/>
              <w:ind w:right="245"/>
              <w:spacing w:after="0"/>
              <w:rPr>
                <w:sz w:val="20"/>
                <w:szCs w:val="20"/>
                <w:color w:val="auto"/>
              </w:rPr>
            </w:pPr>
            <w:r>
              <w:rPr>
                <w:rFonts w:ascii="Arial" w:cs="Arial" w:eastAsia="Arial" w:hAnsi="Arial"/>
                <w:sz w:val="18"/>
                <w:szCs w:val="18"/>
                <w:b w:val="1"/>
                <w:bCs w:val="1"/>
                <w:color w:val="4472C4"/>
              </w:rPr>
              <w:t>(paid at 190%)</w:t>
            </w:r>
          </w:p>
        </w:tc>
        <w:tc>
          <w:tcPr>
            <w:tcW w:w="2200" w:type="dxa"/>
            <w:vAlign w:val="bottom"/>
            <w:tcBorders>
              <w:bottom w:val="single" w:sz="8" w:color="0070C0"/>
            </w:tcBorders>
          </w:tcPr>
          <w:p>
            <w:pPr>
              <w:jc w:val="right"/>
              <w:ind w:right="365"/>
              <w:spacing w:after="0"/>
              <w:rPr>
                <w:sz w:val="20"/>
                <w:szCs w:val="20"/>
                <w:color w:val="auto"/>
              </w:rPr>
            </w:pPr>
            <w:r>
              <w:rPr>
                <w:rFonts w:ascii="Arial" w:cs="Arial" w:eastAsia="Arial" w:hAnsi="Arial"/>
                <w:sz w:val="18"/>
                <w:szCs w:val="18"/>
                <w:b w:val="1"/>
                <w:bCs w:val="1"/>
                <w:color w:val="4472C4"/>
              </w:rPr>
              <w:t>(paid at 196.92%)</w:t>
            </w:r>
          </w:p>
        </w:tc>
        <w:tc>
          <w:tcPr>
            <w:tcW w:w="900" w:type="dxa"/>
            <w:vAlign w:val="bottom"/>
            <w:tcBorders>
              <w:bottom w:val="single" w:sz="8" w:color="0070C0"/>
            </w:tcBorders>
          </w:tcPr>
          <w:p>
            <w:pPr>
              <w:jc w:val="right"/>
              <w:spacing w:after="0"/>
              <w:rPr>
                <w:sz w:val="20"/>
                <w:szCs w:val="20"/>
                <w:color w:val="auto"/>
              </w:rPr>
            </w:pPr>
            <w:r>
              <w:rPr>
                <w:rFonts w:ascii="Arial" w:cs="Arial" w:eastAsia="Arial" w:hAnsi="Arial"/>
                <w:sz w:val="18"/>
                <w:szCs w:val="18"/>
                <w:b w:val="1"/>
                <w:bCs w:val="1"/>
                <w:color w:val="4472C4"/>
              </w:rPr>
              <w:t>Earn</w:t>
            </w:r>
          </w:p>
        </w:tc>
      </w:tr>
      <w:tr>
        <w:trPr>
          <w:trHeight w:val="194"/>
        </w:trPr>
        <w:tc>
          <w:tcPr>
            <w:tcW w:w="23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Todd A. Stevens</w:t>
            </w:r>
          </w:p>
        </w:tc>
        <w:tc>
          <w:tcPr>
            <w:tcW w:w="216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$1,350,000</w:t>
            </w:r>
          </w:p>
        </w:tc>
        <w:tc>
          <w:tcPr>
            <w:tcW w:w="1820" w:type="dxa"/>
            <w:vAlign w:val="bottom"/>
            <w:shd w:val="clear" w:color="auto" w:fill="EBEBEC"/>
          </w:tcPr>
          <w:p>
            <w:pPr>
              <w:jc w:val="right"/>
              <w:ind w:right="205"/>
              <w:spacing w:after="0"/>
              <w:rPr>
                <w:sz w:val="20"/>
                <w:szCs w:val="20"/>
                <w:color w:val="auto"/>
              </w:rPr>
            </w:pPr>
            <w:r>
              <w:rPr>
                <w:rFonts w:ascii="Arial" w:cs="Arial" w:eastAsia="Arial" w:hAnsi="Arial"/>
                <w:sz w:val="14"/>
                <w:szCs w:val="14"/>
                <w:color w:val="auto"/>
              </w:rPr>
              <w:t>$1,350,000</w:t>
            </w:r>
          </w:p>
        </w:tc>
        <w:tc>
          <w:tcPr>
            <w:tcW w:w="178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$2,565,000</w:t>
            </w:r>
          </w:p>
        </w:tc>
        <w:tc>
          <w:tcPr>
            <w:tcW w:w="2200" w:type="dxa"/>
            <w:vAlign w:val="bottom"/>
            <w:shd w:val="clear" w:color="auto" w:fill="EBEBEC"/>
          </w:tcPr>
          <w:p>
            <w:pPr>
              <w:jc w:val="right"/>
              <w:ind w:right="365"/>
              <w:spacing w:after="0"/>
              <w:rPr>
                <w:sz w:val="20"/>
                <w:szCs w:val="20"/>
                <w:color w:val="auto"/>
              </w:rPr>
            </w:pPr>
            <w:r>
              <w:rPr>
                <w:rFonts w:ascii="Arial" w:cs="Arial" w:eastAsia="Arial" w:hAnsi="Arial"/>
                <w:sz w:val="14"/>
                <w:szCs w:val="14"/>
                <w:color w:val="auto"/>
              </w:rPr>
              <w:t>$2,658,420</w:t>
            </w:r>
          </w:p>
        </w:tc>
        <w:tc>
          <w:tcPr>
            <w:tcW w:w="9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$7,923,</w:t>
            </w:r>
          </w:p>
        </w:tc>
      </w:tr>
      <w:tr>
        <w:trPr>
          <w:trHeight w:val="239"/>
        </w:trPr>
        <w:tc>
          <w:tcPr>
            <w:tcW w:w="23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Francisco J. Leon</w:t>
            </w:r>
          </w:p>
        </w:tc>
        <w:tc>
          <w:tcPr>
            <w:tcW w:w="216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$250,000</w:t>
            </w:r>
          </w:p>
        </w:tc>
        <w:tc>
          <w:tcPr>
            <w:tcW w:w="1820" w:type="dxa"/>
            <w:vAlign w:val="bottom"/>
            <w:shd w:val="clear" w:color="auto" w:fill="EBEBEC"/>
          </w:tcPr>
          <w:p>
            <w:pPr>
              <w:jc w:val="right"/>
              <w:ind w:right="205"/>
              <w:spacing w:after="0"/>
              <w:rPr>
                <w:sz w:val="20"/>
                <w:szCs w:val="20"/>
                <w:color w:val="auto"/>
              </w:rPr>
            </w:pPr>
            <w:r>
              <w:rPr>
                <w:rFonts w:ascii="Arial" w:cs="Arial" w:eastAsia="Arial" w:hAnsi="Arial"/>
                <w:sz w:val="14"/>
                <w:szCs w:val="14"/>
                <w:color w:val="auto"/>
              </w:rPr>
              <w:t>$250,000</w:t>
            </w:r>
          </w:p>
        </w:tc>
        <w:tc>
          <w:tcPr>
            <w:tcW w:w="178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$475,000</w:t>
            </w:r>
          </w:p>
        </w:tc>
        <w:tc>
          <w:tcPr>
            <w:tcW w:w="2200" w:type="dxa"/>
            <w:vAlign w:val="bottom"/>
            <w:shd w:val="clear" w:color="auto" w:fill="EBEBEC"/>
          </w:tcPr>
          <w:p>
            <w:pPr>
              <w:jc w:val="right"/>
              <w:ind w:right="365"/>
              <w:spacing w:after="0"/>
              <w:rPr>
                <w:sz w:val="20"/>
                <w:szCs w:val="20"/>
                <w:color w:val="auto"/>
              </w:rPr>
            </w:pPr>
            <w:r>
              <w:rPr>
                <w:rFonts w:ascii="Arial" w:cs="Arial" w:eastAsia="Arial" w:hAnsi="Arial"/>
                <w:sz w:val="14"/>
                <w:szCs w:val="14"/>
                <w:color w:val="auto"/>
              </w:rPr>
              <w:t>$492,300</w:t>
            </w:r>
          </w:p>
        </w:tc>
        <w:tc>
          <w:tcPr>
            <w:tcW w:w="9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$1,467,</w:t>
            </w:r>
          </w:p>
        </w:tc>
      </w:tr>
      <w:tr>
        <w:trPr>
          <w:trHeight w:val="238"/>
        </w:trPr>
        <w:tc>
          <w:tcPr>
            <w:tcW w:w="23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Marshall D. Smith</w:t>
            </w:r>
          </w:p>
        </w:tc>
        <w:tc>
          <w:tcPr>
            <w:tcW w:w="216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$500,000</w:t>
            </w:r>
          </w:p>
        </w:tc>
        <w:tc>
          <w:tcPr>
            <w:tcW w:w="1820" w:type="dxa"/>
            <w:vAlign w:val="bottom"/>
            <w:shd w:val="clear" w:color="auto" w:fill="EBEBEC"/>
          </w:tcPr>
          <w:p>
            <w:pPr>
              <w:jc w:val="right"/>
              <w:ind w:right="205"/>
              <w:spacing w:after="0"/>
              <w:rPr>
                <w:sz w:val="20"/>
                <w:szCs w:val="20"/>
                <w:color w:val="auto"/>
              </w:rPr>
            </w:pPr>
            <w:r>
              <w:rPr>
                <w:rFonts w:ascii="Arial" w:cs="Arial" w:eastAsia="Arial" w:hAnsi="Arial"/>
                <w:sz w:val="14"/>
                <w:szCs w:val="14"/>
                <w:color w:val="auto"/>
              </w:rPr>
              <w:t>$500,000</w:t>
            </w:r>
          </w:p>
        </w:tc>
        <w:tc>
          <w:tcPr>
            <w:tcW w:w="178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$464,674</w:t>
            </w:r>
          </w:p>
        </w:tc>
        <w:tc>
          <w:tcPr>
            <w:tcW w:w="2200" w:type="dxa"/>
            <w:vAlign w:val="bottom"/>
            <w:shd w:val="clear" w:color="auto" w:fill="EBEBEC"/>
          </w:tcPr>
          <w:p>
            <w:pPr>
              <w:jc w:val="right"/>
              <w:ind w:right="365"/>
              <w:spacing w:after="0"/>
              <w:rPr>
                <w:sz w:val="20"/>
                <w:szCs w:val="20"/>
                <w:color w:val="auto"/>
              </w:rPr>
            </w:pPr>
            <w:r>
              <w:rPr>
                <w:rFonts w:ascii="Arial" w:cs="Arial" w:eastAsia="Arial" w:hAnsi="Arial"/>
                <w:sz w:val="14"/>
                <w:szCs w:val="14"/>
                <w:color w:val="auto"/>
              </w:rPr>
              <w:t>$0</w:t>
            </w:r>
          </w:p>
        </w:tc>
        <w:tc>
          <w:tcPr>
            <w:tcW w:w="9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$1,464,</w:t>
            </w:r>
          </w:p>
        </w:tc>
      </w:tr>
      <w:tr>
        <w:trPr>
          <w:trHeight w:val="238"/>
        </w:trPr>
        <w:tc>
          <w:tcPr>
            <w:tcW w:w="23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Charles F. Weiss</w:t>
            </w:r>
          </w:p>
        </w:tc>
        <w:tc>
          <w:tcPr>
            <w:tcW w:w="216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$287,500</w:t>
            </w:r>
          </w:p>
        </w:tc>
        <w:tc>
          <w:tcPr>
            <w:tcW w:w="1820" w:type="dxa"/>
            <w:vAlign w:val="bottom"/>
            <w:shd w:val="clear" w:color="auto" w:fill="EBEBEC"/>
          </w:tcPr>
          <w:p>
            <w:pPr>
              <w:jc w:val="right"/>
              <w:ind w:right="205"/>
              <w:spacing w:after="0"/>
              <w:rPr>
                <w:sz w:val="20"/>
                <w:szCs w:val="20"/>
                <w:color w:val="auto"/>
              </w:rPr>
            </w:pPr>
            <w:r>
              <w:rPr>
                <w:rFonts w:ascii="Arial" w:cs="Arial" w:eastAsia="Arial" w:hAnsi="Arial"/>
                <w:sz w:val="14"/>
                <w:szCs w:val="14"/>
                <w:color w:val="auto"/>
              </w:rPr>
              <w:t>$287,500</w:t>
            </w:r>
          </w:p>
        </w:tc>
        <w:tc>
          <w:tcPr>
            <w:tcW w:w="178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$546,250</w:t>
            </w:r>
          </w:p>
        </w:tc>
        <w:tc>
          <w:tcPr>
            <w:tcW w:w="2200" w:type="dxa"/>
            <w:vAlign w:val="bottom"/>
            <w:shd w:val="clear" w:color="auto" w:fill="EBEBEC"/>
          </w:tcPr>
          <w:p>
            <w:pPr>
              <w:jc w:val="right"/>
              <w:ind w:right="365"/>
              <w:spacing w:after="0"/>
              <w:rPr>
                <w:sz w:val="20"/>
                <w:szCs w:val="20"/>
                <w:color w:val="auto"/>
              </w:rPr>
            </w:pPr>
            <w:r>
              <w:rPr>
                <w:rFonts w:ascii="Arial" w:cs="Arial" w:eastAsia="Arial" w:hAnsi="Arial"/>
                <w:sz w:val="14"/>
                <w:szCs w:val="14"/>
                <w:color w:val="auto"/>
              </w:rPr>
              <w:t>$566,145</w:t>
            </w:r>
          </w:p>
        </w:tc>
        <w:tc>
          <w:tcPr>
            <w:tcW w:w="9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$1,687,</w:t>
            </w:r>
          </w:p>
        </w:tc>
      </w:tr>
      <w:tr>
        <w:trPr>
          <w:trHeight w:val="239"/>
        </w:trPr>
        <w:tc>
          <w:tcPr>
            <w:tcW w:w="23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Shawn M. Kerns</w:t>
            </w:r>
          </w:p>
        </w:tc>
        <w:tc>
          <w:tcPr>
            <w:tcW w:w="216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$293,750</w:t>
            </w:r>
          </w:p>
        </w:tc>
        <w:tc>
          <w:tcPr>
            <w:tcW w:w="1820" w:type="dxa"/>
            <w:vAlign w:val="bottom"/>
            <w:shd w:val="clear" w:color="auto" w:fill="EBEBEC"/>
          </w:tcPr>
          <w:p>
            <w:pPr>
              <w:jc w:val="right"/>
              <w:ind w:right="205"/>
              <w:spacing w:after="0"/>
              <w:rPr>
                <w:sz w:val="20"/>
                <w:szCs w:val="20"/>
                <w:color w:val="auto"/>
              </w:rPr>
            </w:pPr>
            <w:r>
              <w:rPr>
                <w:rFonts w:ascii="Arial" w:cs="Arial" w:eastAsia="Arial" w:hAnsi="Arial"/>
                <w:sz w:val="14"/>
                <w:szCs w:val="14"/>
                <w:color w:val="auto"/>
              </w:rPr>
              <w:t>$293,750</w:t>
            </w:r>
          </w:p>
        </w:tc>
        <w:tc>
          <w:tcPr>
            <w:tcW w:w="178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$558,125</w:t>
            </w:r>
          </w:p>
        </w:tc>
        <w:tc>
          <w:tcPr>
            <w:tcW w:w="2200" w:type="dxa"/>
            <w:vAlign w:val="bottom"/>
            <w:shd w:val="clear" w:color="auto" w:fill="EBEBEC"/>
          </w:tcPr>
          <w:p>
            <w:pPr>
              <w:jc w:val="right"/>
              <w:ind w:right="365"/>
              <w:spacing w:after="0"/>
              <w:rPr>
                <w:sz w:val="20"/>
                <w:szCs w:val="20"/>
                <w:color w:val="auto"/>
              </w:rPr>
            </w:pPr>
            <w:r>
              <w:rPr>
                <w:rFonts w:ascii="Arial" w:cs="Arial" w:eastAsia="Arial" w:hAnsi="Arial"/>
                <w:sz w:val="14"/>
                <w:szCs w:val="14"/>
                <w:color w:val="auto"/>
              </w:rPr>
              <w:t>$578,453</w:t>
            </w:r>
          </w:p>
        </w:tc>
        <w:tc>
          <w:tcPr>
            <w:tcW w:w="9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$1,724,</w:t>
            </w:r>
          </w:p>
        </w:tc>
      </w:tr>
      <w:tr>
        <w:trPr>
          <w:trHeight w:val="238"/>
        </w:trPr>
        <w:tc>
          <w:tcPr>
            <w:tcW w:w="23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Darren Williams</w:t>
            </w:r>
          </w:p>
        </w:tc>
        <w:tc>
          <w:tcPr>
            <w:tcW w:w="216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$275,000</w:t>
            </w:r>
          </w:p>
        </w:tc>
        <w:tc>
          <w:tcPr>
            <w:tcW w:w="1820" w:type="dxa"/>
            <w:vAlign w:val="bottom"/>
            <w:shd w:val="clear" w:color="auto" w:fill="EBEBEC"/>
          </w:tcPr>
          <w:p>
            <w:pPr>
              <w:jc w:val="right"/>
              <w:ind w:right="205"/>
              <w:spacing w:after="0"/>
              <w:rPr>
                <w:sz w:val="20"/>
                <w:szCs w:val="20"/>
                <w:color w:val="auto"/>
              </w:rPr>
            </w:pPr>
            <w:r>
              <w:rPr>
                <w:rFonts w:ascii="Arial" w:cs="Arial" w:eastAsia="Arial" w:hAnsi="Arial"/>
                <w:sz w:val="14"/>
                <w:szCs w:val="14"/>
                <w:color w:val="auto"/>
              </w:rPr>
              <w:t>$275,000</w:t>
            </w:r>
          </w:p>
        </w:tc>
        <w:tc>
          <w:tcPr>
            <w:tcW w:w="1780" w:type="dxa"/>
            <w:vAlign w:val="bottom"/>
            <w:shd w:val="clear" w:color="auto" w:fill="EBEBEC"/>
          </w:tcPr>
          <w:p>
            <w:pPr>
              <w:jc w:val="right"/>
              <w:ind w:right="245"/>
              <w:spacing w:after="0"/>
              <w:rPr>
                <w:sz w:val="20"/>
                <w:szCs w:val="20"/>
                <w:color w:val="auto"/>
              </w:rPr>
            </w:pPr>
            <w:r>
              <w:rPr>
                <w:rFonts w:ascii="Arial" w:cs="Arial" w:eastAsia="Arial" w:hAnsi="Arial"/>
                <w:sz w:val="14"/>
                <w:szCs w:val="14"/>
                <w:color w:val="auto"/>
              </w:rPr>
              <w:t>$522,500</w:t>
            </w:r>
          </w:p>
        </w:tc>
        <w:tc>
          <w:tcPr>
            <w:tcW w:w="2200" w:type="dxa"/>
            <w:vAlign w:val="bottom"/>
            <w:shd w:val="clear" w:color="auto" w:fill="EBEBEC"/>
          </w:tcPr>
          <w:p>
            <w:pPr>
              <w:jc w:val="right"/>
              <w:ind w:right="365"/>
              <w:spacing w:after="0"/>
              <w:rPr>
                <w:sz w:val="20"/>
                <w:szCs w:val="20"/>
                <w:color w:val="auto"/>
              </w:rPr>
            </w:pPr>
            <w:r>
              <w:rPr>
                <w:rFonts w:ascii="Arial" w:cs="Arial" w:eastAsia="Arial" w:hAnsi="Arial"/>
                <w:sz w:val="14"/>
                <w:szCs w:val="14"/>
                <w:color w:val="auto"/>
              </w:rPr>
              <w:t>$541,530</w:t>
            </w:r>
          </w:p>
        </w:tc>
        <w:tc>
          <w:tcPr>
            <w:tcW w:w="9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$1,614,</w:t>
            </w:r>
          </w:p>
        </w:tc>
      </w:tr>
      <w:tr>
        <w:trPr>
          <w:trHeight w:val="24"/>
        </w:trPr>
        <w:tc>
          <w:tcPr>
            <w:tcW w:w="2360" w:type="dxa"/>
            <w:vAlign w:val="bottom"/>
            <w:shd w:val="clear" w:color="auto" w:fill="EBEBEC"/>
          </w:tcPr>
          <w:p>
            <w:pPr>
              <w:spacing w:after="0"/>
              <w:rPr>
                <w:sz w:val="2"/>
                <w:szCs w:val="2"/>
                <w:color w:val="auto"/>
              </w:rPr>
            </w:pPr>
          </w:p>
        </w:tc>
        <w:tc>
          <w:tcPr>
            <w:tcW w:w="2160" w:type="dxa"/>
            <w:vAlign w:val="bottom"/>
            <w:shd w:val="clear" w:color="auto" w:fill="EBEBEC"/>
          </w:tcPr>
          <w:p>
            <w:pPr>
              <w:spacing w:after="0"/>
              <w:rPr>
                <w:sz w:val="2"/>
                <w:szCs w:val="2"/>
                <w:color w:val="auto"/>
              </w:rPr>
            </w:pPr>
          </w:p>
        </w:tc>
        <w:tc>
          <w:tcPr>
            <w:tcW w:w="1820" w:type="dxa"/>
            <w:vAlign w:val="bottom"/>
            <w:shd w:val="clear" w:color="auto" w:fill="EBEBEC"/>
          </w:tcPr>
          <w:p>
            <w:pPr>
              <w:spacing w:after="0"/>
              <w:rPr>
                <w:sz w:val="2"/>
                <w:szCs w:val="2"/>
                <w:color w:val="auto"/>
              </w:rPr>
            </w:pPr>
          </w:p>
        </w:tc>
        <w:tc>
          <w:tcPr>
            <w:tcW w:w="1780" w:type="dxa"/>
            <w:vAlign w:val="bottom"/>
            <w:shd w:val="clear" w:color="auto" w:fill="EBEBEC"/>
          </w:tcPr>
          <w:p>
            <w:pPr>
              <w:spacing w:after="0"/>
              <w:rPr>
                <w:sz w:val="2"/>
                <w:szCs w:val="2"/>
                <w:color w:val="auto"/>
              </w:rPr>
            </w:pPr>
          </w:p>
        </w:tc>
        <w:tc>
          <w:tcPr>
            <w:tcW w:w="2200" w:type="dxa"/>
            <w:vAlign w:val="bottom"/>
            <w:shd w:val="clear" w:color="auto" w:fill="EBEBEC"/>
          </w:tcPr>
          <w:p>
            <w:pPr>
              <w:spacing w:after="0"/>
              <w:rPr>
                <w:sz w:val="2"/>
                <w:szCs w:val="2"/>
                <w:color w:val="auto"/>
              </w:rPr>
            </w:pPr>
          </w:p>
        </w:tc>
        <w:tc>
          <w:tcPr>
            <w:tcW w:w="900" w:type="dxa"/>
            <w:vAlign w:val="bottom"/>
            <w:shd w:val="clear" w:color="auto" w:fill="EBEBE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-908050</wp:posOffset>
            </wp:positionV>
            <wp:extent cx="7129780" cy="916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29780" cy="9169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b w:val="1"/>
          <w:bCs w:val="1"/>
          <w:color w:val="auto"/>
        </w:rPr>
        <w:t xml:space="preserve">Original 2020 Compensation Program Awards Forfeited </w:t>
      </w:r>
      <w:r>
        <w:rPr>
          <w:rFonts w:ascii="Arial" w:cs="Arial" w:eastAsia="Arial" w:hAnsi="Arial"/>
          <w:sz w:val="18"/>
          <w:szCs w:val="18"/>
          <w:color w:val="auto"/>
        </w:rPr>
        <w:t>– As a condition to receiving any award under the Revised 2020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the named executive officers were required to waive participation in the Original 2020 Compensation Program’s annual incentive award and forfeit the long-term incentives previously granted in February 2020. However, due to the technicalities of the SEC rules for compensation disclosures, certain Original 2020 Compensation Program awards are still required to be disclosed within the Summary Compensation Table below, even though they were replaced with the new Quarterly Incentive Plan awards.</w:t>
      </w:r>
    </w:p>
    <w:p>
      <w:pPr>
        <w:spacing w:after="0" w:line="179" w:lineRule="exact"/>
        <w:rPr>
          <w:sz w:val="20"/>
          <w:szCs w:val="20"/>
          <w:color w:val="auto"/>
        </w:rPr>
      </w:pPr>
    </w:p>
    <w:p>
      <w:pPr>
        <w:jc w:val="both"/>
        <w:ind w:right="360"/>
        <w:spacing w:after="0" w:line="267" w:lineRule="auto"/>
        <w:rPr>
          <w:sz w:val="20"/>
          <w:szCs w:val="20"/>
          <w:color w:val="auto"/>
        </w:rPr>
      </w:pPr>
      <w:r>
        <w:rPr>
          <w:rFonts w:ascii="Arial" w:cs="Arial" w:eastAsia="Arial" w:hAnsi="Arial"/>
          <w:sz w:val="17"/>
          <w:szCs w:val="17"/>
          <w:b w:val="1"/>
          <w:bCs w:val="1"/>
          <w:color w:val="auto"/>
        </w:rPr>
        <w:t xml:space="preserve">Payouts Under 2017 Performance Incentive Award </w:t>
      </w:r>
      <w:r>
        <w:rPr>
          <w:rFonts w:ascii="Arial" w:cs="Arial" w:eastAsia="Arial" w:hAnsi="Arial"/>
          <w:sz w:val="17"/>
          <w:szCs w:val="17"/>
          <w:color w:val="auto"/>
        </w:rPr>
        <w:t>– In February 2020, the 2017 cash-based Performance Incentive Awards vested and</w:t>
      </w:r>
      <w:r>
        <w:rPr>
          <w:rFonts w:ascii="Arial" w:cs="Arial" w:eastAsia="Arial" w:hAnsi="Arial"/>
          <w:sz w:val="17"/>
          <w:szCs w:val="17"/>
          <w:b w:val="1"/>
          <w:bCs w:val="1"/>
          <w:color w:val="auto"/>
        </w:rPr>
        <w:t xml:space="preserve"> </w:t>
      </w:r>
      <w:r>
        <w:rPr>
          <w:rFonts w:ascii="Arial" w:cs="Arial" w:eastAsia="Arial" w:hAnsi="Arial"/>
          <w:sz w:val="17"/>
          <w:szCs w:val="17"/>
          <w:color w:val="auto"/>
        </w:rPr>
        <w:t>were paid in cash. Performance under the award was based 50% on a relative Cost per Boe measure and 50% on a weighted-average VCI metric during the three-year performance period. The Former Compensation Committee certified the following performance under the award:</w:t>
      </w:r>
    </w:p>
    <w:p>
      <w:pPr>
        <w:spacing w:after="0" w:line="160" w:lineRule="exact"/>
        <w:rPr>
          <w:sz w:val="20"/>
          <w:szCs w:val="20"/>
          <w:color w:val="auto"/>
        </w:rPr>
      </w:pPr>
    </w:p>
    <w:p>
      <w:pPr>
        <w:ind w:left="840" w:right="240" w:hanging="229"/>
        <w:spacing w:after="0" w:line="243" w:lineRule="auto"/>
        <w:rPr>
          <w:sz w:val="20"/>
          <w:szCs w:val="20"/>
          <w:color w:val="auto"/>
        </w:rPr>
      </w:pPr>
      <w:r>
        <w:rPr>
          <w:rFonts w:ascii="Arial" w:cs="Arial" w:eastAsia="Arial" w:hAnsi="Arial"/>
          <w:sz w:val="18"/>
          <w:szCs w:val="18"/>
          <w:i w:val="1"/>
          <w:iCs w:val="1"/>
          <w:color w:val="auto"/>
        </w:rPr>
        <w:t xml:space="preserve">Cost per Boe Portion: </w:t>
      </w:r>
      <w:r>
        <w:rPr>
          <w:rFonts w:ascii="Arial" w:cs="Arial" w:eastAsia="Arial" w:hAnsi="Arial"/>
          <w:sz w:val="18"/>
          <w:szCs w:val="18"/>
          <w:color w:val="auto"/>
        </w:rPr>
        <w:t>This portion was based on the change in CRC’s Cost per Boe of production compared to the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Cost per Boe of production for the peer group. Cost per Boe is the sum of the production costs and general and administrative expenses, both measured</w:t>
      </w:r>
    </w:p>
    <w:p>
      <w:pPr>
        <w:spacing w:after="0" w:line="198"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340"/>
          </w:cols>
          <w:pgMar w:left="320" w:top="382" w:right="239" w:bottom="1440" w:gutter="0" w:footer="0" w:header="0"/>
        </w:sectPr>
      </w:pPr>
    </w:p>
    <w:bookmarkStart w:id="44" w:name="page45"/>
    <w:bookmarkEnd w:id="44"/>
    <w:p>
      <w:pPr>
        <w:ind w:left="8623"/>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223"/>
        <w:spacing w:after="0"/>
        <w:rPr>
          <w:sz w:val="20"/>
          <w:szCs w:val="20"/>
          <w:color w:val="auto"/>
        </w:rPr>
      </w:pPr>
      <w:r>
        <w:rPr>
          <w:rFonts w:ascii="Arial" w:cs="Arial" w:eastAsia="Arial" w:hAnsi="Arial"/>
          <w:sz w:val="14"/>
          <w:szCs w:val="14"/>
          <w:color w:val="auto"/>
        </w:rPr>
        <w:t>Compensation Discussion and Analysis</w:t>
      </w:r>
    </w:p>
    <w:p>
      <w:pPr>
        <w:spacing w:after="0" w:line="204" w:lineRule="exact"/>
        <w:rPr>
          <w:sz w:val="20"/>
          <w:szCs w:val="20"/>
          <w:color w:val="auto"/>
        </w:rPr>
      </w:pPr>
    </w:p>
    <w:p>
      <w:pPr>
        <w:ind w:left="423" w:right="40"/>
        <w:spacing w:after="0" w:line="234" w:lineRule="auto"/>
        <w:rPr>
          <w:sz w:val="20"/>
          <w:szCs w:val="20"/>
          <w:color w:val="auto"/>
        </w:rPr>
      </w:pPr>
      <w:r>
        <w:rPr>
          <w:rFonts w:ascii="Arial" w:cs="Arial" w:eastAsia="Arial" w:hAnsi="Arial"/>
          <w:sz w:val="18"/>
          <w:szCs w:val="18"/>
          <w:color w:val="auto"/>
        </w:rPr>
        <w:t>on a per Boe basis for the applicable period. CRC’s three-year weighted average Cost per Boe increased by 20.6%, while the peer groups’ three-year average weighted Cost per Boe decreased by 2.6%, resulting in a net 23.2% increase. Under the terms of the award, this performance resulted in the following payout factor of 0% of target for the Cost per Boe portion of the award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127635</wp:posOffset>
            </wp:positionV>
            <wp:extent cx="4476115" cy="387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76115" cy="387350"/>
                    </a:xfrm>
                    <a:prstGeom prst="rect">
                      <a:avLst/>
                    </a:prstGeom>
                    <a:noFill/>
                  </pic:spPr>
                </pic:pic>
              </a:graphicData>
            </a:graphic>
          </wp:anchor>
        </w:drawing>
      </w:r>
    </w:p>
    <w:p>
      <w:pPr>
        <w:spacing w:after="0" w:line="181" w:lineRule="exact"/>
        <w:rPr>
          <w:sz w:val="20"/>
          <w:szCs w:val="20"/>
          <w:color w:val="auto"/>
        </w:rPr>
      </w:pPr>
    </w:p>
    <w:tbl>
      <w:tblPr>
        <w:tblLayout w:type="fixed"/>
        <w:tblInd w:w="1703" w:type="dxa"/>
        <w:tblCellMar>
          <w:top w:w="0" w:type="dxa"/>
          <w:left w:w="0" w:type="dxa"/>
          <w:bottom w:w="0" w:type="dxa"/>
          <w:right w:w="0" w:type="dxa"/>
        </w:tblCellMar>
      </w:tblPr>
      <w:tr>
        <w:trPr>
          <w:trHeight w:val="282"/>
        </w:trPr>
        <w:tc>
          <w:tcPr>
            <w:tcW w:w="3960" w:type="dxa"/>
            <w:vAlign w:val="bottom"/>
            <w:shd w:val="clear" w:color="auto" w:fill="4F81BD"/>
          </w:tcPr>
          <w:p>
            <w:pPr>
              <w:ind w:left="120"/>
              <w:spacing w:after="0"/>
              <w:rPr>
                <w:sz w:val="20"/>
                <w:szCs w:val="20"/>
                <w:color w:val="auto"/>
              </w:rPr>
            </w:pPr>
            <w:r>
              <w:rPr>
                <w:rFonts w:ascii="Arial" w:cs="Arial" w:eastAsia="Arial" w:hAnsi="Arial"/>
                <w:sz w:val="18"/>
                <w:szCs w:val="18"/>
                <w:b w:val="1"/>
                <w:bCs w:val="1"/>
                <w:color w:val="FFFFFF"/>
              </w:rPr>
              <w:t>Change in CRC Cost per BOE Minus</w:t>
            </w:r>
          </w:p>
        </w:tc>
        <w:tc>
          <w:tcPr>
            <w:tcW w:w="3060" w:type="dxa"/>
            <w:vAlign w:val="bottom"/>
            <w:shd w:val="clear" w:color="auto" w:fill="4F81BD"/>
          </w:tcPr>
          <w:p>
            <w:pPr>
              <w:spacing w:after="0"/>
              <w:rPr>
                <w:sz w:val="24"/>
                <w:szCs w:val="24"/>
                <w:color w:val="auto"/>
              </w:rPr>
            </w:pPr>
          </w:p>
        </w:tc>
      </w:tr>
      <w:tr>
        <w:trPr>
          <w:trHeight w:val="234"/>
        </w:trPr>
        <w:tc>
          <w:tcPr>
            <w:tcW w:w="3960" w:type="dxa"/>
            <w:vAlign w:val="bottom"/>
            <w:shd w:val="clear" w:color="auto" w:fill="4F81BD"/>
          </w:tcPr>
          <w:p>
            <w:pPr>
              <w:ind w:left="120"/>
              <w:spacing w:after="0"/>
              <w:rPr>
                <w:sz w:val="20"/>
                <w:szCs w:val="20"/>
                <w:color w:val="auto"/>
              </w:rPr>
            </w:pPr>
            <w:r>
              <w:rPr>
                <w:rFonts w:ascii="Arial" w:cs="Arial" w:eastAsia="Arial" w:hAnsi="Arial"/>
                <w:sz w:val="18"/>
                <w:szCs w:val="18"/>
                <w:b w:val="1"/>
                <w:bCs w:val="1"/>
                <w:color w:val="FFFFFF"/>
              </w:rPr>
              <w:t>Change in Peer Group Cost per BOE</w:t>
            </w:r>
          </w:p>
        </w:tc>
        <w:tc>
          <w:tcPr>
            <w:tcW w:w="3060" w:type="dxa"/>
            <w:vAlign w:val="bottom"/>
            <w:shd w:val="clear" w:color="auto" w:fill="4F81BD"/>
          </w:tcPr>
          <w:p>
            <w:pPr>
              <w:ind w:left="760"/>
              <w:spacing w:after="0"/>
              <w:rPr>
                <w:sz w:val="20"/>
                <w:szCs w:val="20"/>
                <w:color w:val="auto"/>
              </w:rPr>
            </w:pPr>
            <w:r>
              <w:rPr>
                <w:rFonts w:ascii="Arial" w:cs="Arial" w:eastAsia="Arial" w:hAnsi="Arial"/>
                <w:sz w:val="18"/>
                <w:szCs w:val="18"/>
                <w:b w:val="1"/>
                <w:bCs w:val="1"/>
                <w:color w:val="FFFFFF"/>
              </w:rPr>
              <w:t>Payout as % of Target</w:t>
            </w:r>
          </w:p>
        </w:tc>
      </w:tr>
      <w:tr>
        <w:trPr>
          <w:trHeight w:val="67"/>
        </w:trPr>
        <w:tc>
          <w:tcPr>
            <w:tcW w:w="3960" w:type="dxa"/>
            <w:vAlign w:val="bottom"/>
            <w:shd w:val="clear" w:color="auto" w:fill="4F81BD"/>
          </w:tcPr>
          <w:p>
            <w:pPr>
              <w:spacing w:after="0"/>
              <w:rPr>
                <w:sz w:val="5"/>
                <w:szCs w:val="5"/>
                <w:color w:val="auto"/>
              </w:rPr>
            </w:pPr>
          </w:p>
        </w:tc>
        <w:tc>
          <w:tcPr>
            <w:tcW w:w="3060" w:type="dxa"/>
            <w:vAlign w:val="bottom"/>
            <w:shd w:val="clear" w:color="auto" w:fill="4F81BD"/>
          </w:tcPr>
          <w:p>
            <w:pPr>
              <w:spacing w:after="0"/>
              <w:rPr>
                <w:sz w:val="5"/>
                <w:szCs w:val="5"/>
                <w:color w:val="auto"/>
              </w:rPr>
            </w:pPr>
          </w:p>
        </w:tc>
      </w:tr>
      <w:tr>
        <w:trPr>
          <w:trHeight w:val="220"/>
        </w:trPr>
        <w:tc>
          <w:tcPr>
            <w:tcW w:w="3960" w:type="dxa"/>
            <w:vAlign w:val="bottom"/>
          </w:tcPr>
          <w:p>
            <w:pPr>
              <w:ind w:left="120"/>
              <w:spacing w:after="0"/>
              <w:rPr>
                <w:sz w:val="20"/>
                <w:szCs w:val="20"/>
                <w:color w:val="auto"/>
              </w:rPr>
            </w:pPr>
            <w:r>
              <w:rPr>
                <w:rFonts w:ascii="Arial" w:cs="Arial" w:eastAsia="Arial" w:hAnsi="Arial"/>
                <w:sz w:val="16"/>
                <w:szCs w:val="16"/>
                <w:color w:val="auto"/>
              </w:rPr>
              <w:t>Less than or equal to -10%</w:t>
            </w:r>
          </w:p>
        </w:tc>
        <w:tc>
          <w:tcPr>
            <w:tcW w:w="3060" w:type="dxa"/>
            <w:vAlign w:val="bottom"/>
          </w:tcPr>
          <w:p>
            <w:pPr>
              <w:jc w:val="center"/>
              <w:ind w:left="259"/>
              <w:spacing w:after="0"/>
              <w:rPr>
                <w:sz w:val="20"/>
                <w:szCs w:val="20"/>
                <w:color w:val="auto"/>
              </w:rPr>
            </w:pPr>
            <w:r>
              <w:rPr>
                <w:rFonts w:ascii="Arial" w:cs="Arial" w:eastAsia="Arial" w:hAnsi="Arial"/>
                <w:sz w:val="16"/>
                <w:szCs w:val="16"/>
                <w:color w:val="auto"/>
                <w:w w:val="97"/>
              </w:rPr>
              <w:t>200%</w:t>
            </w:r>
          </w:p>
        </w:tc>
      </w:tr>
      <w:tr>
        <w:trPr>
          <w:trHeight w:val="199"/>
        </w:trPr>
        <w:tc>
          <w:tcPr>
            <w:tcW w:w="3960" w:type="dxa"/>
            <w:vAlign w:val="bottom"/>
          </w:tcPr>
          <w:p>
            <w:pPr>
              <w:ind w:left="120"/>
              <w:spacing w:after="0"/>
              <w:rPr>
                <w:sz w:val="20"/>
                <w:szCs w:val="20"/>
                <w:color w:val="auto"/>
              </w:rPr>
            </w:pPr>
            <w:r>
              <w:rPr>
                <w:rFonts w:ascii="Arial" w:cs="Arial" w:eastAsia="Arial" w:hAnsi="Arial"/>
                <w:sz w:val="16"/>
                <w:szCs w:val="16"/>
                <w:color w:val="auto"/>
              </w:rPr>
              <w:t>0%</w:t>
            </w:r>
          </w:p>
        </w:tc>
        <w:tc>
          <w:tcPr>
            <w:tcW w:w="3060" w:type="dxa"/>
            <w:vAlign w:val="bottom"/>
          </w:tcPr>
          <w:p>
            <w:pPr>
              <w:jc w:val="center"/>
              <w:ind w:left="259"/>
              <w:spacing w:after="0"/>
              <w:rPr>
                <w:sz w:val="20"/>
                <w:szCs w:val="20"/>
                <w:color w:val="auto"/>
              </w:rPr>
            </w:pPr>
            <w:r>
              <w:rPr>
                <w:rFonts w:ascii="Arial" w:cs="Arial" w:eastAsia="Arial" w:hAnsi="Arial"/>
                <w:sz w:val="16"/>
                <w:szCs w:val="16"/>
                <w:color w:val="auto"/>
                <w:w w:val="97"/>
              </w:rPr>
              <w:t>100%</w:t>
            </w:r>
          </w:p>
        </w:tc>
      </w:tr>
      <w:tr>
        <w:trPr>
          <w:trHeight w:val="199"/>
        </w:trPr>
        <w:tc>
          <w:tcPr>
            <w:tcW w:w="3960" w:type="dxa"/>
            <w:vAlign w:val="bottom"/>
          </w:tcPr>
          <w:p>
            <w:pPr>
              <w:ind w:left="120"/>
              <w:spacing w:after="0"/>
              <w:rPr>
                <w:sz w:val="20"/>
                <w:szCs w:val="20"/>
                <w:color w:val="auto"/>
              </w:rPr>
            </w:pPr>
            <w:r>
              <w:rPr>
                <w:rFonts w:ascii="Arial" w:cs="Arial" w:eastAsia="Arial" w:hAnsi="Arial"/>
                <w:sz w:val="16"/>
                <w:szCs w:val="16"/>
                <w:color w:val="auto"/>
              </w:rPr>
              <w:t>10%</w:t>
            </w:r>
          </w:p>
        </w:tc>
        <w:tc>
          <w:tcPr>
            <w:tcW w:w="3060" w:type="dxa"/>
            <w:vAlign w:val="bottom"/>
          </w:tcPr>
          <w:p>
            <w:pPr>
              <w:jc w:val="center"/>
              <w:ind w:left="259"/>
              <w:spacing w:after="0"/>
              <w:rPr>
                <w:sz w:val="20"/>
                <w:szCs w:val="20"/>
                <w:color w:val="auto"/>
              </w:rPr>
            </w:pPr>
            <w:r>
              <w:rPr>
                <w:rFonts w:ascii="Arial" w:cs="Arial" w:eastAsia="Arial" w:hAnsi="Arial"/>
                <w:sz w:val="16"/>
                <w:szCs w:val="16"/>
                <w:color w:val="auto"/>
                <w:w w:val="99"/>
              </w:rPr>
              <w:t>75%</w:t>
            </w:r>
          </w:p>
        </w:tc>
      </w:tr>
      <w:tr>
        <w:trPr>
          <w:trHeight w:val="186"/>
        </w:trPr>
        <w:tc>
          <w:tcPr>
            <w:tcW w:w="3960" w:type="dxa"/>
            <w:vAlign w:val="bottom"/>
          </w:tcPr>
          <w:p>
            <w:pPr>
              <w:ind w:left="120"/>
              <w:spacing w:after="0"/>
              <w:rPr>
                <w:sz w:val="20"/>
                <w:szCs w:val="20"/>
                <w:color w:val="auto"/>
              </w:rPr>
            </w:pPr>
            <w:r>
              <w:rPr>
                <w:rFonts w:ascii="Arial" w:cs="Arial" w:eastAsia="Arial" w:hAnsi="Arial"/>
                <w:sz w:val="16"/>
                <w:szCs w:val="16"/>
                <w:color w:val="auto"/>
              </w:rPr>
              <w:t>Greater than 10%</w:t>
            </w:r>
          </w:p>
        </w:tc>
        <w:tc>
          <w:tcPr>
            <w:tcW w:w="3060" w:type="dxa"/>
            <w:vAlign w:val="bottom"/>
          </w:tcPr>
          <w:p>
            <w:pPr>
              <w:jc w:val="center"/>
              <w:ind w:left="259"/>
              <w:spacing w:after="0"/>
              <w:rPr>
                <w:sz w:val="20"/>
                <w:szCs w:val="20"/>
                <w:color w:val="auto"/>
              </w:rPr>
            </w:pPr>
            <w:r>
              <w:rPr>
                <w:rFonts w:ascii="Arial" w:cs="Arial" w:eastAsia="Arial" w:hAnsi="Arial"/>
                <w:sz w:val="16"/>
                <w:szCs w:val="16"/>
                <w:color w:val="auto"/>
              </w:rPr>
              <w:t>0%</w:t>
            </w:r>
          </w:p>
        </w:tc>
      </w:tr>
      <w:tr>
        <w:trPr>
          <w:trHeight w:val="212"/>
        </w:trPr>
        <w:tc>
          <w:tcPr>
            <w:tcW w:w="3960" w:type="dxa"/>
            <w:vAlign w:val="bottom"/>
          </w:tcPr>
          <w:p>
            <w:pPr>
              <w:ind w:left="120"/>
              <w:spacing w:after="0"/>
              <w:rPr>
                <w:sz w:val="20"/>
                <w:szCs w:val="20"/>
                <w:color w:val="auto"/>
              </w:rPr>
            </w:pPr>
            <w:r>
              <w:rPr>
                <w:rFonts w:ascii="Arial" w:cs="Arial" w:eastAsia="Arial" w:hAnsi="Arial"/>
                <w:sz w:val="16"/>
                <w:szCs w:val="16"/>
                <w:b w:val="1"/>
                <w:bCs w:val="1"/>
                <w:color w:val="auto"/>
              </w:rPr>
              <w:t>Actual Result: 23.2%</w:t>
            </w:r>
          </w:p>
        </w:tc>
        <w:tc>
          <w:tcPr>
            <w:tcW w:w="3060" w:type="dxa"/>
            <w:vAlign w:val="bottom"/>
          </w:tcPr>
          <w:p>
            <w:pPr>
              <w:jc w:val="center"/>
              <w:ind w:left="259"/>
              <w:spacing w:after="0"/>
              <w:rPr>
                <w:sz w:val="20"/>
                <w:szCs w:val="20"/>
                <w:color w:val="auto"/>
              </w:rPr>
            </w:pPr>
            <w:r>
              <w:rPr>
                <w:rFonts w:ascii="Arial" w:cs="Arial" w:eastAsia="Arial" w:hAnsi="Arial"/>
                <w:sz w:val="16"/>
                <w:szCs w:val="16"/>
                <w:b w:val="1"/>
                <w:bCs w:val="1"/>
                <w:color w:val="auto"/>
              </w:rPr>
              <w:t>0%</w:t>
            </w:r>
          </w:p>
        </w:tc>
      </w:tr>
    </w:tbl>
    <w:p>
      <w:pPr>
        <w:spacing w:after="0" w:line="198" w:lineRule="exact"/>
        <w:rPr>
          <w:sz w:val="20"/>
          <w:szCs w:val="20"/>
          <w:color w:val="auto"/>
        </w:rPr>
      </w:pPr>
    </w:p>
    <w:p>
      <w:pPr>
        <w:jc w:val="right"/>
        <w:ind w:left="183" w:right="220"/>
        <w:spacing w:after="0" w:line="256" w:lineRule="auto"/>
        <w:rPr>
          <w:sz w:val="20"/>
          <w:szCs w:val="20"/>
          <w:color w:val="auto"/>
        </w:rPr>
      </w:pPr>
      <w:r>
        <w:rPr>
          <w:rFonts w:ascii="Arial" w:cs="Arial" w:eastAsia="Arial" w:hAnsi="Arial"/>
          <w:sz w:val="18"/>
          <w:szCs w:val="18"/>
          <w:i w:val="1"/>
          <w:iCs w:val="1"/>
          <w:color w:val="auto"/>
        </w:rPr>
        <w:t xml:space="preserve">Cumulative VCI Portion: </w:t>
      </w:r>
      <w:r>
        <w:rPr>
          <w:rFonts w:ascii="Arial" w:cs="Arial" w:eastAsia="Arial" w:hAnsi="Arial"/>
          <w:sz w:val="18"/>
          <w:szCs w:val="18"/>
          <w:color w:val="auto"/>
        </w:rPr>
        <w:t>This portion was based on the weighted-average VCI results for 2017, 2018 and 2019. The weighted-average VCI result of 1.42 produced a payout of 160% of target for the cumulative VCI portion of the award,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118745</wp:posOffset>
            </wp:positionV>
            <wp:extent cx="4476115" cy="2355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76115" cy="235585"/>
                    </a:xfrm>
                    <a:prstGeom prst="rect">
                      <a:avLst/>
                    </a:prstGeom>
                    <a:noFill/>
                  </pic:spPr>
                </pic:pic>
              </a:graphicData>
            </a:graphic>
          </wp:anchor>
        </w:drawing>
      </w:r>
    </w:p>
    <w:p>
      <w:pPr>
        <w:spacing w:after="0" w:line="167" w:lineRule="exact"/>
        <w:rPr>
          <w:sz w:val="20"/>
          <w:szCs w:val="20"/>
          <w:color w:val="auto"/>
        </w:rPr>
      </w:pPr>
    </w:p>
    <w:tbl>
      <w:tblPr>
        <w:tblLayout w:type="fixed"/>
        <w:tblInd w:w="1703" w:type="dxa"/>
        <w:tblCellMar>
          <w:top w:w="0" w:type="dxa"/>
          <w:left w:w="0" w:type="dxa"/>
          <w:bottom w:w="0" w:type="dxa"/>
          <w:right w:w="0" w:type="dxa"/>
        </w:tblCellMar>
      </w:tblPr>
      <w:tr>
        <w:trPr>
          <w:trHeight w:val="277"/>
        </w:trPr>
        <w:tc>
          <w:tcPr>
            <w:tcW w:w="3360" w:type="dxa"/>
            <w:vAlign w:val="bottom"/>
            <w:shd w:val="clear" w:color="auto" w:fill="4F81BD"/>
          </w:tcPr>
          <w:p>
            <w:pPr>
              <w:ind w:left="120"/>
              <w:spacing w:after="0"/>
              <w:rPr>
                <w:sz w:val="20"/>
                <w:szCs w:val="20"/>
                <w:color w:val="auto"/>
              </w:rPr>
            </w:pPr>
            <w:r>
              <w:rPr>
                <w:rFonts w:ascii="Arial" w:cs="Arial" w:eastAsia="Arial" w:hAnsi="Arial"/>
                <w:sz w:val="18"/>
                <w:szCs w:val="18"/>
                <w:b w:val="1"/>
                <w:bCs w:val="1"/>
                <w:color w:val="FFFFFF"/>
              </w:rPr>
              <w:t>Cumulative VCI Result</w:t>
            </w:r>
          </w:p>
        </w:tc>
        <w:tc>
          <w:tcPr>
            <w:tcW w:w="3660" w:type="dxa"/>
            <w:vAlign w:val="bottom"/>
            <w:shd w:val="clear" w:color="auto" w:fill="4F81BD"/>
          </w:tcPr>
          <w:p>
            <w:pPr>
              <w:ind w:left="1360"/>
              <w:spacing w:after="0"/>
              <w:rPr>
                <w:sz w:val="20"/>
                <w:szCs w:val="20"/>
                <w:color w:val="auto"/>
              </w:rPr>
            </w:pPr>
            <w:r>
              <w:rPr>
                <w:rFonts w:ascii="Arial" w:cs="Arial" w:eastAsia="Arial" w:hAnsi="Arial"/>
                <w:sz w:val="18"/>
                <w:szCs w:val="18"/>
                <w:b w:val="1"/>
                <w:bCs w:val="1"/>
                <w:color w:val="FFFFFF"/>
              </w:rPr>
              <w:t>Payout as % of Target</w:t>
            </w:r>
          </w:p>
        </w:tc>
      </w:tr>
      <w:tr>
        <w:trPr>
          <w:trHeight w:val="67"/>
        </w:trPr>
        <w:tc>
          <w:tcPr>
            <w:tcW w:w="3360" w:type="dxa"/>
            <w:vAlign w:val="bottom"/>
            <w:shd w:val="clear" w:color="auto" w:fill="4F81BD"/>
          </w:tcPr>
          <w:p>
            <w:pPr>
              <w:spacing w:after="0"/>
              <w:rPr>
                <w:sz w:val="5"/>
                <w:szCs w:val="5"/>
                <w:color w:val="auto"/>
              </w:rPr>
            </w:pPr>
          </w:p>
        </w:tc>
        <w:tc>
          <w:tcPr>
            <w:tcW w:w="3660" w:type="dxa"/>
            <w:vAlign w:val="bottom"/>
            <w:shd w:val="clear" w:color="auto" w:fill="4F81BD"/>
          </w:tcPr>
          <w:p>
            <w:pPr>
              <w:spacing w:after="0"/>
              <w:rPr>
                <w:sz w:val="5"/>
                <w:szCs w:val="5"/>
                <w:color w:val="auto"/>
              </w:rPr>
            </w:pPr>
          </w:p>
        </w:tc>
      </w:tr>
      <w:tr>
        <w:trPr>
          <w:trHeight w:val="207"/>
        </w:trPr>
        <w:tc>
          <w:tcPr>
            <w:tcW w:w="3360" w:type="dxa"/>
            <w:vAlign w:val="bottom"/>
          </w:tcPr>
          <w:p>
            <w:pPr>
              <w:ind w:left="120"/>
              <w:spacing w:after="0"/>
              <w:rPr>
                <w:sz w:val="20"/>
                <w:szCs w:val="20"/>
                <w:color w:val="auto"/>
              </w:rPr>
            </w:pPr>
            <w:r>
              <w:rPr>
                <w:rFonts w:ascii="Arial" w:cs="Arial" w:eastAsia="Arial" w:hAnsi="Arial"/>
                <w:sz w:val="16"/>
                <w:szCs w:val="16"/>
                <w:color w:val="auto"/>
              </w:rPr>
              <w:t>1.5 or greater</w:t>
            </w:r>
          </w:p>
        </w:tc>
        <w:tc>
          <w:tcPr>
            <w:tcW w:w="3660" w:type="dxa"/>
            <w:vAlign w:val="bottom"/>
          </w:tcPr>
          <w:p>
            <w:pPr>
              <w:jc w:val="center"/>
              <w:ind w:left="859"/>
              <w:spacing w:after="0"/>
              <w:rPr>
                <w:sz w:val="20"/>
                <w:szCs w:val="20"/>
                <w:color w:val="auto"/>
              </w:rPr>
            </w:pPr>
            <w:r>
              <w:rPr>
                <w:rFonts w:ascii="Arial" w:cs="Arial" w:eastAsia="Arial" w:hAnsi="Arial"/>
                <w:sz w:val="16"/>
                <w:szCs w:val="16"/>
                <w:color w:val="auto"/>
                <w:w w:val="97"/>
              </w:rPr>
              <w:t>200%</w:t>
            </w:r>
          </w:p>
        </w:tc>
      </w:tr>
      <w:tr>
        <w:trPr>
          <w:trHeight w:val="212"/>
        </w:trPr>
        <w:tc>
          <w:tcPr>
            <w:tcW w:w="3360" w:type="dxa"/>
            <w:vAlign w:val="bottom"/>
          </w:tcPr>
          <w:p>
            <w:pPr>
              <w:ind w:left="120"/>
              <w:spacing w:after="0"/>
              <w:rPr>
                <w:sz w:val="20"/>
                <w:szCs w:val="20"/>
                <w:color w:val="auto"/>
              </w:rPr>
            </w:pPr>
            <w:r>
              <w:rPr>
                <w:rFonts w:ascii="Arial" w:cs="Arial" w:eastAsia="Arial" w:hAnsi="Arial"/>
                <w:sz w:val="16"/>
                <w:szCs w:val="16"/>
                <w:b w:val="1"/>
                <w:bCs w:val="1"/>
                <w:color w:val="auto"/>
              </w:rPr>
              <w:t>Actual Result: 1.42</w:t>
            </w:r>
          </w:p>
        </w:tc>
        <w:tc>
          <w:tcPr>
            <w:tcW w:w="3660" w:type="dxa"/>
            <w:vAlign w:val="bottom"/>
          </w:tcPr>
          <w:p>
            <w:pPr>
              <w:jc w:val="center"/>
              <w:ind w:left="859"/>
              <w:spacing w:after="0"/>
              <w:rPr>
                <w:sz w:val="20"/>
                <w:szCs w:val="20"/>
                <w:color w:val="auto"/>
              </w:rPr>
            </w:pPr>
            <w:r>
              <w:rPr>
                <w:rFonts w:ascii="Arial" w:cs="Arial" w:eastAsia="Arial" w:hAnsi="Arial"/>
                <w:sz w:val="16"/>
                <w:szCs w:val="16"/>
                <w:b w:val="1"/>
                <w:bCs w:val="1"/>
                <w:color w:val="auto"/>
                <w:w w:val="97"/>
              </w:rPr>
              <w:t>160%</w:t>
            </w:r>
          </w:p>
        </w:tc>
      </w:tr>
      <w:tr>
        <w:trPr>
          <w:trHeight w:val="199"/>
        </w:trPr>
        <w:tc>
          <w:tcPr>
            <w:tcW w:w="3360" w:type="dxa"/>
            <w:vAlign w:val="bottom"/>
          </w:tcPr>
          <w:p>
            <w:pPr>
              <w:ind w:left="120"/>
              <w:spacing w:after="0"/>
              <w:rPr>
                <w:sz w:val="20"/>
                <w:szCs w:val="20"/>
                <w:color w:val="auto"/>
              </w:rPr>
            </w:pPr>
            <w:r>
              <w:rPr>
                <w:rFonts w:ascii="Arial" w:cs="Arial" w:eastAsia="Arial" w:hAnsi="Arial"/>
                <w:sz w:val="16"/>
                <w:szCs w:val="16"/>
                <w:color w:val="auto"/>
              </w:rPr>
              <w:t>1.3</w:t>
            </w:r>
          </w:p>
        </w:tc>
        <w:tc>
          <w:tcPr>
            <w:tcW w:w="3660" w:type="dxa"/>
            <w:vAlign w:val="bottom"/>
          </w:tcPr>
          <w:p>
            <w:pPr>
              <w:jc w:val="center"/>
              <w:ind w:left="859"/>
              <w:spacing w:after="0"/>
              <w:rPr>
                <w:sz w:val="20"/>
                <w:szCs w:val="20"/>
                <w:color w:val="auto"/>
              </w:rPr>
            </w:pPr>
            <w:r>
              <w:rPr>
                <w:rFonts w:ascii="Arial" w:cs="Arial" w:eastAsia="Arial" w:hAnsi="Arial"/>
                <w:sz w:val="16"/>
                <w:szCs w:val="16"/>
                <w:color w:val="auto"/>
                <w:w w:val="97"/>
              </w:rPr>
              <w:t>100%</w:t>
            </w:r>
          </w:p>
        </w:tc>
      </w:tr>
      <w:tr>
        <w:trPr>
          <w:trHeight w:val="199"/>
        </w:trPr>
        <w:tc>
          <w:tcPr>
            <w:tcW w:w="3360" w:type="dxa"/>
            <w:vAlign w:val="bottom"/>
          </w:tcPr>
          <w:p>
            <w:pPr>
              <w:ind w:left="120"/>
              <w:spacing w:after="0"/>
              <w:rPr>
                <w:sz w:val="20"/>
                <w:szCs w:val="20"/>
                <w:color w:val="auto"/>
              </w:rPr>
            </w:pPr>
            <w:r>
              <w:rPr>
                <w:rFonts w:ascii="Arial" w:cs="Arial" w:eastAsia="Arial" w:hAnsi="Arial"/>
                <w:sz w:val="16"/>
                <w:szCs w:val="16"/>
                <w:color w:val="auto"/>
              </w:rPr>
              <w:t>1.1</w:t>
            </w:r>
          </w:p>
        </w:tc>
        <w:tc>
          <w:tcPr>
            <w:tcW w:w="3660" w:type="dxa"/>
            <w:vAlign w:val="bottom"/>
          </w:tcPr>
          <w:p>
            <w:pPr>
              <w:jc w:val="center"/>
              <w:ind w:left="859"/>
              <w:spacing w:after="0"/>
              <w:rPr>
                <w:sz w:val="20"/>
                <w:szCs w:val="20"/>
                <w:color w:val="auto"/>
              </w:rPr>
            </w:pPr>
            <w:r>
              <w:rPr>
                <w:rFonts w:ascii="Arial" w:cs="Arial" w:eastAsia="Arial" w:hAnsi="Arial"/>
                <w:sz w:val="16"/>
                <w:szCs w:val="16"/>
                <w:color w:val="auto"/>
                <w:w w:val="99"/>
              </w:rPr>
              <w:t>75%</w:t>
            </w:r>
          </w:p>
        </w:tc>
      </w:tr>
      <w:tr>
        <w:trPr>
          <w:trHeight w:val="199"/>
        </w:trPr>
        <w:tc>
          <w:tcPr>
            <w:tcW w:w="3360" w:type="dxa"/>
            <w:vAlign w:val="bottom"/>
          </w:tcPr>
          <w:p>
            <w:pPr>
              <w:ind w:left="120"/>
              <w:spacing w:after="0"/>
              <w:rPr>
                <w:sz w:val="20"/>
                <w:szCs w:val="20"/>
                <w:color w:val="auto"/>
              </w:rPr>
            </w:pPr>
            <w:r>
              <w:rPr>
                <w:rFonts w:ascii="Arial" w:cs="Arial" w:eastAsia="Arial" w:hAnsi="Arial"/>
                <w:sz w:val="16"/>
                <w:szCs w:val="16"/>
                <w:color w:val="auto"/>
              </w:rPr>
              <w:t>Less than 1.1</w:t>
            </w:r>
          </w:p>
        </w:tc>
        <w:tc>
          <w:tcPr>
            <w:tcW w:w="3660" w:type="dxa"/>
            <w:vAlign w:val="bottom"/>
          </w:tcPr>
          <w:p>
            <w:pPr>
              <w:jc w:val="center"/>
              <w:ind w:left="859"/>
              <w:spacing w:after="0"/>
              <w:rPr>
                <w:sz w:val="20"/>
                <w:szCs w:val="20"/>
                <w:color w:val="auto"/>
              </w:rPr>
            </w:pPr>
            <w:r>
              <w:rPr>
                <w:rFonts w:ascii="Arial" w:cs="Arial" w:eastAsia="Arial" w:hAnsi="Arial"/>
                <w:sz w:val="16"/>
                <w:szCs w:val="16"/>
                <w:color w:val="auto"/>
              </w:rPr>
              <w:t>0%</w:t>
            </w:r>
          </w:p>
        </w:tc>
      </w:tr>
    </w:tbl>
    <w:p>
      <w:pPr>
        <w:spacing w:after="0" w:line="225" w:lineRule="exact"/>
        <w:rPr>
          <w:sz w:val="20"/>
          <w:szCs w:val="20"/>
          <w:color w:val="auto"/>
        </w:rPr>
      </w:pPr>
    </w:p>
    <w:p>
      <w:pPr>
        <w:ind w:left="183"/>
        <w:spacing w:after="0"/>
        <w:rPr>
          <w:sz w:val="20"/>
          <w:szCs w:val="20"/>
          <w:color w:val="auto"/>
        </w:rPr>
      </w:pPr>
      <w:r>
        <w:rPr>
          <w:rFonts w:ascii="Arial" w:cs="Arial" w:eastAsia="Arial" w:hAnsi="Arial"/>
          <w:sz w:val="18"/>
          <w:szCs w:val="18"/>
          <w:i w:val="1"/>
          <w:iCs w:val="1"/>
          <w:color w:val="auto"/>
        </w:rPr>
        <w:t xml:space="preserve">Payout Calculation: </w:t>
      </w:r>
      <w:r>
        <w:rPr>
          <w:rFonts w:ascii="Arial" w:cs="Arial" w:eastAsia="Arial" w:hAnsi="Arial"/>
          <w:sz w:val="18"/>
          <w:szCs w:val="18"/>
          <w:color w:val="auto"/>
        </w:rPr>
        <w:t>The resulting payout was 80% of target incentive amounts, calculated as follows:</w:t>
      </w:r>
    </w:p>
    <w:p>
      <w:pPr>
        <w:spacing w:after="0" w:line="222" w:lineRule="exact"/>
        <w:rPr>
          <w:sz w:val="20"/>
          <w:szCs w:val="20"/>
          <w:color w:val="auto"/>
        </w:rPr>
      </w:pPr>
    </w:p>
    <w:p>
      <w:pPr>
        <w:ind w:left="3083"/>
        <w:spacing w:after="0"/>
        <w:rPr>
          <w:sz w:val="20"/>
          <w:szCs w:val="20"/>
          <w:color w:val="auto"/>
        </w:rPr>
      </w:pPr>
      <w:r>
        <w:rPr>
          <w:rFonts w:ascii="Arial" w:cs="Arial" w:eastAsia="Arial" w:hAnsi="Arial"/>
          <w:sz w:val="18"/>
          <w:szCs w:val="18"/>
          <w:color w:val="auto"/>
        </w:rPr>
        <w:t>[50% * 0% (Cost per Barrel)] + [50% * 160% (Cumulative VCI)]</w:t>
      </w:r>
    </w:p>
    <w:p>
      <w:pPr>
        <w:spacing w:after="0" w:line="204" w:lineRule="exact"/>
        <w:rPr>
          <w:sz w:val="20"/>
          <w:szCs w:val="20"/>
          <w:color w:val="auto"/>
        </w:rPr>
      </w:pPr>
    </w:p>
    <w:p>
      <w:pPr>
        <w:ind w:left="663" w:right="520" w:hanging="223"/>
        <w:spacing w:after="0" w:line="238" w:lineRule="auto"/>
        <w:rPr>
          <w:sz w:val="20"/>
          <w:szCs w:val="20"/>
          <w:color w:val="auto"/>
        </w:rPr>
      </w:pPr>
      <w:r>
        <w:rPr>
          <w:rFonts w:ascii="Arial" w:cs="Arial" w:eastAsia="Arial" w:hAnsi="Arial"/>
          <w:sz w:val="18"/>
          <w:szCs w:val="18"/>
          <w:color w:val="auto"/>
        </w:rPr>
        <w:t>The following amounts were certified and paid in 2020 to the NEOs under the terms of these 2017 Performance Incentive Awards:</w:t>
      </w:r>
    </w:p>
    <w:p>
      <w:pPr>
        <w:spacing w:after="0" w:line="186" w:lineRule="exact"/>
        <w:rPr>
          <w:sz w:val="20"/>
          <w:szCs w:val="20"/>
          <w:color w:val="auto"/>
        </w:rPr>
      </w:pPr>
    </w:p>
    <w:tbl>
      <w:tblPr>
        <w:tblLayout w:type="fixed"/>
        <w:tblInd w:w="1283" w:type="dxa"/>
        <w:tblCellMar>
          <w:top w:w="0" w:type="dxa"/>
          <w:left w:w="0" w:type="dxa"/>
          <w:bottom w:w="0" w:type="dxa"/>
          <w:right w:w="0" w:type="dxa"/>
        </w:tblCellMar>
      </w:tblPr>
      <w:tr>
        <w:trPr>
          <w:trHeight w:val="188"/>
        </w:trPr>
        <w:tc>
          <w:tcPr>
            <w:tcW w:w="2060" w:type="dxa"/>
            <w:vAlign w:val="bottom"/>
          </w:tcPr>
          <w:p>
            <w:pPr>
              <w:spacing w:after="0"/>
              <w:rPr>
                <w:sz w:val="20"/>
                <w:szCs w:val="20"/>
                <w:color w:val="auto"/>
              </w:rPr>
            </w:pPr>
            <w:r>
              <w:rPr>
                <w:rFonts w:ascii="Arial" w:cs="Arial" w:eastAsia="Arial" w:hAnsi="Arial"/>
                <w:sz w:val="14"/>
                <w:szCs w:val="14"/>
                <w:b w:val="1"/>
                <w:bCs w:val="1"/>
                <w:color w:val="0075C9"/>
              </w:rPr>
              <w:t>Name</w:t>
            </w: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0075C9"/>
              </w:rPr>
              <w:t>Target Incentive Amount</w:t>
            </w:r>
          </w:p>
        </w:tc>
        <w:tc>
          <w:tcPr>
            <w:tcW w:w="3000" w:type="dxa"/>
            <w:vAlign w:val="bottom"/>
            <w:vMerge w:val="restart"/>
          </w:tcPr>
          <w:p>
            <w:pPr>
              <w:ind w:left="420"/>
              <w:spacing w:after="0"/>
              <w:rPr>
                <w:sz w:val="20"/>
                <w:szCs w:val="20"/>
                <w:color w:val="auto"/>
              </w:rPr>
            </w:pPr>
            <w:r>
              <w:rPr>
                <w:rFonts w:ascii="Arial" w:cs="Arial" w:eastAsia="Arial" w:hAnsi="Arial"/>
                <w:sz w:val="14"/>
                <w:szCs w:val="14"/>
                <w:b w:val="1"/>
                <w:bCs w:val="1"/>
                <w:color w:val="0075C9"/>
              </w:rPr>
              <w:t>Earned Incentive Amount Paid</w:t>
            </w:r>
          </w:p>
        </w:tc>
        <w:tc>
          <w:tcPr>
            <w:tcW w:w="0" w:type="dxa"/>
            <w:vAlign w:val="bottom"/>
          </w:tcPr>
          <w:p>
            <w:pPr>
              <w:spacing w:after="0"/>
              <w:rPr>
                <w:sz w:val="1"/>
                <w:szCs w:val="1"/>
                <w:color w:val="auto"/>
              </w:rPr>
            </w:pPr>
          </w:p>
        </w:tc>
      </w:tr>
      <w:tr>
        <w:trPr>
          <w:trHeight w:val="38"/>
        </w:trPr>
        <w:tc>
          <w:tcPr>
            <w:tcW w:w="2060" w:type="dxa"/>
            <w:vAlign w:val="bottom"/>
            <w:tcBorders>
              <w:bottom w:val="single" w:sz="8" w:color="0070C0"/>
            </w:tcBorders>
          </w:tcPr>
          <w:p>
            <w:pPr>
              <w:spacing w:after="0"/>
              <w:rPr>
                <w:sz w:val="3"/>
                <w:szCs w:val="3"/>
                <w:color w:val="auto"/>
              </w:rPr>
            </w:pPr>
          </w:p>
        </w:tc>
        <w:tc>
          <w:tcPr>
            <w:tcW w:w="2800" w:type="dxa"/>
            <w:vAlign w:val="bottom"/>
            <w:tcBorders>
              <w:bottom w:val="single" w:sz="8" w:color="0070C0"/>
            </w:tcBorders>
            <w:vMerge w:val="continue"/>
          </w:tcPr>
          <w:p>
            <w:pPr>
              <w:spacing w:after="0"/>
              <w:rPr>
                <w:sz w:val="3"/>
                <w:szCs w:val="3"/>
                <w:color w:val="auto"/>
              </w:rPr>
            </w:pPr>
          </w:p>
        </w:tc>
        <w:tc>
          <w:tcPr>
            <w:tcW w:w="3000" w:type="dxa"/>
            <w:vAlign w:val="bottom"/>
            <w:tcBorders>
              <w:bottom w:val="single" w:sz="8" w:color="0070C0"/>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Todd A. Stevens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$2,400,000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236"/>
        </w:trPr>
        <w:tc>
          <w:tcPr>
            <w:tcW w:w="2060" w:type="dxa"/>
            <w:vAlign w:val="bottom"/>
            <w:shd w:val="clear" w:color="auto" w:fill="EBEBEC"/>
          </w:tcPr>
          <w:p>
            <w:pPr>
              <w:spacing w:after="0" w:line="236" w:lineRule="exact"/>
              <w:rPr>
                <w:sz w:val="20"/>
                <w:szCs w:val="20"/>
                <w:color w:val="auto"/>
              </w:rPr>
            </w:pPr>
            <w:r>
              <w:rPr>
                <w:rFonts w:ascii="Arial" w:cs="Arial" w:eastAsia="Arial" w:hAnsi="Arial"/>
                <w:sz w:val="14"/>
                <w:szCs w:val="14"/>
                <w:b w:val="1"/>
                <w:bCs w:val="1"/>
                <w:color w:val="0075C9"/>
              </w:rPr>
              <w:t>Francisco J. Leon</w:t>
            </w:r>
            <w:r>
              <w:rPr>
                <w:rFonts w:ascii="Arial" w:cs="Arial" w:eastAsia="Arial" w:hAnsi="Arial"/>
                <w:sz w:val="24"/>
                <w:szCs w:val="24"/>
                <w:b w:val="1"/>
                <w:bCs w:val="1"/>
                <w:color w:val="0075C9"/>
                <w:vertAlign w:val="superscript"/>
              </w:rPr>
              <w:t>(1)</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$200,000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188"/>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Marshall D. Smith</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$950,000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$760,000</w:t>
            </w:r>
          </w:p>
        </w:tc>
        <w:tc>
          <w:tcPr>
            <w:tcW w:w="0" w:type="dxa"/>
            <w:vAlign w:val="bottom"/>
          </w:tcPr>
          <w:p>
            <w:pPr>
              <w:spacing w:after="0"/>
              <w:rPr>
                <w:sz w:val="1"/>
                <w:szCs w:val="1"/>
                <w:color w:val="auto"/>
              </w:rPr>
            </w:pPr>
          </w:p>
        </w:tc>
      </w:tr>
      <w:tr>
        <w:trPr>
          <w:trHeight w:val="212"/>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Charles F. Weiss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$550,000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c>
          <w:tcPr>
            <w:tcW w:w="0" w:type="dxa"/>
            <w:vAlign w:val="bottom"/>
          </w:tcPr>
          <w:p>
            <w:pPr>
              <w:spacing w:after="0"/>
              <w:rPr>
                <w:sz w:val="1"/>
                <w:szCs w:val="1"/>
                <w:color w:val="auto"/>
              </w:rPr>
            </w:pPr>
          </w:p>
        </w:tc>
      </w:tr>
      <w:tr>
        <w:trPr>
          <w:trHeight w:val="225"/>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Shawn M. Kerns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$350,000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$280,000</w:t>
            </w:r>
          </w:p>
        </w:tc>
        <w:tc>
          <w:tcPr>
            <w:tcW w:w="0" w:type="dxa"/>
            <w:vAlign w:val="bottom"/>
          </w:tcPr>
          <w:p>
            <w:pPr>
              <w:spacing w:after="0"/>
              <w:rPr>
                <w:sz w:val="1"/>
                <w:szCs w:val="1"/>
                <w:color w:val="auto"/>
              </w:rPr>
            </w:pPr>
          </w:p>
        </w:tc>
      </w:tr>
      <w:tr>
        <w:trPr>
          <w:trHeight w:val="212"/>
        </w:trPr>
        <w:tc>
          <w:tcPr>
            <w:tcW w:w="206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Darren Williams</w:t>
            </w:r>
          </w:p>
        </w:tc>
        <w:tc>
          <w:tcPr>
            <w:tcW w:w="28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30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4"/>
        </w:trPr>
        <w:tc>
          <w:tcPr>
            <w:tcW w:w="2060" w:type="dxa"/>
            <w:vAlign w:val="bottom"/>
            <w:shd w:val="clear" w:color="auto" w:fill="EBEBEC"/>
          </w:tcPr>
          <w:p>
            <w:pPr>
              <w:spacing w:after="0"/>
              <w:rPr>
                <w:sz w:val="2"/>
                <w:szCs w:val="2"/>
                <w:color w:val="auto"/>
              </w:rPr>
            </w:pPr>
          </w:p>
        </w:tc>
        <w:tc>
          <w:tcPr>
            <w:tcW w:w="2800" w:type="dxa"/>
            <w:vAlign w:val="bottom"/>
            <w:shd w:val="clear" w:color="auto" w:fill="EBEBEC"/>
          </w:tcPr>
          <w:p>
            <w:pPr>
              <w:spacing w:after="0"/>
              <w:rPr>
                <w:sz w:val="2"/>
                <w:szCs w:val="2"/>
                <w:color w:val="auto"/>
              </w:rPr>
            </w:pPr>
          </w:p>
        </w:tc>
        <w:tc>
          <w:tcPr>
            <w:tcW w:w="3000" w:type="dxa"/>
            <w:vAlign w:val="bottom"/>
            <w:shd w:val="clear" w:color="auto" w:fill="EBEB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-823595</wp:posOffset>
            </wp:positionV>
            <wp:extent cx="4989195" cy="8331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89195" cy="833120"/>
                    </a:xfrm>
                    <a:prstGeom prst="rect">
                      <a:avLst/>
                    </a:prstGeom>
                    <a:noFill/>
                  </pic:spPr>
                </pic:pic>
              </a:graphicData>
            </a:graphic>
          </wp:anchor>
        </w:drawing>
      </w:r>
    </w:p>
    <w:p>
      <w:pPr>
        <w:spacing w:after="0" w:line="199" w:lineRule="exact"/>
        <w:rPr>
          <w:sz w:val="20"/>
          <w:szCs w:val="20"/>
          <w:color w:val="auto"/>
        </w:rPr>
      </w:pPr>
    </w:p>
    <w:p>
      <w:pPr>
        <w:ind w:left="403" w:right="120" w:hanging="403"/>
        <w:spacing w:after="0" w:line="247" w:lineRule="auto"/>
        <w:tabs>
          <w:tab w:leader="none" w:pos="403" w:val="left"/>
        </w:tabs>
        <w:numPr>
          <w:ilvl w:val="0"/>
          <w:numId w:val="23"/>
        </w:numPr>
        <w:rPr>
          <w:rFonts w:ascii="Arial" w:cs="Arial" w:eastAsia="Arial" w:hAnsi="Arial"/>
          <w:sz w:val="12"/>
          <w:szCs w:val="12"/>
          <w:color w:val="auto"/>
        </w:rPr>
      </w:pPr>
      <w:r>
        <w:rPr>
          <w:rFonts w:ascii="Arial" w:cs="Arial" w:eastAsia="Arial" w:hAnsi="Arial"/>
          <w:sz w:val="12"/>
          <w:szCs w:val="12"/>
          <w:color w:val="auto"/>
        </w:rPr>
        <w:t>Mr. Leon’s form of award provided for a minimum payout of 50% on both performance measures, resulting in a total payout of 105% of target, calculated as [50% * 50% (Cost per Barrel)] + [50% * 160% (Cumulative VCI)].</w:t>
      </w:r>
    </w:p>
    <w:p>
      <w:pPr>
        <w:spacing w:after="0" w:line="19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50165</wp:posOffset>
            </wp:positionV>
            <wp:extent cx="717677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823"/>
          </w:cols>
          <w:pgMar w:left="737" w:top="382" w:right="339" w:bottom="1440" w:gutter="0" w:footer="0" w:header="0"/>
        </w:sectPr>
      </w:pPr>
    </w:p>
    <w:bookmarkStart w:id="45" w:name="page46"/>
    <w:bookmarkEnd w:id="45"/>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2020 year.</w:t>
      </w:r>
    </w:p>
    <w:p>
      <w:pPr>
        <w:spacing w:after="0" w:line="17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7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Substantially all employees, including our NEOs, whose participation in our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contribution 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19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200"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17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all of our NEOs. All account balances under the SRP II were fully vested at all times and are credited with interest on a monthly basis based on the yield on five -year U.S. Treasury Constant Maturities plus 2% converted to a monthly allocation factor. No additional allocations were made under the SRP II other than the crediting of interest.</w:t>
      </w:r>
    </w:p>
    <w:p>
      <w:pPr>
        <w:spacing w:after="0" w:line="20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7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 Under the DCP, participants were able to elect to defer a portion of their base salary and annual bonus for a given year. For the year of deferral, we allocated an additional amount to a participant’s account equal to the sum of 7% (which is immediately vested) and 12%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 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9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6" w:name="page47"/>
    <w:bookmarkEnd w:id="46"/>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ind w:right="200"/>
        <w:spacing w:after="0"/>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employees. In addition, for executives, including the NEOs, we paid for an annual comprehensive physical examination. We provided all employees with life insurance equal to twice the employee’s base salary. We also provided executives, including the NEOs, with excess liability insurance coverage.</w:t>
      </w:r>
    </w:p>
    <w:p>
      <w:pPr>
        <w:spacing w:after="0" w:line="17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 We adopted a notice and severance pay plan in May 2020 that, in connection with a qualifying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that is not due to a change in control, provides for 12 – 24 months (or 18 – 30 months if termination is due to a change in control) of base salary and target annual incentive and other insurance coverage, depending on the executive level of the NEO.</w:t>
      </w:r>
    </w:p>
    <w:p>
      <w:pPr>
        <w:spacing w:after="0" w:line="8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This plan replaced a previous executive severance plan with the same level of benefits that was initially adopted by the Former Board in March 2020. Beginning in February 2019, the Former Compensation Committee began a review of the existing severance benefits for executives with Meridian. Following the review, the Former Compensation Committee recommended that the Former Board adopt a new Executive Severance Plan in order to:</w:t>
      </w:r>
    </w:p>
    <w:p>
      <w:pPr>
        <w:spacing w:after="0" w:line="200" w:lineRule="exact"/>
        <w:rPr>
          <w:sz w:val="20"/>
          <w:szCs w:val="20"/>
          <w:color w:val="auto"/>
        </w:rPr>
      </w:pPr>
    </w:p>
    <w:p>
      <w:pPr>
        <w:ind w:left="1240" w:right="200" w:hanging="413"/>
        <w:spacing w:after="0" w:line="238"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and retain executives by providing an appropriate level of financial protection against involuntary job loss through the provisions of post-termination benefits</w:t>
      </w:r>
    </w:p>
    <w:p>
      <w:pPr>
        <w:spacing w:after="0" w:line="198" w:lineRule="exact"/>
        <w:rPr>
          <w:rFonts w:ascii="Arial" w:cs="Arial" w:eastAsia="Arial" w:hAnsi="Arial"/>
          <w:sz w:val="18"/>
          <w:szCs w:val="18"/>
          <w:color w:val="auto"/>
        </w:rPr>
      </w:pPr>
    </w:p>
    <w:p>
      <w:pPr>
        <w:ind w:left="1240" w:right="80" w:hanging="413"/>
        <w:spacing w:after="0" w:line="238"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 executives through turbulent times and during corporate transaction activity that may create employment and other uncertainty</w:t>
      </w:r>
    </w:p>
    <w:p>
      <w:pPr>
        <w:spacing w:after="0" w:line="198" w:lineRule="exact"/>
        <w:rPr>
          <w:rFonts w:ascii="Arial" w:cs="Arial" w:eastAsia="Arial" w:hAnsi="Arial"/>
          <w:sz w:val="18"/>
          <w:szCs w:val="18"/>
          <w:color w:val="auto"/>
        </w:rPr>
      </w:pPr>
    </w:p>
    <w:p>
      <w:pPr>
        <w:ind w:left="1240" w:hanging="413"/>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Secure restrictive covenants such as non-compete and non-solicitation following an executive’s termination of employment</w:t>
      </w:r>
    </w:p>
    <w:p>
      <w:pPr>
        <w:spacing w:after="0" w:line="217" w:lineRule="exact"/>
        <w:rPr>
          <w:rFonts w:ascii="Arial" w:cs="Arial" w:eastAsia="Arial" w:hAnsi="Arial"/>
          <w:sz w:val="18"/>
          <w:szCs w:val="18"/>
          <w:color w:val="auto"/>
        </w:rPr>
      </w:pPr>
    </w:p>
    <w:p>
      <w:pPr>
        <w:ind w:left="1240" w:hanging="413"/>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 individual negotiations, with possible disparate treatment of terminating executives</w:t>
      </w:r>
    </w:p>
    <w:p>
      <w:pPr>
        <w:spacing w:after="0" w:line="217" w:lineRule="exact"/>
        <w:rPr>
          <w:rFonts w:ascii="Arial" w:cs="Arial" w:eastAsia="Arial" w:hAnsi="Arial"/>
          <w:sz w:val="18"/>
          <w:szCs w:val="18"/>
          <w:color w:val="auto"/>
        </w:rPr>
      </w:pPr>
    </w:p>
    <w:p>
      <w:pPr>
        <w:ind w:left="1240" w:right="100" w:hanging="413"/>
        <w:spacing w:after="0" w:line="238"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Keep executives focused on pursuing all corporate transaction opportunities that are in the best interests of shareholders, regardless of whether those transactions may result in their own job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adopted the California Resources Corporation 2014 Employee Stock Purchase Plan (the</w:t>
      </w:r>
    </w:p>
    <w:p>
      <w:pPr>
        <w:spacing w:after="0" w:line="14"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ESPP</w:t>
      </w:r>
      <w:r>
        <w:rPr>
          <w:rFonts w:ascii="Arial" w:cs="Arial" w:eastAsia="Arial" w:hAnsi="Arial"/>
          <w:sz w:val="18"/>
          <w:szCs w:val="18"/>
          <w:color w:val="auto"/>
        </w:rPr>
        <w:t>”), effective January 1, 2015, which provided our employees (including our NEOs) the ability to purchase shares of our common stock at a price equal to 85% of the closing price of a share of our common stock as of either the first day of each offering period or the last day of each offering period, whichever amount was less.</w:t>
      </w:r>
    </w:p>
    <w:p>
      <w:pPr>
        <w:spacing w:after="0" w:line="20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maximum number of shares of our common stock authorized to be issued pursuant to the ESPP was 1.5 million, subject to adjustment pursuant to the terms of the ESPP. In addition, participants in the ESPP were subject to certain limits on the number of shares that could be purchased in any given year and during any given offering period (a calendar quarter) under the ESPP.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May 2020, our former Board of Directors terminated the ESPP, with no additional shares to be issued after March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Corporate Aircraft Use </w:t>
      </w:r>
      <w:r>
        <w:rPr>
          <w:rFonts w:ascii="Arial" w:cs="Arial" w:eastAsia="Arial" w:hAnsi="Arial"/>
          <w:sz w:val="18"/>
          <w:szCs w:val="18"/>
          <w:color w:val="auto"/>
        </w:rPr>
        <w:t>– Executives and directors could use the Company’s fractional interest in aircraft for personal travel, if space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The executives and directors reimbursed CRC for personal use of the Company’s fractional interest in aircraft, including any guests accompanying them, at not less than the standard industry fare level rate (which is determined annually by the IRS), or income was imputed and the executive or director was reimbursed for related taxes.</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7" w:name="page48"/>
    <w:bookmarkEnd w:id="47"/>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Objectives and Process</w:t>
      </w:r>
    </w:p>
    <w:p>
      <w:pPr>
        <w:spacing w:after="0" w:line="10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98" w:lineRule="exact"/>
        <w:rPr>
          <w:sz w:val="20"/>
          <w:szCs w:val="20"/>
          <w:color w:val="auto"/>
        </w:rPr>
      </w:pPr>
    </w:p>
    <w:p>
      <w:pPr>
        <w:ind w:left="580" w:right="120" w:hanging="349"/>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92" w:lineRule="exact"/>
        <w:rPr>
          <w:rFonts w:ascii="Arial" w:cs="Arial" w:eastAsia="Arial" w:hAnsi="Arial"/>
          <w:sz w:val="18"/>
          <w:szCs w:val="18"/>
          <w:color w:val="auto"/>
        </w:rPr>
      </w:pPr>
    </w:p>
    <w:p>
      <w:pPr>
        <w:ind w:left="580" w:right="760" w:hanging="349"/>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92" w:lineRule="exact"/>
        <w:rPr>
          <w:rFonts w:ascii="Arial" w:cs="Arial" w:eastAsia="Arial" w:hAnsi="Arial"/>
          <w:sz w:val="18"/>
          <w:szCs w:val="18"/>
          <w:color w:val="auto"/>
        </w:rPr>
      </w:pPr>
    </w:p>
    <w:p>
      <w:pPr>
        <w:ind w:left="580" w:right="120" w:hanging="349"/>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92" w:lineRule="exact"/>
        <w:rPr>
          <w:rFonts w:ascii="Arial" w:cs="Arial" w:eastAsia="Arial" w:hAnsi="Arial"/>
          <w:sz w:val="18"/>
          <w:szCs w:val="18"/>
          <w:color w:val="auto"/>
        </w:rPr>
      </w:pPr>
    </w:p>
    <w:p>
      <w:pPr>
        <w:ind w:left="580" w:right="680" w:hanging="349"/>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executive and stockholder interests by focusing our executives on balancing short- and long-term performance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a highly engaged Compensation Committee. Our short-term and long-term incentive plans are primarily performance-based and are intended to align with the short- and long-term best interests of stockholders. The New Compensation Committee has engaged in best practices to further align executive pay with Company performance and to ensure good governance in the following ways:</w:t>
      </w: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8" w:name="page49"/>
    <w:bookmarkEnd w:id="48"/>
    <w:p>
      <w:pPr>
        <w:ind w:left="79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130175</wp:posOffset>
            </wp:positionV>
            <wp:extent cx="5469255" cy="5737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69255" cy="573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160"/>
        <w:spacing w:after="0"/>
        <w:tabs>
          <w:tab w:leader="none" w:pos="99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50165</wp:posOffset>
            </wp:positionV>
            <wp:extent cx="71767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0120"/>
          </w:cols>
          <w:pgMar w:left="1440" w:top="382" w:right="339" w:bottom="1440" w:gutter="0" w:footer="0" w:header="0"/>
        </w:sectPr>
      </w:pPr>
    </w:p>
    <w:bookmarkStart w:id="49" w:name="page50"/>
    <w:bookmarkEnd w:id="49"/>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Chairman, CEO and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2020, the Former Compensation Committee held one executive session and the New Compensation Committee held one executive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Former Compensation Committee retained Meridian Compensation Partners (“</w:t>
      </w:r>
      <w:r>
        <w:rPr>
          <w:rFonts w:ascii="Arial" w:cs="Arial" w:eastAsia="Arial" w:hAnsi="Arial"/>
          <w:sz w:val="18"/>
          <w:szCs w:val="18"/>
          <w:b w:val="1"/>
          <w:bCs w:val="1"/>
          <w:color w:val="auto"/>
        </w:rPr>
        <w:t>Meridian</w:t>
      </w:r>
      <w:r>
        <w:rPr>
          <w:rFonts w:ascii="Arial" w:cs="Arial" w:eastAsia="Arial" w:hAnsi="Arial"/>
          <w:sz w:val="18"/>
          <w:szCs w:val="18"/>
          <w:color w:val="auto"/>
        </w:rPr>
        <w:t>”) as its independent compensation consultant in January 2015, after considering all factors relevant to Meridian’s independence from our management and members of our Former Compensation Committee and determining that it was independent and without conflicts of interest under the Securities and Exchange Commission rules and the NYSE Listed Company Manual standards.</w:t>
      </w:r>
    </w:p>
    <w:p>
      <w:pPr>
        <w:spacing w:after="0" w:line="20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2020, Meridian was responsible for reviewing our executive compensation program, assisting in the design of our original 2020 annual and long-term incentive programs and providing comparative market data and trends on compensation practices and programs based on an analysis of our peer companies and other factors. Representatives of Meridian participated in three meetings of the Former Compensation Committee during 2020 through October 2020, including an executive session without management. Meridian provided no other services to CRC.</w:t>
      </w:r>
    </w:p>
    <w:p>
      <w:pPr>
        <w:spacing w:after="0" w:line="17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March 2020, the Former Compensation Committee engaged Alvarez &amp; Marsal North America, LLC (“</w:t>
      </w:r>
      <w:r>
        <w:rPr>
          <w:rFonts w:ascii="Arial" w:cs="Arial" w:eastAsia="Arial" w:hAnsi="Arial"/>
          <w:sz w:val="18"/>
          <w:szCs w:val="18"/>
          <w:b w:val="1"/>
          <w:bCs w:val="1"/>
          <w:color w:val="auto"/>
        </w:rPr>
        <w:t>A&amp;M</w:t>
      </w:r>
      <w:r>
        <w:rPr>
          <w:rFonts w:ascii="Arial" w:cs="Arial" w:eastAsia="Arial" w:hAnsi="Arial"/>
          <w:sz w:val="18"/>
          <w:szCs w:val="18"/>
          <w:color w:val="auto"/>
        </w:rPr>
        <w:t>”) to advise them regarding the Revised 2020 Compensation Program.</w:t>
      </w:r>
    </w:p>
    <w:p>
      <w:pPr>
        <w:spacing w:after="0" w:line="15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New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New Compensation Committee and determining that it was independent and without conflicts of interest under the Securities and Exchange Commission rules and the NYSE Listed Company Manual standards. LB&amp;Co advised the New Compensation Committee beginning immediately following our emergence from bankruptcy.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6"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Over the course of 2020, our Former and New Compensation Committees analyzed the comparative total compensation of our executive officers. To facilitate this analysis, Meridian and LB&amp;Co, respectively, provided the Former and New Compensation Committees, respectively, with comparative Peer Group compensation data that included base salaries, annual incentive opportunities, and long-term incentive opportunities. This information reflected recent publicly available information and other market data. We believe that it provided both our Former and New Compensation Committees with a sufficient basis to analyze the comparative total compensation of our executive officers.</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0" w:name="page51"/>
    <w:bookmarkEnd w:id="50"/>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Historically, we have regularly requested meetings with several of our stockholders to discuss our governance and executive compensation practices. Due to our restructuring in 2020, we did not do our typical outreach. We received positive feedback on our corporate governance and compensation practices as part of our 2019 stockholder outreach initiative, in particular with regards to the changes we made to our compensation program in 2019, which carried through to our Original 2020 Compensation Program:</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5700" w:type="dxa"/>
            <w:vAlign w:val="bottom"/>
            <w:shd w:val="clear" w:color="auto" w:fill="4F81BD"/>
          </w:tcPr>
          <w:p>
            <w:pPr>
              <w:ind w:left="1960"/>
              <w:spacing w:after="0"/>
              <w:rPr>
                <w:sz w:val="20"/>
                <w:szCs w:val="20"/>
                <w:color w:val="auto"/>
              </w:rPr>
            </w:pPr>
            <w:r>
              <w:rPr>
                <w:rFonts w:ascii="Arial" w:cs="Arial" w:eastAsia="Arial" w:hAnsi="Arial"/>
                <w:sz w:val="19"/>
                <w:szCs w:val="19"/>
                <w:b w:val="1"/>
                <w:bCs w:val="1"/>
                <w:color w:val="FFFFFF"/>
              </w:rPr>
              <w:t>WHAT WE HEARD</w:t>
            </w:r>
          </w:p>
        </w:tc>
        <w:tc>
          <w:tcPr>
            <w:tcW w:w="5540" w:type="dxa"/>
            <w:vAlign w:val="bottom"/>
            <w:shd w:val="clear" w:color="auto" w:fill="4F81BD"/>
          </w:tcPr>
          <w:p>
            <w:pPr>
              <w:ind w:left="2060"/>
              <w:spacing w:after="0"/>
              <w:rPr>
                <w:sz w:val="20"/>
                <w:szCs w:val="20"/>
                <w:color w:val="auto"/>
              </w:rPr>
            </w:pPr>
            <w:r>
              <w:rPr>
                <w:rFonts w:ascii="Arial" w:cs="Arial" w:eastAsia="Arial" w:hAnsi="Arial"/>
                <w:sz w:val="19"/>
                <w:szCs w:val="19"/>
                <w:b w:val="1"/>
                <w:bCs w:val="1"/>
                <w:color w:val="FFFFFF"/>
              </w:rPr>
              <w:t>WHAT WE DID</w:t>
            </w:r>
          </w:p>
        </w:tc>
      </w:tr>
      <w:tr>
        <w:trPr>
          <w:trHeight w:val="61"/>
        </w:trPr>
        <w:tc>
          <w:tcPr>
            <w:tcW w:w="5700" w:type="dxa"/>
            <w:vAlign w:val="bottom"/>
            <w:shd w:val="clear" w:color="auto" w:fill="4F81BD"/>
          </w:tcPr>
          <w:p>
            <w:pPr>
              <w:spacing w:after="0"/>
              <w:rPr>
                <w:sz w:val="5"/>
                <w:szCs w:val="5"/>
                <w:color w:val="auto"/>
              </w:rPr>
            </w:pPr>
          </w:p>
        </w:tc>
        <w:tc>
          <w:tcPr>
            <w:tcW w:w="5540" w:type="dxa"/>
            <w:vAlign w:val="bottom"/>
            <w:shd w:val="clear" w:color="auto" w:fill="4F81BD"/>
          </w:tcPr>
          <w:p>
            <w:pPr>
              <w:spacing w:after="0"/>
              <w:rPr>
                <w:sz w:val="5"/>
                <w:szCs w:val="5"/>
                <w:color w:val="auto"/>
              </w:rPr>
            </w:pPr>
          </w:p>
        </w:tc>
      </w:tr>
      <w:tr>
        <w:trPr>
          <w:trHeight w:val="423"/>
        </w:trPr>
        <w:tc>
          <w:tcPr>
            <w:tcW w:w="5700" w:type="dxa"/>
            <w:vAlign w:val="bottom"/>
          </w:tcPr>
          <w:p>
            <w:pPr>
              <w:ind w:left="32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like to see significant proportion of executive</w:t>
            </w:r>
          </w:p>
        </w:tc>
        <w:tc>
          <w:tcPr>
            <w:tcW w:w="5540" w:type="dxa"/>
            <w:vAlign w:val="bottom"/>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Further aligned performance award by changing metrics to</w:t>
            </w:r>
          </w:p>
        </w:tc>
      </w:tr>
      <w:tr>
        <w:trPr>
          <w:trHeight w:val="212"/>
        </w:trPr>
        <w:tc>
          <w:tcPr>
            <w:tcW w:w="5700" w:type="dxa"/>
            <w:vAlign w:val="bottom"/>
          </w:tcPr>
          <w:p>
            <w:pPr>
              <w:ind w:left="640"/>
              <w:spacing w:after="0"/>
              <w:rPr>
                <w:sz w:val="20"/>
                <w:szCs w:val="20"/>
                <w:color w:val="auto"/>
              </w:rPr>
            </w:pPr>
            <w:r>
              <w:rPr>
                <w:rFonts w:ascii="Arial" w:cs="Arial" w:eastAsia="Arial" w:hAnsi="Arial"/>
                <w:sz w:val="18"/>
                <w:szCs w:val="18"/>
                <w:color w:val="auto"/>
              </w:rPr>
              <w:t>compensation aligned with stockholders</w:t>
            </w:r>
          </w:p>
        </w:tc>
        <w:tc>
          <w:tcPr>
            <w:tcW w:w="5540" w:type="dxa"/>
            <w:vAlign w:val="bottom"/>
          </w:tcPr>
          <w:p>
            <w:pPr>
              <w:ind w:left="580"/>
              <w:spacing w:after="0"/>
              <w:rPr>
                <w:sz w:val="20"/>
                <w:szCs w:val="20"/>
                <w:color w:val="auto"/>
              </w:rPr>
            </w:pPr>
            <w:r>
              <w:rPr>
                <w:rFonts w:ascii="Arial" w:cs="Arial" w:eastAsia="Arial" w:hAnsi="Arial"/>
                <w:sz w:val="18"/>
                <w:szCs w:val="18"/>
                <w:color w:val="auto"/>
              </w:rPr>
              <w:t>include relative total shareholder return</w:t>
            </w:r>
          </w:p>
        </w:tc>
      </w:tr>
      <w:tr>
        <w:trPr>
          <w:trHeight w:val="411"/>
        </w:trPr>
        <w:tc>
          <w:tcPr>
            <w:tcW w:w="5700" w:type="dxa"/>
            <w:vAlign w:val="bottom"/>
          </w:tcPr>
          <w:p>
            <w:pPr>
              <w:ind w:left="32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would like to see greater proportion of annual</w:t>
            </w:r>
          </w:p>
        </w:tc>
        <w:tc>
          <w:tcPr>
            <w:tcW w:w="5540" w:type="dxa"/>
            <w:vAlign w:val="bottom"/>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Reduced the number of metrics under the annual incentive</w:t>
            </w:r>
          </w:p>
        </w:tc>
      </w:tr>
      <w:tr>
        <w:trPr>
          <w:trHeight w:val="212"/>
        </w:trPr>
        <w:tc>
          <w:tcPr>
            <w:tcW w:w="5700" w:type="dxa"/>
            <w:vAlign w:val="bottom"/>
          </w:tcPr>
          <w:p>
            <w:pPr>
              <w:ind w:left="640"/>
              <w:spacing w:after="0"/>
              <w:rPr>
                <w:sz w:val="20"/>
                <w:szCs w:val="20"/>
                <w:color w:val="auto"/>
              </w:rPr>
            </w:pPr>
            <w:r>
              <w:rPr>
                <w:rFonts w:ascii="Arial" w:cs="Arial" w:eastAsia="Arial" w:hAnsi="Arial"/>
                <w:sz w:val="18"/>
                <w:szCs w:val="18"/>
                <w:color w:val="auto"/>
              </w:rPr>
              <w:t>incentive based on quantitative measures</w:t>
            </w:r>
          </w:p>
        </w:tc>
        <w:tc>
          <w:tcPr>
            <w:tcW w:w="5540" w:type="dxa"/>
            <w:vAlign w:val="bottom"/>
          </w:tcPr>
          <w:p>
            <w:pPr>
              <w:ind w:left="580"/>
              <w:spacing w:after="0"/>
              <w:rPr>
                <w:sz w:val="20"/>
                <w:szCs w:val="20"/>
                <w:color w:val="auto"/>
              </w:rPr>
            </w:pPr>
            <w:r>
              <w:rPr>
                <w:rFonts w:ascii="Arial" w:cs="Arial" w:eastAsia="Arial" w:hAnsi="Arial"/>
                <w:sz w:val="18"/>
                <w:szCs w:val="18"/>
                <w:color w:val="auto"/>
              </w:rPr>
              <w:t>to provide greater focus on key objectives</w:t>
            </w:r>
          </w:p>
        </w:tc>
      </w:tr>
      <w:tr>
        <w:trPr>
          <w:trHeight w:val="411"/>
        </w:trPr>
        <w:tc>
          <w:tcPr>
            <w:tcW w:w="5700" w:type="dxa"/>
            <w:vAlign w:val="bottom"/>
          </w:tcPr>
          <w:p>
            <w:pPr>
              <w:ind w:left="32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like to see more detailed disclosure regarding</w:t>
            </w:r>
          </w:p>
        </w:tc>
        <w:tc>
          <w:tcPr>
            <w:tcW w:w="5540" w:type="dxa"/>
            <w:vAlign w:val="bottom"/>
          </w:tcPr>
          <w:p>
            <w:pPr>
              <w:ind w:left="26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Provided more detailed disclosure regarding payouts under</w:t>
            </w:r>
          </w:p>
        </w:tc>
      </w:tr>
      <w:tr>
        <w:trPr>
          <w:trHeight w:val="199"/>
        </w:trPr>
        <w:tc>
          <w:tcPr>
            <w:tcW w:w="5700" w:type="dxa"/>
            <w:vAlign w:val="bottom"/>
          </w:tcPr>
          <w:p>
            <w:pPr>
              <w:ind w:left="640"/>
              <w:spacing w:after="0" w:line="199" w:lineRule="exact"/>
              <w:rPr>
                <w:sz w:val="20"/>
                <w:szCs w:val="20"/>
                <w:color w:val="auto"/>
              </w:rPr>
            </w:pPr>
            <w:r>
              <w:rPr>
                <w:rFonts w:ascii="Arial" w:cs="Arial" w:eastAsia="Arial" w:hAnsi="Arial"/>
                <w:sz w:val="18"/>
                <w:szCs w:val="18"/>
                <w:color w:val="auto"/>
              </w:rPr>
              <w:t>annual incentive payouts</w:t>
            </w:r>
          </w:p>
        </w:tc>
        <w:tc>
          <w:tcPr>
            <w:tcW w:w="5540" w:type="dxa"/>
            <w:vAlign w:val="bottom"/>
          </w:tcPr>
          <w:p>
            <w:pPr>
              <w:ind w:left="580"/>
              <w:spacing w:after="0" w:line="199" w:lineRule="exact"/>
              <w:rPr>
                <w:sz w:val="20"/>
                <w:szCs w:val="20"/>
                <w:color w:val="auto"/>
              </w:rPr>
            </w:pPr>
            <w:r>
              <w:rPr>
                <w:rFonts w:ascii="Arial" w:cs="Arial" w:eastAsia="Arial" w:hAnsi="Arial"/>
                <w:sz w:val="18"/>
                <w:szCs w:val="18"/>
                <w:color w:val="auto"/>
              </w:rPr>
              <w:t>the strategic and individual portion of our annual incentive</w:t>
            </w:r>
          </w:p>
        </w:tc>
      </w:tr>
      <w:tr>
        <w:trPr>
          <w:trHeight w:val="212"/>
        </w:trPr>
        <w:tc>
          <w:tcPr>
            <w:tcW w:w="5700" w:type="dxa"/>
            <w:vAlign w:val="bottom"/>
          </w:tcPr>
          <w:p>
            <w:pPr>
              <w:spacing w:after="0"/>
              <w:rPr>
                <w:sz w:val="18"/>
                <w:szCs w:val="18"/>
                <w:color w:val="auto"/>
              </w:rPr>
            </w:pPr>
          </w:p>
        </w:tc>
        <w:tc>
          <w:tcPr>
            <w:tcW w:w="5540" w:type="dxa"/>
            <w:vAlign w:val="bottom"/>
          </w:tcPr>
          <w:p>
            <w:pPr>
              <w:ind w:left="580"/>
              <w:spacing w:after="0"/>
              <w:rPr>
                <w:sz w:val="20"/>
                <w:szCs w:val="20"/>
                <w:color w:val="auto"/>
              </w:rPr>
            </w:pPr>
            <w:r>
              <w:rPr>
                <w:rFonts w:ascii="Arial" w:cs="Arial" w:eastAsia="Arial" w:hAnsi="Arial"/>
                <w:sz w:val="18"/>
                <w:szCs w:val="18"/>
                <w:color w:val="auto"/>
              </w:rPr>
              <w:t>beginning with the 2018 proxy statement</w:t>
            </w:r>
          </w:p>
        </w:tc>
      </w:tr>
    </w:tbl>
    <w:p>
      <w:pPr>
        <w:spacing w:after="0" w:line="199"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We will resume reaching out to stockholders to solicit feedback to ensure that our governance and executive compensation practices align with stockholders’ expectations.</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0075C9"/>
        </w:rPr>
        <w:t>Stockholder Approval of Executive Compensation</w:t>
      </w:r>
    </w:p>
    <w:p>
      <w:pPr>
        <w:spacing w:after="0" w:line="10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Our stockholder advisory vote in 2020 on the compensation paid to our NEOs in 2019, resulted in a 92% approval of such compensation. In adjusting our Original 2020 Compensation Program, the Former Compensation Committee considered the results of last year’s advisory vote on executive compensation and many other factors, including the Former Compensation Committee's assessment of the interaction of our compensation programs with our corporate business objectives, evaluations of our programs by Meridian, the Former Compensation Committee's independent compensation consultant, feedback from our stockholder outreach in late 2019 and review of data relating to pay practices of our compensation peer group.</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Our Revised 2020 Compensation Program was included in our Joint Plan of Reorganization and approved by the bankruptcy court.</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color w:val="0075C9"/>
        </w:rPr>
        <w:t>Other Compensation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CEO is six times annual base salary, and for the other NEOs, is three times annual base salary. Executives are expected to attain their required ownership levels within five years of assuming their senior executive role. Due to the cancellation of the Company’s stock upon emergence from bankruptcy in October 2020, executives will have five years from the emergence date to attain the minimum stock holdings.</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1" w:name="page52"/>
    <w:bookmarkEnd w:id="51"/>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26"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the Company has the right to require in certain circumstances, and to the extent permitted by applicable law, the reimbursement of incentive compensation by a named executive officer whose fraud or misconduct either caused or contributed to the need for such restatement. Such incentive compensation generally includes any cash, equity, equity-based or other award under our long-term incentive plan, or an annual bonus or annual incentive plan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26"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 taking and any potential risk that the executive compensation program could influence behavior that would be inconsistent with the overall interests of CRC and its stockholders is mitigated by several factors:</w:t>
      </w:r>
    </w:p>
    <w:p>
      <w:pPr>
        <w:spacing w:after="0" w:line="98" w:lineRule="exact"/>
        <w:rPr>
          <w:sz w:val="20"/>
          <w:szCs w:val="20"/>
          <w:color w:val="auto"/>
        </w:rPr>
      </w:pPr>
    </w:p>
    <w:p>
      <w:pPr>
        <w:ind w:left="580" w:right="440" w:hanging="349"/>
        <w:spacing w:after="0" w:line="23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92" w:lineRule="exact"/>
        <w:rPr>
          <w:rFonts w:ascii="Arial" w:cs="Arial" w:eastAsia="Arial" w:hAnsi="Arial"/>
          <w:sz w:val="18"/>
          <w:szCs w:val="18"/>
          <w:color w:val="auto"/>
        </w:rPr>
      </w:pPr>
    </w:p>
    <w:p>
      <w:pPr>
        <w:ind w:left="580" w:hanging="34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1" w:lineRule="exact"/>
        <w:rPr>
          <w:rFonts w:ascii="Arial" w:cs="Arial" w:eastAsia="Arial" w:hAnsi="Arial"/>
          <w:sz w:val="18"/>
          <w:szCs w:val="18"/>
          <w:color w:val="auto"/>
        </w:rPr>
      </w:pPr>
    </w:p>
    <w:p>
      <w:pPr>
        <w:ind w:left="580" w:right="40" w:hanging="349"/>
        <w:spacing w:after="0" w:line="23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performance metrics, such as relative total shareholder return, for a portion of the long-term performance-based incentive awards</w:t>
      </w:r>
    </w:p>
    <w:p>
      <w:pPr>
        <w:spacing w:after="0" w:line="92" w:lineRule="exact"/>
        <w:rPr>
          <w:rFonts w:ascii="Arial" w:cs="Arial" w:eastAsia="Arial" w:hAnsi="Arial"/>
          <w:sz w:val="18"/>
          <w:szCs w:val="18"/>
          <w:color w:val="auto"/>
        </w:rPr>
      </w:pPr>
    </w:p>
    <w:p>
      <w:pPr>
        <w:ind w:left="580" w:right="220" w:hanging="349"/>
        <w:spacing w:after="0" w:line="23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Forfeiture and clawback provisions for incentive award compensation in the event of a restatement of our financial statements or violation of CRC’s Code of Business Ethics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7134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2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Together with the Compensation Committee, the Company carefully reviews and takes into account current tax law and regulations as they relate to the design of our compensation programs and related decisions. Prior to the enactment of tax reform legislation signed into law on December 22, 2017, which was originally known as the Tax Cuts and Jobs Act (the “</w:t>
      </w:r>
      <w:r>
        <w:rPr>
          <w:rFonts w:ascii="Arial" w:cs="Arial" w:eastAsia="Arial" w:hAnsi="Arial"/>
          <w:sz w:val="18"/>
          <w:szCs w:val="18"/>
          <w:b w:val="1"/>
          <w:bCs w:val="1"/>
          <w:color w:val="auto"/>
        </w:rPr>
        <w:t>TCJA</w:t>
      </w:r>
      <w:r>
        <w:rPr>
          <w:rFonts w:ascii="Arial" w:cs="Arial" w:eastAsia="Arial" w:hAnsi="Arial"/>
          <w:sz w:val="18"/>
          <w:szCs w:val="18"/>
          <w:color w:val="auto"/>
        </w:rPr>
        <w:t>”), 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limited a company’s ability to deduct compensation paid in excess of $1 million during any fiscal year to each of certain NEOs, unless the compensation was performance-based as defined under federal tax laws. Subject to certain transitional rules, the TCJA has repealed the exemption for performance-based compensation from the deduction limitation of Section 162(m) of the Code for taxable years beginning after 2017. The Compensation Committee historically reviewed and considered the deductibility of our executive compensation programs; and provided compensation that was not fully deductible when necessary to retain and motivate certain executive officers and when it was in the best interest of the Company and our stockholders. To the extent compensatory awards are not covered by the transitional rules, the performance-based compensation exception to the deduction limitation under Section 162(m) of the Code will no longer be available to the Company and annual compensation paid to certain executives in excess of $1 million will not be deductible.</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2" w:name="page53"/>
    <w:bookmarkEnd w:id="52"/>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0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2021 Annual Meeting of Stockholders.</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Compensation Committee,</w:t>
      </w:r>
    </w:p>
    <w:p>
      <w:pPr>
        <w:spacing w:after="0" w:line="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James N. Chapman</w:t>
      </w:r>
    </w:p>
    <w:p>
      <w:pPr>
        <w:jc w:val="center"/>
        <w:spacing w:after="0" w:line="230" w:lineRule="auto"/>
        <w:rPr>
          <w:sz w:val="20"/>
          <w:szCs w:val="20"/>
          <w:color w:val="auto"/>
        </w:rPr>
      </w:pPr>
      <w:r>
        <w:rPr>
          <w:rFonts w:ascii="Arial" w:cs="Arial" w:eastAsia="Arial" w:hAnsi="Arial"/>
          <w:sz w:val="18"/>
          <w:szCs w:val="18"/>
          <w:color w:val="auto"/>
        </w:rPr>
        <w:t>William B. Roby</w:t>
      </w:r>
    </w:p>
    <w:p>
      <w:pPr>
        <w:jc w:val="center"/>
        <w:spacing w:after="0"/>
        <w:rPr>
          <w:sz w:val="20"/>
          <w:szCs w:val="20"/>
          <w:color w:val="auto"/>
        </w:rPr>
      </w:pPr>
      <w:r>
        <w:rPr>
          <w:rFonts w:ascii="Arial" w:cs="Arial" w:eastAsia="Arial" w:hAnsi="Arial"/>
          <w:sz w:val="18"/>
          <w:szCs w:val="18"/>
          <w:color w:val="auto"/>
        </w:rPr>
        <w:t>Brian Steck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9, 2021</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3" w:name="page54"/>
    <w:bookmarkEnd w:id="53"/>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78"/>
              <w:spacing w:after="0"/>
              <w:rPr>
                <w:sz w:val="20"/>
                <w:szCs w:val="20"/>
                <w:color w:val="auto"/>
              </w:rPr>
            </w:pPr>
            <w:r>
              <w:rPr>
                <w:rFonts w:ascii="Arial" w:cs="Arial" w:eastAsia="Arial" w:hAnsi="Arial"/>
                <w:sz w:val="12"/>
                <w:szCs w:val="12"/>
                <w:b w:val="1"/>
                <w:bCs w:val="1"/>
                <w:color w:val="0075C9"/>
                <w:w w:val="97"/>
              </w:rPr>
              <w:t>Total</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Excluding</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78"/>
              <w:spacing w:after="0"/>
              <w:rPr>
                <w:sz w:val="20"/>
                <w:szCs w:val="20"/>
                <w:color w:val="auto"/>
              </w:rPr>
            </w:pPr>
            <w:r>
              <w:rPr>
                <w:rFonts w:ascii="Arial" w:cs="Arial" w:eastAsia="Arial" w:hAnsi="Arial"/>
                <w:sz w:val="12"/>
                <w:szCs w:val="12"/>
                <w:b w:val="1"/>
                <w:bCs w:val="1"/>
                <w:color w:val="0075C9"/>
              </w:rPr>
              <w:t>Awards</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Granted and</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Forfeited</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2"/>
          </w:tcPr>
          <w:p>
            <w:pPr>
              <w:jc w:val="center"/>
              <w:ind w:right="18"/>
              <w:spacing w:after="0"/>
              <w:rPr>
                <w:sz w:val="20"/>
                <w:szCs w:val="20"/>
                <w:color w:val="auto"/>
              </w:rPr>
            </w:pPr>
            <w:r>
              <w:rPr>
                <w:rFonts w:ascii="Arial" w:cs="Arial" w:eastAsia="Arial" w:hAnsi="Arial"/>
                <w:sz w:val="12"/>
                <w:szCs w:val="12"/>
                <w:b w:val="1"/>
                <w:bCs w:val="1"/>
                <w:color w:val="0075C9"/>
              </w:rPr>
              <w:t>During Year,</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Payouts of</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b w:val="1"/>
                <w:bCs w:val="1"/>
                <w:color w:val="0075C9"/>
              </w:rPr>
              <w:t>Cash Awards</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Change in</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Granted in</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18"/>
              <w:spacing w:after="0"/>
              <w:rPr>
                <w:sz w:val="20"/>
                <w:szCs w:val="20"/>
                <w:color w:val="auto"/>
              </w:rPr>
            </w:pPr>
            <w:r>
              <w:rPr>
                <w:rFonts w:ascii="Arial" w:cs="Arial" w:eastAsia="Arial" w:hAnsi="Arial"/>
                <w:sz w:val="12"/>
                <w:szCs w:val="12"/>
                <w:b w:val="1"/>
                <w:bCs w:val="1"/>
                <w:color w:val="0075C9"/>
              </w:rPr>
              <w:t>Pension</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Prior Years</w:t>
            </w:r>
          </w:p>
        </w:tc>
      </w:tr>
      <w:tr>
        <w:trPr>
          <w:trHeight w:val="146"/>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Value and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and</w:t>
            </w:r>
          </w:p>
        </w:tc>
      </w:tr>
      <w:tr>
        <w:trPr>
          <w:trHeight w:val="162"/>
        </w:trPr>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Nonqualified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Payments</w:t>
            </w:r>
          </w:p>
        </w:tc>
      </w:tr>
      <w:tr>
        <w:trPr>
          <w:trHeight w:val="225"/>
        </w:trPr>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98"/>
              <w:spacing w:after="0"/>
              <w:rPr>
                <w:sz w:val="20"/>
                <w:szCs w:val="20"/>
                <w:color w:val="auto"/>
              </w:rPr>
            </w:pPr>
            <w:r>
              <w:rPr>
                <w:rFonts w:ascii="Arial" w:cs="Arial" w:eastAsia="Arial" w:hAnsi="Arial"/>
                <w:sz w:val="12"/>
                <w:szCs w:val="12"/>
                <w:b w:val="1"/>
                <w:bCs w:val="1"/>
                <w:color w:val="0075C9"/>
                <w:w w:val="99"/>
              </w:rPr>
              <w:t>Non-Equity</w:t>
            </w:r>
          </w:p>
        </w:tc>
        <w:tc>
          <w:tcPr>
            <w:tcW w:w="200" w:type="dxa"/>
            <w:vAlign w:val="bottom"/>
          </w:tcPr>
          <w:p>
            <w:pPr>
              <w:spacing w:after="0"/>
              <w:rPr>
                <w:sz w:val="19"/>
                <w:szCs w:val="19"/>
                <w:color w:val="auto"/>
              </w:rPr>
            </w:pPr>
          </w:p>
        </w:tc>
        <w:tc>
          <w:tcPr>
            <w:tcW w:w="740" w:type="dxa"/>
            <w:vAlign w:val="bottom"/>
          </w:tcPr>
          <w:p>
            <w:pPr>
              <w:jc w:val="center"/>
              <w:ind w:right="138"/>
              <w:spacing w:after="0"/>
              <w:rPr>
                <w:sz w:val="20"/>
                <w:szCs w:val="20"/>
                <w:color w:val="auto"/>
              </w:rPr>
            </w:pPr>
            <w:r>
              <w:rPr>
                <w:rFonts w:ascii="Arial" w:cs="Arial" w:eastAsia="Arial" w:hAnsi="Arial"/>
                <w:sz w:val="12"/>
                <w:szCs w:val="12"/>
                <w:b w:val="1"/>
                <w:bCs w:val="1"/>
                <w:color w:val="0075C9"/>
              </w:rPr>
              <w:t>Deferred</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right="258"/>
              <w:spacing w:after="0"/>
              <w:rPr>
                <w:sz w:val="20"/>
                <w:szCs w:val="20"/>
                <w:color w:val="auto"/>
              </w:rPr>
            </w:pPr>
            <w:r>
              <w:rPr>
                <w:rFonts w:ascii="Arial" w:cs="Arial" w:eastAsia="Arial" w:hAnsi="Arial"/>
                <w:sz w:val="12"/>
                <w:szCs w:val="12"/>
                <w:b w:val="1"/>
                <w:bCs w:val="1"/>
                <w:color w:val="0075C9"/>
              </w:rPr>
              <w:t>Due to</w:t>
            </w:r>
          </w:p>
        </w:tc>
      </w:tr>
      <w:tr>
        <w:trPr>
          <w:trHeight w:val="225"/>
        </w:trPr>
        <w:tc>
          <w:tcPr>
            <w:tcW w:w="1840" w:type="dxa"/>
            <w:vAlign w:val="bottom"/>
          </w:tcPr>
          <w:p>
            <w:pPr>
              <w:spacing w:after="0"/>
              <w:rPr>
                <w:sz w:val="20"/>
                <w:szCs w:val="20"/>
                <w:color w:val="auto"/>
              </w:rPr>
            </w:pPr>
            <w:r>
              <w:rPr>
                <w:rFonts w:ascii="Arial" w:cs="Arial" w:eastAsia="Arial" w:hAnsi="Arial"/>
                <w:sz w:val="12"/>
                <w:szCs w:val="12"/>
                <w:b w:val="1"/>
                <w:bCs w:val="1"/>
                <w:color w:val="0075C9"/>
              </w:rPr>
              <w:t>Name and</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ind w:right="118"/>
              <w:spacing w:after="0"/>
              <w:rPr>
                <w:sz w:val="20"/>
                <w:szCs w:val="20"/>
                <w:color w:val="auto"/>
              </w:rPr>
            </w:pPr>
            <w:r>
              <w:rPr>
                <w:rFonts w:ascii="Arial" w:cs="Arial" w:eastAsia="Arial" w:hAnsi="Arial"/>
                <w:sz w:val="12"/>
                <w:szCs w:val="12"/>
                <w:b w:val="1"/>
                <w:bCs w:val="1"/>
                <w:color w:val="0075C9"/>
              </w:rPr>
              <w:t>Stock</w:t>
            </w:r>
          </w:p>
        </w:tc>
        <w:tc>
          <w:tcPr>
            <w:tcW w:w="380" w:type="dxa"/>
            <w:vAlign w:val="bottom"/>
          </w:tcPr>
          <w:p>
            <w:pPr>
              <w:spacing w:after="0"/>
              <w:rPr>
                <w:sz w:val="19"/>
                <w:szCs w:val="19"/>
                <w:color w:val="auto"/>
              </w:rPr>
            </w:pPr>
          </w:p>
        </w:tc>
        <w:tc>
          <w:tcPr>
            <w:tcW w:w="660" w:type="dxa"/>
            <w:vAlign w:val="bottom"/>
          </w:tcPr>
          <w:p>
            <w:pPr>
              <w:jc w:val="right"/>
              <w:ind w:right="178"/>
              <w:spacing w:after="0"/>
              <w:rPr>
                <w:sz w:val="20"/>
                <w:szCs w:val="20"/>
                <w:color w:val="auto"/>
              </w:rPr>
            </w:pPr>
            <w:r>
              <w:rPr>
                <w:rFonts w:ascii="Arial" w:cs="Arial" w:eastAsia="Arial" w:hAnsi="Arial"/>
                <w:sz w:val="12"/>
                <w:szCs w:val="12"/>
                <w:b w:val="1"/>
                <w:bCs w:val="1"/>
                <w:color w:val="0075C9"/>
              </w:rPr>
              <w:t>Option</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0075C9"/>
              </w:rPr>
              <w:t>Incentive Plan</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Compensation</w:t>
            </w:r>
          </w:p>
        </w:tc>
        <w:tc>
          <w:tcPr>
            <w:tcW w:w="180" w:type="dxa"/>
            <w:vAlign w:val="bottom"/>
          </w:tcPr>
          <w:p>
            <w:pPr>
              <w:spacing w:after="0"/>
              <w:rPr>
                <w:sz w:val="19"/>
                <w:szCs w:val="19"/>
                <w:color w:val="auto"/>
              </w:rPr>
            </w:pPr>
          </w:p>
        </w:tc>
        <w:tc>
          <w:tcPr>
            <w:tcW w:w="820" w:type="dxa"/>
            <w:vAlign w:val="bottom"/>
          </w:tcPr>
          <w:p>
            <w:pPr>
              <w:jc w:val="right"/>
              <w:ind w:right="198"/>
              <w:spacing w:after="0"/>
              <w:rPr>
                <w:sz w:val="20"/>
                <w:szCs w:val="20"/>
                <w:color w:val="auto"/>
              </w:rPr>
            </w:pPr>
            <w:r>
              <w:rPr>
                <w:rFonts w:ascii="Arial" w:cs="Arial" w:eastAsia="Arial" w:hAnsi="Arial"/>
                <w:sz w:val="12"/>
                <w:szCs w:val="12"/>
                <w:b w:val="1"/>
                <w:bCs w:val="1"/>
                <w:color w:val="0075C9"/>
              </w:rPr>
              <w:t>All Other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right="278"/>
              <w:spacing w:after="0"/>
              <w:rPr>
                <w:sz w:val="20"/>
                <w:szCs w:val="20"/>
                <w:color w:val="auto"/>
              </w:rPr>
            </w:pPr>
            <w:r>
              <w:rPr>
                <w:rFonts w:ascii="Arial" w:cs="Arial" w:eastAsia="Arial" w:hAnsi="Arial"/>
                <w:sz w:val="12"/>
                <w:szCs w:val="12"/>
                <w:b w:val="1"/>
                <w:bCs w:val="1"/>
                <w:color w:val="0075C9"/>
              </w:rPr>
              <w:t>NEO's</w:t>
            </w:r>
          </w:p>
        </w:tc>
      </w:tr>
      <w:tr>
        <w:trPr>
          <w:trHeight w:val="209"/>
        </w:trPr>
        <w:tc>
          <w:tcPr>
            <w:tcW w:w="1840" w:type="dxa"/>
            <w:vAlign w:val="bottom"/>
          </w:tcPr>
          <w:p>
            <w:pPr>
              <w:spacing w:after="0"/>
              <w:rPr>
                <w:sz w:val="20"/>
                <w:szCs w:val="20"/>
                <w:color w:val="auto"/>
              </w:rPr>
            </w:pPr>
            <w:r>
              <w:rPr>
                <w:rFonts w:ascii="Arial" w:cs="Arial" w:eastAsia="Arial" w:hAnsi="Arial"/>
                <w:sz w:val="12"/>
                <w:szCs w:val="12"/>
                <w:b w:val="1"/>
                <w:bCs w:val="1"/>
                <w:color w:val="0075C9"/>
              </w:rPr>
              <w:t>Principal</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0075C9"/>
              </w:rPr>
              <w:t>Year</w:t>
            </w:r>
          </w:p>
        </w:tc>
        <w:tc>
          <w:tcPr>
            <w:tcW w:w="260" w:type="dxa"/>
            <w:vAlign w:val="bottom"/>
          </w:tcPr>
          <w:p>
            <w:pPr>
              <w:spacing w:after="0"/>
              <w:rPr>
                <w:sz w:val="18"/>
                <w:szCs w:val="18"/>
                <w:color w:val="auto"/>
              </w:rPr>
            </w:pPr>
          </w:p>
        </w:tc>
        <w:tc>
          <w:tcPr>
            <w:tcW w:w="500" w:type="dxa"/>
            <w:vAlign w:val="bottom"/>
          </w:tcPr>
          <w:p>
            <w:pPr>
              <w:jc w:val="right"/>
              <w:ind w:right="58"/>
              <w:spacing w:after="0"/>
              <w:rPr>
                <w:sz w:val="20"/>
                <w:szCs w:val="20"/>
                <w:color w:val="auto"/>
              </w:rPr>
            </w:pPr>
            <w:r>
              <w:rPr>
                <w:rFonts w:ascii="Arial" w:cs="Arial" w:eastAsia="Arial" w:hAnsi="Arial"/>
                <w:sz w:val="12"/>
                <w:szCs w:val="12"/>
                <w:b w:val="1"/>
                <w:bCs w:val="1"/>
                <w:color w:val="0075C9"/>
                <w:w w:val="99"/>
              </w:rPr>
              <w:t>Salary</w:t>
            </w:r>
          </w:p>
        </w:tc>
        <w:tc>
          <w:tcPr>
            <w:tcW w:w="36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Arial" w:cs="Arial" w:eastAsia="Arial" w:hAnsi="Arial"/>
                <w:sz w:val="12"/>
                <w:szCs w:val="12"/>
                <w:b w:val="1"/>
                <w:bCs w:val="1"/>
                <w:color w:val="0075C9"/>
              </w:rPr>
              <w:t>Bonus</w:t>
            </w:r>
          </w:p>
        </w:tc>
        <w:tc>
          <w:tcPr>
            <w:tcW w:w="40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2"/>
                <w:szCs w:val="12"/>
                <w:b w:val="1"/>
                <w:bCs w:val="1"/>
                <w:color w:val="0075C9"/>
              </w:rPr>
              <w:t>Award)</w:t>
            </w:r>
          </w:p>
        </w:tc>
        <w:tc>
          <w:tcPr>
            <w:tcW w:w="380" w:type="dxa"/>
            <w:vAlign w:val="bottom"/>
          </w:tcPr>
          <w:p>
            <w:pPr>
              <w:spacing w:after="0"/>
              <w:rPr>
                <w:sz w:val="18"/>
                <w:szCs w:val="18"/>
                <w:color w:val="auto"/>
              </w:rPr>
            </w:pPr>
          </w:p>
        </w:tc>
        <w:tc>
          <w:tcPr>
            <w:tcW w:w="660" w:type="dxa"/>
            <w:vAlign w:val="bottom"/>
          </w:tcPr>
          <w:p>
            <w:pPr>
              <w:jc w:val="right"/>
              <w:ind w:right="78"/>
              <w:spacing w:after="0"/>
              <w:rPr>
                <w:sz w:val="20"/>
                <w:szCs w:val="20"/>
                <w:color w:val="auto"/>
              </w:rPr>
            </w:pPr>
            <w:r>
              <w:rPr>
                <w:rFonts w:ascii="Arial" w:cs="Arial" w:eastAsia="Arial" w:hAnsi="Arial"/>
                <w:sz w:val="12"/>
                <w:szCs w:val="12"/>
                <w:b w:val="1"/>
                <w:bCs w:val="1"/>
                <w:color w:val="0075C9"/>
              </w:rPr>
              <w:t>Awards)</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0075C9"/>
              </w:rPr>
              <w:t>Compensation</w:t>
            </w:r>
          </w:p>
        </w:tc>
        <w:tc>
          <w:tcPr>
            <w:tcW w:w="200" w:type="dxa"/>
            <w:vAlign w:val="bottom"/>
          </w:tcPr>
          <w:p>
            <w:pPr>
              <w:spacing w:after="0"/>
              <w:rPr>
                <w:sz w:val="18"/>
                <w:szCs w:val="18"/>
                <w:color w:val="auto"/>
              </w:rPr>
            </w:pPr>
          </w:p>
        </w:tc>
        <w:tc>
          <w:tcPr>
            <w:tcW w:w="740" w:type="dxa"/>
            <w:vAlign w:val="bottom"/>
          </w:tcPr>
          <w:p>
            <w:pPr>
              <w:jc w:val="center"/>
              <w:ind w:right="138"/>
              <w:spacing w:after="0"/>
              <w:rPr>
                <w:sz w:val="20"/>
                <w:szCs w:val="20"/>
                <w:color w:val="auto"/>
              </w:rPr>
            </w:pPr>
            <w:r>
              <w:rPr>
                <w:rFonts w:ascii="Arial" w:cs="Arial" w:eastAsia="Arial" w:hAnsi="Arial"/>
                <w:sz w:val="12"/>
                <w:szCs w:val="12"/>
                <w:b w:val="1"/>
                <w:bCs w:val="1"/>
                <w:color w:val="0075C9"/>
              </w:rPr>
              <w:t>Earnings</w:t>
            </w:r>
          </w:p>
        </w:tc>
        <w:tc>
          <w:tcPr>
            <w:tcW w:w="1000" w:type="dxa"/>
            <w:vAlign w:val="bottom"/>
            <w:gridSpan w:val="2"/>
          </w:tcPr>
          <w:p>
            <w:pPr>
              <w:jc w:val="right"/>
              <w:ind w:right="38"/>
              <w:spacing w:after="0"/>
              <w:rPr>
                <w:sz w:val="20"/>
                <w:szCs w:val="20"/>
                <w:color w:val="auto"/>
              </w:rPr>
            </w:pPr>
            <w:r>
              <w:rPr>
                <w:rFonts w:ascii="Arial" w:cs="Arial" w:eastAsia="Arial" w:hAnsi="Arial"/>
                <w:sz w:val="12"/>
                <w:szCs w:val="12"/>
                <w:b w:val="1"/>
                <w:bCs w:val="1"/>
                <w:color w:val="0075C9"/>
              </w:rPr>
              <w:t>Compensation</w:t>
            </w:r>
          </w:p>
        </w:tc>
        <w:tc>
          <w:tcPr>
            <w:tcW w:w="200" w:type="dxa"/>
            <w:vAlign w:val="bottom"/>
          </w:tcPr>
          <w:p>
            <w:pPr>
              <w:spacing w:after="0"/>
              <w:rPr>
                <w:sz w:val="18"/>
                <w:szCs w:val="18"/>
                <w:color w:val="auto"/>
              </w:rPr>
            </w:pPr>
          </w:p>
        </w:tc>
        <w:tc>
          <w:tcPr>
            <w:tcW w:w="820" w:type="dxa"/>
            <w:vAlign w:val="bottom"/>
          </w:tcPr>
          <w:p>
            <w:pPr>
              <w:jc w:val="right"/>
              <w:ind w:right="358"/>
              <w:spacing w:after="0"/>
              <w:rPr>
                <w:sz w:val="20"/>
                <w:szCs w:val="20"/>
                <w:color w:val="auto"/>
              </w:rPr>
            </w:pPr>
            <w:r>
              <w:rPr>
                <w:rFonts w:ascii="Arial" w:cs="Arial" w:eastAsia="Arial" w:hAnsi="Arial"/>
                <w:sz w:val="12"/>
                <w:szCs w:val="12"/>
                <w:b w:val="1"/>
                <w:bCs w:val="1"/>
                <w:color w:val="0075C9"/>
              </w:rPr>
              <w:t>Total</w:t>
            </w: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Termination</w:t>
            </w:r>
          </w:p>
        </w:tc>
      </w:tr>
      <w:tr>
        <w:trPr>
          <w:trHeight w:val="152"/>
        </w:trPr>
        <w:tc>
          <w:tcPr>
            <w:tcW w:w="184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0075C9"/>
              </w:rPr>
              <w:t>Position</w:t>
            </w:r>
          </w:p>
        </w:tc>
        <w:tc>
          <w:tcPr>
            <w:tcW w:w="54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500" w:type="dxa"/>
            <w:vAlign w:val="bottom"/>
            <w:tcBorders>
              <w:bottom w:val="single" w:sz="8" w:color="0075C9"/>
            </w:tcBorders>
          </w:tcPr>
          <w:p>
            <w:pPr>
              <w:jc w:val="right"/>
              <w:ind w:right="158"/>
              <w:spacing w:after="0"/>
              <w:rPr>
                <w:sz w:val="20"/>
                <w:szCs w:val="20"/>
                <w:color w:val="auto"/>
              </w:rPr>
            </w:pPr>
            <w:r>
              <w:rPr>
                <w:rFonts w:ascii="Arial" w:cs="Arial" w:eastAsia="Arial" w:hAnsi="Arial"/>
                <w:sz w:val="12"/>
                <w:szCs w:val="12"/>
                <w:b w:val="1"/>
                <w:bCs w:val="1"/>
                <w:color w:val="0075C9"/>
              </w:rPr>
              <w:t>(1)</w:t>
            </w:r>
          </w:p>
        </w:tc>
        <w:tc>
          <w:tcPr>
            <w:tcW w:w="360" w:type="dxa"/>
            <w:vAlign w:val="bottom"/>
            <w:tcBorders>
              <w:bottom w:val="single" w:sz="8" w:color="0075C9"/>
            </w:tcBorders>
          </w:tcPr>
          <w:p>
            <w:pPr>
              <w:spacing w:after="0"/>
              <w:rPr>
                <w:sz w:val="13"/>
                <w:szCs w:val="13"/>
                <w:color w:val="auto"/>
              </w:rPr>
            </w:pPr>
          </w:p>
        </w:tc>
        <w:tc>
          <w:tcPr>
            <w:tcW w:w="500" w:type="dxa"/>
            <w:vAlign w:val="bottom"/>
            <w:tcBorders>
              <w:bottom w:val="single" w:sz="8" w:color="0075C9"/>
            </w:tcBorders>
          </w:tcPr>
          <w:p>
            <w:pPr>
              <w:jc w:val="right"/>
              <w:ind w:right="158"/>
              <w:spacing w:after="0"/>
              <w:rPr>
                <w:sz w:val="20"/>
                <w:szCs w:val="20"/>
                <w:color w:val="auto"/>
              </w:rPr>
            </w:pPr>
            <w:r>
              <w:rPr>
                <w:rFonts w:ascii="Arial" w:cs="Arial" w:eastAsia="Arial" w:hAnsi="Arial"/>
                <w:sz w:val="12"/>
                <w:szCs w:val="12"/>
                <w:b w:val="1"/>
                <w:bCs w:val="1"/>
                <w:color w:val="0075C9"/>
              </w:rPr>
              <w:t>(2)</w:t>
            </w:r>
          </w:p>
        </w:tc>
        <w:tc>
          <w:tcPr>
            <w:tcW w:w="40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jc w:val="right"/>
              <w:ind w:right="218"/>
              <w:spacing w:after="0"/>
              <w:rPr>
                <w:sz w:val="20"/>
                <w:szCs w:val="20"/>
                <w:color w:val="auto"/>
              </w:rPr>
            </w:pPr>
            <w:r>
              <w:rPr>
                <w:rFonts w:ascii="Arial" w:cs="Arial" w:eastAsia="Arial" w:hAnsi="Arial"/>
                <w:sz w:val="12"/>
                <w:szCs w:val="12"/>
                <w:b w:val="1"/>
                <w:bCs w:val="1"/>
                <w:color w:val="0075C9"/>
              </w:rPr>
              <w:t>(3)</w:t>
            </w:r>
          </w:p>
        </w:tc>
        <w:tc>
          <w:tcPr>
            <w:tcW w:w="380" w:type="dxa"/>
            <w:vAlign w:val="bottom"/>
            <w:tcBorders>
              <w:bottom w:val="single" w:sz="8" w:color="0075C9"/>
            </w:tcBorders>
          </w:tcPr>
          <w:p>
            <w:pPr>
              <w:spacing w:after="0"/>
              <w:rPr>
                <w:sz w:val="13"/>
                <w:szCs w:val="13"/>
                <w:color w:val="auto"/>
              </w:rPr>
            </w:pPr>
          </w:p>
        </w:tc>
        <w:tc>
          <w:tcPr>
            <w:tcW w:w="660" w:type="dxa"/>
            <w:vAlign w:val="bottom"/>
            <w:tcBorders>
              <w:bottom w:val="single" w:sz="8" w:color="0075C9"/>
            </w:tcBorders>
          </w:tcPr>
          <w:p>
            <w:pPr>
              <w:jc w:val="right"/>
              <w:ind w:right="298"/>
              <w:spacing w:after="0"/>
              <w:rPr>
                <w:sz w:val="20"/>
                <w:szCs w:val="20"/>
                <w:color w:val="auto"/>
              </w:rPr>
            </w:pPr>
            <w:r>
              <w:rPr>
                <w:rFonts w:ascii="Arial" w:cs="Arial" w:eastAsia="Arial" w:hAnsi="Arial"/>
                <w:sz w:val="12"/>
                <w:szCs w:val="12"/>
                <w:b w:val="1"/>
                <w:bCs w:val="1"/>
                <w:color w:val="0075C9"/>
              </w:rPr>
              <w:t>(3)</w:t>
            </w:r>
          </w:p>
        </w:tc>
        <w:tc>
          <w:tcPr>
            <w:tcW w:w="24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jc w:val="right"/>
              <w:ind w:right="398"/>
              <w:spacing w:after="0"/>
              <w:rPr>
                <w:sz w:val="20"/>
                <w:szCs w:val="20"/>
                <w:color w:val="auto"/>
              </w:rPr>
            </w:pPr>
            <w:r>
              <w:rPr>
                <w:rFonts w:ascii="Arial" w:cs="Arial" w:eastAsia="Arial" w:hAnsi="Arial"/>
                <w:sz w:val="12"/>
                <w:szCs w:val="12"/>
                <w:b w:val="1"/>
                <w:bCs w:val="1"/>
                <w:color w:val="0075C9"/>
              </w:rPr>
              <w:t>(4)</w:t>
            </w:r>
          </w:p>
        </w:tc>
        <w:tc>
          <w:tcPr>
            <w:tcW w:w="20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jc w:val="right"/>
              <w:ind w:right="378"/>
              <w:spacing w:after="0"/>
              <w:rPr>
                <w:sz w:val="20"/>
                <w:szCs w:val="20"/>
                <w:color w:val="auto"/>
              </w:rPr>
            </w:pPr>
            <w:r>
              <w:rPr>
                <w:rFonts w:ascii="Arial" w:cs="Arial" w:eastAsia="Arial" w:hAnsi="Arial"/>
                <w:sz w:val="12"/>
                <w:szCs w:val="12"/>
                <w:b w:val="1"/>
                <w:bCs w:val="1"/>
                <w:color w:val="0075C9"/>
              </w:rPr>
              <w:t>(5)</w:t>
            </w:r>
          </w:p>
        </w:tc>
        <w:tc>
          <w:tcPr>
            <w:tcW w:w="18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jc w:val="right"/>
              <w:ind w:right="438"/>
              <w:spacing w:after="0"/>
              <w:rPr>
                <w:sz w:val="20"/>
                <w:szCs w:val="20"/>
                <w:color w:val="auto"/>
              </w:rPr>
            </w:pPr>
            <w:r>
              <w:rPr>
                <w:rFonts w:ascii="Arial" w:cs="Arial" w:eastAsia="Arial" w:hAnsi="Arial"/>
                <w:sz w:val="12"/>
                <w:szCs w:val="12"/>
                <w:b w:val="1"/>
                <w:bCs w:val="1"/>
                <w:color w:val="0075C9"/>
              </w:rPr>
              <w:t>(6)</w:t>
            </w:r>
          </w:p>
        </w:tc>
        <w:tc>
          <w:tcPr>
            <w:tcW w:w="20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tcPr>
          <w:p>
            <w:pPr>
              <w:jc w:val="right"/>
              <w:ind w:right="438"/>
              <w:spacing w:after="0"/>
              <w:rPr>
                <w:sz w:val="20"/>
                <w:szCs w:val="20"/>
                <w:color w:val="auto"/>
              </w:rPr>
            </w:pPr>
            <w:r>
              <w:rPr>
                <w:rFonts w:ascii="Arial" w:cs="Arial" w:eastAsia="Arial" w:hAnsi="Arial"/>
                <w:sz w:val="12"/>
                <w:szCs w:val="12"/>
                <w:b w:val="1"/>
                <w:bCs w:val="1"/>
                <w:color w:val="0075C9"/>
              </w:rPr>
              <w:t>(7)</w:t>
            </w:r>
          </w:p>
        </w:tc>
      </w:tr>
      <w:tr>
        <w:trPr>
          <w:trHeight w:val="13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Mark A. (Mac) McFarland (8)(9)</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0</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47,529</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47,529</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47,529</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Chairman and Interim</w:t>
            </w:r>
          </w:p>
        </w:tc>
        <w:tc>
          <w:tcPr>
            <w:tcW w:w="54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3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Chief Executive Officer</w:t>
            </w:r>
          </w:p>
        </w:tc>
        <w:tc>
          <w:tcPr>
            <w:tcW w:w="54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3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Todd A. Stevens</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824,519</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962,500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4,860,007</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540,000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9,843,420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34,646</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4,455,555</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21,520,647</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10,383,936</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Former President and</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875,000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4,860,022</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540,002</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3,756,250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34,615</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431,188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10,497,077</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8,041,827</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Chief Executive Officer</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2018</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867,308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4,680,020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520,008</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1,200,000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36,953</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430,368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7,734,657</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7,734,657</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Francisco J. Leon (8)</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362,788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288,750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900,010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100,002</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1,677,300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2,673</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195,898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3,527,421</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2,317,409</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4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3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Chief Financial Officer</w:t>
            </w:r>
          </w:p>
        </w:tc>
        <w:tc>
          <w:tcPr>
            <w:tcW w:w="54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3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Marshall D. Smith</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346,154</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600,000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1,800,009</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200,000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2,224,674</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10,720</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1,257,914</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6,439,471</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2,853,735</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Former Senior Executive</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600,000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1,800,020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200,013</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2,073,700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9,699</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271,941</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4,955,373</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3,692,673</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Vice President and</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2018</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600,000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1,710,022</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190,009</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750,000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7,648</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300,821</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3,558,500</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3,558,500</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Chief Financial Officer</w:t>
            </w:r>
          </w:p>
        </w:tc>
        <w:tc>
          <w:tcPr>
            <w:tcW w:w="54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3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Charles F. Weiss (10)</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414,615</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374,000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1,035,003</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115,003</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2,127,395</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15,441</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255,323</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4,336,780</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2,746,773</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440,000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1,035,024</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115,009</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1,216,575</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15,159</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181,850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3,003,617</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2,267,042</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Public Affairs</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2018</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437,692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990,030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110,010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425,000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16,982</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188,979</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2,168,693</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2,168,693</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Shawn M. Kerns</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400,481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382,500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1,057,509</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117,502</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2,004,078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13,094</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253,438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4,228,602</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2,773,591</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421,154</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1,057,538</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117,508</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958,945</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13,101</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165,194</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2,733,440</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2,291,495</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Operations and Engineering</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2018</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393,077</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1,035,018</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115,010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450,000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12,679</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152,817</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2,158,601</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2,158,601</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Darren Williams (10)</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424,038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405,000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990,004</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110,001</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2,014,030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6,652</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267,718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4,217,443</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2,717,438</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450,000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990,019</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110,010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1,223,194</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5,958</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184,374</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2,963,555</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2,288,361</w:t>
            </w:r>
          </w:p>
        </w:tc>
      </w:tr>
      <w:tr>
        <w:trPr>
          <w:trHeight w:val="159"/>
        </w:trPr>
        <w:tc>
          <w:tcPr>
            <w:tcW w:w="1840" w:type="dxa"/>
            <w:vAlign w:val="bottom"/>
            <w:shd w:val="clear" w:color="auto" w:fill="EBEBEC"/>
          </w:tcPr>
          <w:p>
            <w:pPr>
              <w:spacing w:after="0"/>
              <w:rPr>
                <w:sz w:val="20"/>
                <w:szCs w:val="20"/>
                <w:color w:val="auto"/>
              </w:rPr>
            </w:pPr>
            <w:r>
              <w:rPr>
                <w:rFonts w:ascii="Arial" w:cs="Arial" w:eastAsia="Arial" w:hAnsi="Arial"/>
                <w:sz w:val="12"/>
                <w:szCs w:val="12"/>
                <w:color w:val="auto"/>
              </w:rPr>
              <w:t>Exploration and Development</w:t>
            </w: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2018</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450,000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945,005</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78"/>
              <w:spacing w:after="0"/>
              <w:rPr>
                <w:sz w:val="20"/>
                <w:szCs w:val="20"/>
                <w:color w:val="auto"/>
              </w:rPr>
            </w:pPr>
            <w:r>
              <w:rPr>
                <w:rFonts w:ascii="Arial" w:cs="Arial" w:eastAsia="Arial" w:hAnsi="Arial"/>
                <w:sz w:val="12"/>
                <w:szCs w:val="12"/>
                <w:color w:val="auto"/>
              </w:rPr>
              <w:t>105,010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510,000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4,666</w:t>
            </w:r>
          </w:p>
        </w:tc>
        <w:tc>
          <w:tcPr>
            <w:tcW w:w="1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200,368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2,215,049</w:t>
            </w:r>
          </w:p>
        </w:tc>
        <w:tc>
          <w:tcPr>
            <w:tcW w:w="260" w:type="dxa"/>
            <w:vAlign w:val="bottom"/>
            <w:shd w:val="clear" w:color="auto" w:fill="EBEBEC"/>
          </w:tcPr>
          <w:p>
            <w:pPr>
              <w:ind w:lef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2,215,049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-2220595</wp:posOffset>
            </wp:positionV>
            <wp:extent cx="7134860" cy="22294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860" cy="2229485"/>
                    </a:xfrm>
                    <a:prstGeom prst="rect">
                      <a:avLst/>
                    </a:prstGeom>
                    <a:noFill/>
                  </pic:spPr>
                </pic:pic>
              </a:graphicData>
            </a:graphic>
          </wp:anchor>
        </w:drawing>
      </w:r>
    </w:p>
    <w:p>
      <w:pPr>
        <w:spacing w:after="0" w:line="130"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1"/>
          <w:szCs w:val="11"/>
          <w:color w:val="auto"/>
        </w:rPr>
      </w:pPr>
      <w:r>
        <w:rPr>
          <w:rFonts w:ascii="Arial" w:cs="Arial" w:eastAsia="Arial" w:hAnsi="Arial"/>
          <w:sz w:val="14"/>
          <w:szCs w:val="14"/>
          <w:color w:val="auto"/>
        </w:rPr>
        <w:t>Amounts shown for 2020 reflect a 37.5% reduction in base salary for a two-month period in April-May.</w:t>
      </w:r>
    </w:p>
    <w:p>
      <w:pPr>
        <w:spacing w:after="0" w:line="77" w:lineRule="exact"/>
        <w:rPr>
          <w:rFonts w:ascii="Arial" w:cs="Arial" w:eastAsia="Arial" w:hAnsi="Arial"/>
          <w:sz w:val="11"/>
          <w:szCs w:val="11"/>
          <w:color w:val="auto"/>
        </w:rPr>
      </w:pPr>
    </w:p>
    <w:p>
      <w:pPr>
        <w:ind w:left="360" w:right="20" w:hanging="354"/>
        <w:spacing w:after="0" w:line="211" w:lineRule="auto"/>
        <w:tabs>
          <w:tab w:leader="none" w:pos="360" w:val="left"/>
        </w:tabs>
        <w:numPr>
          <w:ilvl w:val="0"/>
          <w:numId w:val="27"/>
        </w:numPr>
        <w:rPr>
          <w:rFonts w:ascii="Arial" w:cs="Arial" w:eastAsia="Arial" w:hAnsi="Arial"/>
          <w:sz w:val="11"/>
          <w:szCs w:val="11"/>
          <w:color w:val="auto"/>
        </w:rPr>
      </w:pPr>
      <w:r>
        <w:rPr>
          <w:rFonts w:ascii="Arial" w:cs="Arial" w:eastAsia="Arial" w:hAnsi="Arial"/>
          <w:sz w:val="14"/>
          <w:szCs w:val="14"/>
          <w:color w:val="auto"/>
        </w:rPr>
        <w:t>The amounts shown for 2020 are the Retention Bonus Awards granted and paid in May 2020 to replace the previously approved annual incentive and stock-based incentive compensation program for 2020 with an entirely cash-based incentive program. The awards were subject to repayment by the recipient upon certain terminations of employment prior to the earlier of 18 months from the grant date or the Company’s emergence from the Chapter 11 case, which was satisfied with the Company’s successful emergence from bankruptcy during October 2020.</w:t>
      </w:r>
    </w:p>
    <w:p>
      <w:pPr>
        <w:spacing w:after="0" w:line="69" w:lineRule="exact"/>
        <w:rPr>
          <w:rFonts w:ascii="Arial" w:cs="Arial" w:eastAsia="Arial" w:hAnsi="Arial"/>
          <w:sz w:val="11"/>
          <w:szCs w:val="11"/>
          <w:color w:val="auto"/>
        </w:rPr>
      </w:pPr>
    </w:p>
    <w:p>
      <w:pPr>
        <w:ind w:left="360" w:hanging="354"/>
        <w:spacing w:after="0" w:line="203" w:lineRule="auto"/>
        <w:tabs>
          <w:tab w:leader="none" w:pos="360" w:val="left"/>
        </w:tabs>
        <w:numPr>
          <w:ilvl w:val="0"/>
          <w:numId w:val="27"/>
        </w:numPr>
        <w:rPr>
          <w:rFonts w:ascii="Arial" w:cs="Arial" w:eastAsia="Arial" w:hAnsi="Arial"/>
          <w:sz w:val="11"/>
          <w:szCs w:val="11"/>
          <w:color w:val="auto"/>
        </w:rPr>
      </w:pPr>
      <w:r>
        <w:rPr>
          <w:rFonts w:ascii="Arial" w:cs="Arial" w:eastAsia="Arial" w:hAnsi="Arial"/>
          <w:sz w:val="14"/>
          <w:szCs w:val="14"/>
          <w:color w:val="auto"/>
        </w:rPr>
        <w:t>The amounts shown for 2020 reflect awards granted in 2020 that were forfeited by the NEOs in May 2020 upon acceptance of the Quarterly Incentive Award reflected in the Non-Equity Incentive Plan Compensation amount and the Retention Bonus Award reflected in the Bonus amount. See the Grants of Plan-Based Awards Table below for detail regarding the 2020 awards.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14 Stock-Based Compensation to CRC’s Consolidated Financial Statements in the Form 10-K for each of the years ended December 31. Awards reported in the Stock Awards column reflect the value of both time-vested restricted stock units and performance-vested performance stock units. The ultimate payout value may have been significantly more or less than the amount shown in the table, depending on the value of CRC stock on the award certification date. For performance stock units, there was a possibility of no payout depending on the outcome of the performance criteria. All outstanding stock and option awards were cancelled upon the Company’s emergence from bankruptcy in October 2020.</w:t>
      </w:r>
    </w:p>
    <w:p>
      <w:pPr>
        <w:spacing w:after="0" w:line="1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4" w:name="page55"/>
    <w:bookmarkEnd w:id="54"/>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303" w:lineRule="exact"/>
        <w:rPr>
          <w:sz w:val="20"/>
          <w:szCs w:val="20"/>
          <w:color w:val="auto"/>
        </w:rPr>
      </w:pPr>
    </w:p>
    <w:p>
      <w:pPr>
        <w:ind w:left="360" w:right="40" w:hanging="354"/>
        <w:spacing w:after="0" w:line="211" w:lineRule="auto"/>
        <w:tabs>
          <w:tab w:leader="none" w:pos="360" w:val="left"/>
        </w:tabs>
        <w:numPr>
          <w:ilvl w:val="0"/>
          <w:numId w:val="28"/>
        </w:numPr>
        <w:rPr>
          <w:rFonts w:ascii="Arial" w:cs="Arial" w:eastAsia="Arial" w:hAnsi="Arial"/>
          <w:sz w:val="11"/>
          <w:szCs w:val="11"/>
          <w:color w:val="auto"/>
        </w:rPr>
      </w:pPr>
      <w:r>
        <w:rPr>
          <w:rFonts w:ascii="Arial" w:cs="Arial" w:eastAsia="Arial" w:hAnsi="Arial"/>
          <w:sz w:val="14"/>
          <w:szCs w:val="14"/>
          <w:color w:val="auto"/>
        </w:rPr>
        <w:t>The amounts shown for 2020 include the Quarterly Incentive Awards, which were paid in the quarter following the quarter in which they were earned. The amounts shown for 2019 and 2018 include the Annual Incentive Award, which were paid in the first quarter of the year following the year in which they were earned. Also, for 2020 and 2019, the amounts include the payouts under the 2017 and 2016 Performance Incentive Awards (PIAs), respectively, based on performance during the periods 2017 – 2019 and 2016 – 2018, respectively, as shown in the table below.</w:t>
      </w:r>
    </w:p>
    <w:p>
      <w:pPr>
        <w:spacing w:after="0" w:line="138" w:lineRule="exact"/>
        <w:rPr>
          <w:sz w:val="20"/>
          <w:szCs w:val="20"/>
          <w:color w:val="auto"/>
        </w:rPr>
      </w:pPr>
    </w:p>
    <w:tbl>
      <w:tblPr>
        <w:tblLayout w:type="fixed"/>
        <w:tblInd w:w="1300" w:type="dxa"/>
        <w:tblCellMar>
          <w:top w:w="0" w:type="dxa"/>
          <w:left w:w="0" w:type="dxa"/>
          <w:bottom w:w="0" w:type="dxa"/>
          <w:right w:w="0" w:type="dxa"/>
        </w:tblCellMar>
      </w:tblPr>
      <w:tr>
        <w:trPr>
          <w:trHeight w:val="152"/>
        </w:trPr>
        <w:tc>
          <w:tcPr>
            <w:tcW w:w="2040" w:type="dxa"/>
            <w:vAlign w:val="bottom"/>
            <w:tcBorders>
              <w:bottom w:val="single" w:sz="8" w:color="0070C0"/>
            </w:tcBorders>
          </w:tcPr>
          <w:p>
            <w:pPr>
              <w:spacing w:after="0"/>
              <w:rPr>
                <w:sz w:val="20"/>
                <w:szCs w:val="20"/>
                <w:color w:val="auto"/>
              </w:rPr>
            </w:pPr>
            <w:r>
              <w:rPr>
                <w:rFonts w:ascii="Arial" w:cs="Arial" w:eastAsia="Arial" w:hAnsi="Arial"/>
                <w:sz w:val="12"/>
                <w:szCs w:val="12"/>
                <w:b w:val="1"/>
                <w:bCs w:val="1"/>
                <w:color w:val="0075C9"/>
              </w:rPr>
              <w:t>Name</w:t>
            </w:r>
          </w:p>
        </w:tc>
        <w:tc>
          <w:tcPr>
            <w:tcW w:w="1020" w:type="dxa"/>
            <w:vAlign w:val="bottom"/>
            <w:tcBorders>
              <w:bottom w:val="single" w:sz="8" w:color="0070C0"/>
            </w:tcBorders>
          </w:tcPr>
          <w:p>
            <w:pPr>
              <w:ind w:left="380"/>
              <w:spacing w:after="0"/>
              <w:rPr>
                <w:sz w:val="20"/>
                <w:szCs w:val="20"/>
                <w:color w:val="auto"/>
              </w:rPr>
            </w:pPr>
            <w:r>
              <w:rPr>
                <w:rFonts w:ascii="Arial" w:cs="Arial" w:eastAsia="Arial" w:hAnsi="Arial"/>
                <w:sz w:val="12"/>
                <w:szCs w:val="12"/>
                <w:b w:val="1"/>
                <w:bCs w:val="1"/>
                <w:color w:val="0070C0"/>
              </w:rPr>
              <w:t>Year</w:t>
            </w:r>
          </w:p>
        </w:tc>
        <w:tc>
          <w:tcPr>
            <w:tcW w:w="2780" w:type="dxa"/>
            <w:vAlign w:val="bottom"/>
            <w:tcBorders>
              <w:bottom w:val="single" w:sz="8" w:color="0070C0"/>
            </w:tcBorders>
            <w:gridSpan w:val="2"/>
          </w:tcPr>
          <w:p>
            <w:pPr>
              <w:jc w:val="right"/>
              <w:ind w:right="258"/>
              <w:spacing w:after="0"/>
              <w:rPr>
                <w:sz w:val="20"/>
                <w:szCs w:val="20"/>
                <w:color w:val="auto"/>
              </w:rPr>
            </w:pPr>
            <w:r>
              <w:rPr>
                <w:rFonts w:ascii="Arial" w:cs="Arial" w:eastAsia="Arial" w:hAnsi="Arial"/>
                <w:sz w:val="12"/>
                <w:szCs w:val="12"/>
                <w:b w:val="1"/>
                <w:bCs w:val="1"/>
                <w:color w:val="0070C0"/>
              </w:rPr>
              <w:t>Quarterly or Annual Incentive Award</w:t>
            </w:r>
          </w:p>
        </w:tc>
        <w:tc>
          <w:tcPr>
            <w:tcW w:w="2800" w:type="dxa"/>
            <w:vAlign w:val="bottom"/>
            <w:tcBorders>
              <w:bottom w:val="single" w:sz="8" w:color="0070C0"/>
            </w:tcBorders>
            <w:gridSpan w:val="2"/>
          </w:tcPr>
          <w:p>
            <w:pPr>
              <w:jc w:val="right"/>
              <w:ind w:right="798"/>
              <w:spacing w:after="0"/>
              <w:rPr>
                <w:sz w:val="20"/>
                <w:szCs w:val="20"/>
                <w:color w:val="auto"/>
              </w:rPr>
            </w:pPr>
            <w:r>
              <w:rPr>
                <w:rFonts w:ascii="Arial" w:cs="Arial" w:eastAsia="Arial" w:hAnsi="Arial"/>
                <w:sz w:val="12"/>
                <w:szCs w:val="12"/>
                <w:b w:val="1"/>
                <w:bCs w:val="1"/>
                <w:color w:val="0070C0"/>
              </w:rPr>
              <w:t>PIA Award Payout</w:t>
            </w:r>
          </w:p>
        </w:tc>
        <w:tc>
          <w:tcPr>
            <w:tcW w:w="0" w:type="dxa"/>
            <w:vAlign w:val="bottom"/>
          </w:tcPr>
          <w:p>
            <w:pPr>
              <w:spacing w:after="0"/>
              <w:rPr>
                <w:sz w:val="1"/>
                <w:szCs w:val="1"/>
                <w:color w:val="auto"/>
              </w:rPr>
            </w:pPr>
          </w:p>
        </w:tc>
      </w:tr>
      <w:tr>
        <w:trPr>
          <w:trHeight w:val="106"/>
        </w:trPr>
        <w:tc>
          <w:tcPr>
            <w:tcW w:w="2040" w:type="dxa"/>
            <w:vAlign w:val="bottom"/>
            <w:shd w:val="clear" w:color="auto" w:fill="F2F2F2"/>
          </w:tcPr>
          <w:p>
            <w:pPr>
              <w:spacing w:after="0" w:line="106" w:lineRule="exact"/>
              <w:rPr>
                <w:sz w:val="20"/>
                <w:szCs w:val="20"/>
                <w:color w:val="auto"/>
              </w:rPr>
            </w:pPr>
            <w:r>
              <w:rPr>
                <w:rFonts w:ascii="Arial" w:cs="Arial" w:eastAsia="Arial" w:hAnsi="Arial"/>
                <w:sz w:val="12"/>
                <w:szCs w:val="12"/>
                <w:b w:val="1"/>
                <w:bCs w:val="1"/>
                <w:color w:val="0070C0"/>
              </w:rPr>
              <w:t>Mark A. (Mac) McFarland</w:t>
            </w:r>
          </w:p>
        </w:tc>
        <w:tc>
          <w:tcPr>
            <w:tcW w:w="1020" w:type="dxa"/>
            <w:vAlign w:val="bottom"/>
            <w:shd w:val="clear" w:color="auto" w:fill="F2F2F2"/>
          </w:tcPr>
          <w:p>
            <w:pPr>
              <w:ind w:left="360"/>
              <w:spacing w:after="0" w:line="106" w:lineRule="exact"/>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line="106"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06" w:lineRule="exact"/>
              <w:rPr>
                <w:sz w:val="20"/>
                <w:szCs w:val="20"/>
                <w:color w:val="auto"/>
              </w:rPr>
            </w:pPr>
            <w:r>
              <w:rPr>
                <w:rFonts w:ascii="Arial" w:cs="Arial" w:eastAsia="Arial" w:hAnsi="Arial"/>
                <w:sz w:val="12"/>
                <w:szCs w:val="12"/>
                <w:color w:val="auto"/>
              </w:rPr>
              <w:t>0</w:t>
            </w:r>
          </w:p>
        </w:tc>
        <w:tc>
          <w:tcPr>
            <w:tcW w:w="1140" w:type="dxa"/>
            <w:vAlign w:val="bottom"/>
            <w:shd w:val="clear" w:color="auto" w:fill="F2F2F2"/>
          </w:tcPr>
          <w:p>
            <w:pPr>
              <w:jc w:val="right"/>
              <w:spacing w:after="0" w:line="106"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06"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7"/>
        </w:trPr>
        <w:tc>
          <w:tcPr>
            <w:tcW w:w="2040" w:type="dxa"/>
            <w:vAlign w:val="bottom"/>
            <w:shd w:val="clear" w:color="auto" w:fill="F2F2F2"/>
          </w:tcPr>
          <w:p>
            <w:pPr>
              <w:spacing w:after="0"/>
              <w:rPr>
                <w:sz w:val="20"/>
                <w:szCs w:val="20"/>
                <w:color w:val="auto"/>
              </w:rPr>
            </w:pPr>
            <w:r>
              <w:rPr>
                <w:rFonts w:ascii="Arial" w:cs="Arial" w:eastAsia="Arial" w:hAnsi="Arial"/>
                <w:sz w:val="12"/>
                <w:szCs w:val="12"/>
                <w:b w:val="1"/>
                <w:bCs w:val="1"/>
                <w:color w:val="0070C0"/>
              </w:rPr>
              <w:t>Todd A. Stevens</w:t>
            </w:r>
          </w:p>
        </w:tc>
        <w:tc>
          <w:tcPr>
            <w:tcW w:w="1020" w:type="dxa"/>
            <w:vAlign w:val="bottom"/>
            <w:shd w:val="clear" w:color="auto" w:fill="F2F2F2"/>
          </w:tcPr>
          <w:p>
            <w:pPr>
              <w:ind w:left="360"/>
              <w:spacing w:after="0"/>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rPr>
                <w:sz w:val="20"/>
                <w:szCs w:val="20"/>
                <w:color w:val="auto"/>
              </w:rPr>
            </w:pPr>
            <w:r>
              <w:rPr>
                <w:rFonts w:ascii="Arial" w:cs="Arial" w:eastAsia="Arial" w:hAnsi="Arial"/>
                <w:sz w:val="12"/>
                <w:szCs w:val="12"/>
                <w:color w:val="auto"/>
              </w:rPr>
              <w:t>7,923,420</w:t>
            </w:r>
          </w:p>
        </w:tc>
        <w:tc>
          <w:tcPr>
            <w:tcW w:w="11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rPr>
                <w:sz w:val="20"/>
                <w:szCs w:val="20"/>
                <w:color w:val="auto"/>
              </w:rPr>
            </w:pPr>
            <w:r>
              <w:rPr>
                <w:rFonts w:ascii="Arial" w:cs="Arial" w:eastAsia="Arial" w:hAnsi="Arial"/>
                <w:sz w:val="12"/>
                <w:szCs w:val="12"/>
                <w:color w:val="auto"/>
              </w:rPr>
              <w:t>1,920,000</w:t>
            </w:r>
          </w:p>
        </w:tc>
        <w:tc>
          <w:tcPr>
            <w:tcW w:w="0" w:type="dxa"/>
            <w:vAlign w:val="bottom"/>
          </w:tcPr>
          <w:p>
            <w:pPr>
              <w:spacing w:after="0"/>
              <w:rPr>
                <w:sz w:val="1"/>
                <w:szCs w:val="1"/>
                <w:color w:val="auto"/>
              </w:rPr>
            </w:pPr>
          </w:p>
        </w:tc>
      </w:tr>
      <w:tr>
        <w:trPr>
          <w:trHeight w:val="133"/>
        </w:trPr>
        <w:tc>
          <w:tcPr>
            <w:tcW w:w="2040" w:type="dxa"/>
            <w:vAlign w:val="bottom"/>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2019</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1,301,000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2,455,250</w:t>
            </w:r>
          </w:p>
        </w:tc>
        <w:tc>
          <w:tcPr>
            <w:tcW w:w="0" w:type="dxa"/>
            <w:vAlign w:val="bottom"/>
          </w:tcPr>
          <w:p>
            <w:pPr>
              <w:spacing w:after="0"/>
              <w:rPr>
                <w:sz w:val="1"/>
                <w:szCs w:val="1"/>
                <w:color w:val="auto"/>
              </w:rPr>
            </w:pPr>
          </w:p>
        </w:tc>
      </w:tr>
      <w:tr>
        <w:trPr>
          <w:trHeight w:val="133"/>
        </w:trPr>
        <w:tc>
          <w:tcPr>
            <w:tcW w:w="2040" w:type="dxa"/>
            <w:vAlign w:val="bottom"/>
            <w:vMerge w:val="restart"/>
            <w:shd w:val="clear" w:color="auto" w:fill="F2F2F2"/>
          </w:tcPr>
          <w:p>
            <w:pPr>
              <w:spacing w:after="0"/>
              <w:rPr>
                <w:sz w:val="20"/>
                <w:szCs w:val="20"/>
                <w:color w:val="auto"/>
              </w:rPr>
            </w:pPr>
            <w:r>
              <w:rPr>
                <w:rFonts w:ascii="Arial" w:cs="Arial" w:eastAsia="Arial" w:hAnsi="Arial"/>
                <w:sz w:val="12"/>
                <w:szCs w:val="12"/>
                <w:b w:val="1"/>
                <w:bCs w:val="1"/>
                <w:color w:val="0070C0"/>
              </w:rPr>
              <w:t>Francisco J. Leon</w:t>
            </w: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2018</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1,200,000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18"/>
        </w:trPr>
        <w:tc>
          <w:tcPr>
            <w:tcW w:w="2040" w:type="dxa"/>
            <w:vAlign w:val="bottom"/>
            <w:vMerge w:val="continue"/>
            <w:shd w:val="clear" w:color="auto" w:fill="F2F2F2"/>
          </w:tcPr>
          <w:p>
            <w:pPr>
              <w:spacing w:after="0"/>
              <w:rPr>
                <w:sz w:val="10"/>
                <w:szCs w:val="10"/>
                <w:color w:val="auto"/>
              </w:rPr>
            </w:pPr>
          </w:p>
        </w:tc>
        <w:tc>
          <w:tcPr>
            <w:tcW w:w="1020" w:type="dxa"/>
            <w:vAlign w:val="bottom"/>
            <w:shd w:val="clear" w:color="auto" w:fill="F2F2F2"/>
          </w:tcPr>
          <w:p>
            <w:pPr>
              <w:ind w:left="360"/>
              <w:spacing w:after="0" w:line="119" w:lineRule="exact"/>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line="119"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19" w:lineRule="exact"/>
              <w:rPr>
                <w:sz w:val="20"/>
                <w:szCs w:val="20"/>
                <w:color w:val="auto"/>
              </w:rPr>
            </w:pPr>
            <w:r>
              <w:rPr>
                <w:rFonts w:ascii="Arial" w:cs="Arial" w:eastAsia="Arial" w:hAnsi="Arial"/>
                <w:sz w:val="12"/>
                <w:szCs w:val="12"/>
                <w:color w:val="auto"/>
              </w:rPr>
              <w:t>1,467,300</w:t>
            </w:r>
          </w:p>
        </w:tc>
        <w:tc>
          <w:tcPr>
            <w:tcW w:w="1140" w:type="dxa"/>
            <w:vAlign w:val="bottom"/>
            <w:shd w:val="clear" w:color="auto" w:fill="F2F2F2"/>
          </w:tcPr>
          <w:p>
            <w:pPr>
              <w:jc w:val="right"/>
              <w:spacing w:after="0" w:line="119"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19" w:lineRule="exact"/>
              <w:rPr>
                <w:sz w:val="20"/>
                <w:szCs w:val="20"/>
                <w:color w:val="auto"/>
              </w:rPr>
            </w:pPr>
            <w:r>
              <w:rPr>
                <w:rFonts w:ascii="Arial" w:cs="Arial" w:eastAsia="Arial" w:hAnsi="Arial"/>
                <w:sz w:val="12"/>
                <w:szCs w:val="12"/>
                <w:color w:val="auto"/>
              </w:rPr>
              <w:t>210,000</w:t>
            </w:r>
          </w:p>
        </w:tc>
        <w:tc>
          <w:tcPr>
            <w:tcW w:w="0" w:type="dxa"/>
            <w:vAlign w:val="bottom"/>
          </w:tcPr>
          <w:p>
            <w:pPr>
              <w:spacing w:after="0"/>
              <w:rPr>
                <w:sz w:val="1"/>
                <w:szCs w:val="1"/>
                <w:color w:val="auto"/>
              </w:rPr>
            </w:pPr>
          </w:p>
        </w:tc>
      </w:tr>
      <w:tr>
        <w:trPr>
          <w:trHeight w:val="147"/>
        </w:trPr>
        <w:tc>
          <w:tcPr>
            <w:tcW w:w="2040" w:type="dxa"/>
            <w:vAlign w:val="bottom"/>
            <w:shd w:val="clear" w:color="auto" w:fill="F2F2F2"/>
          </w:tcPr>
          <w:p>
            <w:pPr>
              <w:spacing w:after="0"/>
              <w:rPr>
                <w:sz w:val="20"/>
                <w:szCs w:val="20"/>
                <w:color w:val="auto"/>
              </w:rPr>
            </w:pPr>
            <w:r>
              <w:rPr>
                <w:rFonts w:ascii="Arial" w:cs="Arial" w:eastAsia="Arial" w:hAnsi="Arial"/>
                <w:sz w:val="12"/>
                <w:szCs w:val="12"/>
                <w:b w:val="1"/>
                <w:bCs w:val="1"/>
                <w:color w:val="0070C0"/>
              </w:rPr>
              <w:t>Marshall D. Smith</w:t>
            </w:r>
          </w:p>
        </w:tc>
        <w:tc>
          <w:tcPr>
            <w:tcW w:w="1020" w:type="dxa"/>
            <w:vAlign w:val="bottom"/>
            <w:shd w:val="clear" w:color="auto" w:fill="F2F2F2"/>
          </w:tcPr>
          <w:p>
            <w:pPr>
              <w:ind w:left="360"/>
              <w:spacing w:after="0"/>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rPr>
                <w:sz w:val="20"/>
                <w:szCs w:val="20"/>
                <w:color w:val="auto"/>
              </w:rPr>
            </w:pPr>
            <w:r>
              <w:rPr>
                <w:rFonts w:ascii="Arial" w:cs="Arial" w:eastAsia="Arial" w:hAnsi="Arial"/>
                <w:sz w:val="12"/>
                <w:szCs w:val="12"/>
                <w:color w:val="auto"/>
              </w:rPr>
              <w:t>1,464,674</w:t>
            </w:r>
          </w:p>
        </w:tc>
        <w:tc>
          <w:tcPr>
            <w:tcW w:w="11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rPr>
                <w:sz w:val="20"/>
                <w:szCs w:val="20"/>
                <w:color w:val="auto"/>
              </w:rPr>
            </w:pPr>
            <w:r>
              <w:rPr>
                <w:rFonts w:ascii="Arial" w:cs="Arial" w:eastAsia="Arial" w:hAnsi="Arial"/>
                <w:sz w:val="12"/>
                <w:szCs w:val="12"/>
                <w:color w:val="auto"/>
              </w:rPr>
              <w:t>811,000</w:t>
            </w:r>
          </w:p>
        </w:tc>
        <w:tc>
          <w:tcPr>
            <w:tcW w:w="0" w:type="dxa"/>
            <w:vAlign w:val="bottom"/>
          </w:tcPr>
          <w:p>
            <w:pPr>
              <w:spacing w:after="0"/>
              <w:rPr>
                <w:sz w:val="1"/>
                <w:szCs w:val="1"/>
                <w:color w:val="auto"/>
              </w:rPr>
            </w:pPr>
          </w:p>
        </w:tc>
      </w:tr>
      <w:tr>
        <w:trPr>
          <w:trHeight w:val="133"/>
        </w:trPr>
        <w:tc>
          <w:tcPr>
            <w:tcW w:w="2040" w:type="dxa"/>
            <w:vAlign w:val="bottom"/>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2019</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811,000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1,262,700</w:t>
            </w:r>
          </w:p>
        </w:tc>
        <w:tc>
          <w:tcPr>
            <w:tcW w:w="0" w:type="dxa"/>
            <w:vAlign w:val="bottom"/>
          </w:tcPr>
          <w:p>
            <w:pPr>
              <w:spacing w:after="0"/>
              <w:rPr>
                <w:sz w:val="1"/>
                <w:szCs w:val="1"/>
                <w:color w:val="auto"/>
              </w:rPr>
            </w:pPr>
          </w:p>
        </w:tc>
      </w:tr>
      <w:tr>
        <w:trPr>
          <w:trHeight w:val="133"/>
        </w:trPr>
        <w:tc>
          <w:tcPr>
            <w:tcW w:w="2040" w:type="dxa"/>
            <w:vAlign w:val="bottom"/>
            <w:vMerge w:val="restart"/>
            <w:shd w:val="clear" w:color="auto" w:fill="F2F2F2"/>
          </w:tcPr>
          <w:p>
            <w:pPr>
              <w:spacing w:after="0"/>
              <w:rPr>
                <w:sz w:val="20"/>
                <w:szCs w:val="20"/>
                <w:color w:val="auto"/>
              </w:rPr>
            </w:pPr>
            <w:r>
              <w:rPr>
                <w:rFonts w:ascii="Arial" w:cs="Arial" w:eastAsia="Arial" w:hAnsi="Arial"/>
                <w:sz w:val="12"/>
                <w:szCs w:val="12"/>
                <w:b w:val="1"/>
                <w:bCs w:val="1"/>
                <w:color w:val="0070C0"/>
              </w:rPr>
              <w:t>Charles F. Weiss</w:t>
            </w: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2018</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750,000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3"/>
        </w:trPr>
        <w:tc>
          <w:tcPr>
            <w:tcW w:w="2040" w:type="dxa"/>
            <w:vAlign w:val="bottom"/>
            <w:vMerge w:val="continue"/>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1,687,395</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440,000</w:t>
            </w:r>
          </w:p>
        </w:tc>
        <w:tc>
          <w:tcPr>
            <w:tcW w:w="0" w:type="dxa"/>
            <w:vAlign w:val="bottom"/>
          </w:tcPr>
          <w:p>
            <w:pPr>
              <w:spacing w:after="0"/>
              <w:rPr>
                <w:sz w:val="1"/>
                <w:szCs w:val="1"/>
                <w:color w:val="auto"/>
              </w:rPr>
            </w:pPr>
          </w:p>
        </w:tc>
      </w:tr>
      <w:tr>
        <w:trPr>
          <w:trHeight w:val="133"/>
        </w:trPr>
        <w:tc>
          <w:tcPr>
            <w:tcW w:w="2040" w:type="dxa"/>
            <w:vAlign w:val="bottom"/>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2019</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480,000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736,575</w:t>
            </w:r>
          </w:p>
        </w:tc>
        <w:tc>
          <w:tcPr>
            <w:tcW w:w="0" w:type="dxa"/>
            <w:vAlign w:val="bottom"/>
          </w:tcPr>
          <w:p>
            <w:pPr>
              <w:spacing w:after="0"/>
              <w:rPr>
                <w:sz w:val="1"/>
                <w:szCs w:val="1"/>
                <w:color w:val="auto"/>
              </w:rPr>
            </w:pPr>
          </w:p>
        </w:tc>
      </w:tr>
      <w:tr>
        <w:trPr>
          <w:trHeight w:val="133"/>
        </w:trPr>
        <w:tc>
          <w:tcPr>
            <w:tcW w:w="2040" w:type="dxa"/>
            <w:vAlign w:val="bottom"/>
            <w:vMerge w:val="restart"/>
            <w:shd w:val="clear" w:color="auto" w:fill="F2F2F2"/>
          </w:tcPr>
          <w:p>
            <w:pPr>
              <w:spacing w:after="0"/>
              <w:rPr>
                <w:sz w:val="20"/>
                <w:szCs w:val="20"/>
                <w:color w:val="auto"/>
              </w:rPr>
            </w:pPr>
            <w:r>
              <w:rPr>
                <w:rFonts w:ascii="Arial" w:cs="Arial" w:eastAsia="Arial" w:hAnsi="Arial"/>
                <w:sz w:val="12"/>
                <w:szCs w:val="12"/>
                <w:b w:val="1"/>
                <w:bCs w:val="1"/>
                <w:color w:val="0070C0"/>
              </w:rPr>
              <w:t>Shawn M. Kerns</w:t>
            </w: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2018</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425,000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3"/>
        </w:trPr>
        <w:tc>
          <w:tcPr>
            <w:tcW w:w="2040" w:type="dxa"/>
            <w:vAlign w:val="bottom"/>
            <w:vMerge w:val="continue"/>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1,724,078</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280,000</w:t>
            </w:r>
          </w:p>
        </w:tc>
        <w:tc>
          <w:tcPr>
            <w:tcW w:w="0" w:type="dxa"/>
            <w:vAlign w:val="bottom"/>
          </w:tcPr>
          <w:p>
            <w:pPr>
              <w:spacing w:after="0"/>
              <w:rPr>
                <w:sz w:val="1"/>
                <w:szCs w:val="1"/>
                <w:color w:val="auto"/>
              </w:rPr>
            </w:pPr>
          </w:p>
        </w:tc>
      </w:tr>
      <w:tr>
        <w:trPr>
          <w:trHeight w:val="133"/>
        </w:trPr>
        <w:tc>
          <w:tcPr>
            <w:tcW w:w="2040" w:type="dxa"/>
            <w:vAlign w:val="bottom"/>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2019</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517,000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441,945</w:t>
            </w:r>
          </w:p>
        </w:tc>
        <w:tc>
          <w:tcPr>
            <w:tcW w:w="0" w:type="dxa"/>
            <w:vAlign w:val="bottom"/>
          </w:tcPr>
          <w:p>
            <w:pPr>
              <w:spacing w:after="0"/>
              <w:rPr>
                <w:sz w:val="1"/>
                <w:szCs w:val="1"/>
                <w:color w:val="auto"/>
              </w:rPr>
            </w:pPr>
          </w:p>
        </w:tc>
      </w:tr>
      <w:tr>
        <w:trPr>
          <w:trHeight w:val="133"/>
        </w:trPr>
        <w:tc>
          <w:tcPr>
            <w:tcW w:w="2040" w:type="dxa"/>
            <w:vAlign w:val="bottom"/>
            <w:vMerge w:val="restart"/>
            <w:shd w:val="clear" w:color="auto" w:fill="F2F2F2"/>
          </w:tcPr>
          <w:p>
            <w:pPr>
              <w:spacing w:after="0"/>
              <w:rPr>
                <w:sz w:val="20"/>
                <w:szCs w:val="20"/>
                <w:color w:val="auto"/>
              </w:rPr>
            </w:pPr>
            <w:r>
              <w:rPr>
                <w:rFonts w:ascii="Arial" w:cs="Arial" w:eastAsia="Arial" w:hAnsi="Arial"/>
                <w:sz w:val="12"/>
                <w:szCs w:val="12"/>
                <w:b w:val="1"/>
                <w:bCs w:val="1"/>
                <w:color w:val="0070C0"/>
              </w:rPr>
              <w:t>Darren Williams</w:t>
            </w: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2018</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450,000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3"/>
        </w:trPr>
        <w:tc>
          <w:tcPr>
            <w:tcW w:w="2040" w:type="dxa"/>
            <w:vAlign w:val="bottom"/>
            <w:vMerge w:val="continue"/>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2020</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1,614,030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400,000</w:t>
            </w:r>
          </w:p>
        </w:tc>
        <w:tc>
          <w:tcPr>
            <w:tcW w:w="0" w:type="dxa"/>
            <w:vAlign w:val="bottom"/>
          </w:tcPr>
          <w:p>
            <w:pPr>
              <w:spacing w:after="0"/>
              <w:rPr>
                <w:sz w:val="1"/>
                <w:szCs w:val="1"/>
                <w:color w:val="auto"/>
              </w:rPr>
            </w:pPr>
          </w:p>
        </w:tc>
      </w:tr>
      <w:tr>
        <w:trPr>
          <w:trHeight w:val="133"/>
        </w:trPr>
        <w:tc>
          <w:tcPr>
            <w:tcW w:w="2040" w:type="dxa"/>
            <w:vAlign w:val="bottom"/>
            <w:shd w:val="clear" w:color="auto" w:fill="F2F2F2"/>
          </w:tcPr>
          <w:p>
            <w:pPr>
              <w:spacing w:after="0"/>
              <w:rPr>
                <w:sz w:val="11"/>
                <w:szCs w:val="11"/>
                <w:color w:val="auto"/>
              </w:rPr>
            </w:pPr>
          </w:p>
        </w:tc>
        <w:tc>
          <w:tcPr>
            <w:tcW w:w="1020" w:type="dxa"/>
            <w:vAlign w:val="bottom"/>
            <w:shd w:val="clear" w:color="auto" w:fill="F2F2F2"/>
          </w:tcPr>
          <w:p>
            <w:pPr>
              <w:ind w:left="360"/>
              <w:spacing w:after="0" w:line="133" w:lineRule="exact"/>
              <w:rPr>
                <w:sz w:val="20"/>
                <w:szCs w:val="20"/>
                <w:color w:val="auto"/>
              </w:rPr>
            </w:pPr>
            <w:r>
              <w:rPr>
                <w:rFonts w:ascii="Arial" w:cs="Arial" w:eastAsia="Arial" w:hAnsi="Arial"/>
                <w:sz w:val="12"/>
                <w:szCs w:val="12"/>
                <w:color w:val="auto"/>
              </w:rPr>
              <w:t>2019</w:t>
            </w:r>
          </w:p>
        </w:tc>
        <w:tc>
          <w:tcPr>
            <w:tcW w:w="92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line="133" w:lineRule="exact"/>
              <w:rPr>
                <w:sz w:val="20"/>
                <w:szCs w:val="20"/>
                <w:color w:val="auto"/>
              </w:rPr>
            </w:pPr>
            <w:r>
              <w:rPr>
                <w:rFonts w:ascii="Arial" w:cs="Arial" w:eastAsia="Arial" w:hAnsi="Arial"/>
                <w:sz w:val="12"/>
                <w:szCs w:val="12"/>
                <w:color w:val="auto"/>
              </w:rPr>
              <w:t>548,000</w:t>
            </w:r>
          </w:p>
        </w:tc>
        <w:tc>
          <w:tcPr>
            <w:tcW w:w="1140" w:type="dxa"/>
            <w:vAlign w:val="bottom"/>
            <w:shd w:val="clear" w:color="auto" w:fill="F2F2F2"/>
          </w:tcPr>
          <w:p>
            <w:pPr>
              <w:jc w:val="right"/>
              <w:spacing w:after="0" w:line="133" w:lineRule="exact"/>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line="133" w:lineRule="exact"/>
              <w:rPr>
                <w:sz w:val="20"/>
                <w:szCs w:val="20"/>
                <w:color w:val="auto"/>
              </w:rPr>
            </w:pPr>
            <w:r>
              <w:rPr>
                <w:rFonts w:ascii="Arial" w:cs="Arial" w:eastAsia="Arial" w:hAnsi="Arial"/>
                <w:sz w:val="12"/>
                <w:szCs w:val="12"/>
                <w:color w:val="auto"/>
              </w:rPr>
              <w:t>675,194</w:t>
            </w:r>
          </w:p>
        </w:tc>
        <w:tc>
          <w:tcPr>
            <w:tcW w:w="0" w:type="dxa"/>
            <w:vAlign w:val="bottom"/>
          </w:tcPr>
          <w:p>
            <w:pPr>
              <w:spacing w:after="0"/>
              <w:rPr>
                <w:sz w:val="1"/>
                <w:szCs w:val="1"/>
                <w:color w:val="auto"/>
              </w:rPr>
            </w:pPr>
          </w:p>
        </w:tc>
      </w:tr>
      <w:tr>
        <w:trPr>
          <w:trHeight w:val="138"/>
        </w:trPr>
        <w:tc>
          <w:tcPr>
            <w:tcW w:w="2040" w:type="dxa"/>
            <w:vAlign w:val="bottom"/>
            <w:shd w:val="clear" w:color="auto" w:fill="F2F2F2"/>
          </w:tcPr>
          <w:p>
            <w:pPr>
              <w:spacing w:after="0"/>
              <w:rPr>
                <w:sz w:val="12"/>
                <w:szCs w:val="12"/>
                <w:color w:val="auto"/>
              </w:rPr>
            </w:pPr>
          </w:p>
        </w:tc>
        <w:tc>
          <w:tcPr>
            <w:tcW w:w="1020" w:type="dxa"/>
            <w:vAlign w:val="bottom"/>
            <w:shd w:val="clear" w:color="auto" w:fill="F2F2F2"/>
          </w:tcPr>
          <w:p>
            <w:pPr>
              <w:ind w:left="360"/>
              <w:spacing w:after="0"/>
              <w:rPr>
                <w:sz w:val="20"/>
                <w:szCs w:val="20"/>
                <w:color w:val="auto"/>
              </w:rPr>
            </w:pPr>
            <w:r>
              <w:rPr>
                <w:rFonts w:ascii="Arial" w:cs="Arial" w:eastAsia="Arial" w:hAnsi="Arial"/>
                <w:sz w:val="12"/>
                <w:szCs w:val="12"/>
                <w:color w:val="auto"/>
              </w:rPr>
              <w:t>2018</w:t>
            </w:r>
          </w:p>
        </w:tc>
        <w:tc>
          <w:tcPr>
            <w:tcW w:w="92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860" w:type="dxa"/>
            <w:vAlign w:val="bottom"/>
            <w:shd w:val="clear" w:color="auto" w:fill="F2F2F2"/>
          </w:tcPr>
          <w:p>
            <w:pPr>
              <w:jc w:val="right"/>
              <w:ind w:right="778"/>
              <w:spacing w:after="0"/>
              <w:rPr>
                <w:sz w:val="20"/>
                <w:szCs w:val="20"/>
                <w:color w:val="auto"/>
              </w:rPr>
            </w:pPr>
            <w:r>
              <w:rPr>
                <w:rFonts w:ascii="Arial" w:cs="Arial" w:eastAsia="Arial" w:hAnsi="Arial"/>
                <w:sz w:val="12"/>
                <w:szCs w:val="12"/>
                <w:color w:val="auto"/>
              </w:rPr>
              <w:t>510,000</w:t>
            </w:r>
          </w:p>
        </w:tc>
        <w:tc>
          <w:tcPr>
            <w:tcW w:w="11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660" w:type="dxa"/>
            <w:vAlign w:val="bottom"/>
            <w:shd w:val="clear" w:color="auto" w:fill="F2F2F2"/>
          </w:tcPr>
          <w:p>
            <w:pPr>
              <w:jc w:val="right"/>
              <w:ind w:right="65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60" w:right="300" w:hanging="354"/>
        <w:spacing w:after="0" w:line="225" w:lineRule="auto"/>
        <w:tabs>
          <w:tab w:leader="none" w:pos="360" w:val="left"/>
        </w:tabs>
        <w:numPr>
          <w:ilvl w:val="0"/>
          <w:numId w:val="29"/>
        </w:numPr>
        <w:rPr>
          <w:rFonts w:ascii="Arial" w:cs="Arial" w:eastAsia="Arial" w:hAnsi="Arial"/>
          <w:sz w:val="11"/>
          <w:szCs w:val="11"/>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08" w:lineRule="exact"/>
        <w:rPr>
          <w:rFonts w:ascii="Arial" w:cs="Arial" w:eastAsia="Arial" w:hAnsi="Arial"/>
          <w:sz w:val="11"/>
          <w:szCs w:val="11"/>
          <w:color w:val="auto"/>
        </w:rPr>
      </w:pPr>
    </w:p>
    <w:p>
      <w:pPr>
        <w:ind w:left="360" w:hanging="354"/>
        <w:spacing w:after="0"/>
        <w:tabs>
          <w:tab w:leader="none" w:pos="360" w:val="left"/>
        </w:tabs>
        <w:numPr>
          <w:ilvl w:val="0"/>
          <w:numId w:val="29"/>
        </w:numPr>
        <w:rPr>
          <w:rFonts w:ascii="Arial" w:cs="Arial" w:eastAsia="Arial" w:hAnsi="Arial"/>
          <w:sz w:val="11"/>
          <w:szCs w:val="11"/>
          <w:color w:val="auto"/>
        </w:rPr>
      </w:pPr>
      <w:r>
        <w:rPr>
          <w:rFonts w:ascii="Arial" w:cs="Arial" w:eastAsia="Arial" w:hAnsi="Arial"/>
          <w:sz w:val="14"/>
          <w:szCs w:val="14"/>
          <w:color w:val="auto"/>
        </w:rPr>
        <w:t>The following table shows “All Other Compensation” amounts for 2020.</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38"/>
              <w:spacing w:after="0"/>
              <w:rPr>
                <w:sz w:val="20"/>
                <w:szCs w:val="20"/>
                <w:color w:val="auto"/>
              </w:rPr>
            </w:pPr>
            <w:r>
              <w:rPr>
                <w:rFonts w:ascii="Arial" w:cs="Arial" w:eastAsia="Arial" w:hAnsi="Arial"/>
                <w:sz w:val="12"/>
                <w:szCs w:val="12"/>
                <w:b w:val="1"/>
                <w:bCs w:val="1"/>
                <w:color w:val="0075C9"/>
              </w:rPr>
              <w:t>Mr.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0075C9"/>
                <w:w w:val="99"/>
              </w:rPr>
              <w:t>Mr.</w:t>
            </w:r>
          </w:p>
        </w:tc>
        <w:tc>
          <w:tcPr>
            <w:tcW w:w="34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0075C9"/>
              </w:rPr>
              <w:t>Mr.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0075C9"/>
                <w:w w:val="99"/>
              </w:rPr>
              <w:t>Mr.</w:t>
            </w:r>
          </w:p>
        </w:tc>
        <w:tc>
          <w:tcPr>
            <w:tcW w:w="34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0075C9"/>
              </w:rPr>
              <w:t>Mr.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0075C9"/>
                <w:w w:val="99"/>
              </w:rPr>
              <w:t>Mr.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0075C9"/>
              </w:rPr>
              <w:t>Mr.</w:t>
            </w:r>
          </w:p>
        </w:tc>
        <w:tc>
          <w:tcPr>
            <w:tcW w:w="320" w:type="dxa"/>
            <w:vAlign w:val="bottom"/>
          </w:tcPr>
          <w:p>
            <w:pPr>
              <w:spacing w:after="0"/>
              <w:rPr>
                <w:sz w:val="12"/>
                <w:szCs w:val="12"/>
                <w:color w:val="auto"/>
              </w:rPr>
            </w:pPr>
          </w:p>
        </w:tc>
      </w:tr>
      <w:tr>
        <w:trPr>
          <w:trHeight w:val="152"/>
        </w:trPr>
        <w:tc>
          <w:tcPr>
            <w:tcW w:w="2560" w:type="dxa"/>
            <w:vAlign w:val="bottom"/>
            <w:tcBorders>
              <w:bottom w:val="single" w:sz="8" w:color="EBEBEC"/>
            </w:tcBorders>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8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gridSpan w:val="2"/>
          </w:tcPr>
          <w:p>
            <w:pPr>
              <w:jc w:val="right"/>
              <w:ind w:right="18"/>
              <w:spacing w:after="0"/>
              <w:rPr>
                <w:sz w:val="20"/>
                <w:szCs w:val="20"/>
                <w:color w:val="auto"/>
              </w:rPr>
            </w:pPr>
            <w:r>
              <w:rPr>
                <w:rFonts w:ascii="Arial" w:cs="Arial" w:eastAsia="Arial" w:hAnsi="Arial"/>
                <w:sz w:val="12"/>
                <w:szCs w:val="12"/>
                <w:b w:val="1"/>
                <w:bCs w:val="1"/>
                <w:color w:val="0075C9"/>
              </w:rPr>
              <w:t>McFarland</w:t>
            </w:r>
          </w:p>
        </w:tc>
        <w:tc>
          <w:tcPr>
            <w:tcW w:w="400" w:type="dxa"/>
            <w:vAlign w:val="bottom"/>
            <w:tcBorders>
              <w:bottom w:val="single" w:sz="8" w:color="0075C9"/>
            </w:tcBorders>
          </w:tcPr>
          <w:p>
            <w:pPr>
              <w:spacing w:after="0"/>
              <w:rPr>
                <w:sz w:val="13"/>
                <w:szCs w:val="13"/>
                <w:color w:val="auto"/>
              </w:rPr>
            </w:pPr>
          </w:p>
        </w:tc>
        <w:tc>
          <w:tcPr>
            <w:tcW w:w="8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gridSpan w:val="3"/>
          </w:tcPr>
          <w:p>
            <w:pPr>
              <w:jc w:val="center"/>
              <w:ind w:right="60"/>
              <w:spacing w:after="0"/>
              <w:rPr>
                <w:sz w:val="20"/>
                <w:szCs w:val="20"/>
                <w:color w:val="auto"/>
              </w:rPr>
            </w:pPr>
            <w:r>
              <w:rPr>
                <w:rFonts w:ascii="Arial" w:cs="Arial" w:eastAsia="Arial" w:hAnsi="Arial"/>
                <w:sz w:val="12"/>
                <w:szCs w:val="12"/>
                <w:b w:val="1"/>
                <w:bCs w:val="1"/>
                <w:color w:val="0075C9"/>
              </w:rPr>
              <w:t>Stevens</w:t>
            </w:r>
          </w:p>
        </w:tc>
        <w:tc>
          <w:tcPr>
            <w:tcW w:w="34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gridSpan w:val="2"/>
          </w:tcPr>
          <w:p>
            <w:pPr>
              <w:jc w:val="right"/>
              <w:ind w:right="260"/>
              <w:spacing w:after="0"/>
              <w:rPr>
                <w:sz w:val="20"/>
                <w:szCs w:val="20"/>
                <w:color w:val="auto"/>
              </w:rPr>
            </w:pPr>
            <w:r>
              <w:rPr>
                <w:rFonts w:ascii="Arial" w:cs="Arial" w:eastAsia="Arial" w:hAnsi="Arial"/>
                <w:sz w:val="12"/>
                <w:szCs w:val="12"/>
                <w:b w:val="1"/>
                <w:bCs w:val="1"/>
                <w:color w:val="0075C9"/>
              </w:rPr>
              <w:t>Leon</w:t>
            </w:r>
          </w:p>
        </w:tc>
        <w:tc>
          <w:tcPr>
            <w:tcW w:w="280" w:type="dxa"/>
            <w:vAlign w:val="bottom"/>
            <w:tcBorders>
              <w:bottom w:val="single" w:sz="8" w:color="0075C9"/>
            </w:tcBorders>
          </w:tcPr>
          <w:p>
            <w:pPr>
              <w:spacing w:after="0"/>
              <w:rPr>
                <w:sz w:val="13"/>
                <w:szCs w:val="13"/>
                <w:color w:val="auto"/>
              </w:rPr>
            </w:pPr>
          </w:p>
        </w:tc>
        <w:tc>
          <w:tcPr>
            <w:tcW w:w="8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gridSpan w:val="3"/>
          </w:tcPr>
          <w:p>
            <w:pPr>
              <w:jc w:val="center"/>
              <w:ind w:right="40"/>
              <w:spacing w:after="0"/>
              <w:rPr>
                <w:sz w:val="20"/>
                <w:szCs w:val="20"/>
                <w:color w:val="auto"/>
              </w:rPr>
            </w:pPr>
            <w:r>
              <w:rPr>
                <w:rFonts w:ascii="Arial" w:cs="Arial" w:eastAsia="Arial" w:hAnsi="Arial"/>
                <w:sz w:val="12"/>
                <w:szCs w:val="12"/>
                <w:b w:val="1"/>
                <w:bCs w:val="1"/>
                <w:color w:val="0075C9"/>
              </w:rPr>
              <w:t>Smith</w:t>
            </w:r>
          </w:p>
        </w:tc>
        <w:tc>
          <w:tcPr>
            <w:tcW w:w="34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gridSpan w:val="2"/>
          </w:tcPr>
          <w:p>
            <w:pPr>
              <w:jc w:val="right"/>
              <w:ind w:right="240"/>
              <w:spacing w:after="0"/>
              <w:rPr>
                <w:sz w:val="20"/>
                <w:szCs w:val="20"/>
                <w:color w:val="auto"/>
              </w:rPr>
            </w:pPr>
            <w:r>
              <w:rPr>
                <w:rFonts w:ascii="Arial" w:cs="Arial" w:eastAsia="Arial" w:hAnsi="Arial"/>
                <w:sz w:val="12"/>
                <w:szCs w:val="12"/>
                <w:b w:val="1"/>
                <w:bCs w:val="1"/>
                <w:color w:val="0075C9"/>
              </w:rPr>
              <w:t>Weiss</w:t>
            </w:r>
          </w:p>
        </w:tc>
        <w:tc>
          <w:tcPr>
            <w:tcW w:w="280" w:type="dxa"/>
            <w:vAlign w:val="bottom"/>
            <w:tcBorders>
              <w:bottom w:val="single" w:sz="8" w:color="0075C9"/>
            </w:tcBorders>
          </w:tcPr>
          <w:p>
            <w:pPr>
              <w:spacing w:after="0"/>
              <w:rPr>
                <w:sz w:val="13"/>
                <w:szCs w:val="13"/>
                <w:color w:val="auto"/>
              </w:rPr>
            </w:pPr>
          </w:p>
        </w:tc>
        <w:tc>
          <w:tcPr>
            <w:tcW w:w="8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gridSpan w:val="3"/>
          </w:tcPr>
          <w:p>
            <w:pPr>
              <w:jc w:val="center"/>
              <w:ind w:right="280"/>
              <w:spacing w:after="0"/>
              <w:rPr>
                <w:sz w:val="20"/>
                <w:szCs w:val="20"/>
                <w:color w:val="auto"/>
              </w:rPr>
            </w:pPr>
            <w:r>
              <w:rPr>
                <w:rFonts w:ascii="Arial" w:cs="Arial" w:eastAsia="Arial" w:hAnsi="Arial"/>
                <w:sz w:val="12"/>
                <w:szCs w:val="12"/>
                <w:b w:val="1"/>
                <w:bCs w:val="1"/>
                <w:color w:val="0075C9"/>
              </w:rPr>
              <w:t>Kerns</w:t>
            </w:r>
          </w:p>
        </w:tc>
        <w:tc>
          <w:tcPr>
            <w:tcW w:w="340" w:type="dxa"/>
            <w:vAlign w:val="bottom"/>
            <w:tcBorders>
              <w:bottom w:val="single" w:sz="8" w:color="0075C9"/>
            </w:tcBorders>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gridSpan w:val="2"/>
          </w:tcPr>
          <w:p>
            <w:pPr>
              <w:jc w:val="right"/>
              <w:ind w:right="100"/>
              <w:spacing w:after="0"/>
              <w:rPr>
                <w:sz w:val="20"/>
                <w:szCs w:val="20"/>
                <w:color w:val="auto"/>
              </w:rPr>
            </w:pPr>
            <w:r>
              <w:rPr>
                <w:rFonts w:ascii="Arial" w:cs="Arial" w:eastAsia="Arial" w:hAnsi="Arial"/>
                <w:sz w:val="12"/>
                <w:szCs w:val="12"/>
                <w:b w:val="1"/>
                <w:bCs w:val="1"/>
                <w:color w:val="0075C9"/>
              </w:rPr>
              <w:t>Williams</w:t>
            </w:r>
          </w:p>
        </w:tc>
        <w:tc>
          <w:tcPr>
            <w:tcW w:w="320" w:type="dxa"/>
            <w:vAlign w:val="bottom"/>
            <w:tcBorders>
              <w:bottom w:val="single" w:sz="8" w:color="0075C9"/>
            </w:tcBorders>
          </w:tcPr>
          <w:p>
            <w:pPr>
              <w:spacing w:after="0"/>
              <w:rPr>
                <w:sz w:val="13"/>
                <w:szCs w:val="13"/>
                <w:color w:val="auto"/>
              </w:rPr>
            </w:pPr>
          </w:p>
        </w:tc>
      </w:tr>
      <w:tr>
        <w:trPr>
          <w:trHeight w:val="139"/>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Qualified Plan(a)</w:t>
            </w:r>
          </w:p>
        </w:tc>
        <w:tc>
          <w:tcPr>
            <w:tcW w:w="20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EBEBEC"/>
          </w:tcPr>
          <w:p>
            <w:pPr>
              <w:spacing w:after="0"/>
              <w:rPr>
                <w:sz w:val="12"/>
                <w:szCs w:val="12"/>
                <w:color w:val="auto"/>
              </w:rPr>
            </w:pP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37,500</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24,096</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37,500</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37,500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37,500</w:t>
            </w: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37,500</w:t>
            </w:r>
          </w:p>
        </w:tc>
        <w:tc>
          <w:tcPr>
            <w:tcW w:w="320" w:type="dxa"/>
            <w:vAlign w:val="bottom"/>
            <w:shd w:val="clear" w:color="auto" w:fill="EBEBEC"/>
          </w:tcPr>
          <w:p>
            <w:pPr>
              <w:spacing w:after="0"/>
              <w:rPr>
                <w:sz w:val="12"/>
                <w:szCs w:val="12"/>
                <w:color w:val="auto"/>
              </w:rPr>
            </w:pPr>
          </w:p>
        </w:tc>
      </w:tr>
      <w:tr>
        <w:trPr>
          <w:trHeight w:val="159"/>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Supplemental Plan(b)</w:t>
            </w:r>
          </w:p>
        </w:tc>
        <w:tc>
          <w:tcPr>
            <w:tcW w:w="120" w:type="dxa"/>
            <w:vAlign w:val="bottom"/>
            <w:shd w:val="clear" w:color="auto" w:fill="EBEBEC"/>
          </w:tcPr>
          <w:p>
            <w:pPr>
              <w:spacing w:after="0"/>
              <w:rPr>
                <w:sz w:val="13"/>
                <w:szCs w:val="13"/>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EBEBEC"/>
          </w:tcPr>
          <w:p>
            <w:pPr>
              <w:spacing w:after="0"/>
              <w:rPr>
                <w:sz w:val="13"/>
                <w:szCs w:val="13"/>
                <w:color w:val="auto"/>
              </w:rPr>
            </w:pP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568,967</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169,111</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324,177</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205,996</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212,254</w:t>
            </w:r>
          </w:p>
        </w:tc>
        <w:tc>
          <w:tcPr>
            <w:tcW w:w="80" w:type="dxa"/>
            <w:vAlign w:val="bottom"/>
            <w:shd w:val="clear" w:color="auto" w:fill="EBEBEC"/>
          </w:tcPr>
          <w:p>
            <w:pPr>
              <w:spacing w:after="0"/>
              <w:rPr>
                <w:sz w:val="13"/>
                <w:szCs w:val="13"/>
                <w:color w:val="auto"/>
              </w:rPr>
            </w:pP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227,627</w:t>
            </w:r>
          </w:p>
        </w:tc>
        <w:tc>
          <w:tcPr>
            <w:tcW w:w="320" w:type="dxa"/>
            <w:vAlign w:val="bottom"/>
            <w:shd w:val="clear" w:color="auto" w:fill="EBEBEC"/>
          </w:tcPr>
          <w:p>
            <w:pPr>
              <w:spacing w:after="0"/>
              <w:rPr>
                <w:sz w:val="13"/>
                <w:szCs w:val="13"/>
                <w:color w:val="auto"/>
              </w:rPr>
            </w:pPr>
          </w:p>
        </w:tc>
      </w:tr>
      <w:tr>
        <w:trPr>
          <w:trHeight w:val="159"/>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Personal Benefits</w:t>
            </w:r>
          </w:p>
        </w:tc>
        <w:tc>
          <w:tcPr>
            <w:tcW w:w="120" w:type="dxa"/>
            <w:vAlign w:val="bottom"/>
            <w:shd w:val="clear" w:color="auto" w:fill="EBEBEC"/>
          </w:tcPr>
          <w:p>
            <w:pPr>
              <w:spacing w:after="0"/>
              <w:rPr>
                <w:sz w:val="13"/>
                <w:szCs w:val="13"/>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32,384</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(c) $</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2,691</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(d) $</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10,511</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(d) $</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11,826</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(e) $</w:t>
            </w:r>
          </w:p>
        </w:tc>
        <w:tc>
          <w:tcPr>
            <w:tcW w:w="80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3,684</w:t>
            </w: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(d) $</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2,591</w:t>
            </w:r>
          </w:p>
        </w:tc>
        <w:tc>
          <w:tcPr>
            <w:tcW w:w="320" w:type="dxa"/>
            <w:vAlign w:val="bottom"/>
            <w:shd w:val="clear" w:color="auto" w:fill="EBEBEC"/>
          </w:tcPr>
          <w:p>
            <w:pPr>
              <w:ind w:left="60"/>
              <w:spacing w:after="0"/>
              <w:rPr>
                <w:sz w:val="20"/>
                <w:szCs w:val="20"/>
                <w:color w:val="auto"/>
              </w:rPr>
            </w:pPr>
            <w:r>
              <w:rPr>
                <w:rFonts w:ascii="Arial" w:cs="Arial" w:eastAsia="Arial" w:hAnsi="Arial"/>
                <w:sz w:val="12"/>
                <w:szCs w:val="12"/>
                <w:color w:val="auto"/>
              </w:rPr>
              <w:t>(d)</w:t>
            </w:r>
          </w:p>
        </w:tc>
      </w:tr>
      <w:tr>
        <w:trPr>
          <w:trHeight w:val="159"/>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Unused Accrued Vacation</w:t>
            </w:r>
          </w:p>
        </w:tc>
        <w:tc>
          <w:tcPr>
            <w:tcW w:w="120" w:type="dxa"/>
            <w:vAlign w:val="bottom"/>
            <w:shd w:val="clear" w:color="auto" w:fill="EBEBEC"/>
          </w:tcPr>
          <w:p>
            <w:pPr>
              <w:spacing w:after="0"/>
              <w:rPr>
                <w:sz w:val="13"/>
                <w:szCs w:val="13"/>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141,704</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103,846</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EBEBEC"/>
          </w:tcPr>
          <w:p>
            <w:pPr>
              <w:spacing w:after="0"/>
              <w:rPr>
                <w:sz w:val="13"/>
                <w:szCs w:val="13"/>
                <w:color w:val="auto"/>
              </w:rPr>
            </w:pP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spacing w:after="0"/>
              <w:rPr>
                <w:sz w:val="13"/>
                <w:szCs w:val="13"/>
                <w:color w:val="auto"/>
              </w:rPr>
            </w:pPr>
          </w:p>
        </w:tc>
      </w:tr>
      <w:tr>
        <w:trPr>
          <w:trHeight w:val="159"/>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 Benefits</w:t>
            </w:r>
          </w:p>
        </w:tc>
        <w:tc>
          <w:tcPr>
            <w:tcW w:w="120" w:type="dxa"/>
            <w:vAlign w:val="bottom"/>
            <w:shd w:val="clear" w:color="auto" w:fill="EBEBEC"/>
          </w:tcPr>
          <w:p>
            <w:pPr>
              <w:spacing w:after="0"/>
              <w:rPr>
                <w:sz w:val="13"/>
                <w:szCs w:val="13"/>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3,675,000</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781,880</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EBEBEC"/>
          </w:tcPr>
          <w:p>
            <w:pPr>
              <w:spacing w:after="0"/>
              <w:rPr>
                <w:sz w:val="13"/>
                <w:szCs w:val="13"/>
                <w:color w:val="auto"/>
              </w:rPr>
            </w:pP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spacing w:after="0"/>
              <w:rPr>
                <w:sz w:val="13"/>
                <w:szCs w:val="13"/>
                <w:color w:val="auto"/>
              </w:rPr>
            </w:pPr>
          </w:p>
        </w:tc>
      </w:tr>
      <w:tr>
        <w:trPr>
          <w:trHeight w:val="146"/>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Director Fees Paid in Cash</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47,529</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EBEBEC"/>
          </w:tcPr>
          <w:p>
            <w:pPr>
              <w:spacing w:after="0"/>
              <w:rPr>
                <w:sz w:val="12"/>
                <w:szCs w:val="12"/>
                <w:color w:val="auto"/>
              </w:rPr>
            </w:pP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spacing w:after="0"/>
              <w:rPr>
                <w:sz w:val="12"/>
                <w:szCs w:val="12"/>
                <w:color w:val="auto"/>
              </w:rPr>
            </w:pPr>
          </w:p>
        </w:tc>
      </w:tr>
      <w:tr>
        <w:trPr>
          <w:trHeight w:val="20"/>
        </w:trPr>
        <w:tc>
          <w:tcPr>
            <w:tcW w:w="2560" w:type="dxa"/>
            <w:vAlign w:val="bottom"/>
            <w:shd w:val="clear" w:color="auto" w:fill="EBEBEC"/>
          </w:tcPr>
          <w:p>
            <w:pPr>
              <w:spacing w:after="0" w:line="20" w:lineRule="exact"/>
              <w:rPr>
                <w:sz w:val="1"/>
                <w:szCs w:val="1"/>
                <w:color w:val="auto"/>
              </w:rPr>
            </w:pPr>
          </w:p>
        </w:tc>
        <w:tc>
          <w:tcPr>
            <w:tcW w:w="12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EBEBE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EBEBEC"/>
          </w:tcPr>
          <w:p>
            <w:pPr>
              <w:spacing w:after="0" w:line="20" w:lineRule="exact"/>
              <w:rPr>
                <w:sz w:val="1"/>
                <w:szCs w:val="1"/>
                <w:color w:val="auto"/>
              </w:rPr>
            </w:pPr>
          </w:p>
        </w:tc>
        <w:tc>
          <w:tcPr>
            <w:tcW w:w="340" w:type="dxa"/>
            <w:vAlign w:val="bottom"/>
            <w:tcBorders>
              <w:right w:val="single" w:sz="8" w:color="auto"/>
            </w:tcBorders>
            <w:shd w:val="clear" w:color="auto" w:fill="EBEBEC"/>
          </w:tcPr>
          <w:p>
            <w:pPr>
              <w:spacing w:after="0" w:line="20" w:lineRule="exact"/>
              <w:rPr>
                <w:sz w:val="1"/>
                <w:szCs w:val="1"/>
                <w:color w:val="auto"/>
              </w:rPr>
            </w:pPr>
          </w:p>
        </w:tc>
        <w:tc>
          <w:tcPr>
            <w:tcW w:w="720" w:type="dxa"/>
            <w:vAlign w:val="bottom"/>
            <w:tcBorders>
              <w:right w:val="single" w:sz="8" w:color="auto"/>
            </w:tcBorders>
            <w:shd w:val="clear" w:color="auto" w:fill="EBEBEC"/>
          </w:tcPr>
          <w:p>
            <w:pPr>
              <w:spacing w:after="0" w:line="20" w:lineRule="exact"/>
              <w:rPr>
                <w:sz w:val="1"/>
                <w:szCs w:val="1"/>
                <w:color w:val="auto"/>
              </w:rPr>
            </w:pPr>
          </w:p>
        </w:tc>
        <w:tc>
          <w:tcPr>
            <w:tcW w:w="80" w:type="dxa"/>
            <w:vAlign w:val="bottom"/>
            <w:shd w:val="clear" w:color="auto" w:fill="EBEBEC"/>
          </w:tcPr>
          <w:p>
            <w:pPr>
              <w:spacing w:after="0" w:line="20" w:lineRule="exact"/>
              <w:rPr>
                <w:sz w:val="1"/>
                <w:szCs w:val="1"/>
                <w:color w:val="auto"/>
              </w:rPr>
            </w:pPr>
          </w:p>
        </w:tc>
        <w:tc>
          <w:tcPr>
            <w:tcW w:w="28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EBEBEC"/>
          </w:tcPr>
          <w:p>
            <w:pPr>
              <w:spacing w:after="0" w:line="20" w:lineRule="exact"/>
              <w:rPr>
                <w:sz w:val="1"/>
                <w:szCs w:val="1"/>
                <w:color w:val="auto"/>
              </w:rPr>
            </w:pPr>
          </w:p>
        </w:tc>
        <w:tc>
          <w:tcPr>
            <w:tcW w:w="340" w:type="dxa"/>
            <w:vAlign w:val="bottom"/>
            <w:tcBorders>
              <w:right w:val="single" w:sz="8" w:color="auto"/>
            </w:tcBorders>
            <w:shd w:val="clear" w:color="auto" w:fill="EBEBEC"/>
          </w:tcPr>
          <w:p>
            <w:pPr>
              <w:spacing w:after="0" w:line="20" w:lineRule="exact"/>
              <w:rPr>
                <w:sz w:val="1"/>
                <w:szCs w:val="1"/>
                <w:color w:val="auto"/>
              </w:rPr>
            </w:pPr>
          </w:p>
        </w:tc>
        <w:tc>
          <w:tcPr>
            <w:tcW w:w="720" w:type="dxa"/>
            <w:vAlign w:val="bottom"/>
            <w:tcBorders>
              <w:right w:val="single" w:sz="8" w:color="auto"/>
            </w:tcBorders>
            <w:shd w:val="clear" w:color="auto" w:fill="EBEBEC"/>
          </w:tcPr>
          <w:p>
            <w:pPr>
              <w:spacing w:after="0" w:line="20" w:lineRule="exact"/>
              <w:rPr>
                <w:sz w:val="1"/>
                <w:szCs w:val="1"/>
                <w:color w:val="auto"/>
              </w:rPr>
            </w:pPr>
          </w:p>
        </w:tc>
        <w:tc>
          <w:tcPr>
            <w:tcW w:w="80" w:type="dxa"/>
            <w:vAlign w:val="bottom"/>
            <w:shd w:val="clear" w:color="auto" w:fill="EBEBEC"/>
          </w:tcPr>
          <w:p>
            <w:pPr>
              <w:spacing w:after="0" w:line="20" w:lineRule="exact"/>
              <w:rPr>
                <w:sz w:val="1"/>
                <w:szCs w:val="1"/>
                <w:color w:val="auto"/>
              </w:rPr>
            </w:pPr>
          </w:p>
        </w:tc>
        <w:tc>
          <w:tcPr>
            <w:tcW w:w="28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EBEBE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EBEBEC"/>
          </w:tcPr>
          <w:p>
            <w:pPr>
              <w:spacing w:after="0" w:line="20" w:lineRule="exact"/>
              <w:rPr>
                <w:sz w:val="1"/>
                <w:szCs w:val="1"/>
                <w:color w:val="auto"/>
              </w:rPr>
            </w:pPr>
          </w:p>
        </w:tc>
        <w:tc>
          <w:tcPr>
            <w:tcW w:w="340" w:type="dxa"/>
            <w:vAlign w:val="bottom"/>
            <w:tcBorders>
              <w:right w:val="single" w:sz="8" w:color="auto"/>
            </w:tcBorders>
            <w:shd w:val="clear" w:color="auto" w:fill="EBEBEC"/>
          </w:tcPr>
          <w:p>
            <w:pPr>
              <w:spacing w:after="0" w:line="20" w:lineRule="exact"/>
              <w:rPr>
                <w:sz w:val="1"/>
                <w:szCs w:val="1"/>
                <w:color w:val="auto"/>
              </w:rPr>
            </w:pPr>
          </w:p>
        </w:tc>
        <w:tc>
          <w:tcPr>
            <w:tcW w:w="120" w:type="dxa"/>
            <w:vAlign w:val="bottom"/>
            <w:shd w:val="clear" w:color="auto" w:fill="EBEBEC"/>
          </w:tcPr>
          <w:p>
            <w:pPr>
              <w:spacing w:after="0" w:line="20" w:lineRule="exact"/>
              <w:rPr>
                <w:sz w:val="1"/>
                <w:szCs w:val="1"/>
                <w:color w:val="auto"/>
              </w:rPr>
            </w:pPr>
          </w:p>
        </w:tc>
        <w:tc>
          <w:tcPr>
            <w:tcW w:w="560" w:type="dxa"/>
            <w:vAlign w:val="bottom"/>
            <w:shd w:val="clear" w:color="auto" w:fill="EBEBEC"/>
          </w:tcPr>
          <w:p>
            <w:pPr>
              <w:spacing w:after="0" w:line="20" w:lineRule="exact"/>
              <w:rPr>
                <w:sz w:val="1"/>
                <w:szCs w:val="1"/>
                <w:color w:val="auto"/>
              </w:rPr>
            </w:pPr>
          </w:p>
        </w:tc>
        <w:tc>
          <w:tcPr>
            <w:tcW w:w="140" w:type="dxa"/>
            <w:vAlign w:val="bottom"/>
            <w:tcBorders>
              <w:right w:val="single" w:sz="8" w:color="EBEBEC"/>
            </w:tcBorders>
            <w:shd w:val="clear" w:color="auto" w:fill="000000"/>
          </w:tcPr>
          <w:p>
            <w:pPr>
              <w:spacing w:after="0" w:line="20" w:lineRule="exact"/>
              <w:rPr>
                <w:sz w:val="1"/>
                <w:szCs w:val="1"/>
                <w:color w:val="auto"/>
              </w:rPr>
            </w:pPr>
          </w:p>
        </w:tc>
        <w:tc>
          <w:tcPr>
            <w:tcW w:w="320" w:type="dxa"/>
            <w:vAlign w:val="bottom"/>
            <w:shd w:val="clear" w:color="auto" w:fill="EBEBEC"/>
          </w:tcPr>
          <w:p>
            <w:pPr>
              <w:spacing w:after="0" w:line="20" w:lineRule="exact"/>
              <w:rPr>
                <w:sz w:val="1"/>
                <w:szCs w:val="1"/>
                <w:color w:val="auto"/>
              </w:rPr>
            </w:pPr>
          </w:p>
        </w:tc>
      </w:tr>
      <w:tr>
        <w:trPr>
          <w:trHeight w:val="152"/>
        </w:trPr>
        <w:tc>
          <w:tcPr>
            <w:tcW w:w="2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EBEBEC"/>
          </w:tcPr>
          <w:p>
            <w:pPr>
              <w:spacing w:after="0"/>
              <w:rPr>
                <w:sz w:val="13"/>
                <w:szCs w:val="13"/>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47,529</w:t>
            </w:r>
          </w:p>
        </w:tc>
        <w:tc>
          <w:tcPr>
            <w:tcW w:w="4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4,455,555</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195,898</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EBEBEC"/>
          </w:tcPr>
          <w:p>
            <w:pPr>
              <w:jc w:val="right"/>
              <w:ind w:right="80"/>
              <w:spacing w:after="0"/>
              <w:rPr>
                <w:sz w:val="20"/>
                <w:szCs w:val="20"/>
                <w:color w:val="auto"/>
              </w:rPr>
            </w:pPr>
            <w:r>
              <w:rPr>
                <w:rFonts w:ascii="Arial" w:cs="Arial" w:eastAsia="Arial" w:hAnsi="Arial"/>
                <w:sz w:val="12"/>
                <w:szCs w:val="12"/>
                <w:color w:val="auto"/>
              </w:rPr>
              <w:t>1,257,914</w:t>
            </w:r>
          </w:p>
        </w:tc>
        <w:tc>
          <w:tcPr>
            <w:tcW w:w="34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BEBEC"/>
          </w:tcPr>
          <w:p>
            <w:pPr>
              <w:jc w:val="right"/>
              <w:ind w:right="80"/>
              <w:spacing w:after="0"/>
              <w:rPr>
                <w:sz w:val="20"/>
                <w:szCs w:val="20"/>
                <w:color w:val="auto"/>
              </w:rPr>
            </w:pPr>
            <w:r>
              <w:rPr>
                <w:rFonts w:ascii="Arial" w:cs="Arial" w:eastAsia="Arial" w:hAnsi="Arial"/>
                <w:sz w:val="12"/>
                <w:szCs w:val="12"/>
                <w:color w:val="auto"/>
              </w:rPr>
              <w:t>255,322</w:t>
            </w:r>
          </w:p>
        </w:tc>
        <w:tc>
          <w:tcPr>
            <w:tcW w:w="3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253,438</w:t>
            </w:r>
          </w:p>
        </w:tc>
        <w:tc>
          <w:tcPr>
            <w:tcW w:w="80" w:type="dxa"/>
            <w:vAlign w:val="bottom"/>
            <w:shd w:val="clear" w:color="auto" w:fill="EBEBEC"/>
          </w:tcPr>
          <w:p>
            <w:pPr>
              <w:spacing w:after="0"/>
              <w:rPr>
                <w:sz w:val="13"/>
                <w:szCs w:val="13"/>
                <w:color w:val="auto"/>
              </w:rPr>
            </w:pPr>
          </w:p>
        </w:tc>
        <w:tc>
          <w:tcPr>
            <w:tcW w:w="460" w:type="dxa"/>
            <w:vAlign w:val="bottom"/>
            <w:gridSpan w:val="2"/>
            <w:shd w:val="clear" w:color="auto" w:fill="EBEBEC"/>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2"/>
                <w:szCs w:val="12"/>
                <w:color w:val="auto"/>
              </w:rPr>
              <w:t>267,718</w:t>
            </w:r>
          </w:p>
        </w:tc>
        <w:tc>
          <w:tcPr>
            <w:tcW w:w="32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7134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-302260</wp:posOffset>
            </wp:positionV>
            <wp:extent cx="7134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-403225</wp:posOffset>
            </wp:positionV>
            <wp:extent cx="7134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-504190</wp:posOffset>
            </wp:positionV>
            <wp:extent cx="71348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-605155</wp:posOffset>
            </wp:positionV>
            <wp:extent cx="7134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0" w:lineRule="exact"/>
        <w:rPr>
          <w:sz w:val="20"/>
          <w:szCs w:val="20"/>
          <w:color w:val="auto"/>
        </w:rPr>
      </w:pPr>
    </w:p>
    <w:p>
      <w:pPr>
        <w:ind w:left="720" w:right="340" w:hanging="343"/>
        <w:spacing w:after="0" w:line="225" w:lineRule="auto"/>
        <w:tabs>
          <w:tab w:leader="none" w:pos="7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95" w:lineRule="exact"/>
        <w:rPr>
          <w:rFonts w:ascii="Arial" w:cs="Arial" w:eastAsia="Arial" w:hAnsi="Arial"/>
          <w:sz w:val="14"/>
          <w:szCs w:val="14"/>
          <w:color w:val="auto"/>
        </w:rPr>
      </w:pPr>
    </w:p>
    <w:p>
      <w:pPr>
        <w:ind w:left="720" w:right="320" w:hanging="343"/>
        <w:spacing w:after="0" w:line="225" w:lineRule="auto"/>
        <w:tabs>
          <w:tab w:leader="none" w:pos="7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IRS limits on the Qualified Plan.</w:t>
      </w:r>
    </w:p>
    <w:p>
      <w:pPr>
        <w:spacing w:after="0" w:line="108" w:lineRule="exact"/>
        <w:rPr>
          <w:rFonts w:ascii="Arial" w:cs="Arial" w:eastAsia="Arial" w:hAnsi="Arial"/>
          <w:sz w:val="14"/>
          <w:szCs w:val="14"/>
          <w:color w:val="auto"/>
        </w:rPr>
      </w:pPr>
    </w:p>
    <w:p>
      <w:pPr>
        <w:ind w:left="720" w:hanging="343"/>
        <w:spacing w:after="0"/>
        <w:tabs>
          <w:tab w:leader="none" w:pos="7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($31,105) and excess liability insurance.</w:t>
      </w:r>
    </w:p>
    <w:p>
      <w:pPr>
        <w:spacing w:after="0" w:line="117" w:lineRule="exact"/>
        <w:rPr>
          <w:rFonts w:ascii="Arial" w:cs="Arial" w:eastAsia="Arial" w:hAnsi="Arial"/>
          <w:sz w:val="14"/>
          <w:szCs w:val="14"/>
          <w:color w:val="auto"/>
        </w:rPr>
      </w:pPr>
    </w:p>
    <w:p>
      <w:pPr>
        <w:ind w:left="720" w:hanging="343"/>
        <w:spacing w:after="0"/>
        <w:tabs>
          <w:tab w:leader="none" w:pos="7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117" w:lineRule="exact"/>
        <w:rPr>
          <w:rFonts w:ascii="Arial" w:cs="Arial" w:eastAsia="Arial" w:hAnsi="Arial"/>
          <w:sz w:val="14"/>
          <w:szCs w:val="14"/>
          <w:color w:val="auto"/>
        </w:rPr>
      </w:pPr>
    </w:p>
    <w:p>
      <w:pPr>
        <w:ind w:left="720" w:hanging="343"/>
        <w:spacing w:after="0"/>
        <w:tabs>
          <w:tab w:leader="none" w:pos="7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($11,135) and excess liability insurance.</w:t>
      </w:r>
    </w:p>
    <w:p>
      <w:pPr>
        <w:spacing w:after="0" w:line="117" w:lineRule="exact"/>
        <w:rPr>
          <w:rFonts w:ascii="Arial" w:cs="Arial" w:eastAsia="Arial" w:hAnsi="Arial"/>
          <w:sz w:val="14"/>
          <w:szCs w:val="14"/>
          <w:color w:val="auto"/>
        </w:rPr>
      </w:pPr>
    </w:p>
    <w:p>
      <w:pPr>
        <w:ind w:left="360" w:right="120" w:hanging="354"/>
        <w:spacing w:after="0" w:line="206" w:lineRule="auto"/>
        <w:tabs>
          <w:tab w:leader="none" w:pos="360" w:val="left"/>
        </w:tabs>
        <w:numPr>
          <w:ilvl w:val="0"/>
          <w:numId w:val="31"/>
        </w:numPr>
        <w:rPr>
          <w:rFonts w:ascii="Arial" w:cs="Arial" w:eastAsia="Arial" w:hAnsi="Arial"/>
          <w:sz w:val="11"/>
          <w:szCs w:val="11"/>
          <w:color w:val="auto"/>
        </w:rPr>
      </w:pPr>
      <w:r>
        <w:rPr>
          <w:rFonts w:ascii="Arial" w:cs="Arial" w:eastAsia="Arial" w:hAnsi="Arial"/>
          <w:sz w:val="14"/>
          <w:szCs w:val="14"/>
          <w:color w:val="auto"/>
        </w:rPr>
        <w:t>This supplemental total is not intended to replace the SCT Total amount. Rather, it is intended to illustrate the final compensation decisions made for the applicable year. It excludes from the Total column amount stock awards and option awards that were granted in February 2020 and forfeited in May 2020 upon acceptance of the Quarterly Incentive Award and Retention Bonus Award, which are included in the Non-Equity Incentive Compensation and Bonus amounts, respectively; 2017 and 2016 Performance Incentive Awards that were granted in 2017 and 2016, respectively, but paid in cash in 2020 and 2019, respectively, as included in the Non-Equity Incentive Compensation amount; and severance pay and unused accrued vacation paid on account of the NEO’s termination of employment during the applicable year, as included in the All Other Compensation amount.</w:t>
      </w:r>
    </w:p>
    <w:p>
      <w:pPr>
        <w:spacing w:after="0" w:line="111" w:lineRule="exact"/>
        <w:rPr>
          <w:rFonts w:ascii="Arial" w:cs="Arial" w:eastAsia="Arial" w:hAnsi="Arial"/>
          <w:sz w:val="11"/>
          <w:szCs w:val="11"/>
          <w:color w:val="auto"/>
        </w:rPr>
      </w:pPr>
    </w:p>
    <w:p>
      <w:pPr>
        <w:ind w:left="360" w:hanging="354"/>
        <w:spacing w:after="0"/>
        <w:tabs>
          <w:tab w:leader="none" w:pos="360" w:val="left"/>
        </w:tabs>
        <w:numPr>
          <w:ilvl w:val="0"/>
          <w:numId w:val="31"/>
        </w:numPr>
        <w:rPr>
          <w:rFonts w:ascii="Arial" w:cs="Arial" w:eastAsia="Arial" w:hAnsi="Arial"/>
          <w:sz w:val="11"/>
          <w:szCs w:val="11"/>
          <w:color w:val="auto"/>
        </w:rPr>
      </w:pPr>
      <w:r>
        <w:rPr>
          <w:rFonts w:ascii="Arial" w:cs="Arial" w:eastAsia="Arial" w:hAnsi="Arial"/>
          <w:sz w:val="14"/>
          <w:szCs w:val="14"/>
          <w:color w:val="auto"/>
        </w:rPr>
        <w:t>Messrs. McFarland and Leon were not NEOs in 2019 or 2018. Compensation paid for years in which the executive was not an NEO are not disclosed in the SCT.</w:t>
      </w:r>
    </w:p>
    <w:p>
      <w:pPr>
        <w:spacing w:after="0" w:line="117" w:lineRule="exact"/>
        <w:rPr>
          <w:rFonts w:ascii="Arial" w:cs="Arial" w:eastAsia="Arial" w:hAnsi="Arial"/>
          <w:sz w:val="11"/>
          <w:szCs w:val="11"/>
          <w:color w:val="auto"/>
        </w:rPr>
      </w:pPr>
    </w:p>
    <w:p>
      <w:pPr>
        <w:ind w:left="360" w:right="80" w:hanging="354"/>
        <w:spacing w:after="0" w:line="211" w:lineRule="auto"/>
        <w:tabs>
          <w:tab w:leader="none" w:pos="360" w:val="left"/>
        </w:tabs>
        <w:numPr>
          <w:ilvl w:val="0"/>
          <w:numId w:val="31"/>
        </w:numPr>
        <w:rPr>
          <w:rFonts w:ascii="Arial" w:cs="Arial" w:eastAsia="Arial" w:hAnsi="Arial"/>
          <w:sz w:val="11"/>
          <w:szCs w:val="11"/>
          <w:color w:val="auto"/>
        </w:rPr>
      </w:pPr>
      <w:r>
        <w:rPr>
          <w:rFonts w:ascii="Arial" w:cs="Arial" w:eastAsia="Arial" w:hAnsi="Arial"/>
          <w:sz w:val="14"/>
          <w:szCs w:val="14"/>
          <w:color w:val="auto"/>
        </w:rPr>
        <w:t>Mr. McFarland had an Interim CEO Agreement with the Company under which the Company paid a fee of $175,000 per month, beginning in January 2021, for his services as Interim CEO. Under the terms of the agreement, he received no cash compensation for his role as Chairman of the Board while he was serving as Interim CEO, but remained eligible to receive a director emergence equity grant. On March 22, 2021, the Company announced that Mr. McFarland had been named President and CEO, dropping the interim title, in addition to his role as Chairman of the Board.</w:t>
      </w:r>
    </w:p>
    <w:p>
      <w:pPr>
        <w:spacing w:after="0" w:line="83" w:lineRule="exact"/>
        <w:rPr>
          <w:rFonts w:ascii="Arial" w:cs="Arial" w:eastAsia="Arial" w:hAnsi="Arial"/>
          <w:sz w:val="11"/>
          <w:szCs w:val="11"/>
          <w:color w:val="auto"/>
        </w:rPr>
      </w:pPr>
    </w:p>
    <w:p>
      <w:pPr>
        <w:ind w:left="360" w:hanging="354"/>
        <w:spacing w:after="0" w:line="225" w:lineRule="auto"/>
        <w:tabs>
          <w:tab w:leader="none" w:pos="360" w:val="left"/>
        </w:tabs>
        <w:numPr>
          <w:ilvl w:val="0"/>
          <w:numId w:val="31"/>
        </w:numPr>
        <w:rPr>
          <w:rFonts w:ascii="Arial" w:cs="Arial" w:eastAsia="Arial" w:hAnsi="Arial"/>
          <w:sz w:val="11"/>
          <w:szCs w:val="11"/>
          <w:color w:val="auto"/>
        </w:rPr>
      </w:pPr>
      <w:r>
        <w:rPr>
          <w:rFonts w:ascii="Arial" w:cs="Arial" w:eastAsia="Arial" w:hAnsi="Arial"/>
          <w:sz w:val="14"/>
          <w:szCs w:val="14"/>
          <w:color w:val="auto"/>
        </w:rPr>
        <w:t>Messrs. Weiss and Williams terminated employment in January 2021 as part of the Company’s realignment following emergence from bankruptcy and received severance pay according to the terms of the Company’s Notice and Severance Pay Plan.</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5" w:name="page56"/>
    <w:bookmarkEnd w:id="55"/>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table below summarizes the following plan-based awards granted in 2020 to our NEOs: Annual Incentive Awards, Restricted Stock Unit Awards (“</w:t>
      </w:r>
      <w:r>
        <w:rPr>
          <w:rFonts w:ascii="Arial" w:cs="Arial" w:eastAsia="Arial" w:hAnsi="Arial"/>
          <w:sz w:val="18"/>
          <w:szCs w:val="18"/>
          <w:b w:val="1"/>
          <w:bCs w:val="1"/>
          <w:color w:val="auto"/>
        </w:rPr>
        <w:t>RSU</w:t>
      </w:r>
      <w:r>
        <w:rPr>
          <w:rFonts w:ascii="Arial" w:cs="Arial" w:eastAsia="Arial" w:hAnsi="Arial"/>
          <w:sz w:val="18"/>
          <w:szCs w:val="18"/>
          <w:color w:val="auto"/>
        </w:rPr>
        <w:t xml:space="preserve"> ”), Performance Stock Unit Awards (“</w:t>
      </w:r>
      <w:r>
        <w:rPr>
          <w:rFonts w:ascii="Arial" w:cs="Arial" w:eastAsia="Arial" w:hAnsi="Arial"/>
          <w:sz w:val="18"/>
          <w:szCs w:val="18"/>
          <w:b w:val="1"/>
          <w:bCs w:val="1"/>
          <w:color w:val="auto"/>
        </w:rPr>
        <w:t>PSU</w:t>
      </w:r>
      <w:r>
        <w:rPr>
          <w:rFonts w:ascii="Arial" w:cs="Arial" w:eastAsia="Arial" w:hAnsi="Arial"/>
          <w:sz w:val="18"/>
          <w:szCs w:val="18"/>
          <w:color w:val="auto"/>
        </w:rPr>
        <w:t>”), Stock Option Awards (“</w:t>
      </w:r>
      <w:r>
        <w:rPr>
          <w:rFonts w:ascii="Arial" w:cs="Arial" w:eastAsia="Arial" w:hAnsi="Arial"/>
          <w:sz w:val="18"/>
          <w:szCs w:val="18"/>
          <w:b w:val="1"/>
          <w:bCs w:val="1"/>
          <w:color w:val="auto"/>
        </w:rPr>
        <w:t>Options</w:t>
      </w:r>
      <w:r>
        <w:rPr>
          <w:rFonts w:ascii="Arial" w:cs="Arial" w:eastAsia="Arial" w:hAnsi="Arial"/>
          <w:sz w:val="18"/>
          <w:szCs w:val="18"/>
          <w:color w:val="auto"/>
        </w:rPr>
        <w:t>”), all of which were subsequently forfeited with no payout and replaced by the Quarterly Incentive Awards and Retention Bonus Awards in May 2020. The Quarterly Incentive Awards and Retention Bonus Awards granted in 2020 to our NEOs are also reflected in the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0075C9"/>
              </w:rPr>
              <w:t>All 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0075C9"/>
              </w:rPr>
              <w:t>All 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0075C9"/>
                <w:w w:val="99"/>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0075C9"/>
              </w:rPr>
              <w:t>Option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0075C9"/>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0075C9"/>
              </w:rPr>
              <w:t>Awards: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0075C9"/>
              </w:rPr>
              <w:t>Exercise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Arial" w:cs="Arial" w:eastAsia="Arial" w:hAnsi="Arial"/>
                <w:sz w:val="11"/>
                <w:szCs w:val="11"/>
                <w:b w:val="1"/>
                <w:bCs w:val="1"/>
                <w:color w:val="0075C9"/>
              </w:rPr>
              <w:t>Grant Date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0075C9"/>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0075C9"/>
              </w:rPr>
              <w:t>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23"/>
              <w:spacing w:after="0"/>
              <w:rPr>
                <w:sz w:val="20"/>
                <w:szCs w:val="20"/>
                <w:color w:val="auto"/>
              </w:rPr>
            </w:pPr>
            <w:r>
              <w:rPr>
                <w:rFonts w:ascii="Arial" w:cs="Arial" w:eastAsia="Arial" w:hAnsi="Arial"/>
                <w:sz w:val="11"/>
                <w:szCs w:val="11"/>
                <w:b w:val="1"/>
                <w:bCs w:val="1"/>
                <w:color w:val="0075C9"/>
              </w:rPr>
              <w:t>or Base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Arial" w:cs="Arial" w:eastAsia="Arial" w:hAnsi="Arial"/>
                <w:sz w:val="11"/>
                <w:szCs w:val="11"/>
                <w:b w:val="1"/>
                <w:bCs w:val="1"/>
                <w:color w:val="0075C9"/>
              </w:rPr>
              <w:t>Fair Value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center"/>
              <w:ind w:right="63"/>
              <w:spacing w:after="0"/>
              <w:rPr>
                <w:sz w:val="20"/>
                <w:szCs w:val="20"/>
                <w:color w:val="auto"/>
              </w:rPr>
            </w:pPr>
            <w:r>
              <w:rPr>
                <w:rFonts w:ascii="Arial" w:cs="Arial" w:eastAsia="Arial" w:hAnsi="Arial"/>
                <w:sz w:val="11"/>
                <w:szCs w:val="11"/>
                <w:b w:val="1"/>
                <w:bCs w:val="1"/>
                <w:color w:val="0075C9"/>
              </w:rPr>
              <w:t>Estimated Future Payouts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3"/>
          </w:tcPr>
          <w:p>
            <w:pPr>
              <w:jc w:val="center"/>
              <w:spacing w:after="0"/>
              <w:rPr>
                <w:sz w:val="20"/>
                <w:szCs w:val="20"/>
                <w:color w:val="auto"/>
              </w:rPr>
            </w:pPr>
            <w:r>
              <w:rPr>
                <w:rFonts w:ascii="Arial" w:cs="Arial" w:eastAsia="Arial" w:hAnsi="Arial"/>
                <w:sz w:val="11"/>
                <w:szCs w:val="11"/>
                <w:b w:val="1"/>
                <w:bCs w:val="1"/>
                <w:color w:val="0075C9"/>
              </w:rPr>
              <w:t>Estimated Future Payouts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0075C9"/>
              </w:rPr>
              <w:t>Shares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0075C9"/>
              </w:rPr>
              <w:t>Securities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23"/>
              <w:spacing w:after="0"/>
              <w:rPr>
                <w:sz w:val="20"/>
                <w:szCs w:val="20"/>
                <w:color w:val="auto"/>
              </w:rPr>
            </w:pPr>
            <w:r>
              <w:rPr>
                <w:rFonts w:ascii="Arial" w:cs="Arial" w:eastAsia="Arial" w:hAnsi="Arial"/>
                <w:sz w:val="11"/>
                <w:szCs w:val="11"/>
                <w:b w:val="1"/>
                <w:bCs w:val="1"/>
                <w:color w:val="0075C9"/>
              </w:rPr>
              <w:t>Price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0075C9"/>
              </w:rPr>
              <w:t>of Stock and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center"/>
              <w:ind w:right="63"/>
              <w:spacing w:after="0"/>
              <w:rPr>
                <w:sz w:val="20"/>
                <w:szCs w:val="20"/>
                <w:color w:val="auto"/>
              </w:rPr>
            </w:pPr>
            <w:r>
              <w:rPr>
                <w:rFonts w:ascii="Arial" w:cs="Arial" w:eastAsia="Arial" w:hAnsi="Arial"/>
                <w:sz w:val="11"/>
                <w:szCs w:val="11"/>
                <w:b w:val="1"/>
                <w:bCs w:val="1"/>
                <w:color w:val="0075C9"/>
              </w:rPr>
              <w:t>Under Non-Equity 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3"/>
          </w:tcPr>
          <w:p>
            <w:pPr>
              <w:jc w:val="center"/>
              <w:spacing w:after="0"/>
              <w:rPr>
                <w:sz w:val="20"/>
                <w:szCs w:val="20"/>
                <w:color w:val="auto"/>
              </w:rPr>
            </w:pPr>
            <w:r>
              <w:rPr>
                <w:rFonts w:ascii="Arial" w:cs="Arial" w:eastAsia="Arial" w:hAnsi="Arial"/>
                <w:sz w:val="11"/>
                <w:szCs w:val="11"/>
                <w:b w:val="1"/>
                <w:bCs w:val="1"/>
                <w:color w:val="0075C9"/>
              </w:rPr>
              <w:t>Under Equity 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0075C9"/>
                <w:w w:val="99"/>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0075C9"/>
              </w:rPr>
              <w:t>Underlying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43"/>
              <w:spacing w:after="0"/>
              <w:rPr>
                <w:sz w:val="20"/>
                <w:szCs w:val="20"/>
                <w:color w:val="auto"/>
              </w:rPr>
            </w:pPr>
            <w:r>
              <w:rPr>
                <w:rFonts w:ascii="Arial" w:cs="Arial" w:eastAsia="Arial" w:hAnsi="Arial"/>
                <w:sz w:val="11"/>
                <w:szCs w:val="11"/>
                <w:b w:val="1"/>
                <w:bCs w:val="1"/>
                <w:color w:val="0075C9"/>
              </w:rPr>
              <w:t>Option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Arial" w:cs="Arial" w:eastAsia="Arial" w:hAnsi="Arial"/>
                <w:sz w:val="11"/>
                <w:szCs w:val="11"/>
                <w:b w:val="1"/>
                <w:bCs w:val="1"/>
                <w:color w:val="0075C9"/>
              </w:rPr>
              <w:t>Option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580" w:type="dxa"/>
            <w:vAlign w:val="bottom"/>
            <w:tcBorders>
              <w:bottom w:val="single" w:sz="8" w:color="0075C9"/>
            </w:tcBorders>
          </w:tcPr>
          <w:p>
            <w:pPr>
              <w:spacing w:after="0"/>
              <w:rPr>
                <w:sz w:val="12"/>
                <w:szCs w:val="12"/>
                <w:color w:val="auto"/>
              </w:rPr>
            </w:pPr>
          </w:p>
        </w:tc>
        <w:tc>
          <w:tcPr>
            <w:tcW w:w="940" w:type="dxa"/>
            <w:vAlign w:val="bottom"/>
            <w:tcBorders>
              <w:bottom w:val="single" w:sz="8" w:color="0075C9"/>
            </w:tcBorders>
            <w:gridSpan w:val="2"/>
          </w:tcPr>
          <w:p>
            <w:pPr>
              <w:jc w:val="center"/>
              <w:ind w:left="43"/>
              <w:spacing w:after="0"/>
              <w:rPr>
                <w:sz w:val="20"/>
                <w:szCs w:val="20"/>
                <w:color w:val="auto"/>
              </w:rPr>
            </w:pPr>
            <w:r>
              <w:rPr>
                <w:rFonts w:ascii="Arial" w:cs="Arial" w:eastAsia="Arial" w:hAnsi="Arial"/>
                <w:sz w:val="11"/>
                <w:szCs w:val="11"/>
                <w:b w:val="1"/>
                <w:bCs w:val="1"/>
                <w:color w:val="0075C9"/>
              </w:rPr>
              <w:t>Plan Awards</w:t>
            </w:r>
          </w:p>
        </w:tc>
        <w:tc>
          <w:tcPr>
            <w:tcW w:w="160" w:type="dxa"/>
            <w:vAlign w:val="bottom"/>
            <w:tcBorders>
              <w:bottom w:val="single" w:sz="8" w:color="0075C9"/>
            </w:tcBorders>
          </w:tcPr>
          <w:p>
            <w:pPr>
              <w:spacing w:after="0"/>
              <w:rPr>
                <w:sz w:val="12"/>
                <w:szCs w:val="12"/>
                <w:color w:val="auto"/>
              </w:rPr>
            </w:pPr>
          </w:p>
        </w:tc>
        <w:tc>
          <w:tcPr>
            <w:tcW w:w="64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0075C9"/>
            </w:tcBorders>
          </w:tcPr>
          <w:p>
            <w:pPr>
              <w:spacing w:after="0"/>
              <w:rPr>
                <w:sz w:val="12"/>
                <w:szCs w:val="12"/>
                <w:color w:val="auto"/>
              </w:rPr>
            </w:pPr>
          </w:p>
        </w:tc>
        <w:tc>
          <w:tcPr>
            <w:tcW w:w="960" w:type="dxa"/>
            <w:vAlign w:val="bottom"/>
            <w:tcBorders>
              <w:bottom w:val="single" w:sz="8" w:color="0075C9"/>
            </w:tcBorders>
          </w:tcPr>
          <w:p>
            <w:pPr>
              <w:jc w:val="center"/>
              <w:ind w:left="103"/>
              <w:spacing w:after="0"/>
              <w:rPr>
                <w:sz w:val="20"/>
                <w:szCs w:val="20"/>
                <w:color w:val="auto"/>
              </w:rPr>
            </w:pPr>
            <w:r>
              <w:rPr>
                <w:rFonts w:ascii="Arial" w:cs="Arial" w:eastAsia="Arial" w:hAnsi="Arial"/>
                <w:sz w:val="11"/>
                <w:szCs w:val="11"/>
                <w:b w:val="1"/>
                <w:bCs w:val="1"/>
                <w:color w:val="0075C9"/>
              </w:rPr>
              <w:t>Plan Awards</w:t>
            </w:r>
          </w:p>
        </w:tc>
        <w:tc>
          <w:tcPr>
            <w:tcW w:w="760" w:type="dxa"/>
            <w:vAlign w:val="bottom"/>
            <w:tcBorders>
              <w:bottom w:val="single" w:sz="8" w:color="0075C9"/>
            </w:tcBorders>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rPr>
              <w:t>or Units</w:t>
            </w:r>
          </w:p>
        </w:tc>
        <w:tc>
          <w:tcPr>
            <w:tcW w:w="100" w:type="dxa"/>
            <w:vAlign w:val="bottom"/>
            <w:tcBorders>
              <w:bottom w:val="single" w:sz="8" w:color="0075C9"/>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rPr>
              <w:t>Options</w:t>
            </w:r>
          </w:p>
        </w:tc>
        <w:tc>
          <w:tcPr>
            <w:tcW w:w="100" w:type="dxa"/>
            <w:vAlign w:val="bottom"/>
            <w:tcBorders>
              <w:bottom w:val="single" w:sz="8" w:color="0075C9"/>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500" w:type="dxa"/>
            <w:vAlign w:val="bottom"/>
            <w:tcBorders>
              <w:bottom w:val="single" w:sz="8" w:color="0075C9"/>
            </w:tcBorders>
          </w:tcPr>
          <w:p>
            <w:pPr>
              <w:jc w:val="center"/>
              <w:ind w:right="23"/>
              <w:spacing w:after="0"/>
              <w:rPr>
                <w:sz w:val="20"/>
                <w:szCs w:val="20"/>
                <w:color w:val="auto"/>
              </w:rPr>
            </w:pPr>
            <w:r>
              <w:rPr>
                <w:rFonts w:ascii="Arial" w:cs="Arial" w:eastAsia="Arial" w:hAnsi="Arial"/>
                <w:sz w:val="11"/>
                <w:szCs w:val="11"/>
                <w:b w:val="1"/>
                <w:bCs w:val="1"/>
                <w:color w:val="0075C9"/>
              </w:rPr>
              <w:t>Awards</w:t>
            </w:r>
          </w:p>
        </w:tc>
        <w:tc>
          <w:tcPr>
            <w:tcW w:w="100" w:type="dxa"/>
            <w:vAlign w:val="bottom"/>
            <w:tcBorders>
              <w:bottom w:val="single" w:sz="8" w:color="0075C9"/>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jc w:val="center"/>
              <w:ind w:right="23"/>
              <w:spacing w:after="0"/>
              <w:rPr>
                <w:sz w:val="20"/>
                <w:szCs w:val="20"/>
                <w:color w:val="auto"/>
              </w:rPr>
            </w:pPr>
            <w:r>
              <w:rPr>
                <w:rFonts w:ascii="Arial" w:cs="Arial" w:eastAsia="Arial" w:hAnsi="Arial"/>
                <w:sz w:val="11"/>
                <w:szCs w:val="11"/>
                <w:b w:val="1"/>
                <w:bCs w:val="1"/>
                <w:color w:val="0075C9"/>
              </w:rPr>
              <w:t>Awards</w:t>
            </w:r>
          </w:p>
        </w:tc>
        <w:tc>
          <w:tcPr>
            <w:tcW w:w="200" w:type="dxa"/>
            <w:vAlign w:val="bottom"/>
            <w:tcBorders>
              <w:bottom w:val="single" w:sz="8" w:color="0075C9"/>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540" w:type="dxa"/>
            <w:vAlign w:val="bottom"/>
          </w:tcPr>
          <w:p>
            <w:pPr>
              <w:ind w:left="120"/>
              <w:spacing w:after="0"/>
              <w:rPr>
                <w:sz w:val="20"/>
                <w:szCs w:val="20"/>
                <w:color w:val="auto"/>
              </w:rPr>
            </w:pPr>
            <w:r>
              <w:rPr>
                <w:rFonts w:ascii="Arial" w:cs="Arial" w:eastAsia="Arial" w:hAnsi="Arial"/>
                <w:sz w:val="11"/>
                <w:szCs w:val="11"/>
                <w:b w:val="1"/>
                <w:bCs w:val="1"/>
                <w:color w:val="0075C9"/>
              </w:rPr>
              <w:t>Name /</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0075C9"/>
              </w:rPr>
              <w:t>Grant</w:t>
            </w:r>
          </w:p>
        </w:tc>
        <w:tc>
          <w:tcPr>
            <w:tcW w:w="80" w:type="dxa"/>
            <w:vAlign w:val="bottom"/>
          </w:tcPr>
          <w:p>
            <w:pPr>
              <w:spacing w:after="0"/>
              <w:rPr>
                <w:sz w:val="12"/>
                <w:szCs w:val="12"/>
                <w:color w:val="auto"/>
              </w:rPr>
            </w:pPr>
          </w:p>
        </w:tc>
        <w:tc>
          <w:tcPr>
            <w:tcW w:w="680" w:type="dxa"/>
            <w:vAlign w:val="bottom"/>
            <w:gridSpan w:val="2"/>
          </w:tcPr>
          <w:p>
            <w:pPr>
              <w:jc w:val="right"/>
              <w:ind w:right="23"/>
              <w:spacing w:after="0"/>
              <w:rPr>
                <w:sz w:val="20"/>
                <w:szCs w:val="20"/>
                <w:color w:val="auto"/>
              </w:rPr>
            </w:pPr>
            <w:r>
              <w:rPr>
                <w:rFonts w:ascii="Arial" w:cs="Arial" w:eastAsia="Arial" w:hAnsi="Arial"/>
                <w:sz w:val="11"/>
                <w:szCs w:val="11"/>
                <w:b w:val="1"/>
                <w:bCs w:val="1"/>
                <w:color w:val="0075C9"/>
              </w:rPr>
              <w:t>Threshold</w:t>
            </w:r>
          </w:p>
        </w:tc>
        <w:tc>
          <w:tcPr>
            <w:tcW w:w="260" w:type="dxa"/>
            <w:vAlign w:val="bottom"/>
          </w:tcPr>
          <w:p>
            <w:pPr>
              <w:spacing w:after="0"/>
              <w:rPr>
                <w:sz w:val="12"/>
                <w:szCs w:val="12"/>
                <w:color w:val="auto"/>
              </w:rPr>
            </w:pPr>
          </w:p>
        </w:tc>
        <w:tc>
          <w:tcPr>
            <w:tcW w:w="680" w:type="dxa"/>
            <w:vAlign w:val="bottom"/>
          </w:tcPr>
          <w:p>
            <w:pPr>
              <w:jc w:val="right"/>
              <w:ind w:right="223"/>
              <w:spacing w:after="0"/>
              <w:rPr>
                <w:sz w:val="20"/>
                <w:szCs w:val="20"/>
                <w:color w:val="auto"/>
              </w:rPr>
            </w:pPr>
            <w:r>
              <w:rPr>
                <w:rFonts w:ascii="Arial" w:cs="Arial" w:eastAsia="Arial" w:hAnsi="Arial"/>
                <w:sz w:val="11"/>
                <w:szCs w:val="11"/>
                <w:b w:val="1"/>
                <w:bCs w:val="1"/>
                <w:color w:val="0075C9"/>
              </w:rPr>
              <w:t>Target</w:t>
            </w:r>
          </w:p>
        </w:tc>
        <w:tc>
          <w:tcPr>
            <w:tcW w:w="160" w:type="dxa"/>
            <w:vAlign w:val="bottom"/>
          </w:tcPr>
          <w:p>
            <w:pPr>
              <w:spacing w:after="0"/>
              <w:rPr>
                <w:sz w:val="12"/>
                <w:szCs w:val="12"/>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b w:val="1"/>
                <w:bCs w:val="1"/>
                <w:color w:val="0075C9"/>
              </w:rPr>
              <w:t>Maximum</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0075C9"/>
              </w:rPr>
              <w:t>Threshold</w:t>
            </w:r>
          </w:p>
        </w:tc>
        <w:tc>
          <w:tcPr>
            <w:tcW w:w="960" w:type="dxa"/>
            <w:vAlign w:val="bottom"/>
          </w:tcPr>
          <w:p>
            <w:pPr>
              <w:jc w:val="right"/>
              <w:ind w:right="223"/>
              <w:spacing w:after="0"/>
              <w:rPr>
                <w:sz w:val="20"/>
                <w:szCs w:val="20"/>
                <w:color w:val="auto"/>
              </w:rPr>
            </w:pPr>
            <w:r>
              <w:rPr>
                <w:rFonts w:ascii="Arial" w:cs="Arial" w:eastAsia="Arial" w:hAnsi="Arial"/>
                <w:sz w:val="11"/>
                <w:szCs w:val="11"/>
                <w:b w:val="1"/>
                <w:bCs w:val="1"/>
                <w:color w:val="0075C9"/>
              </w:rPr>
              <w:t>Target</w:t>
            </w:r>
          </w:p>
        </w:tc>
        <w:tc>
          <w:tcPr>
            <w:tcW w:w="760" w:type="dxa"/>
            <w:vAlign w:val="bottom"/>
          </w:tcPr>
          <w:p>
            <w:pPr>
              <w:jc w:val="right"/>
              <w:ind w:right="23"/>
              <w:spacing w:after="0"/>
              <w:rPr>
                <w:sz w:val="20"/>
                <w:szCs w:val="20"/>
                <w:color w:val="auto"/>
              </w:rPr>
            </w:pPr>
            <w:r>
              <w:rPr>
                <w:rFonts w:ascii="Arial" w:cs="Arial" w:eastAsia="Arial" w:hAnsi="Arial"/>
                <w:sz w:val="11"/>
                <w:szCs w:val="11"/>
                <w:b w:val="1"/>
                <w:bCs w:val="1"/>
                <w:color w:val="0075C9"/>
              </w:rPr>
              <w:t>Maximum</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540" w:type="dxa"/>
            <w:vAlign w:val="bottom"/>
            <w:tcBorders>
              <w:bottom w:val="single" w:sz="8" w:color="0075C9"/>
            </w:tcBorders>
          </w:tcPr>
          <w:p>
            <w:pPr>
              <w:ind w:left="120"/>
              <w:spacing w:after="0"/>
              <w:rPr>
                <w:sz w:val="20"/>
                <w:szCs w:val="20"/>
                <w:color w:val="auto"/>
              </w:rPr>
            </w:pPr>
            <w:r>
              <w:rPr>
                <w:rFonts w:ascii="Arial" w:cs="Arial" w:eastAsia="Arial" w:hAnsi="Arial"/>
                <w:sz w:val="11"/>
                <w:szCs w:val="11"/>
                <w:b w:val="1"/>
                <w:bCs w:val="1"/>
                <w:color w:val="0075C9"/>
              </w:rPr>
              <w:t>Type of Grant</w:t>
            </w:r>
          </w:p>
        </w:tc>
        <w:tc>
          <w:tcPr>
            <w:tcW w:w="56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rPr>
              <w:t>Date</w:t>
            </w:r>
          </w:p>
        </w:tc>
        <w:tc>
          <w:tcPr>
            <w:tcW w:w="8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580" w:type="dxa"/>
            <w:vAlign w:val="bottom"/>
            <w:tcBorders>
              <w:bottom w:val="single" w:sz="8" w:color="0075C9"/>
            </w:tcBorders>
          </w:tcPr>
          <w:p>
            <w:pPr>
              <w:jc w:val="right"/>
              <w:ind w:right="223"/>
              <w:spacing w:after="0"/>
              <w:rPr>
                <w:sz w:val="20"/>
                <w:szCs w:val="20"/>
                <w:color w:val="auto"/>
              </w:rPr>
            </w:pPr>
            <w:r>
              <w:rPr>
                <w:rFonts w:ascii="Arial" w:cs="Arial" w:eastAsia="Arial" w:hAnsi="Arial"/>
                <w:sz w:val="11"/>
                <w:szCs w:val="11"/>
                <w:b w:val="1"/>
                <w:bCs w:val="1"/>
                <w:color w:val="0075C9"/>
              </w:rPr>
              <w:t>($)</w:t>
            </w:r>
          </w:p>
        </w:tc>
        <w:tc>
          <w:tcPr>
            <w:tcW w:w="260" w:type="dxa"/>
            <w:vAlign w:val="bottom"/>
            <w:tcBorders>
              <w:bottom w:val="single" w:sz="8" w:color="0075C9"/>
            </w:tcBorders>
          </w:tcPr>
          <w:p>
            <w:pPr>
              <w:spacing w:after="0"/>
              <w:rPr>
                <w:sz w:val="12"/>
                <w:szCs w:val="12"/>
                <w:color w:val="auto"/>
              </w:rPr>
            </w:pPr>
          </w:p>
        </w:tc>
        <w:tc>
          <w:tcPr>
            <w:tcW w:w="680" w:type="dxa"/>
            <w:vAlign w:val="bottom"/>
            <w:tcBorders>
              <w:bottom w:val="single" w:sz="8" w:color="0075C9"/>
            </w:tcBorders>
          </w:tcPr>
          <w:p>
            <w:pPr>
              <w:jc w:val="right"/>
              <w:ind w:right="323"/>
              <w:spacing w:after="0"/>
              <w:rPr>
                <w:sz w:val="20"/>
                <w:szCs w:val="20"/>
                <w:color w:val="auto"/>
              </w:rPr>
            </w:pPr>
            <w:r>
              <w:rPr>
                <w:rFonts w:ascii="Arial" w:cs="Arial" w:eastAsia="Arial" w:hAnsi="Arial"/>
                <w:sz w:val="11"/>
                <w:szCs w:val="11"/>
                <w:b w:val="1"/>
                <w:bCs w:val="1"/>
                <w:color w:val="0075C9"/>
              </w:rPr>
              <w:t>($)</w:t>
            </w:r>
          </w:p>
        </w:tc>
        <w:tc>
          <w:tcPr>
            <w:tcW w:w="160" w:type="dxa"/>
            <w:vAlign w:val="bottom"/>
            <w:tcBorders>
              <w:bottom w:val="single" w:sz="8" w:color="0075C9"/>
            </w:tcBorders>
          </w:tcPr>
          <w:p>
            <w:pPr>
              <w:spacing w:after="0"/>
              <w:rPr>
                <w:sz w:val="12"/>
                <w:szCs w:val="12"/>
                <w:color w:val="auto"/>
              </w:rPr>
            </w:pPr>
          </w:p>
        </w:tc>
        <w:tc>
          <w:tcPr>
            <w:tcW w:w="640" w:type="dxa"/>
            <w:vAlign w:val="bottom"/>
            <w:tcBorders>
              <w:bottom w:val="single" w:sz="8" w:color="0075C9"/>
            </w:tcBorders>
          </w:tcPr>
          <w:p>
            <w:pPr>
              <w:jc w:val="right"/>
              <w:ind w:right="243"/>
              <w:spacing w:after="0"/>
              <w:rPr>
                <w:sz w:val="20"/>
                <w:szCs w:val="20"/>
                <w:color w:val="auto"/>
              </w:rPr>
            </w:pPr>
            <w:r>
              <w:rPr>
                <w:rFonts w:ascii="Arial" w:cs="Arial" w:eastAsia="Arial" w:hAnsi="Arial"/>
                <w:sz w:val="11"/>
                <w:szCs w:val="11"/>
                <w:b w:val="1"/>
                <w:bCs w:val="1"/>
                <w:color w:val="0075C9"/>
              </w:rPr>
              <w:t>($)</w:t>
            </w:r>
          </w:p>
        </w:tc>
        <w:tc>
          <w:tcPr>
            <w:tcW w:w="10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600" w:type="dxa"/>
            <w:vAlign w:val="bottom"/>
            <w:tcBorders>
              <w:bottom w:val="single" w:sz="8" w:color="0075C9"/>
            </w:tcBorders>
          </w:tcPr>
          <w:p>
            <w:pPr>
              <w:jc w:val="right"/>
              <w:spacing w:after="0"/>
              <w:rPr>
                <w:sz w:val="20"/>
                <w:szCs w:val="20"/>
                <w:color w:val="auto"/>
              </w:rPr>
            </w:pPr>
            <w:r>
              <w:rPr>
                <w:rFonts w:ascii="Arial" w:cs="Arial" w:eastAsia="Arial" w:hAnsi="Arial"/>
                <w:sz w:val="11"/>
                <w:szCs w:val="11"/>
                <w:b w:val="1"/>
                <w:bCs w:val="1"/>
                <w:color w:val="0075C9"/>
              </w:rPr>
              <w:t>(# Shares)</w:t>
            </w:r>
          </w:p>
        </w:tc>
        <w:tc>
          <w:tcPr>
            <w:tcW w:w="960" w:type="dxa"/>
            <w:vAlign w:val="bottom"/>
            <w:tcBorders>
              <w:bottom w:val="single" w:sz="8" w:color="0075C9"/>
            </w:tcBorders>
          </w:tcPr>
          <w:p>
            <w:pPr>
              <w:jc w:val="right"/>
              <w:ind w:right="103"/>
              <w:spacing w:after="0"/>
              <w:rPr>
                <w:sz w:val="20"/>
                <w:szCs w:val="20"/>
                <w:color w:val="auto"/>
              </w:rPr>
            </w:pPr>
            <w:r>
              <w:rPr>
                <w:rFonts w:ascii="Arial" w:cs="Arial" w:eastAsia="Arial" w:hAnsi="Arial"/>
                <w:sz w:val="11"/>
                <w:szCs w:val="11"/>
                <w:b w:val="1"/>
                <w:bCs w:val="1"/>
                <w:color w:val="0075C9"/>
              </w:rPr>
              <w:t>(# Shares)</w:t>
            </w: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1"/>
                <w:szCs w:val="11"/>
                <w:b w:val="1"/>
                <w:bCs w:val="1"/>
                <w:color w:val="0075C9"/>
              </w:rPr>
              <w:t>(# Shares)</w:t>
            </w:r>
          </w:p>
        </w:tc>
        <w:tc>
          <w:tcPr>
            <w:tcW w:w="12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rPr>
              <w:t>(# Shares)</w:t>
            </w:r>
          </w:p>
        </w:tc>
        <w:tc>
          <w:tcPr>
            <w:tcW w:w="10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90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rPr>
              <w:t>(# Shares)</w:t>
            </w:r>
          </w:p>
        </w:tc>
        <w:tc>
          <w:tcPr>
            <w:tcW w:w="100" w:type="dxa"/>
            <w:vAlign w:val="bottom"/>
            <w:tcBorders>
              <w:bottom w:val="single" w:sz="8" w:color="0075C9"/>
            </w:tcBorders>
          </w:tcPr>
          <w:p>
            <w:pPr>
              <w:spacing w:after="0"/>
              <w:rPr>
                <w:sz w:val="12"/>
                <w:szCs w:val="12"/>
                <w:color w:val="auto"/>
              </w:rPr>
            </w:pPr>
          </w:p>
        </w:tc>
        <w:tc>
          <w:tcPr>
            <w:tcW w:w="6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500" w:type="dxa"/>
            <w:vAlign w:val="bottom"/>
            <w:tcBorders>
              <w:bottom w:val="single" w:sz="8" w:color="0075C9"/>
            </w:tcBorders>
          </w:tcPr>
          <w:p>
            <w:pPr>
              <w:jc w:val="center"/>
              <w:ind w:right="23"/>
              <w:spacing w:after="0"/>
              <w:rPr>
                <w:sz w:val="20"/>
                <w:szCs w:val="20"/>
                <w:color w:val="auto"/>
              </w:rPr>
            </w:pPr>
            <w:r>
              <w:rPr>
                <w:rFonts w:ascii="Arial" w:cs="Arial" w:eastAsia="Arial" w:hAnsi="Arial"/>
                <w:sz w:val="11"/>
                <w:szCs w:val="11"/>
                <w:b w:val="1"/>
                <w:bCs w:val="1"/>
                <w:color w:val="0075C9"/>
              </w:rPr>
              <w:t>($)</w:t>
            </w:r>
          </w:p>
        </w:tc>
        <w:tc>
          <w:tcPr>
            <w:tcW w:w="10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jc w:val="center"/>
              <w:ind w:right="23"/>
              <w:spacing w:after="0"/>
              <w:rPr>
                <w:sz w:val="20"/>
                <w:szCs w:val="20"/>
                <w:color w:val="auto"/>
              </w:rPr>
            </w:pPr>
            <w:r>
              <w:rPr>
                <w:rFonts w:ascii="Arial" w:cs="Arial" w:eastAsia="Arial" w:hAnsi="Arial"/>
                <w:sz w:val="11"/>
                <w:szCs w:val="11"/>
                <w:b w:val="1"/>
                <w:bCs w:val="1"/>
                <w:color w:val="0075C9"/>
              </w:rPr>
              <w:t>($)</w:t>
            </w:r>
          </w:p>
        </w:tc>
        <w:tc>
          <w:tcPr>
            <w:tcW w:w="200" w:type="dxa"/>
            <w:vAlign w:val="bottom"/>
            <w:tcBorders>
              <w:bottom w:val="single" w:sz="8" w:color="0075C9"/>
            </w:tcBorders>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540" w:type="dxa"/>
            <w:vAlign w:val="bottom"/>
            <w:shd w:val="clear" w:color="auto" w:fill="EBEBEC"/>
          </w:tcPr>
          <w:p>
            <w:pPr>
              <w:ind w:left="140"/>
              <w:spacing w:after="0"/>
              <w:rPr>
                <w:sz w:val="20"/>
                <w:szCs w:val="20"/>
                <w:color w:val="auto"/>
              </w:rPr>
            </w:pPr>
            <w:r>
              <w:rPr>
                <w:rFonts w:ascii="Arial" w:cs="Arial" w:eastAsia="Arial" w:hAnsi="Arial"/>
                <w:sz w:val="11"/>
                <w:szCs w:val="11"/>
                <w:b w:val="1"/>
                <w:bCs w:val="1"/>
                <w:color w:val="0075C9"/>
              </w:rPr>
              <w:t>Mark A. (Mac) McFarland</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None</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b w:val="1"/>
                <w:bCs w:val="1"/>
                <w:color w:val="0075C9"/>
              </w:rPr>
              <w:t>Todd A. Stevens</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Annual Incentive(1)</w:t>
            </w:r>
          </w:p>
        </w:tc>
        <w:tc>
          <w:tcPr>
            <w:tcW w:w="560" w:type="dxa"/>
            <w:vAlign w:val="bottom"/>
            <w:shd w:val="clear" w:color="auto" w:fill="EBEBEC"/>
          </w:tcPr>
          <w:p>
            <w:pPr>
              <w:spacing w:after="0"/>
              <w:rPr>
                <w:sz w:val="12"/>
                <w:szCs w:val="12"/>
                <w:color w:val="auto"/>
              </w:rPr>
            </w:pPr>
          </w:p>
        </w:tc>
        <w:tc>
          <w:tcPr>
            <w:tcW w:w="18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16,074</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962,500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1,925,000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RSU(2)</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1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348,388</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2,160,006</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PSU(3)</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78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108,871</w:t>
            </w:r>
          </w:p>
        </w:tc>
        <w:tc>
          <w:tcPr>
            <w:tcW w:w="96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435,484</w:t>
            </w:r>
          </w:p>
        </w:tc>
        <w:tc>
          <w:tcPr>
            <w:tcW w:w="7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870,968</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2,700,001</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Options(4)</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8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163,142</w:t>
            </w:r>
          </w:p>
        </w:tc>
        <w:tc>
          <w:tcPr>
            <w:tcW w:w="24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6.82</w:t>
            </w: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540,000</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Quarterly Incentive(5)</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2,700,000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5,400,000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8,100,000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Retention Bonus(6)</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962,500</w:t>
            </w: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40"/>
              <w:spacing w:after="0"/>
              <w:rPr>
                <w:sz w:val="20"/>
                <w:szCs w:val="20"/>
                <w:color w:val="auto"/>
              </w:rPr>
            </w:pPr>
            <w:r>
              <w:rPr>
                <w:rFonts w:ascii="Arial" w:cs="Arial" w:eastAsia="Arial" w:hAnsi="Arial"/>
                <w:sz w:val="11"/>
                <w:szCs w:val="11"/>
                <w:b w:val="1"/>
                <w:bCs w:val="1"/>
                <w:color w:val="0075C9"/>
              </w:rPr>
              <w:t>Francisco J. Leon</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Annual Incentive(1)</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4,822</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288,750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577,500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RSU(2)</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1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64,517</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400,005</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PSU(3)</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78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20,162</w:t>
            </w:r>
          </w:p>
        </w:tc>
        <w:tc>
          <w:tcPr>
            <w:tcW w:w="96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80,646</w:t>
            </w:r>
          </w:p>
        </w:tc>
        <w:tc>
          <w:tcPr>
            <w:tcW w:w="7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161,292</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500,005</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Options(4)</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8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30,212</w:t>
            </w:r>
          </w:p>
        </w:tc>
        <w:tc>
          <w:tcPr>
            <w:tcW w:w="24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6.82</w:t>
            </w: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100,002</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Quarterly Incentive(5)</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1,000,000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Retention Bonus(6)</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288,750</w:t>
            </w: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b w:val="1"/>
                <w:bCs w:val="1"/>
                <w:color w:val="0075C9"/>
              </w:rPr>
              <w:t>Marshall D. Smith</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Annual Incentive(1)</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10,020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600,000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1,200,000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RSU(2)</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1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129,033</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800,005</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PSU(3)</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40,323</w:t>
            </w:r>
          </w:p>
        </w:tc>
        <w:tc>
          <w:tcPr>
            <w:tcW w:w="96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161,291</w:t>
            </w:r>
          </w:p>
        </w:tc>
        <w:tc>
          <w:tcPr>
            <w:tcW w:w="7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322,582</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1,000,004</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Options(4)</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8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60,423</w:t>
            </w:r>
          </w:p>
        </w:tc>
        <w:tc>
          <w:tcPr>
            <w:tcW w:w="24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6.82</w:t>
            </w: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200,000</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Quarterly Incentive(5)</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1,000,000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2,000,000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3,000,000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Retention Bonus(6)</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600,000</w:t>
            </w: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b w:val="1"/>
                <w:bCs w:val="1"/>
                <w:color w:val="0075C9"/>
              </w:rPr>
              <w:t>Charles F. Weiss</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Annual Incentive(1)</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6,246</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374,000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748,000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RSU(2)</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1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74,194</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460,003</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PSU(3)</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23,186</w:t>
            </w:r>
          </w:p>
        </w:tc>
        <w:tc>
          <w:tcPr>
            <w:tcW w:w="96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92,742</w:t>
            </w:r>
          </w:p>
        </w:tc>
        <w:tc>
          <w:tcPr>
            <w:tcW w:w="7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185,484</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575,000</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Options(4)</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8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34,744</w:t>
            </w:r>
          </w:p>
        </w:tc>
        <w:tc>
          <w:tcPr>
            <w:tcW w:w="24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6.82</w:t>
            </w: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115,003</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Quarterly Incentive(5)</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575,000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1,150,000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1,725,000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Retention Bonus(6)</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374,000</w:t>
            </w: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b w:val="1"/>
                <w:bCs w:val="1"/>
                <w:color w:val="0075C9"/>
              </w:rPr>
              <w:t>Shawn M. Kerns</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Annual Incentive(1)</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6,388</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382,500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765,000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RSU(2)</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75,807</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470,003</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PSU(3)</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23,690</w:t>
            </w:r>
          </w:p>
        </w:tc>
        <w:tc>
          <w:tcPr>
            <w:tcW w:w="96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94,759</w:t>
            </w:r>
          </w:p>
        </w:tc>
        <w:tc>
          <w:tcPr>
            <w:tcW w:w="7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189,518</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587,506</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Options(4)</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35,499</w:t>
            </w:r>
          </w:p>
        </w:tc>
        <w:tc>
          <w:tcPr>
            <w:tcW w:w="24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6.82</w:t>
            </w:r>
          </w:p>
        </w:tc>
        <w:tc>
          <w:tcPr>
            <w:tcW w:w="260" w:type="dxa"/>
            <w:vAlign w:val="bottom"/>
            <w:gridSpan w:val="3"/>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117,502</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Quarterly Incentive(5)</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587,500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1,175,000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1,762,500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Retention Bonus(6)</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382,500</w:t>
            </w: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b w:val="1"/>
                <w:bCs w:val="1"/>
                <w:color w:val="0075C9"/>
              </w:rPr>
              <w:t>Darren Williams</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Annual Incentive(1)</w:t>
            </w:r>
          </w:p>
        </w:tc>
        <w:tc>
          <w:tcPr>
            <w:tcW w:w="5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6,764</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405,000</w:t>
            </w:r>
          </w:p>
        </w:tc>
        <w:tc>
          <w:tcPr>
            <w:tcW w:w="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810,000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RSU(2)</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70,968</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6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440,002</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PSU(3)</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22,178</w:t>
            </w:r>
          </w:p>
        </w:tc>
        <w:tc>
          <w:tcPr>
            <w:tcW w:w="960" w:type="dxa"/>
            <w:vAlign w:val="bottom"/>
            <w:shd w:val="clear" w:color="auto" w:fill="EBEBEC"/>
          </w:tcPr>
          <w:p>
            <w:pPr>
              <w:jc w:val="right"/>
              <w:ind w:right="63"/>
              <w:spacing w:after="0"/>
              <w:rPr>
                <w:sz w:val="20"/>
                <w:szCs w:val="20"/>
                <w:color w:val="auto"/>
              </w:rPr>
            </w:pPr>
            <w:r>
              <w:rPr>
                <w:rFonts w:ascii="Arial" w:cs="Arial" w:eastAsia="Arial" w:hAnsi="Arial"/>
                <w:sz w:val="11"/>
                <w:szCs w:val="11"/>
                <w:color w:val="auto"/>
              </w:rPr>
              <w:t>88,710</w:t>
            </w:r>
          </w:p>
        </w:tc>
        <w:tc>
          <w:tcPr>
            <w:tcW w:w="7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177,420</w:t>
            </w: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550,002</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540" w:type="dxa"/>
            <w:vAlign w:val="bottom"/>
            <w:shd w:val="clear" w:color="auto" w:fill="EBEBEC"/>
          </w:tcPr>
          <w:p>
            <w:pPr>
              <w:ind w:left="120"/>
              <w:spacing w:after="0"/>
              <w:rPr>
                <w:sz w:val="20"/>
                <w:szCs w:val="20"/>
                <w:color w:val="auto"/>
              </w:rPr>
            </w:pPr>
            <w:r>
              <w:rPr>
                <w:rFonts w:ascii="Arial" w:cs="Arial" w:eastAsia="Arial" w:hAnsi="Arial"/>
                <w:sz w:val="11"/>
                <w:szCs w:val="11"/>
                <w:color w:val="auto"/>
              </w:rPr>
              <w:t>Options(4)</w:t>
            </w:r>
          </w:p>
        </w:tc>
        <w:tc>
          <w:tcPr>
            <w:tcW w:w="560" w:type="dxa"/>
            <w:vAlign w:val="bottom"/>
            <w:shd w:val="clear" w:color="auto" w:fill="EBEBEC"/>
          </w:tcPr>
          <w:p>
            <w:pPr>
              <w:jc w:val="center"/>
              <w:spacing w:after="0"/>
              <w:rPr>
                <w:sz w:val="20"/>
                <w:szCs w:val="20"/>
                <w:color w:val="auto"/>
              </w:rPr>
            </w:pPr>
            <w:r>
              <w:rPr>
                <w:rFonts w:ascii="Arial" w:cs="Arial" w:eastAsia="Arial" w:hAnsi="Arial"/>
                <w:sz w:val="11"/>
                <w:szCs w:val="11"/>
                <w:color w:val="auto"/>
              </w:rPr>
              <w:t>2/18/2020</w:t>
            </w:r>
          </w:p>
        </w:tc>
        <w:tc>
          <w:tcPr>
            <w:tcW w:w="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33,233</w:t>
            </w:r>
          </w:p>
        </w:tc>
        <w:tc>
          <w:tcPr>
            <w:tcW w:w="10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6.82</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110,001</w:t>
            </w:r>
          </w:p>
        </w:tc>
        <w:tc>
          <w:tcPr>
            <w:tcW w:w="200" w:type="dxa"/>
            <w:vAlign w:val="bottom"/>
            <w:shd w:val="clear" w:color="auto" w:fill="EBEBEC"/>
          </w:tcPr>
          <w:p>
            <w:pPr>
              <w:spacing w:after="0"/>
              <w:rPr>
                <w:sz w:val="12"/>
                <w:szCs w:val="12"/>
                <w:color w:val="auto"/>
              </w:rPr>
            </w:pPr>
          </w:p>
        </w:tc>
        <w:tc>
          <w:tcPr>
            <w:tcW w:w="20" w:type="dxa"/>
            <w:vAlign w:val="bottom"/>
          </w:tcPr>
          <w:p>
            <w:pPr>
              <w:spacing w:after="0"/>
              <w:rPr>
                <w:sz w:val="12"/>
                <w:szCs w:val="12"/>
                <w:color w:val="auto"/>
              </w:rPr>
            </w:pPr>
          </w:p>
        </w:tc>
      </w:tr>
      <w:tr>
        <w:trPr>
          <w:trHeight w:val="423"/>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13"/>
          </w:tcPr>
          <w:p>
            <w:pPr>
              <w:jc w:val="right"/>
              <w:ind w:right="143"/>
              <w:spacing w:after="0"/>
              <w:rPr>
                <w:sz w:val="20"/>
                <w:szCs w:val="20"/>
                <w:color w:val="auto"/>
              </w:rPr>
            </w:pPr>
            <w:r>
              <w:rPr>
                <w:rFonts w:ascii="Arial" w:cs="Arial" w:eastAsia="Arial" w:hAnsi="Arial"/>
                <w:sz w:val="18"/>
                <w:szCs w:val="18"/>
                <w:color w:val="auto"/>
                <w:w w:val="98"/>
              </w:rPr>
              <w:t>CALIFORNIA RESOURCES CORPORATION</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49</w:t>
            </w:r>
          </w:p>
        </w:tc>
      </w:tr>
      <w:tr>
        <w:trPr>
          <w:trHeight w:val="100"/>
        </w:trPr>
        <w:tc>
          <w:tcPr>
            <w:tcW w:w="1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56" w:name="page57"/>
    <w:bookmarkEnd w:id="56"/>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460" w:type="dxa"/>
            <w:vAlign w:val="bottom"/>
            <w:shd w:val="clear" w:color="auto" w:fill="EBEBEC"/>
          </w:tcPr>
          <w:p>
            <w:pPr>
              <w:ind w:left="120"/>
              <w:spacing w:after="0"/>
              <w:rPr>
                <w:sz w:val="20"/>
                <w:szCs w:val="20"/>
                <w:color w:val="auto"/>
              </w:rPr>
            </w:pPr>
            <w:r>
              <w:rPr>
                <w:rFonts w:ascii="Arial" w:cs="Arial" w:eastAsia="Arial" w:hAnsi="Arial"/>
                <w:sz w:val="11"/>
                <w:szCs w:val="11"/>
                <w:color w:val="auto"/>
              </w:rPr>
              <w:t>Quarterly Incentive(5)</w:t>
            </w:r>
          </w:p>
        </w:tc>
        <w:tc>
          <w:tcPr>
            <w:tcW w:w="880" w:type="dxa"/>
            <w:vAlign w:val="bottom"/>
            <w:shd w:val="clear" w:color="auto" w:fill="EBEBEC"/>
          </w:tcPr>
          <w:p>
            <w:pPr>
              <w:jc w:val="right"/>
              <w:ind w:right="43"/>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ind w:right="23"/>
              <w:spacing w:after="0"/>
              <w:rPr>
                <w:sz w:val="20"/>
                <w:szCs w:val="20"/>
                <w:color w:val="auto"/>
              </w:rPr>
            </w:pPr>
            <w:r>
              <w:rPr>
                <w:rFonts w:ascii="Arial" w:cs="Arial" w:eastAsia="Arial" w:hAnsi="Arial"/>
                <w:sz w:val="11"/>
                <w:szCs w:val="11"/>
                <w:color w:val="auto"/>
              </w:rPr>
              <w:t>550,000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43"/>
              <w:spacing w:after="0"/>
              <w:rPr>
                <w:sz w:val="20"/>
                <w:szCs w:val="20"/>
                <w:color w:val="auto"/>
              </w:rPr>
            </w:pPr>
            <w:r>
              <w:rPr>
                <w:rFonts w:ascii="Arial" w:cs="Arial" w:eastAsia="Arial" w:hAnsi="Arial"/>
                <w:sz w:val="11"/>
                <w:szCs w:val="11"/>
                <w:color w:val="auto"/>
              </w:rPr>
              <w:t>1,100,000</w:t>
            </w:r>
          </w:p>
        </w:tc>
        <w:tc>
          <w:tcPr>
            <w:tcW w:w="220" w:type="dxa"/>
            <w:vAlign w:val="bottom"/>
            <w:shd w:val="clear" w:color="auto" w:fill="EBEBEC"/>
          </w:tcPr>
          <w:p>
            <w:pPr>
              <w:jc w:val="right"/>
              <w:ind w:right="3"/>
              <w:spacing w:after="0"/>
              <w:rPr>
                <w:sz w:val="20"/>
                <w:szCs w:val="20"/>
                <w:color w:val="auto"/>
              </w:rPr>
            </w:pPr>
            <w:r>
              <w:rPr>
                <w:rFonts w:ascii="Arial" w:cs="Arial" w:eastAsia="Arial" w:hAnsi="Arial"/>
                <w:sz w:val="11"/>
                <w:szCs w:val="11"/>
                <w:color w:val="auto"/>
              </w:rPr>
              <w:t>$</w:t>
            </w:r>
          </w:p>
        </w:tc>
        <w:tc>
          <w:tcPr>
            <w:tcW w:w="7240" w:type="dxa"/>
            <w:vAlign w:val="bottom"/>
            <w:shd w:val="clear" w:color="auto" w:fill="EBEBEC"/>
          </w:tcPr>
          <w:p>
            <w:pPr>
              <w:jc w:val="right"/>
              <w:ind w:right="6603"/>
              <w:spacing w:after="0"/>
              <w:rPr>
                <w:sz w:val="20"/>
                <w:szCs w:val="20"/>
                <w:color w:val="auto"/>
              </w:rPr>
            </w:pPr>
            <w:r>
              <w:rPr>
                <w:rFonts w:ascii="Arial" w:cs="Arial" w:eastAsia="Arial" w:hAnsi="Arial"/>
                <w:sz w:val="11"/>
                <w:szCs w:val="11"/>
                <w:color w:val="auto"/>
              </w:rPr>
              <w:t>1,650,000</w:t>
            </w:r>
          </w:p>
        </w:tc>
      </w:tr>
      <w:tr>
        <w:trPr>
          <w:trHeight w:val="146"/>
        </w:trPr>
        <w:tc>
          <w:tcPr>
            <w:tcW w:w="1460" w:type="dxa"/>
            <w:vAlign w:val="bottom"/>
            <w:shd w:val="clear" w:color="auto" w:fill="EBEBEC"/>
          </w:tcPr>
          <w:p>
            <w:pPr>
              <w:ind w:left="120"/>
              <w:spacing w:after="0"/>
              <w:rPr>
                <w:sz w:val="20"/>
                <w:szCs w:val="20"/>
                <w:color w:val="auto"/>
              </w:rPr>
            </w:pPr>
            <w:r>
              <w:rPr>
                <w:rFonts w:ascii="Arial" w:cs="Arial" w:eastAsia="Arial" w:hAnsi="Arial"/>
                <w:sz w:val="11"/>
                <w:szCs w:val="11"/>
                <w:color w:val="auto"/>
              </w:rPr>
              <w:t>Retention Bonus(6)</w:t>
            </w:r>
          </w:p>
        </w:tc>
        <w:tc>
          <w:tcPr>
            <w:tcW w:w="88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43"/>
              <w:spacing w:after="0"/>
              <w:rPr>
                <w:sz w:val="20"/>
                <w:szCs w:val="20"/>
                <w:color w:val="auto"/>
              </w:rPr>
            </w:pPr>
            <w:r>
              <w:rPr>
                <w:rFonts w:ascii="Arial" w:cs="Arial" w:eastAsia="Arial" w:hAnsi="Arial"/>
                <w:sz w:val="11"/>
                <w:szCs w:val="11"/>
                <w:color w:val="auto"/>
              </w:rPr>
              <w:t>405,000</w:t>
            </w:r>
          </w:p>
        </w:tc>
        <w:tc>
          <w:tcPr>
            <w:tcW w:w="220" w:type="dxa"/>
            <w:vAlign w:val="bottom"/>
            <w:shd w:val="clear" w:color="auto" w:fill="EBEBEC"/>
          </w:tcPr>
          <w:p>
            <w:pPr>
              <w:spacing w:after="0"/>
              <w:rPr>
                <w:sz w:val="12"/>
                <w:szCs w:val="12"/>
                <w:color w:val="auto"/>
              </w:rPr>
            </w:pPr>
          </w:p>
        </w:tc>
        <w:tc>
          <w:tcPr>
            <w:tcW w:w="7240" w:type="dxa"/>
            <w:vAlign w:val="bottom"/>
            <w:shd w:val="clear" w:color="auto" w:fill="EBEBEC"/>
          </w:tcPr>
          <w:p>
            <w:pPr>
              <w:spacing w:after="0"/>
              <w:rPr>
                <w:sz w:val="12"/>
                <w:szCs w:val="12"/>
                <w:color w:val="auto"/>
              </w:rPr>
            </w:pPr>
          </w:p>
        </w:tc>
      </w:tr>
    </w:tbl>
    <w:p>
      <w:pPr>
        <w:spacing w:after="0" w:line="190" w:lineRule="exact"/>
        <w:rPr>
          <w:sz w:val="20"/>
          <w:szCs w:val="20"/>
          <w:color w:val="auto"/>
        </w:rPr>
      </w:pPr>
    </w:p>
    <w:p>
      <w:pPr>
        <w:ind w:left="360" w:right="20" w:hanging="354"/>
        <w:spacing w:after="0" w:line="216"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4"/>
          <w:szCs w:val="14"/>
          <w:color w:val="auto"/>
        </w:rPr>
        <w:t>Payout of the Annual Incentive Award was intended to range from 0% to 200% of target. Threshold amounts shown at 1.67% of target, calculated based on threshold payout of the lowest weighted performance metric under the award. The Annual Incentive Award was cancelled with no payout and replaced by the Quarterly Incentive Award and Retention Bonus Award in May 2020.</w:t>
      </w:r>
    </w:p>
    <w:p>
      <w:pPr>
        <w:spacing w:after="0" w:line="68" w:lineRule="exact"/>
        <w:rPr>
          <w:rFonts w:ascii="Arial" w:cs="Arial" w:eastAsia="Arial" w:hAnsi="Arial"/>
          <w:sz w:val="11"/>
          <w:szCs w:val="11"/>
          <w:color w:val="auto"/>
        </w:rPr>
      </w:pPr>
    </w:p>
    <w:p>
      <w:pPr>
        <w:ind w:left="360" w:right="40" w:hanging="354"/>
        <w:spacing w:after="0" w:line="211"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14 Stock-Based Compensation to CRC’s Consolidated Financial Statements in the Form 10-K for the year ended December 31, 2020. The units were to vest ratably over the three-year period beginning on the grant date. The RSU awards were forfeited by the executives in May 2020 upon acceptance of the Quarterly Incentive Award and Retention Bonus Award.</w:t>
      </w:r>
    </w:p>
    <w:p>
      <w:pPr>
        <w:spacing w:after="0" w:line="69" w:lineRule="exact"/>
        <w:rPr>
          <w:rFonts w:ascii="Arial" w:cs="Arial" w:eastAsia="Arial" w:hAnsi="Arial"/>
          <w:sz w:val="11"/>
          <w:szCs w:val="11"/>
          <w:color w:val="auto"/>
        </w:rPr>
      </w:pPr>
    </w:p>
    <w:p>
      <w:pPr>
        <w:ind w:left="360" w:right="360" w:hanging="354"/>
        <w:spacing w:after="0" w:line="211"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4"/>
          <w:szCs w:val="14"/>
          <w:color w:val="auto"/>
        </w:rPr>
        <w:t>Payouts under the Performance Stock Unit award were intended to range from 0% to 200% of target based on performance during the three-year period from January 1, 2020 through December 31, 2022. The threshold amount is shown at 25% of target, calculated based on threshold payout under one of the two performance metrics under the award. The PSU Awards were scheduled to vest on February 17, 2023. The PSU awards were forfeited by the executives in May 2020 upon acceptance of the Quarterly Incentive Award and Retention Bonus Award.</w:t>
      </w:r>
    </w:p>
    <w:p>
      <w:pPr>
        <w:spacing w:after="0" w:line="69" w:lineRule="exact"/>
        <w:rPr>
          <w:rFonts w:ascii="Arial" w:cs="Arial" w:eastAsia="Arial" w:hAnsi="Arial"/>
          <w:sz w:val="11"/>
          <w:szCs w:val="11"/>
          <w:color w:val="auto"/>
        </w:rPr>
      </w:pPr>
    </w:p>
    <w:p>
      <w:pPr>
        <w:ind w:left="360" w:right="100" w:hanging="354"/>
        <w:spacing w:after="0" w:line="211"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The Option Awards had an exercise price that was 10% higher than the price on the grant date. The amounts shown represent the estimated grant date fair value of the options granted as computed in accordance with FASB ASC Topic 718, as more fully described in Note 14 to CRC’s Consolidated Financial Statements in the Form 10-K for the year ended December 31, 2020. The Option awards were forfeited by the executives in May 2020 upon acceptance of the Quarterly Incentive Award and Retention Bonus Award.</w:t>
      </w:r>
    </w:p>
    <w:p>
      <w:pPr>
        <w:spacing w:after="0" w:line="69" w:lineRule="exact"/>
        <w:rPr>
          <w:rFonts w:ascii="Arial" w:cs="Arial" w:eastAsia="Arial" w:hAnsi="Arial"/>
          <w:sz w:val="11"/>
          <w:szCs w:val="11"/>
          <w:color w:val="auto"/>
        </w:rPr>
      </w:pPr>
    </w:p>
    <w:p>
      <w:pPr>
        <w:ind w:left="360" w:right="380" w:hanging="354"/>
        <w:spacing w:after="0" w:line="225"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The Quarterly Incentive Award was granted in May 2020 to replace the previously granted 2020 annual incentive and stock-based awards with an entirely cash-based award program. Cumulative payouts under the Quarterly Incentive Award ranged from 50% to 150% of the target incentive amount.</w:t>
      </w:r>
    </w:p>
    <w:p>
      <w:pPr>
        <w:spacing w:after="0" w:line="69" w:lineRule="exact"/>
        <w:rPr>
          <w:rFonts w:ascii="Arial" w:cs="Arial" w:eastAsia="Arial" w:hAnsi="Arial"/>
          <w:sz w:val="11"/>
          <w:szCs w:val="11"/>
          <w:color w:val="auto"/>
        </w:rPr>
      </w:pPr>
    </w:p>
    <w:p>
      <w:pPr>
        <w:ind w:left="360" w:right="120" w:hanging="354"/>
        <w:spacing w:after="0" w:line="216"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The Retention Bonus Award was granted in May 2020 to replace the previously granted 2020 annual incentive and stock-based awards with an entirely cash-based award program. Payout under the Retention Bonus Award was made in May 2020 and was subject to repayment by the executive upon certain terminations of employment prior to the earlier of 18 months or the company’s emergence from bankruptcy.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2020</w:t>
      </w:r>
    </w:p>
    <w:p>
      <w:pPr>
        <w:spacing w:after="0" w:line="2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There were no outstanding equity awards as of December 31, 2020, since executives forfeited equity awards granted in 2020 upon acceptance of the cash-based Quarterly Incentive Awards and Retention Awards in May 2020 and all outstanding equity awards granted prior to 2020 were cancelled upon the company’s emergence from the Chapter 11 case in October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for our NEOs, the CRC option and stock awards exercised or vested during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520" w:type="dxa"/>
            <w:vAlign w:val="bottom"/>
          </w:tcPr>
          <w:p>
            <w:pPr>
              <w:spacing w:after="0"/>
              <w:rPr>
                <w:sz w:val="13"/>
                <w:szCs w:val="13"/>
                <w:color w:val="auto"/>
              </w:rPr>
            </w:pPr>
          </w:p>
        </w:tc>
        <w:tc>
          <w:tcPr>
            <w:tcW w:w="1220" w:type="dxa"/>
            <w:vAlign w:val="bottom"/>
            <w:tcBorders>
              <w:bottom w:val="single" w:sz="8" w:color="0075C9"/>
            </w:tcBorders>
          </w:tcPr>
          <w:p>
            <w:pPr>
              <w:spacing w:after="0"/>
              <w:rPr>
                <w:sz w:val="13"/>
                <w:szCs w:val="13"/>
                <w:color w:val="auto"/>
              </w:rPr>
            </w:pPr>
          </w:p>
        </w:tc>
        <w:tc>
          <w:tcPr>
            <w:tcW w:w="1900" w:type="dxa"/>
            <w:vAlign w:val="bottom"/>
            <w:tcBorders>
              <w:bottom w:val="single" w:sz="8" w:color="0075C9"/>
            </w:tcBorders>
          </w:tcPr>
          <w:p>
            <w:pPr>
              <w:jc w:val="right"/>
              <w:ind w:right="798"/>
              <w:spacing w:after="0"/>
              <w:rPr>
                <w:sz w:val="20"/>
                <w:szCs w:val="20"/>
                <w:color w:val="auto"/>
              </w:rPr>
            </w:pPr>
            <w:r>
              <w:rPr>
                <w:rFonts w:ascii="Arial" w:cs="Arial" w:eastAsia="Arial" w:hAnsi="Arial"/>
                <w:sz w:val="12"/>
                <w:szCs w:val="12"/>
                <w:b w:val="1"/>
                <w:bCs w:val="1"/>
                <w:color w:val="0075C9"/>
              </w:rPr>
              <w:t>Option Awards</w:t>
            </w:r>
          </w:p>
        </w:tc>
        <w:tc>
          <w:tcPr>
            <w:tcW w:w="600" w:type="dxa"/>
            <w:vAlign w:val="bottom"/>
            <w:tcBorders>
              <w:bottom w:val="single" w:sz="8" w:color="0075C9"/>
            </w:tcBorders>
          </w:tcPr>
          <w:p>
            <w:pPr>
              <w:spacing w:after="0"/>
              <w:rPr>
                <w:sz w:val="13"/>
                <w:szCs w:val="13"/>
                <w:color w:val="auto"/>
              </w:rPr>
            </w:pPr>
          </w:p>
        </w:tc>
        <w:tc>
          <w:tcPr>
            <w:tcW w:w="1380" w:type="dxa"/>
            <w:vAlign w:val="bottom"/>
            <w:tcBorders>
              <w:bottom w:val="single" w:sz="8" w:color="0075C9"/>
            </w:tcBorders>
          </w:tcPr>
          <w:p>
            <w:pPr>
              <w:spacing w:after="0"/>
              <w:rPr>
                <w:sz w:val="13"/>
                <w:szCs w:val="13"/>
                <w:color w:val="auto"/>
              </w:rPr>
            </w:pPr>
          </w:p>
        </w:tc>
        <w:tc>
          <w:tcPr>
            <w:tcW w:w="1460" w:type="dxa"/>
            <w:vAlign w:val="bottom"/>
            <w:tcBorders>
              <w:bottom w:val="single" w:sz="8" w:color="0075C9"/>
            </w:tcBorders>
          </w:tcPr>
          <w:p>
            <w:pPr>
              <w:jc w:val="right"/>
              <w:ind w:right="418"/>
              <w:spacing w:after="0"/>
              <w:rPr>
                <w:sz w:val="20"/>
                <w:szCs w:val="20"/>
                <w:color w:val="auto"/>
              </w:rPr>
            </w:pPr>
            <w:r>
              <w:rPr>
                <w:rFonts w:ascii="Arial" w:cs="Arial" w:eastAsia="Arial" w:hAnsi="Arial"/>
                <w:sz w:val="12"/>
                <w:szCs w:val="12"/>
                <w:b w:val="1"/>
                <w:bCs w:val="1"/>
                <w:color w:val="0075C9"/>
              </w:rPr>
              <w:t>Stock Awards</w:t>
            </w:r>
          </w:p>
        </w:tc>
        <w:tc>
          <w:tcPr>
            <w:tcW w:w="1160" w:type="dxa"/>
            <w:vAlign w:val="bottom"/>
            <w:tcBorders>
              <w:bottom w:val="single" w:sz="8" w:color="0075C9"/>
            </w:tcBorders>
          </w:tcPr>
          <w:p>
            <w:pPr>
              <w:spacing w:after="0"/>
              <w:rPr>
                <w:sz w:val="13"/>
                <w:szCs w:val="13"/>
                <w:color w:val="auto"/>
              </w:rPr>
            </w:pPr>
          </w:p>
        </w:tc>
      </w:tr>
      <w:tr>
        <w:trPr>
          <w:trHeight w:val="119"/>
        </w:trPr>
        <w:tc>
          <w:tcPr>
            <w:tcW w:w="3520" w:type="dxa"/>
            <w:vAlign w:val="bottom"/>
          </w:tcPr>
          <w:p>
            <w:pPr>
              <w:spacing w:after="0"/>
              <w:rPr>
                <w:sz w:val="10"/>
                <w:szCs w:val="10"/>
                <w:color w:val="auto"/>
              </w:rPr>
            </w:pPr>
          </w:p>
        </w:tc>
        <w:tc>
          <w:tcPr>
            <w:tcW w:w="1220" w:type="dxa"/>
            <w:vAlign w:val="bottom"/>
          </w:tcPr>
          <w:p>
            <w:pPr>
              <w:jc w:val="center"/>
              <w:ind w:left="298"/>
              <w:spacing w:after="0" w:line="120" w:lineRule="exact"/>
              <w:rPr>
                <w:sz w:val="20"/>
                <w:szCs w:val="20"/>
                <w:color w:val="auto"/>
              </w:rPr>
            </w:pPr>
            <w:r>
              <w:rPr>
                <w:rFonts w:ascii="Arial" w:cs="Arial" w:eastAsia="Arial" w:hAnsi="Arial"/>
                <w:sz w:val="12"/>
                <w:szCs w:val="12"/>
                <w:b w:val="1"/>
                <w:bCs w:val="1"/>
                <w:color w:val="0075C9"/>
              </w:rPr>
              <w:t>Number of</w:t>
            </w:r>
          </w:p>
        </w:tc>
        <w:tc>
          <w:tcPr>
            <w:tcW w:w="1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80" w:type="dxa"/>
            <w:vAlign w:val="bottom"/>
          </w:tcPr>
          <w:p>
            <w:pPr>
              <w:jc w:val="center"/>
              <w:ind w:left="218"/>
              <w:spacing w:after="0" w:line="120" w:lineRule="exact"/>
              <w:rPr>
                <w:sz w:val="20"/>
                <w:szCs w:val="20"/>
                <w:color w:val="auto"/>
              </w:rPr>
            </w:pPr>
            <w:r>
              <w:rPr>
                <w:rFonts w:ascii="Arial" w:cs="Arial" w:eastAsia="Arial" w:hAnsi="Arial"/>
                <w:sz w:val="12"/>
                <w:szCs w:val="12"/>
                <w:b w:val="1"/>
                <w:bCs w:val="1"/>
                <w:color w:val="0075C9"/>
              </w:rPr>
              <w:t>Number of</w:t>
            </w:r>
          </w:p>
        </w:tc>
        <w:tc>
          <w:tcPr>
            <w:tcW w:w="14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33"/>
        </w:trPr>
        <w:tc>
          <w:tcPr>
            <w:tcW w:w="3520" w:type="dxa"/>
            <w:vAlign w:val="bottom"/>
          </w:tcPr>
          <w:p>
            <w:pPr>
              <w:spacing w:after="0"/>
              <w:rPr>
                <w:sz w:val="11"/>
                <w:szCs w:val="11"/>
                <w:color w:val="auto"/>
              </w:rPr>
            </w:pPr>
          </w:p>
        </w:tc>
        <w:tc>
          <w:tcPr>
            <w:tcW w:w="1220" w:type="dxa"/>
            <w:vAlign w:val="bottom"/>
          </w:tcPr>
          <w:p>
            <w:pPr>
              <w:jc w:val="center"/>
              <w:ind w:left="298"/>
              <w:spacing w:after="0" w:line="133" w:lineRule="exact"/>
              <w:rPr>
                <w:sz w:val="20"/>
                <w:szCs w:val="20"/>
                <w:color w:val="auto"/>
              </w:rPr>
            </w:pPr>
            <w:r>
              <w:rPr>
                <w:rFonts w:ascii="Arial" w:cs="Arial" w:eastAsia="Arial" w:hAnsi="Arial"/>
                <w:sz w:val="12"/>
                <w:szCs w:val="12"/>
                <w:b w:val="1"/>
                <w:bCs w:val="1"/>
                <w:color w:val="0075C9"/>
              </w:rPr>
              <w:t>Shares</w:t>
            </w:r>
          </w:p>
        </w:tc>
        <w:tc>
          <w:tcPr>
            <w:tcW w:w="1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tcPr>
          <w:p>
            <w:pPr>
              <w:jc w:val="center"/>
              <w:ind w:left="218"/>
              <w:spacing w:after="0" w:line="133" w:lineRule="exact"/>
              <w:rPr>
                <w:sz w:val="20"/>
                <w:szCs w:val="20"/>
                <w:color w:val="auto"/>
              </w:rPr>
            </w:pPr>
            <w:r>
              <w:rPr>
                <w:rFonts w:ascii="Arial" w:cs="Arial" w:eastAsia="Arial" w:hAnsi="Arial"/>
                <w:sz w:val="12"/>
                <w:szCs w:val="12"/>
                <w:b w:val="1"/>
                <w:bCs w:val="1"/>
                <w:color w:val="0075C9"/>
              </w:rPr>
              <w:t>Shares</w:t>
            </w:r>
          </w:p>
        </w:tc>
        <w:tc>
          <w:tcPr>
            <w:tcW w:w="2620" w:type="dxa"/>
            <w:vAlign w:val="bottom"/>
            <w:gridSpan w:val="2"/>
          </w:tcPr>
          <w:p>
            <w:pPr>
              <w:jc w:val="right"/>
              <w:ind w:right="638"/>
              <w:spacing w:after="0" w:line="133" w:lineRule="exact"/>
              <w:rPr>
                <w:sz w:val="20"/>
                <w:szCs w:val="20"/>
                <w:color w:val="auto"/>
              </w:rPr>
            </w:pPr>
            <w:r>
              <w:rPr>
                <w:rFonts w:ascii="Arial" w:cs="Arial" w:eastAsia="Arial" w:hAnsi="Arial"/>
                <w:sz w:val="12"/>
                <w:szCs w:val="12"/>
                <w:b w:val="1"/>
                <w:bCs w:val="1"/>
                <w:color w:val="0075C9"/>
              </w:rPr>
              <w:t>Value Realized</w:t>
            </w:r>
          </w:p>
        </w:tc>
      </w:tr>
      <w:tr>
        <w:trPr>
          <w:trHeight w:val="132"/>
        </w:trPr>
        <w:tc>
          <w:tcPr>
            <w:tcW w:w="3520" w:type="dxa"/>
            <w:vAlign w:val="bottom"/>
          </w:tcPr>
          <w:p>
            <w:pPr>
              <w:spacing w:after="0"/>
              <w:rPr>
                <w:sz w:val="11"/>
                <w:szCs w:val="11"/>
                <w:color w:val="auto"/>
              </w:rPr>
            </w:pPr>
          </w:p>
        </w:tc>
        <w:tc>
          <w:tcPr>
            <w:tcW w:w="1220" w:type="dxa"/>
            <w:vAlign w:val="bottom"/>
          </w:tcPr>
          <w:p>
            <w:pPr>
              <w:jc w:val="center"/>
              <w:ind w:left="318"/>
              <w:spacing w:after="0" w:line="133" w:lineRule="exact"/>
              <w:rPr>
                <w:sz w:val="20"/>
                <w:szCs w:val="20"/>
                <w:color w:val="auto"/>
              </w:rPr>
            </w:pPr>
            <w:r>
              <w:rPr>
                <w:rFonts w:ascii="Arial" w:cs="Arial" w:eastAsia="Arial" w:hAnsi="Arial"/>
                <w:sz w:val="12"/>
                <w:szCs w:val="12"/>
                <w:b w:val="1"/>
                <w:bCs w:val="1"/>
                <w:color w:val="0075C9"/>
              </w:rPr>
              <w:t>Acquired on</w:t>
            </w:r>
          </w:p>
        </w:tc>
        <w:tc>
          <w:tcPr>
            <w:tcW w:w="1900" w:type="dxa"/>
            <w:vAlign w:val="bottom"/>
          </w:tcPr>
          <w:p>
            <w:pPr>
              <w:jc w:val="right"/>
              <w:ind w:right="18"/>
              <w:spacing w:after="0" w:line="133" w:lineRule="exact"/>
              <w:rPr>
                <w:sz w:val="20"/>
                <w:szCs w:val="20"/>
                <w:color w:val="auto"/>
              </w:rPr>
            </w:pPr>
            <w:r>
              <w:rPr>
                <w:rFonts w:ascii="Arial" w:cs="Arial" w:eastAsia="Arial" w:hAnsi="Arial"/>
                <w:sz w:val="12"/>
                <w:szCs w:val="12"/>
                <w:b w:val="1"/>
                <w:bCs w:val="1"/>
                <w:color w:val="0075C9"/>
              </w:rPr>
              <w:t>Value Realized</w:t>
            </w:r>
          </w:p>
        </w:tc>
        <w:tc>
          <w:tcPr>
            <w:tcW w:w="600" w:type="dxa"/>
            <w:vAlign w:val="bottom"/>
          </w:tcPr>
          <w:p>
            <w:pPr>
              <w:spacing w:after="0"/>
              <w:rPr>
                <w:sz w:val="11"/>
                <w:szCs w:val="11"/>
                <w:color w:val="auto"/>
              </w:rPr>
            </w:pPr>
          </w:p>
        </w:tc>
        <w:tc>
          <w:tcPr>
            <w:tcW w:w="1380" w:type="dxa"/>
            <w:vAlign w:val="bottom"/>
          </w:tcPr>
          <w:p>
            <w:pPr>
              <w:jc w:val="center"/>
              <w:ind w:left="238"/>
              <w:spacing w:after="0" w:line="133" w:lineRule="exact"/>
              <w:rPr>
                <w:sz w:val="20"/>
                <w:szCs w:val="20"/>
                <w:color w:val="auto"/>
              </w:rPr>
            </w:pPr>
            <w:r>
              <w:rPr>
                <w:rFonts w:ascii="Arial" w:cs="Arial" w:eastAsia="Arial" w:hAnsi="Arial"/>
                <w:sz w:val="12"/>
                <w:szCs w:val="12"/>
                <w:b w:val="1"/>
                <w:bCs w:val="1"/>
                <w:color w:val="0075C9"/>
              </w:rPr>
              <w:t>Acquired on</w:t>
            </w:r>
          </w:p>
        </w:tc>
        <w:tc>
          <w:tcPr>
            <w:tcW w:w="2620" w:type="dxa"/>
            <w:vAlign w:val="bottom"/>
            <w:gridSpan w:val="2"/>
          </w:tcPr>
          <w:p>
            <w:pPr>
              <w:jc w:val="right"/>
              <w:ind w:right="758"/>
              <w:spacing w:after="0" w:line="133" w:lineRule="exact"/>
              <w:rPr>
                <w:sz w:val="20"/>
                <w:szCs w:val="20"/>
                <w:color w:val="auto"/>
              </w:rPr>
            </w:pPr>
            <w:r>
              <w:rPr>
                <w:rFonts w:ascii="Arial" w:cs="Arial" w:eastAsia="Arial" w:hAnsi="Arial"/>
                <w:sz w:val="12"/>
                <w:szCs w:val="12"/>
                <w:b w:val="1"/>
                <w:bCs w:val="1"/>
                <w:color w:val="0075C9"/>
              </w:rPr>
              <w:t>on Vesting</w:t>
            </w:r>
          </w:p>
        </w:tc>
      </w:tr>
      <w:tr>
        <w:trPr>
          <w:trHeight w:val="152"/>
        </w:trPr>
        <w:tc>
          <w:tcPr>
            <w:tcW w:w="352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Name</w:t>
            </w:r>
          </w:p>
        </w:tc>
        <w:tc>
          <w:tcPr>
            <w:tcW w:w="1220" w:type="dxa"/>
            <w:vAlign w:val="bottom"/>
            <w:tcBorders>
              <w:bottom w:val="single" w:sz="8" w:color="0075C9"/>
            </w:tcBorders>
          </w:tcPr>
          <w:p>
            <w:pPr>
              <w:jc w:val="center"/>
              <w:ind w:left="298"/>
              <w:spacing w:after="0"/>
              <w:rPr>
                <w:sz w:val="20"/>
                <w:szCs w:val="20"/>
                <w:color w:val="auto"/>
              </w:rPr>
            </w:pPr>
            <w:r>
              <w:rPr>
                <w:rFonts w:ascii="Arial" w:cs="Arial" w:eastAsia="Arial" w:hAnsi="Arial"/>
                <w:sz w:val="12"/>
                <w:szCs w:val="12"/>
                <w:b w:val="1"/>
                <w:bCs w:val="1"/>
                <w:color w:val="0075C9"/>
              </w:rPr>
              <w:t>Exercise (#)</w:t>
            </w:r>
          </w:p>
        </w:tc>
        <w:tc>
          <w:tcPr>
            <w:tcW w:w="190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0075C9"/>
              </w:rPr>
              <w:t>on Exercise ($)</w:t>
            </w:r>
          </w:p>
        </w:tc>
        <w:tc>
          <w:tcPr>
            <w:tcW w:w="600" w:type="dxa"/>
            <w:vAlign w:val="bottom"/>
            <w:tcBorders>
              <w:bottom w:val="single" w:sz="8" w:color="0075C9"/>
            </w:tcBorders>
          </w:tcPr>
          <w:p>
            <w:pPr>
              <w:spacing w:after="0"/>
              <w:rPr>
                <w:sz w:val="13"/>
                <w:szCs w:val="13"/>
                <w:color w:val="auto"/>
              </w:rPr>
            </w:pPr>
          </w:p>
        </w:tc>
        <w:tc>
          <w:tcPr>
            <w:tcW w:w="1380" w:type="dxa"/>
            <w:vAlign w:val="bottom"/>
            <w:tcBorders>
              <w:bottom w:val="single" w:sz="8" w:color="0075C9"/>
            </w:tcBorders>
          </w:tcPr>
          <w:p>
            <w:pPr>
              <w:jc w:val="center"/>
              <w:ind w:left="218"/>
              <w:spacing w:after="0"/>
              <w:rPr>
                <w:sz w:val="20"/>
                <w:szCs w:val="20"/>
                <w:color w:val="auto"/>
              </w:rPr>
            </w:pPr>
            <w:r>
              <w:rPr>
                <w:rFonts w:ascii="Arial" w:cs="Arial" w:eastAsia="Arial" w:hAnsi="Arial"/>
                <w:sz w:val="12"/>
                <w:szCs w:val="12"/>
                <w:b w:val="1"/>
                <w:bCs w:val="1"/>
                <w:color w:val="0075C9"/>
              </w:rPr>
              <w:t>Vesting (#)</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0075C9"/>
              </w:rPr>
              <w:t>($</w:t>
            </w:r>
          </w:p>
        </w:tc>
        <w:tc>
          <w:tcPr>
            <w:tcW w:w="1160" w:type="dxa"/>
            <w:vAlign w:val="bottom"/>
            <w:tcBorders>
              <w:bottom w:val="single" w:sz="8" w:color="0075C9"/>
            </w:tcBorders>
          </w:tcPr>
          <w:p>
            <w:pPr>
              <w:jc w:val="right"/>
              <w:ind w:right="918"/>
              <w:spacing w:after="0"/>
              <w:rPr>
                <w:sz w:val="20"/>
                <w:szCs w:val="20"/>
                <w:color w:val="auto"/>
              </w:rPr>
            </w:pPr>
            <w:r>
              <w:rPr>
                <w:rFonts w:ascii="Arial" w:cs="Arial" w:eastAsia="Arial" w:hAnsi="Arial"/>
                <w:sz w:val="12"/>
                <w:szCs w:val="12"/>
                <w:b w:val="1"/>
                <w:bCs w:val="1"/>
                <w:color w:val="0075C9"/>
                <w:w w:val="85"/>
              </w:rPr>
              <w:t>)(1)</w:t>
            </w:r>
          </w:p>
        </w:tc>
      </w:tr>
      <w:tr>
        <w:trPr>
          <w:trHeight w:val="13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Mark A. (Mac) McFarland</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18"/>
              <w:spacing w:after="0"/>
              <w:rPr>
                <w:sz w:val="20"/>
                <w:szCs w:val="20"/>
                <w:color w:val="auto"/>
              </w:rPr>
            </w:pPr>
            <w:r>
              <w:rPr>
                <w:rFonts w:ascii="Arial" w:cs="Arial" w:eastAsia="Arial" w:hAnsi="Arial"/>
                <w:sz w:val="12"/>
                <w:szCs w:val="12"/>
                <w:color w:val="auto"/>
                <w:w w:val="89"/>
              </w:rPr>
              <w:t>0</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0</w:t>
            </w:r>
          </w:p>
        </w:tc>
      </w:tr>
      <w:tr>
        <w:trPr>
          <w:trHeight w:val="15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Todd A. Stevens</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38"/>
              <w:spacing w:after="0"/>
              <w:rPr>
                <w:sz w:val="20"/>
                <w:szCs w:val="20"/>
                <w:color w:val="auto"/>
              </w:rPr>
            </w:pPr>
            <w:r>
              <w:rPr>
                <w:rFonts w:ascii="Arial" w:cs="Arial" w:eastAsia="Arial" w:hAnsi="Arial"/>
                <w:sz w:val="12"/>
                <w:szCs w:val="12"/>
                <w:color w:val="auto"/>
              </w:rPr>
              <w:t>113,501</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734,612</w:t>
            </w:r>
          </w:p>
        </w:tc>
      </w:tr>
      <w:tr>
        <w:trPr>
          <w:trHeight w:val="15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Francisco J. Leon</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18"/>
              <w:spacing w:after="0"/>
              <w:rPr>
                <w:sz w:val="20"/>
                <w:szCs w:val="20"/>
                <w:color w:val="auto"/>
              </w:rPr>
            </w:pPr>
            <w:r>
              <w:rPr>
                <w:rFonts w:ascii="Arial" w:cs="Arial" w:eastAsia="Arial" w:hAnsi="Arial"/>
                <w:sz w:val="12"/>
                <w:szCs w:val="12"/>
                <w:color w:val="auto"/>
              </w:rPr>
              <w:t>15,139</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97,128</w:t>
            </w:r>
          </w:p>
        </w:tc>
      </w:tr>
      <w:tr>
        <w:trPr>
          <w:trHeight w:val="15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Marshall D. Smith</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18"/>
              <w:spacing w:after="0"/>
              <w:rPr>
                <w:sz w:val="20"/>
                <w:szCs w:val="20"/>
                <w:color w:val="auto"/>
              </w:rPr>
            </w:pPr>
            <w:r>
              <w:rPr>
                <w:rFonts w:ascii="Arial" w:cs="Arial" w:eastAsia="Arial" w:hAnsi="Arial"/>
                <w:sz w:val="12"/>
                <w:szCs w:val="12"/>
                <w:color w:val="auto"/>
              </w:rPr>
              <w:t>42,932</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278,066</w:t>
            </w:r>
          </w:p>
        </w:tc>
      </w:tr>
      <w:tr>
        <w:trPr>
          <w:trHeight w:val="15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Charles F. Weiss</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18"/>
              <w:spacing w:after="0"/>
              <w:rPr>
                <w:sz w:val="20"/>
                <w:szCs w:val="20"/>
                <w:color w:val="auto"/>
              </w:rPr>
            </w:pPr>
            <w:r>
              <w:rPr>
                <w:rFonts w:ascii="Arial" w:cs="Arial" w:eastAsia="Arial" w:hAnsi="Arial"/>
                <w:sz w:val="12"/>
                <w:szCs w:val="12"/>
                <w:color w:val="auto"/>
              </w:rPr>
              <w:t>24,808</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160,692</w:t>
            </w:r>
          </w:p>
        </w:tc>
      </w:tr>
      <w:tr>
        <w:trPr>
          <w:trHeight w:val="15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Shawn M. Kerns</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18"/>
              <w:spacing w:after="0"/>
              <w:rPr>
                <w:sz w:val="20"/>
                <w:szCs w:val="20"/>
                <w:color w:val="auto"/>
              </w:rPr>
            </w:pPr>
            <w:r>
              <w:rPr>
                <w:rFonts w:ascii="Arial" w:cs="Arial" w:eastAsia="Arial" w:hAnsi="Arial"/>
                <w:sz w:val="12"/>
                <w:szCs w:val="12"/>
                <w:color w:val="auto"/>
              </w:rPr>
              <w:t>21,781</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140,403</w:t>
            </w:r>
          </w:p>
        </w:tc>
      </w:tr>
      <w:tr>
        <w:trPr>
          <w:trHeight w:val="159"/>
        </w:trPr>
        <w:tc>
          <w:tcPr>
            <w:tcW w:w="35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2F75B5"/>
              </w:rPr>
              <w:t>Darren Williams</w:t>
            </w:r>
          </w:p>
        </w:tc>
        <w:tc>
          <w:tcPr>
            <w:tcW w:w="1220" w:type="dxa"/>
            <w:vAlign w:val="bottom"/>
            <w:shd w:val="clear" w:color="auto" w:fill="EBEBEC"/>
          </w:tcPr>
          <w:p>
            <w:pPr>
              <w:jc w:val="center"/>
              <w:ind w:left="298"/>
              <w:spacing w:after="0"/>
              <w:rPr>
                <w:sz w:val="20"/>
                <w:szCs w:val="20"/>
                <w:color w:val="auto"/>
              </w:rPr>
            </w:pPr>
            <w:r>
              <w:rPr>
                <w:rFonts w:ascii="Arial" w:cs="Arial" w:eastAsia="Arial" w:hAnsi="Arial"/>
                <w:sz w:val="12"/>
                <w:szCs w:val="12"/>
                <w:color w:val="auto"/>
                <w:w w:val="89"/>
              </w:rPr>
              <w:t>0</w:t>
            </w:r>
          </w:p>
        </w:tc>
        <w:tc>
          <w:tcPr>
            <w:tcW w:w="1900" w:type="dxa"/>
            <w:vAlign w:val="bottom"/>
            <w:shd w:val="clear" w:color="auto" w:fill="EBEBEC"/>
          </w:tcPr>
          <w:p>
            <w:pPr>
              <w:jc w:val="right"/>
              <w:ind w:right="1118"/>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2"/>
                <w:szCs w:val="12"/>
                <w:color w:val="auto"/>
              </w:rPr>
              <w:t>0</w:t>
            </w:r>
          </w:p>
        </w:tc>
        <w:tc>
          <w:tcPr>
            <w:tcW w:w="1380" w:type="dxa"/>
            <w:vAlign w:val="bottom"/>
            <w:shd w:val="clear" w:color="auto" w:fill="EBEBEC"/>
          </w:tcPr>
          <w:p>
            <w:pPr>
              <w:jc w:val="center"/>
              <w:ind w:left="218"/>
              <w:spacing w:after="0"/>
              <w:rPr>
                <w:sz w:val="20"/>
                <w:szCs w:val="20"/>
                <w:color w:val="auto"/>
              </w:rPr>
            </w:pPr>
            <w:r>
              <w:rPr>
                <w:rFonts w:ascii="Arial" w:cs="Arial" w:eastAsia="Arial" w:hAnsi="Arial"/>
                <w:sz w:val="12"/>
                <w:szCs w:val="12"/>
                <w:color w:val="auto"/>
              </w:rPr>
              <w:t>23,249</w:t>
            </w:r>
          </w:p>
        </w:tc>
        <w:tc>
          <w:tcPr>
            <w:tcW w:w="1460" w:type="dxa"/>
            <w:vAlign w:val="bottom"/>
            <w:shd w:val="clear" w:color="auto" w:fill="EBEBEC"/>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338"/>
              <w:spacing w:after="0"/>
              <w:rPr>
                <w:sz w:val="20"/>
                <w:szCs w:val="20"/>
                <w:color w:val="auto"/>
              </w:rPr>
            </w:pPr>
            <w:r>
              <w:rPr>
                <w:rFonts w:ascii="Arial" w:cs="Arial" w:eastAsia="Arial" w:hAnsi="Arial"/>
                <w:sz w:val="12"/>
                <w:szCs w:val="12"/>
                <w:color w:val="auto"/>
              </w:rPr>
              <w:t>150,509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7134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-302260</wp:posOffset>
            </wp:positionV>
            <wp:extent cx="71348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-403225</wp:posOffset>
            </wp:positionV>
            <wp:extent cx="7134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-504190</wp:posOffset>
            </wp:positionV>
            <wp:extent cx="7134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-605155</wp:posOffset>
            </wp:positionV>
            <wp:extent cx="69583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58330" cy="8255"/>
                    </a:xfrm>
                    <a:prstGeom prst="rect">
                      <a:avLst/>
                    </a:prstGeom>
                    <a:noFill/>
                  </pic:spPr>
                </pic:pic>
              </a:graphicData>
            </a:graphic>
          </wp:anchor>
        </w:drawing>
      </w:r>
    </w:p>
    <w:p>
      <w:pPr>
        <w:spacing w:after="0" w:line="144" w:lineRule="exact"/>
        <w:rPr>
          <w:sz w:val="20"/>
          <w:szCs w:val="20"/>
          <w:color w:val="auto"/>
        </w:rPr>
      </w:pPr>
    </w:p>
    <w:p>
      <w:pPr>
        <w:ind w:left="360" w:hanging="354"/>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shown represent the product of the number of shares acquired on vesting and the closing price on the vesting date.</w:t>
      </w:r>
    </w:p>
    <w:p>
      <w:pPr>
        <w:spacing w:after="0" w:line="2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7" w:name="page58"/>
    <w:bookmarkEnd w:id="57"/>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2020 Nonqualified Deferred Compensation Table</w:t>
      </w:r>
    </w:p>
    <w:p>
      <w:pPr>
        <w:spacing w:after="0" w:line="2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following table sets forth for 2020 the contributions, earnings, withdrawals and balances under the SSP, SRP II and the DCP in which the NEOs participated. The NEOs were fully vested in their respective aggregate balances shown below, which include amounts CRC assumed from our former parent Occidental Petroleum Corporation’s plans. For additional information relating to these plans, see “Nonqualified Defined Contribution Plans” and “Nonqualified Deferred Compensation Plan,” 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5C9"/>
              </w:rPr>
              <w:t>Aggregate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2"/>
                <w:szCs w:val="12"/>
                <w:b w:val="1"/>
                <w:bCs w:val="1"/>
                <w:color w:val="0075C9"/>
                <w:w w:val="99"/>
              </w:rPr>
              <w:t>Executive</w:t>
            </w:r>
          </w:p>
        </w:tc>
        <w:tc>
          <w:tcPr>
            <w:tcW w:w="500" w:type="dxa"/>
            <w:vAlign w:val="bottom"/>
          </w:tcPr>
          <w:p>
            <w:pPr>
              <w:spacing w:after="0"/>
              <w:rPr>
                <w:sz w:val="12"/>
                <w:szCs w:val="12"/>
                <w:color w:val="auto"/>
              </w:rPr>
            </w:pPr>
          </w:p>
        </w:tc>
        <w:tc>
          <w:tcPr>
            <w:tcW w:w="800" w:type="dxa"/>
            <w:vAlign w:val="bottom"/>
          </w:tcPr>
          <w:p>
            <w:pPr>
              <w:jc w:val="center"/>
              <w:ind w:right="58"/>
              <w:spacing w:after="0"/>
              <w:rPr>
                <w:sz w:val="20"/>
                <w:szCs w:val="20"/>
                <w:color w:val="auto"/>
              </w:rPr>
            </w:pPr>
            <w:r>
              <w:rPr>
                <w:rFonts w:ascii="Arial" w:cs="Arial" w:eastAsia="Arial" w:hAnsi="Arial"/>
                <w:sz w:val="12"/>
                <w:szCs w:val="12"/>
                <w:b w:val="1"/>
                <w:bCs w:val="1"/>
                <w:color w:val="0075C9"/>
              </w:rPr>
              <w:t>Company</w:t>
            </w:r>
          </w:p>
        </w:tc>
        <w:tc>
          <w:tcPr>
            <w:tcW w:w="480" w:type="dxa"/>
            <w:vAlign w:val="bottom"/>
          </w:tcPr>
          <w:p>
            <w:pPr>
              <w:spacing w:after="0"/>
              <w:rPr>
                <w:sz w:val="12"/>
                <w:szCs w:val="12"/>
                <w:color w:val="auto"/>
              </w:rPr>
            </w:pPr>
          </w:p>
        </w:tc>
        <w:tc>
          <w:tcPr>
            <w:tcW w:w="860" w:type="dxa"/>
            <w:vAlign w:val="bottom"/>
          </w:tcPr>
          <w:p>
            <w:pPr>
              <w:jc w:val="center"/>
              <w:ind w:right="178"/>
              <w:spacing w:after="0"/>
              <w:rPr>
                <w:sz w:val="20"/>
                <w:szCs w:val="20"/>
                <w:color w:val="auto"/>
              </w:rPr>
            </w:pPr>
            <w:r>
              <w:rPr>
                <w:rFonts w:ascii="Arial" w:cs="Arial" w:eastAsia="Arial" w:hAnsi="Arial"/>
                <w:sz w:val="12"/>
                <w:szCs w:val="12"/>
                <w:b w:val="1"/>
                <w:bCs w:val="1"/>
                <w:color w:val="0075C9"/>
              </w:rPr>
              <w:t>Aggregate</w:t>
            </w:r>
          </w:p>
        </w:tc>
        <w:tc>
          <w:tcPr>
            <w:tcW w:w="36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5C9"/>
              </w:rPr>
              <w:t>Withdrawals/</w:t>
            </w:r>
          </w:p>
        </w:tc>
        <w:tc>
          <w:tcPr>
            <w:tcW w:w="360" w:type="dxa"/>
            <w:vAlign w:val="bottom"/>
          </w:tcPr>
          <w:p>
            <w:pPr>
              <w:spacing w:after="0"/>
              <w:rPr>
                <w:sz w:val="12"/>
                <w:szCs w:val="12"/>
                <w:color w:val="auto"/>
              </w:rPr>
            </w:pPr>
          </w:p>
        </w:tc>
        <w:tc>
          <w:tcPr>
            <w:tcW w:w="1200" w:type="dxa"/>
            <w:vAlign w:val="bottom"/>
          </w:tcPr>
          <w:p>
            <w:pPr>
              <w:jc w:val="center"/>
              <w:ind w:right="258"/>
              <w:spacing w:after="0"/>
              <w:rPr>
                <w:sz w:val="20"/>
                <w:szCs w:val="20"/>
                <w:color w:val="auto"/>
              </w:rPr>
            </w:pPr>
            <w:r>
              <w:rPr>
                <w:rFonts w:ascii="Arial" w:cs="Arial" w:eastAsia="Arial" w:hAnsi="Arial"/>
                <w:sz w:val="12"/>
                <w:szCs w:val="12"/>
                <w:b w:val="1"/>
                <w:bCs w:val="1"/>
                <w:color w:val="0075C9"/>
              </w:rPr>
              <w:t>Aggregate</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3"/>
          </w:tcPr>
          <w:p>
            <w:pPr>
              <w:ind w:left="380"/>
              <w:spacing w:after="0"/>
              <w:rPr>
                <w:sz w:val="20"/>
                <w:szCs w:val="20"/>
                <w:color w:val="auto"/>
              </w:rPr>
            </w:pPr>
            <w:r>
              <w:rPr>
                <w:rFonts w:ascii="Arial" w:cs="Arial" w:eastAsia="Arial" w:hAnsi="Arial"/>
                <w:sz w:val="12"/>
                <w:szCs w:val="12"/>
                <w:b w:val="1"/>
                <w:bCs w:val="1"/>
                <w:color w:val="0075C9"/>
              </w:rPr>
              <w:t>Contributions</w:t>
            </w:r>
          </w:p>
        </w:tc>
        <w:tc>
          <w:tcPr>
            <w:tcW w:w="1300" w:type="dxa"/>
            <w:vAlign w:val="bottom"/>
            <w:gridSpan w:val="2"/>
          </w:tcPr>
          <w:p>
            <w:pPr>
              <w:jc w:val="center"/>
              <w:ind w:left="318"/>
              <w:spacing w:after="0"/>
              <w:rPr>
                <w:sz w:val="20"/>
                <w:szCs w:val="20"/>
                <w:color w:val="auto"/>
              </w:rPr>
            </w:pPr>
            <w:r>
              <w:rPr>
                <w:rFonts w:ascii="Arial" w:cs="Arial" w:eastAsia="Arial" w:hAnsi="Arial"/>
                <w:sz w:val="12"/>
                <w:szCs w:val="12"/>
                <w:b w:val="1"/>
                <w:bCs w:val="1"/>
                <w:color w:val="0075C9"/>
              </w:rPr>
              <w:t>Contributions</w:t>
            </w:r>
          </w:p>
        </w:tc>
        <w:tc>
          <w:tcPr>
            <w:tcW w:w="480" w:type="dxa"/>
            <w:vAlign w:val="bottom"/>
          </w:tcPr>
          <w:p>
            <w:pPr>
              <w:spacing w:after="0"/>
              <w:rPr>
                <w:sz w:val="12"/>
                <w:szCs w:val="12"/>
                <w:color w:val="auto"/>
              </w:rPr>
            </w:pPr>
          </w:p>
        </w:tc>
        <w:tc>
          <w:tcPr>
            <w:tcW w:w="860" w:type="dxa"/>
            <w:vAlign w:val="bottom"/>
          </w:tcPr>
          <w:p>
            <w:pPr>
              <w:jc w:val="center"/>
              <w:ind w:right="178"/>
              <w:spacing w:after="0"/>
              <w:rPr>
                <w:sz w:val="20"/>
                <w:szCs w:val="20"/>
                <w:color w:val="auto"/>
              </w:rPr>
            </w:pPr>
            <w:r>
              <w:rPr>
                <w:rFonts w:ascii="Arial" w:cs="Arial" w:eastAsia="Arial" w:hAnsi="Arial"/>
                <w:sz w:val="12"/>
                <w:szCs w:val="12"/>
                <w:b w:val="1"/>
                <w:bCs w:val="1"/>
                <w:color w:val="0075C9"/>
              </w:rPr>
              <w:t>Earnings</w:t>
            </w:r>
          </w:p>
        </w:tc>
        <w:tc>
          <w:tcPr>
            <w:tcW w:w="36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5C9"/>
              </w:rPr>
              <w:t>Distributions</w:t>
            </w:r>
          </w:p>
        </w:tc>
        <w:tc>
          <w:tcPr>
            <w:tcW w:w="360" w:type="dxa"/>
            <w:vAlign w:val="bottom"/>
          </w:tcPr>
          <w:p>
            <w:pPr>
              <w:spacing w:after="0"/>
              <w:rPr>
                <w:sz w:val="12"/>
                <w:szCs w:val="12"/>
                <w:color w:val="auto"/>
              </w:rPr>
            </w:pPr>
          </w:p>
        </w:tc>
        <w:tc>
          <w:tcPr>
            <w:tcW w:w="1200" w:type="dxa"/>
            <w:vAlign w:val="bottom"/>
          </w:tcPr>
          <w:p>
            <w:pPr>
              <w:jc w:val="center"/>
              <w:ind w:right="258"/>
              <w:spacing w:after="0"/>
              <w:rPr>
                <w:sz w:val="20"/>
                <w:szCs w:val="20"/>
                <w:color w:val="auto"/>
              </w:rPr>
            </w:pPr>
            <w:r>
              <w:rPr>
                <w:rFonts w:ascii="Arial" w:cs="Arial" w:eastAsia="Arial" w:hAnsi="Arial"/>
                <w:sz w:val="12"/>
                <w:szCs w:val="12"/>
                <w:b w:val="1"/>
                <w:bCs w:val="1"/>
                <w:color w:val="0075C9"/>
              </w:rPr>
              <w:t>Balance</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3"/>
          </w:tcPr>
          <w:p>
            <w:pPr>
              <w:jc w:val="right"/>
              <w:ind w:right="218"/>
              <w:spacing w:after="0"/>
              <w:rPr>
                <w:sz w:val="20"/>
                <w:szCs w:val="20"/>
                <w:color w:val="auto"/>
              </w:rPr>
            </w:pPr>
            <w:r>
              <w:rPr>
                <w:rFonts w:ascii="Arial" w:cs="Arial" w:eastAsia="Arial" w:hAnsi="Arial"/>
                <w:sz w:val="12"/>
                <w:szCs w:val="12"/>
                <w:b w:val="1"/>
                <w:bCs w:val="1"/>
                <w:color w:val="0075C9"/>
              </w:rPr>
              <w:t>2020</w:t>
            </w:r>
          </w:p>
        </w:tc>
        <w:tc>
          <w:tcPr>
            <w:tcW w:w="500" w:type="dxa"/>
            <w:vAlign w:val="bottom"/>
          </w:tcPr>
          <w:p>
            <w:pPr>
              <w:spacing w:after="0"/>
              <w:rPr>
                <w:sz w:val="12"/>
                <w:szCs w:val="12"/>
                <w:color w:val="auto"/>
              </w:rPr>
            </w:pPr>
          </w:p>
        </w:tc>
        <w:tc>
          <w:tcPr>
            <w:tcW w:w="800" w:type="dxa"/>
            <w:vAlign w:val="bottom"/>
          </w:tcPr>
          <w:p>
            <w:pPr>
              <w:jc w:val="center"/>
              <w:ind w:right="78"/>
              <w:spacing w:after="0"/>
              <w:rPr>
                <w:sz w:val="20"/>
                <w:szCs w:val="20"/>
                <w:color w:val="auto"/>
              </w:rPr>
            </w:pPr>
            <w:r>
              <w:rPr>
                <w:rFonts w:ascii="Arial" w:cs="Arial" w:eastAsia="Arial" w:hAnsi="Arial"/>
                <w:sz w:val="12"/>
                <w:szCs w:val="12"/>
                <w:b w:val="1"/>
                <w:bCs w:val="1"/>
                <w:color w:val="0075C9"/>
              </w:rPr>
              <w:t>in 2020</w:t>
            </w:r>
          </w:p>
        </w:tc>
        <w:tc>
          <w:tcPr>
            <w:tcW w:w="480" w:type="dxa"/>
            <w:vAlign w:val="bottom"/>
          </w:tcPr>
          <w:p>
            <w:pPr>
              <w:spacing w:after="0"/>
              <w:rPr>
                <w:sz w:val="12"/>
                <w:szCs w:val="12"/>
                <w:color w:val="auto"/>
              </w:rPr>
            </w:pPr>
          </w:p>
        </w:tc>
        <w:tc>
          <w:tcPr>
            <w:tcW w:w="860" w:type="dxa"/>
            <w:vAlign w:val="bottom"/>
          </w:tcPr>
          <w:p>
            <w:pPr>
              <w:jc w:val="center"/>
              <w:ind w:right="178"/>
              <w:spacing w:after="0"/>
              <w:rPr>
                <w:sz w:val="20"/>
                <w:szCs w:val="20"/>
                <w:color w:val="auto"/>
              </w:rPr>
            </w:pPr>
            <w:r>
              <w:rPr>
                <w:rFonts w:ascii="Arial" w:cs="Arial" w:eastAsia="Arial" w:hAnsi="Arial"/>
                <w:sz w:val="12"/>
                <w:szCs w:val="12"/>
                <w:b w:val="1"/>
                <w:bCs w:val="1"/>
                <w:color w:val="0075C9"/>
              </w:rPr>
              <w:t>in 2020</w:t>
            </w:r>
          </w:p>
        </w:tc>
        <w:tc>
          <w:tcPr>
            <w:tcW w:w="36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5C9"/>
              </w:rPr>
              <w:t>in 2020</w:t>
            </w:r>
          </w:p>
        </w:tc>
        <w:tc>
          <w:tcPr>
            <w:tcW w:w="360" w:type="dxa"/>
            <w:vAlign w:val="bottom"/>
          </w:tcPr>
          <w:p>
            <w:pPr>
              <w:spacing w:after="0"/>
              <w:rPr>
                <w:sz w:val="12"/>
                <w:szCs w:val="12"/>
                <w:color w:val="auto"/>
              </w:rPr>
            </w:pPr>
          </w:p>
        </w:tc>
        <w:tc>
          <w:tcPr>
            <w:tcW w:w="1200" w:type="dxa"/>
            <w:vAlign w:val="bottom"/>
          </w:tcPr>
          <w:p>
            <w:pPr>
              <w:jc w:val="center"/>
              <w:ind w:right="258"/>
              <w:spacing w:after="0"/>
              <w:rPr>
                <w:sz w:val="20"/>
                <w:szCs w:val="20"/>
                <w:color w:val="auto"/>
              </w:rPr>
            </w:pPr>
            <w:r>
              <w:rPr>
                <w:rFonts w:ascii="Arial" w:cs="Arial" w:eastAsia="Arial" w:hAnsi="Arial"/>
                <w:sz w:val="12"/>
                <w:szCs w:val="12"/>
                <w:b w:val="1"/>
                <w:bCs w:val="1"/>
                <w:color w:val="0075C9"/>
              </w:rPr>
              <w:t>at 12/31/2020</w:t>
            </w:r>
          </w:p>
        </w:tc>
        <w:tc>
          <w:tcPr>
            <w:tcW w:w="0" w:type="dxa"/>
            <w:vAlign w:val="bottom"/>
          </w:tcPr>
          <w:p>
            <w:pPr>
              <w:spacing w:after="0"/>
              <w:rPr>
                <w:sz w:val="1"/>
                <w:szCs w:val="1"/>
                <w:color w:val="auto"/>
              </w:rPr>
            </w:pPr>
          </w:p>
        </w:tc>
      </w:tr>
      <w:tr>
        <w:trPr>
          <w:trHeight w:val="152"/>
        </w:trPr>
        <w:tc>
          <w:tcPr>
            <w:tcW w:w="358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Name</w:t>
            </w:r>
          </w:p>
        </w:tc>
        <w:tc>
          <w:tcPr>
            <w:tcW w:w="780" w:type="dxa"/>
            <w:vAlign w:val="bottom"/>
            <w:tcBorders>
              <w:bottom w:val="single" w:sz="8" w:color="0075C9"/>
            </w:tcBorders>
          </w:tcPr>
          <w:p>
            <w:pPr>
              <w:jc w:val="center"/>
              <w:ind w:left="138"/>
              <w:spacing w:after="0"/>
              <w:rPr>
                <w:sz w:val="20"/>
                <w:szCs w:val="20"/>
                <w:color w:val="auto"/>
              </w:rPr>
            </w:pPr>
            <w:r>
              <w:rPr>
                <w:rFonts w:ascii="Arial" w:cs="Arial" w:eastAsia="Arial" w:hAnsi="Arial"/>
                <w:sz w:val="12"/>
                <w:szCs w:val="12"/>
                <w:b w:val="1"/>
                <w:bCs w:val="1"/>
                <w:color w:val="0075C9"/>
              </w:rPr>
              <w:t>Plan</w:t>
            </w:r>
          </w:p>
        </w:tc>
        <w:tc>
          <w:tcPr>
            <w:tcW w:w="740" w:type="dxa"/>
            <w:vAlign w:val="bottom"/>
            <w:tcBorders>
              <w:bottom w:val="single" w:sz="8" w:color="0075C9"/>
            </w:tcBorders>
            <w:gridSpan w:val="2"/>
          </w:tcPr>
          <w:p>
            <w:pPr>
              <w:ind w:left="640"/>
              <w:spacing w:after="0"/>
              <w:rPr>
                <w:sz w:val="20"/>
                <w:szCs w:val="20"/>
                <w:color w:val="auto"/>
              </w:rPr>
            </w:pPr>
            <w:r>
              <w:rPr>
                <w:rFonts w:ascii="Arial" w:cs="Arial" w:eastAsia="Arial" w:hAnsi="Arial"/>
                <w:sz w:val="12"/>
                <w:szCs w:val="12"/>
                <w:b w:val="1"/>
                <w:bCs w:val="1"/>
                <w:color w:val="0075C9"/>
                <w:w w:val="74"/>
              </w:rPr>
              <w:t>($</w:t>
            </w:r>
          </w:p>
        </w:tc>
        <w:tc>
          <w:tcPr>
            <w:tcW w:w="460" w:type="dxa"/>
            <w:vAlign w:val="bottom"/>
            <w:tcBorders>
              <w:bottom w:val="single" w:sz="8" w:color="0075C9"/>
            </w:tcBorders>
          </w:tcPr>
          <w:p>
            <w:pPr>
              <w:jc w:val="right"/>
              <w:ind w:right="198"/>
              <w:spacing w:after="0"/>
              <w:rPr>
                <w:sz w:val="20"/>
                <w:szCs w:val="20"/>
                <w:color w:val="auto"/>
              </w:rPr>
            </w:pPr>
            <w:r>
              <w:rPr>
                <w:rFonts w:ascii="Arial" w:cs="Arial" w:eastAsia="Arial" w:hAnsi="Arial"/>
                <w:sz w:val="12"/>
                <w:szCs w:val="12"/>
                <w:b w:val="1"/>
                <w:bCs w:val="1"/>
                <w:color w:val="0075C9"/>
                <w:w w:val="96"/>
              </w:rPr>
              <w:t>)(1)</w:t>
            </w:r>
          </w:p>
        </w:tc>
        <w:tc>
          <w:tcPr>
            <w:tcW w:w="50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tcPr>
          <w:p>
            <w:pPr>
              <w:jc w:val="center"/>
              <w:ind w:right="58"/>
              <w:spacing w:after="0"/>
              <w:rPr>
                <w:sz w:val="20"/>
                <w:szCs w:val="20"/>
                <w:color w:val="auto"/>
              </w:rPr>
            </w:pPr>
            <w:r>
              <w:rPr>
                <w:rFonts w:ascii="Arial" w:cs="Arial" w:eastAsia="Arial" w:hAnsi="Arial"/>
                <w:sz w:val="12"/>
                <w:szCs w:val="12"/>
                <w:b w:val="1"/>
                <w:bCs w:val="1"/>
                <w:color w:val="0075C9"/>
              </w:rPr>
              <w:t>($)(2)</w:t>
            </w:r>
          </w:p>
        </w:tc>
        <w:tc>
          <w:tcPr>
            <w:tcW w:w="48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center"/>
              <w:ind w:right="178"/>
              <w:spacing w:after="0"/>
              <w:rPr>
                <w:sz w:val="20"/>
                <w:szCs w:val="20"/>
                <w:color w:val="auto"/>
              </w:rPr>
            </w:pPr>
            <w:r>
              <w:rPr>
                <w:rFonts w:ascii="Arial" w:cs="Arial" w:eastAsia="Arial" w:hAnsi="Arial"/>
                <w:sz w:val="12"/>
                <w:szCs w:val="12"/>
                <w:b w:val="1"/>
                <w:bCs w:val="1"/>
                <w:color w:val="0075C9"/>
              </w:rPr>
              <w:t>($)(3)</w:t>
            </w:r>
          </w:p>
        </w:tc>
        <w:tc>
          <w:tcPr>
            <w:tcW w:w="360" w:type="dxa"/>
            <w:vAlign w:val="bottom"/>
            <w:tcBorders>
              <w:bottom w:val="single" w:sz="8" w:color="0075C9"/>
            </w:tcBorders>
          </w:tcPr>
          <w:p>
            <w:pPr>
              <w:spacing w:after="0"/>
              <w:rPr>
                <w:sz w:val="13"/>
                <w:szCs w:val="13"/>
                <w:color w:val="auto"/>
              </w:rPr>
            </w:pPr>
          </w:p>
        </w:tc>
        <w:tc>
          <w:tcPr>
            <w:tcW w:w="1120" w:type="dxa"/>
            <w:vAlign w:val="bottom"/>
            <w:tcBorders>
              <w:bottom w:val="single" w:sz="8" w:color="0075C9"/>
            </w:tcBorders>
          </w:tcPr>
          <w:p>
            <w:pPr>
              <w:jc w:val="center"/>
              <w:ind w:right="198"/>
              <w:spacing w:after="0"/>
              <w:rPr>
                <w:sz w:val="20"/>
                <w:szCs w:val="20"/>
                <w:color w:val="auto"/>
              </w:rPr>
            </w:pPr>
            <w:r>
              <w:rPr>
                <w:rFonts w:ascii="Arial" w:cs="Arial" w:eastAsia="Arial" w:hAnsi="Arial"/>
                <w:sz w:val="12"/>
                <w:szCs w:val="12"/>
                <w:b w:val="1"/>
                <w:bCs w:val="1"/>
                <w:color w:val="0075C9"/>
              </w:rPr>
              <w:t>($)(4)</w:t>
            </w:r>
          </w:p>
        </w:tc>
        <w:tc>
          <w:tcPr>
            <w:tcW w:w="360" w:type="dxa"/>
            <w:vAlign w:val="bottom"/>
            <w:tcBorders>
              <w:bottom w:val="single" w:sz="8" w:color="0075C9"/>
            </w:tcBorders>
          </w:tcPr>
          <w:p>
            <w:pPr>
              <w:spacing w:after="0"/>
              <w:rPr>
                <w:sz w:val="13"/>
                <w:szCs w:val="13"/>
                <w:color w:val="auto"/>
              </w:rPr>
            </w:pPr>
          </w:p>
        </w:tc>
        <w:tc>
          <w:tcPr>
            <w:tcW w:w="1200" w:type="dxa"/>
            <w:vAlign w:val="bottom"/>
            <w:tcBorders>
              <w:bottom w:val="single" w:sz="8" w:color="0075C9"/>
            </w:tcBorders>
          </w:tcPr>
          <w:p>
            <w:pPr>
              <w:jc w:val="center"/>
              <w:ind w:right="258"/>
              <w:spacing w:after="0"/>
              <w:rPr>
                <w:sz w:val="20"/>
                <w:szCs w:val="20"/>
                <w:color w:val="auto"/>
              </w:rPr>
            </w:pPr>
            <w:r>
              <w:rPr>
                <w:rFonts w:ascii="Arial" w:cs="Arial" w:eastAsia="Arial" w:hAnsi="Arial"/>
                <w:sz w:val="12"/>
                <w:szCs w:val="12"/>
                <w:b w:val="1"/>
                <w:bCs w:val="1"/>
                <w:color w:val="0075C9"/>
              </w:rPr>
              <w:t>($)(5)</w:t>
            </w:r>
          </w:p>
        </w:tc>
        <w:tc>
          <w:tcPr>
            <w:tcW w:w="0" w:type="dxa"/>
            <w:vAlign w:val="bottom"/>
          </w:tcPr>
          <w:p>
            <w:pPr>
              <w:spacing w:after="0"/>
              <w:rPr>
                <w:sz w:val="1"/>
                <w:szCs w:val="1"/>
                <w:color w:val="auto"/>
              </w:rPr>
            </w:pPr>
          </w:p>
        </w:tc>
      </w:tr>
      <w:tr>
        <w:trPr>
          <w:trHeight w:val="139"/>
        </w:trPr>
        <w:tc>
          <w:tcPr>
            <w:tcW w:w="358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Mark A. (Mac) McFarland (6)</w:t>
            </w: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2"/>
                <w:szCs w:val="12"/>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59"/>
        </w:trPr>
        <w:tc>
          <w:tcPr>
            <w:tcW w:w="358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Todd A. Stevens</w:t>
            </w: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568,967</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44,378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2,345,684</w:t>
            </w:r>
          </w:p>
        </w:tc>
        <w:tc>
          <w:tcPr>
            <w:tcW w:w="0" w:type="dxa"/>
            <w:vAlign w:val="bottom"/>
          </w:tcPr>
          <w:p>
            <w:pPr>
              <w:spacing w:after="0"/>
              <w:rPr>
                <w:sz w:val="1"/>
                <w:szCs w:val="1"/>
                <w:color w:val="auto"/>
              </w:rPr>
            </w:pPr>
          </w:p>
        </w:tc>
      </w:tr>
      <w:tr>
        <w:trPr>
          <w:trHeight w:val="159"/>
        </w:trPr>
        <w:tc>
          <w:tcPr>
            <w:tcW w:w="3580" w:type="dxa"/>
            <w:vAlign w:val="bottom"/>
            <w:shd w:val="clear" w:color="auto" w:fill="EBEBEC"/>
          </w:tcPr>
          <w:p>
            <w:pPr>
              <w:spacing w:after="0"/>
              <w:rPr>
                <w:sz w:val="13"/>
                <w:szCs w:val="13"/>
                <w:color w:val="auto"/>
              </w:rPr>
            </w:pPr>
          </w:p>
        </w:tc>
        <w:tc>
          <w:tcPr>
            <w:tcW w:w="78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SRP II</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34,981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1,338,622</w:t>
            </w:r>
          </w:p>
        </w:tc>
        <w:tc>
          <w:tcPr>
            <w:tcW w:w="0" w:type="dxa"/>
            <w:vAlign w:val="bottom"/>
          </w:tcPr>
          <w:p>
            <w:pPr>
              <w:spacing w:after="0"/>
              <w:rPr>
                <w:sz w:val="1"/>
                <w:szCs w:val="1"/>
                <w:color w:val="auto"/>
              </w:rPr>
            </w:pPr>
          </w:p>
        </w:tc>
      </w:tr>
      <w:tr>
        <w:trPr>
          <w:trHeight w:val="159"/>
        </w:trPr>
        <w:tc>
          <w:tcPr>
            <w:tcW w:w="358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Francisco J. Leon</w:t>
            </w: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DCP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27,018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21,681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1,028,885</w:t>
            </w:r>
          </w:p>
        </w:tc>
        <w:tc>
          <w:tcPr>
            <w:tcW w:w="0" w:type="dxa"/>
            <w:vAlign w:val="bottom"/>
          </w:tcPr>
          <w:p>
            <w:pPr>
              <w:spacing w:after="0"/>
              <w:rPr>
                <w:sz w:val="1"/>
                <w:szCs w:val="1"/>
                <w:color w:val="auto"/>
              </w:rPr>
            </w:pPr>
          </w:p>
        </w:tc>
      </w:tr>
      <w:tr>
        <w:trPr>
          <w:trHeight w:val="159"/>
        </w:trPr>
        <w:tc>
          <w:tcPr>
            <w:tcW w:w="3580" w:type="dxa"/>
            <w:vAlign w:val="bottom"/>
            <w:vMerge w:val="continue"/>
            <w:shd w:val="clear" w:color="auto" w:fill="EBEBEC"/>
          </w:tcPr>
          <w:p>
            <w:pPr>
              <w:spacing w:after="0"/>
              <w:rPr>
                <w:sz w:val="13"/>
                <w:szCs w:val="13"/>
                <w:color w:val="auto"/>
              </w:rPr>
            </w:pP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169,111</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7,688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485,962</w:t>
            </w:r>
          </w:p>
        </w:tc>
        <w:tc>
          <w:tcPr>
            <w:tcW w:w="0" w:type="dxa"/>
            <w:vAlign w:val="bottom"/>
          </w:tcPr>
          <w:p>
            <w:pPr>
              <w:spacing w:after="0"/>
              <w:rPr>
                <w:sz w:val="1"/>
                <w:szCs w:val="1"/>
                <w:color w:val="auto"/>
              </w:rPr>
            </w:pPr>
          </w:p>
        </w:tc>
      </w:tr>
      <w:tr>
        <w:trPr>
          <w:trHeight w:val="159"/>
        </w:trPr>
        <w:tc>
          <w:tcPr>
            <w:tcW w:w="358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Marshall D. Smith</w:t>
            </w:r>
          </w:p>
        </w:tc>
        <w:tc>
          <w:tcPr>
            <w:tcW w:w="78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SRP II</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4,065</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155,542</w:t>
            </w:r>
          </w:p>
        </w:tc>
        <w:tc>
          <w:tcPr>
            <w:tcW w:w="0" w:type="dxa"/>
            <w:vAlign w:val="bottom"/>
          </w:tcPr>
          <w:p>
            <w:pPr>
              <w:spacing w:after="0"/>
              <w:rPr>
                <w:sz w:val="1"/>
                <w:szCs w:val="1"/>
                <w:color w:val="auto"/>
              </w:rPr>
            </w:pPr>
          </w:p>
        </w:tc>
      </w:tr>
      <w:tr>
        <w:trPr>
          <w:trHeight w:val="159"/>
        </w:trPr>
        <w:tc>
          <w:tcPr>
            <w:tcW w:w="3580" w:type="dxa"/>
            <w:vAlign w:val="bottom"/>
            <w:vMerge w:val="continue"/>
            <w:shd w:val="clear" w:color="auto" w:fill="EBEBEC"/>
          </w:tcPr>
          <w:p>
            <w:pPr>
              <w:spacing w:after="0"/>
              <w:rPr>
                <w:sz w:val="13"/>
                <w:szCs w:val="13"/>
                <w:color w:val="auto"/>
              </w:rPr>
            </w:pP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324,177</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30,572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1,541,704</w:t>
            </w:r>
          </w:p>
        </w:tc>
        <w:tc>
          <w:tcPr>
            <w:tcW w:w="0" w:type="dxa"/>
            <w:vAlign w:val="bottom"/>
          </w:tcPr>
          <w:p>
            <w:pPr>
              <w:spacing w:after="0"/>
              <w:rPr>
                <w:sz w:val="1"/>
                <w:szCs w:val="1"/>
                <w:color w:val="auto"/>
              </w:rPr>
            </w:pPr>
          </w:p>
        </w:tc>
      </w:tr>
      <w:tr>
        <w:trPr>
          <w:trHeight w:val="159"/>
        </w:trPr>
        <w:tc>
          <w:tcPr>
            <w:tcW w:w="358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Charles F. Weiss</w:t>
            </w:r>
          </w:p>
        </w:tc>
        <w:tc>
          <w:tcPr>
            <w:tcW w:w="78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SRP II</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532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20,391</w:t>
            </w:r>
          </w:p>
        </w:tc>
        <w:tc>
          <w:tcPr>
            <w:tcW w:w="0" w:type="dxa"/>
            <w:vAlign w:val="bottom"/>
          </w:tcPr>
          <w:p>
            <w:pPr>
              <w:spacing w:after="0"/>
              <w:rPr>
                <w:sz w:val="1"/>
                <w:szCs w:val="1"/>
                <w:color w:val="auto"/>
              </w:rPr>
            </w:pPr>
          </w:p>
        </w:tc>
      </w:tr>
      <w:tr>
        <w:trPr>
          <w:trHeight w:val="159"/>
        </w:trPr>
        <w:tc>
          <w:tcPr>
            <w:tcW w:w="3580" w:type="dxa"/>
            <w:vAlign w:val="bottom"/>
            <w:vMerge w:val="continue"/>
            <w:shd w:val="clear" w:color="auto" w:fill="EBEBEC"/>
          </w:tcPr>
          <w:p>
            <w:pPr>
              <w:spacing w:after="0"/>
              <w:rPr>
                <w:sz w:val="13"/>
                <w:szCs w:val="13"/>
                <w:color w:val="auto"/>
              </w:rPr>
            </w:pP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205,996</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16,564</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866,802</w:t>
            </w:r>
          </w:p>
        </w:tc>
        <w:tc>
          <w:tcPr>
            <w:tcW w:w="0" w:type="dxa"/>
            <w:vAlign w:val="bottom"/>
          </w:tcPr>
          <w:p>
            <w:pPr>
              <w:spacing w:after="0"/>
              <w:rPr>
                <w:sz w:val="1"/>
                <w:szCs w:val="1"/>
                <w:color w:val="auto"/>
              </w:rPr>
            </w:pPr>
          </w:p>
        </w:tc>
      </w:tr>
      <w:tr>
        <w:trPr>
          <w:trHeight w:val="159"/>
        </w:trPr>
        <w:tc>
          <w:tcPr>
            <w:tcW w:w="358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Shawn M. Kerns</w:t>
            </w:r>
          </w:p>
        </w:tc>
        <w:tc>
          <w:tcPr>
            <w:tcW w:w="78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SRP II</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31,184</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1,193,318</w:t>
            </w:r>
          </w:p>
        </w:tc>
        <w:tc>
          <w:tcPr>
            <w:tcW w:w="0" w:type="dxa"/>
            <w:vAlign w:val="bottom"/>
          </w:tcPr>
          <w:p>
            <w:pPr>
              <w:spacing w:after="0"/>
              <w:rPr>
                <w:sz w:val="1"/>
                <w:szCs w:val="1"/>
                <w:color w:val="auto"/>
              </w:rPr>
            </w:pPr>
          </w:p>
        </w:tc>
      </w:tr>
      <w:tr>
        <w:trPr>
          <w:trHeight w:val="159"/>
        </w:trPr>
        <w:tc>
          <w:tcPr>
            <w:tcW w:w="3580" w:type="dxa"/>
            <w:vAlign w:val="bottom"/>
            <w:vMerge w:val="continue"/>
            <w:shd w:val="clear" w:color="auto" w:fill="EBEBEC"/>
          </w:tcPr>
          <w:p>
            <w:pPr>
              <w:spacing w:after="0"/>
              <w:rPr>
                <w:sz w:val="13"/>
                <w:szCs w:val="13"/>
                <w:color w:val="auto"/>
              </w:rPr>
            </w:pP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212,254</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13,328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749,509</w:t>
            </w:r>
          </w:p>
        </w:tc>
        <w:tc>
          <w:tcPr>
            <w:tcW w:w="0" w:type="dxa"/>
            <w:vAlign w:val="bottom"/>
          </w:tcPr>
          <w:p>
            <w:pPr>
              <w:spacing w:after="0"/>
              <w:rPr>
                <w:sz w:val="1"/>
                <w:szCs w:val="1"/>
                <w:color w:val="auto"/>
              </w:rPr>
            </w:pPr>
          </w:p>
        </w:tc>
      </w:tr>
      <w:tr>
        <w:trPr>
          <w:trHeight w:val="159"/>
        </w:trPr>
        <w:tc>
          <w:tcPr>
            <w:tcW w:w="358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Darren Williams</w:t>
            </w:r>
          </w:p>
        </w:tc>
        <w:tc>
          <w:tcPr>
            <w:tcW w:w="78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SRP II</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10,911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417,537</w:t>
            </w:r>
          </w:p>
        </w:tc>
        <w:tc>
          <w:tcPr>
            <w:tcW w:w="0" w:type="dxa"/>
            <w:vAlign w:val="bottom"/>
          </w:tcPr>
          <w:p>
            <w:pPr>
              <w:spacing w:after="0"/>
              <w:rPr>
                <w:sz w:val="1"/>
                <w:szCs w:val="1"/>
                <w:color w:val="auto"/>
              </w:rPr>
            </w:pPr>
          </w:p>
        </w:tc>
      </w:tr>
      <w:tr>
        <w:trPr>
          <w:trHeight w:val="159"/>
        </w:trPr>
        <w:tc>
          <w:tcPr>
            <w:tcW w:w="3580" w:type="dxa"/>
            <w:vAlign w:val="bottom"/>
            <w:vMerge w:val="continue"/>
            <w:shd w:val="clear" w:color="auto" w:fill="EBEBEC"/>
          </w:tcPr>
          <w:p>
            <w:pPr>
              <w:spacing w:after="0"/>
              <w:rPr>
                <w:sz w:val="13"/>
                <w:szCs w:val="13"/>
                <w:color w:val="auto"/>
              </w:rPr>
            </w:pPr>
          </w:p>
        </w:tc>
        <w:tc>
          <w:tcPr>
            <w:tcW w:w="78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SSP</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227,627</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19,079</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988,741</w:t>
            </w:r>
          </w:p>
        </w:tc>
        <w:tc>
          <w:tcPr>
            <w:tcW w:w="0" w:type="dxa"/>
            <w:vAlign w:val="bottom"/>
          </w:tcPr>
          <w:p>
            <w:pPr>
              <w:spacing w:after="0"/>
              <w:rPr>
                <w:sz w:val="1"/>
                <w:szCs w:val="1"/>
                <w:color w:val="auto"/>
              </w:rPr>
            </w:pPr>
          </w:p>
        </w:tc>
      </w:tr>
      <w:tr>
        <w:trPr>
          <w:trHeight w:val="159"/>
        </w:trPr>
        <w:tc>
          <w:tcPr>
            <w:tcW w:w="3580" w:type="dxa"/>
            <w:vAlign w:val="bottom"/>
            <w:shd w:val="clear" w:color="auto" w:fill="EBEBEC"/>
          </w:tcPr>
          <w:p>
            <w:pPr>
              <w:spacing w:after="0"/>
              <w:rPr>
                <w:sz w:val="13"/>
                <w:szCs w:val="13"/>
                <w:color w:val="auto"/>
              </w:rPr>
            </w:pPr>
          </w:p>
        </w:tc>
        <w:tc>
          <w:tcPr>
            <w:tcW w:w="78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SRP II</w:t>
            </w:r>
          </w:p>
        </w:tc>
        <w:tc>
          <w:tcPr>
            <w:tcW w:w="500" w:type="dxa"/>
            <w:vAlign w:val="bottom"/>
            <w:shd w:val="clear" w:color="auto" w:fill="EBEBEC"/>
          </w:tcPr>
          <w:p>
            <w:pPr>
              <w:ind w:lef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spacing w:after="0"/>
              <w:rPr>
                <w:sz w:val="13"/>
                <w:szCs w:val="13"/>
                <w:color w:val="auto"/>
              </w:rPr>
            </w:pPr>
          </w:p>
        </w:tc>
        <w:tc>
          <w:tcPr>
            <w:tcW w:w="4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202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-1412875</wp:posOffset>
            </wp:positionV>
            <wp:extent cx="7134860" cy="1421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860" cy="1421765"/>
                    </a:xfrm>
                    <a:prstGeom prst="rect">
                      <a:avLst/>
                    </a:prstGeom>
                    <a:noFill/>
                  </pic:spPr>
                </pic:pic>
              </a:graphicData>
            </a:graphic>
          </wp:anchor>
        </w:drawing>
      </w:r>
    </w:p>
    <w:p>
      <w:pPr>
        <w:spacing w:after="0" w:line="130" w:lineRule="exact"/>
        <w:rPr>
          <w:sz w:val="20"/>
          <w:szCs w:val="20"/>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 employee contributions are permitted in the SSP or SRP II. None of the NEOs elected to defer compensation under the DCP for 2020.</w:t>
      </w:r>
    </w:p>
    <w:p>
      <w:pPr>
        <w:spacing w:after="0" w:line="77" w:lineRule="exact"/>
        <w:rPr>
          <w:rFonts w:ascii="Arial" w:cs="Arial" w:eastAsia="Arial" w:hAnsi="Arial"/>
          <w:sz w:val="14"/>
          <w:szCs w:val="14"/>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represent Company contributions to the SSP and are reported under “All Other Compensation” in the Summary Compensation Table for 2020.</w:t>
      </w:r>
    </w:p>
    <w:p>
      <w:pPr>
        <w:spacing w:after="0" w:line="77" w:lineRule="exact"/>
        <w:rPr>
          <w:rFonts w:ascii="Arial" w:cs="Arial" w:eastAsia="Arial" w:hAnsi="Arial"/>
          <w:sz w:val="14"/>
          <w:szCs w:val="14"/>
          <w:color w:val="auto"/>
        </w:rPr>
      </w:pPr>
    </w:p>
    <w:p>
      <w:pPr>
        <w:ind w:left="360" w:right="60" w:hanging="354"/>
        <w:spacing w:after="0" w:line="225"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reported in this column represent aggregate interest as provided in the plans that accrued during 2020 and include excess earnings which are reported under “Change in Pension Value and Nonqualified Deferred Compensation Earnings” in the Summary Compensation Table for 2020.</w:t>
      </w:r>
    </w:p>
    <w:p>
      <w:pPr>
        <w:spacing w:after="0" w:line="69" w:lineRule="exact"/>
        <w:rPr>
          <w:rFonts w:ascii="Arial" w:cs="Arial" w:eastAsia="Arial" w:hAnsi="Arial"/>
          <w:sz w:val="14"/>
          <w:szCs w:val="14"/>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Distribution made in March 2020 in accordance with a specified age election described under “Nonqualified Deferred Compensation Plan” above.</w:t>
      </w:r>
    </w:p>
    <w:p>
      <w:pPr>
        <w:spacing w:after="0" w:line="77" w:lineRule="exact"/>
        <w:rPr>
          <w:rFonts w:ascii="Arial" w:cs="Arial" w:eastAsia="Arial" w:hAnsi="Arial"/>
          <w:sz w:val="14"/>
          <w:szCs w:val="14"/>
          <w:color w:val="auto"/>
        </w:rPr>
      </w:pPr>
    </w:p>
    <w:p>
      <w:pPr>
        <w:ind w:left="360" w:right="60" w:hanging="354"/>
        <w:spacing w:after="0" w:line="216"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reported in this column reflect the total balance of the NEO’s accounts in the plans as of December 31, 2020. The total amount previously reported in the Summary Compensation Table for each of the NEOs was as follows: Mr. McFarland - $0; Mr. Stevens - $2,778,035; Mr. Leon - $171,784; Mr. Smith - $1,473,735; Mr. Weiss - $872,999; Mr. Kerns - $535,821; Mr. Williams - $942,361.</w:t>
      </w:r>
    </w:p>
    <w:p>
      <w:pPr>
        <w:spacing w:after="0" w:line="68" w:lineRule="exact"/>
        <w:rPr>
          <w:rFonts w:ascii="Arial" w:cs="Arial" w:eastAsia="Arial" w:hAnsi="Arial"/>
          <w:sz w:val="14"/>
          <w:szCs w:val="14"/>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McFarland was not an employee and, therefore, not eligible to participate in the SSP.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98"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agreements. Following is a summary of the material terms of these arrangements.</w:t>
      </w:r>
    </w:p>
    <w:p>
      <w:pPr>
        <w:spacing w:after="0" w:line="17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Under our Notice and Severance Pay Plan (the “</w:t>
      </w:r>
      <w:r>
        <w:rPr>
          <w:rFonts w:ascii="Arial" w:cs="Arial" w:eastAsia="Arial" w:hAnsi="Arial"/>
          <w:sz w:val="18"/>
          <w:szCs w:val="18"/>
          <w:b w:val="1"/>
          <w:bCs w:val="1"/>
          <w:color w:val="auto"/>
        </w:rPr>
        <w:t>NSPP</w:t>
      </w:r>
      <w:r>
        <w:rPr>
          <w:rFonts w:ascii="Arial" w:cs="Arial" w:eastAsia="Arial" w:hAnsi="Arial"/>
          <w:sz w:val="18"/>
          <w:szCs w:val="18"/>
          <w:color w:val="auto"/>
        </w:rPr>
        <w:t>”), executives terminated by the Company without cause or by the executive with good reason, as defined by the NSPP, were eligible for 12 – 30 months of base salary and target annual incentive continuation, depending on the employee’s position and the nature of the termination, and continued health care coverage for the duration of the severance period at the active employee rate.</w:t>
      </w:r>
    </w:p>
    <w:p>
      <w:pPr>
        <w:spacing w:after="0" w:line="20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2020 that would have required us to provide compensation to our NEOs in the event of a termination of employment or a change in control.</w:t>
      </w:r>
    </w:p>
    <w:p>
      <w:pPr>
        <w:spacing w:after="0" w:line="200"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8" w:name="page59"/>
    <w:bookmarkEnd w:id="58"/>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9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2020, and reflect the terms of applicable plans then in effect. None of our NEOs had employment or service agreements, other than Mr. McFarland, for his independent contractor role as Interim CEO.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204"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93" w:lineRule="exact"/>
        <w:rPr>
          <w:sz w:val="20"/>
          <w:szCs w:val="20"/>
          <w:color w:val="auto"/>
        </w:rPr>
      </w:pPr>
    </w:p>
    <w:p>
      <w:pPr>
        <w:ind w:left="580" w:hanging="349"/>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17"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following is a summary of the payments and benefits each of our NEOs, other than Mr. Stevens and Mr. Smith, would have been entitled to receive if the event specified occurred as of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075C9"/>
                <w:w w:val="99"/>
              </w:rPr>
              <w:t>Termination by</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075C9"/>
              </w:rPr>
              <w:t>Executive</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Termination</w:t>
            </w:r>
          </w:p>
        </w:tc>
        <w:tc>
          <w:tcPr>
            <w:tcW w:w="9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075C9"/>
              </w:rPr>
              <w:t>Without</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Without Cause or</w:t>
            </w:r>
          </w:p>
        </w:tc>
        <w:tc>
          <w:tcPr>
            <w:tcW w:w="9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075C9"/>
              </w:rPr>
              <w:t>Good Reason</w:t>
            </w:r>
          </w:p>
        </w:tc>
        <w:tc>
          <w:tcPr>
            <w:tcW w:w="800" w:type="dxa"/>
            <w:vAlign w:val="bottom"/>
          </w:tcPr>
          <w:p>
            <w:pPr>
              <w:spacing w:after="0"/>
              <w:rPr>
                <w:sz w:val="12"/>
                <w:szCs w:val="12"/>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b w:val="1"/>
                <w:bCs w:val="1"/>
                <w:color w:val="0075C9"/>
              </w:rPr>
              <w:t>Termination</w:t>
            </w:r>
          </w:p>
        </w:tc>
        <w:tc>
          <w:tcPr>
            <w:tcW w:w="800" w:type="dxa"/>
            <w:vAlign w:val="bottom"/>
          </w:tcPr>
          <w:p>
            <w:pPr>
              <w:spacing w:after="0"/>
              <w:rPr>
                <w:sz w:val="12"/>
                <w:szCs w:val="12"/>
                <w:color w:val="auto"/>
              </w:rPr>
            </w:pPr>
          </w:p>
        </w:tc>
        <w:tc>
          <w:tcPr>
            <w:tcW w:w="1300" w:type="dxa"/>
            <w:vAlign w:val="bottom"/>
          </w:tcPr>
          <w:p>
            <w:pPr>
              <w:jc w:val="center"/>
              <w:ind w:right="358"/>
              <w:spacing w:after="0"/>
              <w:rPr>
                <w:sz w:val="20"/>
                <w:szCs w:val="20"/>
                <w:color w:val="auto"/>
              </w:rPr>
            </w:pPr>
            <w:r>
              <w:rPr>
                <w:rFonts w:ascii="Arial" w:cs="Arial" w:eastAsia="Arial" w:hAnsi="Arial"/>
                <w:sz w:val="12"/>
                <w:szCs w:val="12"/>
                <w:b w:val="1"/>
                <w:bCs w:val="1"/>
                <w:color w:val="0075C9"/>
              </w:rPr>
              <w:t>Change in</w:t>
            </w:r>
          </w:p>
        </w:tc>
      </w:tr>
      <w:tr>
        <w:trPr>
          <w:trHeight w:val="146"/>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Termination by</w:t>
            </w:r>
          </w:p>
        </w:tc>
        <w:tc>
          <w:tcPr>
            <w:tcW w:w="9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075C9"/>
              </w:rPr>
              <w:t>or</w:t>
            </w:r>
          </w:p>
        </w:tc>
        <w:tc>
          <w:tcPr>
            <w:tcW w:w="800" w:type="dxa"/>
            <w:vAlign w:val="bottom"/>
          </w:tcPr>
          <w:p>
            <w:pPr>
              <w:spacing w:after="0"/>
              <w:rPr>
                <w:sz w:val="12"/>
                <w:szCs w:val="12"/>
                <w:color w:val="auto"/>
              </w:rPr>
            </w:pPr>
          </w:p>
        </w:tc>
        <w:tc>
          <w:tcPr>
            <w:tcW w:w="920" w:type="dxa"/>
            <w:vAlign w:val="bottom"/>
          </w:tcPr>
          <w:p>
            <w:pPr>
              <w:jc w:val="center"/>
              <w:ind w:right="58"/>
              <w:spacing w:after="0"/>
              <w:rPr>
                <w:sz w:val="20"/>
                <w:szCs w:val="20"/>
                <w:color w:val="auto"/>
              </w:rPr>
            </w:pPr>
            <w:r>
              <w:rPr>
                <w:rFonts w:ascii="Arial" w:cs="Arial" w:eastAsia="Arial" w:hAnsi="Arial"/>
                <w:sz w:val="12"/>
                <w:szCs w:val="12"/>
                <w:b w:val="1"/>
                <w:bCs w:val="1"/>
                <w:color w:val="0075C9"/>
              </w:rPr>
              <w:t>Due to</w:t>
            </w:r>
          </w:p>
        </w:tc>
        <w:tc>
          <w:tcPr>
            <w:tcW w:w="800" w:type="dxa"/>
            <w:vAlign w:val="bottom"/>
          </w:tcPr>
          <w:p>
            <w:pPr>
              <w:spacing w:after="0"/>
              <w:rPr>
                <w:sz w:val="12"/>
                <w:szCs w:val="12"/>
                <w:color w:val="auto"/>
              </w:rPr>
            </w:pPr>
          </w:p>
        </w:tc>
        <w:tc>
          <w:tcPr>
            <w:tcW w:w="1300" w:type="dxa"/>
            <w:vAlign w:val="bottom"/>
          </w:tcPr>
          <w:p>
            <w:pPr>
              <w:jc w:val="center"/>
              <w:ind w:right="358"/>
              <w:spacing w:after="0"/>
              <w:rPr>
                <w:sz w:val="20"/>
                <w:szCs w:val="20"/>
                <w:color w:val="auto"/>
              </w:rPr>
            </w:pPr>
            <w:r>
              <w:rPr>
                <w:rFonts w:ascii="Arial" w:cs="Arial" w:eastAsia="Arial" w:hAnsi="Arial"/>
                <w:sz w:val="12"/>
                <w:szCs w:val="12"/>
                <w:b w:val="1"/>
                <w:bCs w:val="1"/>
                <w:color w:val="0075C9"/>
              </w:rPr>
              <w:t>Control with</w:t>
            </w:r>
          </w:p>
        </w:tc>
      </w:tr>
      <w:tr>
        <w:trPr>
          <w:trHeight w:val="146"/>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Executive with</w:t>
            </w:r>
          </w:p>
        </w:tc>
        <w:tc>
          <w:tcPr>
            <w:tcW w:w="9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075C9"/>
              </w:rPr>
              <w:t>Termination</w:t>
            </w:r>
          </w:p>
        </w:tc>
        <w:tc>
          <w:tcPr>
            <w:tcW w:w="800" w:type="dxa"/>
            <w:vAlign w:val="bottom"/>
          </w:tcPr>
          <w:p>
            <w:pPr>
              <w:spacing w:after="0"/>
              <w:rPr>
                <w:sz w:val="12"/>
                <w:szCs w:val="12"/>
                <w:color w:val="auto"/>
              </w:rPr>
            </w:pPr>
          </w:p>
        </w:tc>
        <w:tc>
          <w:tcPr>
            <w:tcW w:w="920" w:type="dxa"/>
            <w:vAlign w:val="bottom"/>
          </w:tcPr>
          <w:p>
            <w:pPr>
              <w:jc w:val="center"/>
              <w:ind w:right="78"/>
              <w:spacing w:after="0"/>
              <w:rPr>
                <w:sz w:val="20"/>
                <w:szCs w:val="20"/>
                <w:color w:val="auto"/>
              </w:rPr>
            </w:pPr>
            <w:r>
              <w:rPr>
                <w:rFonts w:ascii="Arial" w:cs="Arial" w:eastAsia="Arial" w:hAnsi="Arial"/>
                <w:sz w:val="12"/>
                <w:szCs w:val="12"/>
                <w:b w:val="1"/>
                <w:bCs w:val="1"/>
                <w:color w:val="0075C9"/>
              </w:rPr>
              <w:t>Death or</w:t>
            </w:r>
          </w:p>
        </w:tc>
        <w:tc>
          <w:tcPr>
            <w:tcW w:w="800" w:type="dxa"/>
            <w:vAlign w:val="bottom"/>
          </w:tcPr>
          <w:p>
            <w:pPr>
              <w:spacing w:after="0"/>
              <w:rPr>
                <w:sz w:val="12"/>
                <w:szCs w:val="12"/>
                <w:color w:val="auto"/>
              </w:rPr>
            </w:pPr>
          </w:p>
        </w:tc>
        <w:tc>
          <w:tcPr>
            <w:tcW w:w="1300" w:type="dxa"/>
            <w:vAlign w:val="bottom"/>
          </w:tcPr>
          <w:p>
            <w:pPr>
              <w:jc w:val="center"/>
              <w:ind w:right="358"/>
              <w:spacing w:after="0"/>
              <w:rPr>
                <w:sz w:val="20"/>
                <w:szCs w:val="20"/>
                <w:color w:val="auto"/>
              </w:rPr>
            </w:pPr>
            <w:r>
              <w:rPr>
                <w:rFonts w:ascii="Arial" w:cs="Arial" w:eastAsia="Arial" w:hAnsi="Arial"/>
                <w:sz w:val="12"/>
                <w:szCs w:val="12"/>
                <w:b w:val="1"/>
                <w:bCs w:val="1"/>
                <w:color w:val="0075C9"/>
                <w:w w:val="98"/>
              </w:rPr>
              <w:t>Termination</w:t>
            </w:r>
          </w:p>
        </w:tc>
      </w:tr>
      <w:tr>
        <w:trPr>
          <w:trHeight w:val="152"/>
        </w:trPr>
        <w:tc>
          <w:tcPr>
            <w:tcW w:w="416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Benefits and Payments Upon Termination</w:t>
            </w:r>
          </w:p>
        </w:tc>
        <w:tc>
          <w:tcPr>
            <w:tcW w:w="320" w:type="dxa"/>
            <w:vAlign w:val="bottom"/>
            <w:tcBorders>
              <w:bottom w:val="single" w:sz="8" w:color="0075C9"/>
            </w:tcBorders>
          </w:tcPr>
          <w:p>
            <w:pPr>
              <w:spacing w:after="0"/>
              <w:rPr>
                <w:sz w:val="13"/>
                <w:szCs w:val="13"/>
                <w:color w:val="auto"/>
              </w:rPr>
            </w:pPr>
          </w:p>
        </w:tc>
        <w:tc>
          <w:tcPr>
            <w:tcW w:w="10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Good Reason</w:t>
            </w:r>
          </w:p>
        </w:tc>
        <w:tc>
          <w:tcPr>
            <w:tcW w:w="900" w:type="dxa"/>
            <w:vAlign w:val="bottom"/>
            <w:tcBorders>
              <w:bottom w:val="single" w:sz="8" w:color="0075C9"/>
            </w:tcBorders>
          </w:tcPr>
          <w:p>
            <w:pPr>
              <w:spacing w:after="0"/>
              <w:rPr>
                <w:sz w:val="13"/>
                <w:szCs w:val="13"/>
                <w:color w:val="auto"/>
              </w:rPr>
            </w:pPr>
          </w:p>
        </w:tc>
        <w:tc>
          <w:tcPr>
            <w:tcW w:w="9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for Cause</w:t>
            </w:r>
          </w:p>
        </w:tc>
        <w:tc>
          <w:tcPr>
            <w:tcW w:w="800" w:type="dxa"/>
            <w:vAlign w:val="bottom"/>
            <w:tcBorders>
              <w:bottom w:val="single" w:sz="8" w:color="0075C9"/>
            </w:tcBorders>
          </w:tcPr>
          <w:p>
            <w:pPr>
              <w:spacing w:after="0"/>
              <w:rPr>
                <w:sz w:val="13"/>
                <w:szCs w:val="13"/>
                <w:color w:val="auto"/>
              </w:rPr>
            </w:pPr>
          </w:p>
        </w:tc>
        <w:tc>
          <w:tcPr>
            <w:tcW w:w="920" w:type="dxa"/>
            <w:vAlign w:val="bottom"/>
            <w:tcBorders>
              <w:bottom w:val="single" w:sz="8" w:color="0075C9"/>
            </w:tcBorders>
          </w:tcPr>
          <w:p>
            <w:pPr>
              <w:jc w:val="center"/>
              <w:ind w:right="58"/>
              <w:spacing w:after="0"/>
              <w:rPr>
                <w:sz w:val="20"/>
                <w:szCs w:val="20"/>
                <w:color w:val="auto"/>
              </w:rPr>
            </w:pPr>
            <w:r>
              <w:rPr>
                <w:rFonts w:ascii="Arial" w:cs="Arial" w:eastAsia="Arial" w:hAnsi="Arial"/>
                <w:sz w:val="12"/>
                <w:szCs w:val="12"/>
                <w:b w:val="1"/>
                <w:bCs w:val="1"/>
                <w:color w:val="0075C9"/>
              </w:rPr>
              <w:t>Disability</w:t>
            </w:r>
          </w:p>
        </w:tc>
        <w:tc>
          <w:tcPr>
            <w:tcW w:w="800" w:type="dxa"/>
            <w:vAlign w:val="bottom"/>
            <w:tcBorders>
              <w:bottom w:val="single" w:sz="8" w:color="0075C9"/>
            </w:tcBorders>
          </w:tcPr>
          <w:p>
            <w:pPr>
              <w:spacing w:after="0"/>
              <w:rPr>
                <w:sz w:val="13"/>
                <w:szCs w:val="13"/>
                <w:color w:val="auto"/>
              </w:rPr>
            </w:pPr>
          </w:p>
        </w:tc>
        <w:tc>
          <w:tcPr>
            <w:tcW w:w="1300" w:type="dxa"/>
            <w:vAlign w:val="bottom"/>
            <w:tcBorders>
              <w:bottom w:val="single" w:sz="8" w:color="0075C9"/>
            </w:tcBorders>
          </w:tcPr>
          <w:p>
            <w:pPr>
              <w:jc w:val="center"/>
              <w:ind w:right="358"/>
              <w:spacing w:after="0"/>
              <w:rPr>
                <w:sz w:val="20"/>
                <w:szCs w:val="20"/>
                <w:color w:val="auto"/>
              </w:rPr>
            </w:pPr>
            <w:r>
              <w:rPr>
                <w:rFonts w:ascii="Arial" w:cs="Arial" w:eastAsia="Arial" w:hAnsi="Arial"/>
                <w:sz w:val="12"/>
                <w:szCs w:val="12"/>
                <w:b w:val="1"/>
                <w:bCs w:val="1"/>
                <w:color w:val="0075C9"/>
              </w:rPr>
              <w:t>as Result</w:t>
            </w:r>
          </w:p>
        </w:tc>
      </w:tr>
      <w:tr>
        <w:trPr>
          <w:trHeight w:val="13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Mark A. (Mac) McFarland</w:t>
            </w:r>
          </w:p>
        </w:tc>
        <w:tc>
          <w:tcPr>
            <w:tcW w:w="32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980" w:type="dxa"/>
            <w:vAlign w:val="bottom"/>
            <w:shd w:val="clear" w:color="auto" w:fill="EBEBEC"/>
          </w:tcPr>
          <w:p>
            <w:pPr>
              <w:spacing w:after="0"/>
              <w:rPr>
                <w:sz w:val="12"/>
                <w:szCs w:val="12"/>
                <w:color w:val="auto"/>
              </w:rPr>
            </w:pPr>
          </w:p>
        </w:tc>
        <w:tc>
          <w:tcPr>
            <w:tcW w:w="8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800" w:type="dxa"/>
            <w:vAlign w:val="bottom"/>
            <w:shd w:val="clear" w:color="auto" w:fill="EBEBEC"/>
          </w:tcPr>
          <w:p>
            <w:pPr>
              <w:spacing w:after="0"/>
              <w:rPr>
                <w:sz w:val="12"/>
                <w:szCs w:val="12"/>
                <w:color w:val="auto"/>
              </w:rPr>
            </w:pPr>
          </w:p>
        </w:tc>
        <w:tc>
          <w:tcPr>
            <w:tcW w:w="1300" w:type="dxa"/>
            <w:vAlign w:val="bottom"/>
            <w:shd w:val="clear" w:color="auto" w:fill="EBEBEC"/>
          </w:tcPr>
          <w:p>
            <w:pPr>
              <w:spacing w:after="0"/>
              <w:rPr>
                <w:sz w:val="12"/>
                <w:szCs w:val="12"/>
                <w:color w:val="auto"/>
              </w:rPr>
            </w:pP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Quarterly Incentive Award(1)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Francisco J. Leon</w:t>
            </w:r>
          </w:p>
        </w:tc>
        <w:tc>
          <w:tcPr>
            <w:tcW w:w="320" w:type="dxa"/>
            <w:vAlign w:val="bottom"/>
            <w:shd w:val="clear" w:color="auto" w:fill="EBEBEC"/>
          </w:tcPr>
          <w:p>
            <w:pPr>
              <w:spacing w:after="0"/>
              <w:rPr>
                <w:sz w:val="13"/>
                <w:szCs w:val="13"/>
                <w:color w:val="auto"/>
              </w:rPr>
            </w:pPr>
          </w:p>
        </w:tc>
        <w:tc>
          <w:tcPr>
            <w:tcW w:w="106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9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92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1300" w:type="dxa"/>
            <w:vAlign w:val="bottom"/>
            <w:shd w:val="clear" w:color="auto" w:fill="EBEBEC"/>
          </w:tcPr>
          <w:p>
            <w:pPr>
              <w:spacing w:after="0"/>
              <w:rPr>
                <w:sz w:val="13"/>
                <w:szCs w:val="13"/>
                <w:color w:val="auto"/>
              </w:rPr>
            </w:pP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Quarterly Incentive Award(3)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492,300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492,300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492,300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1,010,625</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1,347,500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Charles F. Weiss (2)</w:t>
            </w:r>
          </w:p>
        </w:tc>
        <w:tc>
          <w:tcPr>
            <w:tcW w:w="320" w:type="dxa"/>
            <w:vAlign w:val="bottom"/>
            <w:shd w:val="clear" w:color="auto" w:fill="EBEBEC"/>
          </w:tcPr>
          <w:p>
            <w:pPr>
              <w:spacing w:after="0"/>
              <w:rPr>
                <w:sz w:val="13"/>
                <w:szCs w:val="13"/>
                <w:color w:val="auto"/>
              </w:rPr>
            </w:pPr>
          </w:p>
        </w:tc>
        <w:tc>
          <w:tcPr>
            <w:tcW w:w="106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9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92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1300" w:type="dxa"/>
            <w:vAlign w:val="bottom"/>
            <w:shd w:val="clear" w:color="auto" w:fill="EBEBEC"/>
          </w:tcPr>
          <w:p>
            <w:pPr>
              <w:spacing w:after="0"/>
              <w:rPr>
                <w:sz w:val="13"/>
                <w:szCs w:val="13"/>
                <w:color w:val="auto"/>
              </w:rPr>
            </w:pP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Quarterly Incentive Award(3)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566,145</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566,145</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566,145</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1,221,000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1,628,000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320" w:type="dxa"/>
            <w:vAlign w:val="bottom"/>
            <w:shd w:val="clear" w:color="auto" w:fill="EBEBEC"/>
          </w:tcPr>
          <w:p>
            <w:pPr>
              <w:spacing w:after="0"/>
              <w:rPr>
                <w:sz w:val="13"/>
                <w:szCs w:val="13"/>
                <w:color w:val="auto"/>
              </w:rPr>
            </w:pPr>
          </w:p>
        </w:tc>
        <w:tc>
          <w:tcPr>
            <w:tcW w:w="106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9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92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1300" w:type="dxa"/>
            <w:vAlign w:val="bottom"/>
            <w:shd w:val="clear" w:color="auto" w:fill="EBEBEC"/>
          </w:tcPr>
          <w:p>
            <w:pPr>
              <w:spacing w:after="0"/>
              <w:rPr>
                <w:sz w:val="13"/>
                <w:szCs w:val="13"/>
                <w:color w:val="auto"/>
              </w:rPr>
            </w:pP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Quarterly Incentive Award(3)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578,453</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578,453</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578,453</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1,211,250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1,615,000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Darren Williams (2)</w:t>
            </w:r>
          </w:p>
        </w:tc>
        <w:tc>
          <w:tcPr>
            <w:tcW w:w="320" w:type="dxa"/>
            <w:vAlign w:val="bottom"/>
            <w:shd w:val="clear" w:color="auto" w:fill="EBEBEC"/>
          </w:tcPr>
          <w:p>
            <w:pPr>
              <w:spacing w:after="0"/>
              <w:rPr>
                <w:sz w:val="13"/>
                <w:szCs w:val="13"/>
                <w:color w:val="auto"/>
              </w:rPr>
            </w:pPr>
          </w:p>
        </w:tc>
        <w:tc>
          <w:tcPr>
            <w:tcW w:w="106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9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92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1300" w:type="dxa"/>
            <w:vAlign w:val="bottom"/>
            <w:shd w:val="clear" w:color="auto" w:fill="EBEBEC"/>
          </w:tcPr>
          <w:p>
            <w:pPr>
              <w:spacing w:after="0"/>
              <w:rPr>
                <w:sz w:val="13"/>
                <w:szCs w:val="13"/>
                <w:color w:val="auto"/>
              </w:rPr>
            </w:pP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Quarterly Incentive Award(3)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541,530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541,530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541,530</w:t>
            </w:r>
          </w:p>
        </w:tc>
      </w:tr>
      <w:tr>
        <w:trPr>
          <w:trHeight w:val="159"/>
        </w:trPr>
        <w:tc>
          <w:tcPr>
            <w:tcW w:w="41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1,282,500</w:t>
            </w:r>
          </w:p>
        </w:tc>
        <w:tc>
          <w:tcPr>
            <w:tcW w:w="9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80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1,710,000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71348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-302260</wp:posOffset>
            </wp:positionV>
            <wp:extent cx="71348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-403225</wp:posOffset>
            </wp:positionV>
            <wp:extent cx="7134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-504190</wp:posOffset>
            </wp:positionV>
            <wp:extent cx="7134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-605155</wp:posOffset>
            </wp:positionV>
            <wp:extent cx="7134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-706120</wp:posOffset>
            </wp:positionV>
            <wp:extent cx="7134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-807085</wp:posOffset>
            </wp:positionV>
            <wp:extent cx="7134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7134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-1009015</wp:posOffset>
            </wp:positionV>
            <wp:extent cx="7134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-1109980</wp:posOffset>
            </wp:positionV>
            <wp:extent cx="71348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-1210945</wp:posOffset>
            </wp:positionV>
            <wp:extent cx="7134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-1311910</wp:posOffset>
            </wp:positionV>
            <wp:extent cx="7134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-1412875</wp:posOffset>
            </wp:positionV>
            <wp:extent cx="7134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3" w:lineRule="exact"/>
        <w:rPr>
          <w:sz w:val="20"/>
          <w:szCs w:val="20"/>
          <w:color w:val="auto"/>
        </w:rPr>
      </w:pPr>
    </w:p>
    <w:p>
      <w:pPr>
        <w:ind w:left="360" w:right="40" w:hanging="354"/>
        <w:spacing w:after="0"/>
        <w:tabs>
          <w:tab w:leader="none" w:pos="360" w:val="left"/>
        </w:tabs>
        <w:numPr>
          <w:ilvl w:val="0"/>
          <w:numId w:val="36"/>
        </w:numPr>
        <w:rPr>
          <w:rFonts w:ascii="Arial" w:cs="Arial" w:eastAsia="Arial" w:hAnsi="Arial"/>
          <w:sz w:val="12"/>
          <w:szCs w:val="12"/>
          <w:color w:val="auto"/>
        </w:rPr>
      </w:pPr>
      <w:r>
        <w:rPr>
          <w:rFonts w:ascii="Arial" w:cs="Arial" w:eastAsia="Arial" w:hAnsi="Arial"/>
          <w:sz w:val="14"/>
          <w:szCs w:val="14"/>
          <w:color w:val="auto"/>
        </w:rPr>
        <w:t>Mr. McFarland was not an employee of the company on December 31, 2020, and, therefore, was not eligible to receive Severance benefits or the Quarterly Incentive Award.</w:t>
      </w:r>
    </w:p>
    <w:p>
      <w:pPr>
        <w:spacing w:after="0" w:line="236" w:lineRule="exact"/>
        <w:rPr>
          <w:rFonts w:ascii="Arial" w:cs="Arial" w:eastAsia="Arial" w:hAnsi="Arial"/>
          <w:sz w:val="12"/>
          <w:szCs w:val="12"/>
          <w:color w:val="auto"/>
        </w:rPr>
      </w:pPr>
    </w:p>
    <w:p>
      <w:pPr>
        <w:ind w:left="360" w:right="60" w:hanging="354"/>
        <w:spacing w:after="0" w:line="225" w:lineRule="auto"/>
        <w:tabs>
          <w:tab w:leader="none" w:pos="360" w:val="left"/>
        </w:tabs>
        <w:numPr>
          <w:ilvl w:val="0"/>
          <w:numId w:val="36"/>
        </w:numPr>
        <w:rPr>
          <w:rFonts w:ascii="Arial" w:cs="Arial" w:eastAsia="Arial" w:hAnsi="Arial"/>
          <w:sz w:val="12"/>
          <w:szCs w:val="12"/>
          <w:color w:val="auto"/>
        </w:rPr>
      </w:pPr>
      <w:r>
        <w:rPr>
          <w:rFonts w:ascii="Arial" w:cs="Arial" w:eastAsia="Arial" w:hAnsi="Arial"/>
          <w:sz w:val="14"/>
          <w:szCs w:val="14"/>
          <w:color w:val="auto"/>
        </w:rPr>
        <w:t>Messrs. Weiss and Williams were subsequently terminated without cause in January 2021. Actual amounts received by them are the same as the amounts shown in the “Termination Without Cause or Termination by Executive with Good Reason” column in the table above.</w:t>
      </w:r>
    </w:p>
    <w:p>
      <w:pPr>
        <w:spacing w:after="0" w:line="108" w:lineRule="exact"/>
        <w:rPr>
          <w:rFonts w:ascii="Arial" w:cs="Arial" w:eastAsia="Arial" w:hAnsi="Arial"/>
          <w:sz w:val="12"/>
          <w:szCs w:val="12"/>
          <w:color w:val="auto"/>
        </w:rPr>
      </w:pPr>
    </w:p>
    <w:p>
      <w:pPr>
        <w:ind w:left="360" w:right="20" w:hanging="354"/>
        <w:spacing w:after="0" w:line="216" w:lineRule="auto"/>
        <w:tabs>
          <w:tab w:leader="none" w:pos="360" w:val="left"/>
        </w:tabs>
        <w:numPr>
          <w:ilvl w:val="0"/>
          <w:numId w:val="36"/>
        </w:numPr>
        <w:rPr>
          <w:rFonts w:ascii="Arial" w:cs="Arial" w:eastAsia="Arial" w:hAnsi="Arial"/>
          <w:sz w:val="12"/>
          <w:szCs w:val="12"/>
          <w:color w:val="auto"/>
        </w:rPr>
      </w:pPr>
      <w:r>
        <w:rPr>
          <w:rFonts w:ascii="Arial" w:cs="Arial" w:eastAsia="Arial" w:hAnsi="Arial"/>
          <w:sz w:val="14"/>
          <w:szCs w:val="14"/>
          <w:color w:val="auto"/>
        </w:rPr>
        <w:t>The Quarterly Incentive Award provided for a pro rata payout in the event of death or disability at any time during the performance period and in the event of termination without cause or termination by the executive with good reason. Amount shown is the Quarterly Incentive Award that would have been payable, based on the amounts that were approved by the Compensation Committee as disclosed in the Summary Compensation Table.</w:t>
      </w:r>
    </w:p>
    <w:p>
      <w:pPr>
        <w:spacing w:after="0" w:line="183"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9" w:name="page60"/>
    <w:bookmarkEnd w:id="59"/>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32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Upon his termination of employment on December 31, 2020, Mr. Stevens received 24 months of severance ($3,675,000), his Quarterly Incentive Award for the quarter ending December 31, 2020 ($2,658,420), payout of unused accrued vacation ( $141,704), up to $30,000 of reimbursement for his 2020 tax preparation, and continued health coverage at active employee rates for up to 24 months.</w:t>
      </w:r>
    </w:p>
    <w:p>
      <w:pPr>
        <w:spacing w:after="0" w:line="30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Upon his termination of employment on August 15, 2020, Mr. Smith received 18 months of severance ($721,880), a pro rata portion of his Quarterly Incentive Award for the quarter ending September 30, 2020 ($464,674), payout of unused accrued vacation ($103,846), consulting fees for two months totaling $60,000, and continued health coverage at active employee rates for up to 18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2020, our last completed fiscal year:</w:t>
      </w:r>
    </w:p>
    <w:p>
      <w:pPr>
        <w:spacing w:after="0" w:line="98" w:lineRule="exact"/>
        <w:rPr>
          <w:sz w:val="20"/>
          <w:szCs w:val="20"/>
          <w:color w:val="auto"/>
        </w:rPr>
      </w:pPr>
    </w:p>
    <w:p>
      <w:pPr>
        <w:ind w:left="580" w:hanging="349"/>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$147,214.</w:t>
      </w:r>
    </w:p>
    <w:p>
      <w:pPr>
        <w:spacing w:after="0" w:line="111" w:lineRule="exact"/>
        <w:rPr>
          <w:rFonts w:ascii="Arial" w:cs="Arial" w:eastAsia="Arial" w:hAnsi="Arial"/>
          <w:sz w:val="18"/>
          <w:szCs w:val="18"/>
          <w:color w:val="auto"/>
        </w:rPr>
      </w:pPr>
    </w:p>
    <w:p>
      <w:pPr>
        <w:ind w:left="580" w:right="280" w:hanging="349"/>
        <w:spacing w:after="0" w:line="23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total compensation of the two individuals who served as our CEO, as reported in the Summary Compensation Table above, was $21,568,176 ($47,529 for Mr. McFarland and $21,520,647 for Mr. Stevens).</w:t>
      </w:r>
    </w:p>
    <w:p>
      <w:pPr>
        <w:spacing w:after="0" w:line="92" w:lineRule="exact"/>
        <w:rPr>
          <w:rFonts w:ascii="Arial" w:cs="Arial" w:eastAsia="Arial" w:hAnsi="Arial"/>
          <w:sz w:val="18"/>
          <w:szCs w:val="18"/>
          <w:color w:val="auto"/>
        </w:rPr>
      </w:pPr>
    </w:p>
    <w:p>
      <w:pPr>
        <w:ind w:left="580" w:right="700" w:hanging="349"/>
        <w:spacing w:after="0" w:line="23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this information, for 2020 the ratio of the annual total compensation of our CEO to the median of the annual total compensation of all employees was reasonably estimated to be 147 to 1.</w:t>
      </w:r>
    </w:p>
    <w:p>
      <w:pPr>
        <w:spacing w:after="0" w:line="1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purposes of this Pay Ratio Disclosure, we have combined the compensation for Messrs. McFarland and Stevens, as they both served as our CEO during 2020.</w:t>
      </w:r>
    </w:p>
    <w:p>
      <w:pPr>
        <w:spacing w:after="0" w:line="1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93" w:lineRule="exact"/>
        <w:rPr>
          <w:sz w:val="20"/>
          <w:szCs w:val="20"/>
          <w:color w:val="auto"/>
        </w:rPr>
      </w:pPr>
    </w:p>
    <w:p>
      <w:pPr>
        <w:ind w:left="580" w:right="140" w:hanging="349"/>
        <w:spacing w:after="0" w:line="233"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determined that, as of December 31, 2020 (which is the date we chose to identify our median employee), our employee population consisted of approximately 1,100 individuals with all of these individuals located in the United States (as reported in Item 1, Business, in our Annual Report on Form 10-K filed with the Securities and Exchange Commission on March 11, 2021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w:t>
      </w:r>
    </w:p>
    <w:p>
      <w:pPr>
        <w:spacing w:after="0" w:line="95" w:lineRule="exact"/>
        <w:rPr>
          <w:rFonts w:ascii="Arial" w:cs="Arial" w:eastAsia="Arial" w:hAnsi="Arial"/>
          <w:sz w:val="18"/>
          <w:szCs w:val="18"/>
          <w:color w:val="auto"/>
        </w:rPr>
      </w:pPr>
    </w:p>
    <w:p>
      <w:pPr>
        <w:ind w:left="580" w:right="40" w:hanging="349"/>
        <w:spacing w:after="0" w:line="233"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2020 as a consistently applied compensation measure to identify our median employee. We did not make any assumptions, adjustments, or estimates with respect to the W-2 wages, and we did not annualize the compensation for any employees that were not employed by us for all of 2020. We believe the use of W-2 wages, as applicable, is the most appropriate compensation measure since it includes the total taxable compensation received by our employees in 2020.</w:t>
      </w:r>
    </w:p>
    <w:p>
      <w:pPr>
        <w:spacing w:after="0" w:line="95" w:lineRule="exact"/>
        <w:rPr>
          <w:rFonts w:ascii="Arial" w:cs="Arial" w:eastAsia="Arial" w:hAnsi="Arial"/>
          <w:sz w:val="18"/>
          <w:szCs w:val="18"/>
          <w:color w:val="auto"/>
        </w:rPr>
      </w:pPr>
    </w:p>
    <w:p>
      <w:pPr>
        <w:ind w:left="580" w:right="320" w:hanging="349"/>
        <w:spacing w:after="0" w:line="235"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0" w:name="page61"/>
    <w:bookmarkEnd w:id="60"/>
    <w:p>
      <w:pPr>
        <w:ind w:left="8809"/>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8909"/>
        <w:spacing w:after="0"/>
        <w:rPr>
          <w:sz w:val="20"/>
          <w:szCs w:val="20"/>
          <w:color w:val="auto"/>
        </w:rPr>
      </w:pPr>
      <w:r>
        <w:rPr>
          <w:rFonts w:ascii="Arial" w:cs="Arial" w:eastAsia="Arial" w:hAnsi="Arial"/>
          <w:sz w:val="14"/>
          <w:szCs w:val="14"/>
          <w:color w:val="auto"/>
        </w:rPr>
        <w:t>Executive Compensation Tables</w:t>
      </w:r>
    </w:p>
    <w:p>
      <w:pPr>
        <w:spacing w:after="0" w:line="310" w:lineRule="exact"/>
        <w:rPr>
          <w:sz w:val="20"/>
          <w:szCs w:val="20"/>
          <w:color w:val="auto"/>
        </w:rPr>
      </w:pPr>
    </w:p>
    <w:p>
      <w:pPr>
        <w:ind w:left="349" w:right="180" w:hanging="349"/>
        <w:spacing w:after="0" w:line="238" w:lineRule="auto"/>
        <w:tabs>
          <w:tab w:leader="none" w:pos="3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2020 year in accordance with the requirements of Item 402(c)(2)(x) of Regulation S-K, resulting in annual total compensation of $147,214.</w:t>
      </w:r>
    </w:p>
    <w:p>
      <w:pPr>
        <w:spacing w:after="0" w:line="92" w:lineRule="exact"/>
        <w:rPr>
          <w:rFonts w:ascii="Arial" w:cs="Arial" w:eastAsia="Arial" w:hAnsi="Arial"/>
          <w:sz w:val="18"/>
          <w:szCs w:val="18"/>
          <w:color w:val="auto"/>
        </w:rPr>
      </w:pPr>
    </w:p>
    <w:p>
      <w:pPr>
        <w:ind w:left="349" w:right="180" w:hanging="349"/>
        <w:spacing w:after="0" w:line="232" w:lineRule="auto"/>
        <w:tabs>
          <w:tab w:leader="none" w:pos="3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aggregate amount reported in the “Total” column of our 2020 Summary Compensation Table for Mr. McFarland, who served as our Interim CEO on December 31, 2020, and for Mr. Stevens, who served as our CEO for the entire year, included on page 47 and incorporated by reference under Item 11 of Part III of our Annual Report. The total compensation for Mr. Stevens includes several unusual items – accrued severance, payout of unused accrued vacation, incentive awards that were granted but forfeited during 2020 and payout of a cash-based incentive award from a prior year – all of which we would not anticipate to be included in CEO total compensation in future years.</w:t>
      </w:r>
    </w:p>
    <w:p>
      <w:pPr>
        <w:spacing w:after="0" w:line="98" w:lineRule="exact"/>
        <w:rPr>
          <w:sz w:val="20"/>
          <w:szCs w:val="20"/>
          <w:color w:val="auto"/>
        </w:rPr>
      </w:pPr>
    </w:p>
    <w:p>
      <w:pPr>
        <w:ind w:left="9" w:right="20"/>
        <w:spacing w:after="0"/>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255" w:lineRule="exact"/>
        <w:rPr>
          <w:sz w:val="20"/>
          <w:szCs w:val="20"/>
          <w:color w:val="auto"/>
        </w:rPr>
      </w:pPr>
    </w:p>
    <w:p>
      <w:pPr>
        <w:ind w:left="9" w:right="220"/>
        <w:spacing w:after="0" w:line="238"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9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50165</wp:posOffset>
            </wp:positionV>
            <wp:extent cx="717677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09"/>
          </w:cols>
          <w:pgMar w:left="551" w:top="382" w:right="339" w:bottom="1440" w:gutter="0" w:footer="0" w:header="0"/>
        </w:sectPr>
      </w:pPr>
    </w:p>
    <w:bookmarkStart w:id="61" w:name="page62"/>
    <w:bookmarkEnd w:id="61"/>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720"/>
        <w:spacing w:after="0"/>
        <w:rPr>
          <w:sz w:val="20"/>
          <w:szCs w:val="20"/>
          <w:color w:val="auto"/>
        </w:rPr>
      </w:pPr>
      <w:r>
        <w:rPr>
          <w:rFonts w:ascii="Arial" w:cs="Arial" w:eastAsia="Arial" w:hAnsi="Arial"/>
          <w:sz w:val="14"/>
          <w:szCs w:val="14"/>
          <w:color w:val="auto"/>
        </w:rPr>
        <w:t>Director Compensation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0075C9"/>
        </w:rPr>
        <w:t>Program Objectives</w:t>
      </w:r>
    </w:p>
    <w:p>
      <w:pPr>
        <w:spacing w:after="0" w:line="109"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Our director compensation program is designed to be consistent with the programs of our Peer Group. The following matters were considered important to development of our director compensation program:</w:t>
      </w:r>
    </w:p>
    <w:p>
      <w:pPr>
        <w:spacing w:after="0" w:line="93" w:lineRule="exact"/>
        <w:rPr>
          <w:sz w:val="20"/>
          <w:szCs w:val="20"/>
          <w:color w:val="auto"/>
        </w:rPr>
      </w:pPr>
    </w:p>
    <w:p>
      <w:pPr>
        <w:ind w:left="580" w:hanging="349"/>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practices of our peer companies.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recruit and retain independent directors.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0075C9"/>
        </w:rPr>
        <w:t>Original Program Elements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our outside director compensation program that were approved by the former Board for the one-year period beginning</w:t>
      </w:r>
    </w:p>
    <w:p>
      <w:pPr>
        <w:spacing w:after="0"/>
        <w:rPr>
          <w:sz w:val="20"/>
          <w:szCs w:val="20"/>
          <w:color w:val="auto"/>
        </w:rPr>
      </w:pPr>
      <w:r>
        <w:rPr>
          <w:rFonts w:ascii="Arial" w:cs="Arial" w:eastAsia="Arial" w:hAnsi="Arial"/>
          <w:sz w:val="18"/>
          <w:szCs w:val="18"/>
          <w:color w:val="auto"/>
        </w:rPr>
        <w:t>May 1, 2019 were as follows:</w:t>
      </w:r>
    </w:p>
    <w:p>
      <w:pPr>
        <w:spacing w:after="0" w:line="98" w:lineRule="exact"/>
        <w:rPr>
          <w:sz w:val="20"/>
          <w:szCs w:val="20"/>
          <w:color w:val="auto"/>
        </w:rPr>
      </w:pPr>
    </w:p>
    <w:p>
      <w:pPr>
        <w:ind w:left="580" w:hanging="34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cash board retainer of $90,000, paid in equal monthly installments.</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additional annual cash retainer of $100,000 for our Chairman.</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additional annual cash retainer of $25,000 for the Lead independent director.</w:t>
      </w:r>
    </w:p>
    <w:p>
      <w:pPr>
        <w:spacing w:after="0" w:line="111" w:lineRule="exact"/>
        <w:rPr>
          <w:rFonts w:ascii="Arial" w:cs="Arial" w:eastAsia="Arial" w:hAnsi="Arial"/>
          <w:sz w:val="18"/>
          <w:szCs w:val="18"/>
          <w:color w:val="auto"/>
        </w:rPr>
      </w:pPr>
    </w:p>
    <w:p>
      <w:pPr>
        <w:ind w:left="580" w:right="240" w:hanging="349"/>
        <w:spacing w:after="0" w:line="23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additional annual cash retainer of $20,000 for the audit and compensation committee chairpersons and $15,000 for the other committee chairpersons.</w:t>
      </w:r>
    </w:p>
    <w:p>
      <w:pPr>
        <w:spacing w:after="0" w:line="92" w:lineRule="exact"/>
        <w:rPr>
          <w:rFonts w:ascii="Arial" w:cs="Arial" w:eastAsia="Arial" w:hAnsi="Arial"/>
          <w:sz w:val="18"/>
          <w:szCs w:val="18"/>
          <w:color w:val="auto"/>
        </w:rPr>
      </w:pPr>
    </w:p>
    <w:p>
      <w:pPr>
        <w:ind w:left="580" w:hanging="34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equity grant of our common stock with a value of $175,000 on the grant date.</w:t>
      </w:r>
    </w:p>
    <w:p>
      <w:pPr>
        <w:spacing w:after="0" w:line="111" w:lineRule="exact"/>
        <w:rPr>
          <w:rFonts w:ascii="Arial" w:cs="Arial" w:eastAsia="Arial" w:hAnsi="Arial"/>
          <w:sz w:val="18"/>
          <w:szCs w:val="18"/>
          <w:color w:val="auto"/>
        </w:rPr>
      </w:pPr>
    </w:p>
    <w:p>
      <w:pPr>
        <w:ind w:left="580" w:right="1040" w:hanging="349"/>
        <w:spacing w:after="0" w:line="23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stock ownership guideline of five times the annual cash board retainer applies to outside directors who are expected to attain this target ownership level within five years of election to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0075C9"/>
        </w:rPr>
        <w:t>Program Elements During Restructuring</w:t>
      </w:r>
    </w:p>
    <w:p>
      <w:pPr>
        <w:spacing w:after="0" w:line="10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April 2020, the former Board approved changes to the outside director compensation program, in response to the Company’s financial situation and restructuring. The new program did not include an equity award; instead, the prior program’s equity grant date value was added to the cash retainer. The new program provided for quarterly payments and was effective May 1, 2020, as follows:</w:t>
      </w:r>
    </w:p>
    <w:p>
      <w:pPr>
        <w:spacing w:after="0" w:line="94" w:lineRule="exact"/>
        <w:rPr>
          <w:sz w:val="20"/>
          <w:szCs w:val="20"/>
          <w:color w:val="auto"/>
        </w:rPr>
      </w:pPr>
    </w:p>
    <w:p>
      <w:pPr>
        <w:ind w:left="580" w:hanging="34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Retainer of $66,250 paid in cash quarterly in advance beginning May 1</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Board Leadership fees as follows, paid quarterly in advance:</w:t>
      </w:r>
    </w:p>
    <w:p>
      <w:pPr>
        <w:spacing w:after="0" w:line="111" w:lineRule="exact"/>
        <w:rPr>
          <w:rFonts w:ascii="Arial" w:cs="Arial" w:eastAsia="Arial" w:hAnsi="Arial"/>
          <w:sz w:val="18"/>
          <w:szCs w:val="18"/>
          <w:color w:val="auto"/>
        </w:rPr>
      </w:pPr>
    </w:p>
    <w:p>
      <w:pPr>
        <w:ind w:left="1240" w:right="700" w:hanging="413"/>
        <w:spacing w:after="0" w:line="238" w:lineRule="auto"/>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Committee chairperson – $5,000 per quarter for Compensation and Audit and $3,750 per quarter for Nominating &amp; Governance and Operations &amp; Sustainability</w:t>
      </w:r>
    </w:p>
    <w:p>
      <w:pPr>
        <w:spacing w:after="0" w:line="92" w:lineRule="exact"/>
        <w:rPr>
          <w:rFonts w:ascii="Arial" w:cs="Arial" w:eastAsia="Arial" w:hAnsi="Arial"/>
          <w:sz w:val="18"/>
          <w:szCs w:val="18"/>
          <w:color w:val="auto"/>
        </w:rPr>
      </w:pPr>
    </w:p>
    <w:p>
      <w:pPr>
        <w:ind w:left="1240" w:hanging="413"/>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Lead independent director – $6,250 per quarter</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Chairman of the Board – $25,000 per quarter</w:t>
      </w:r>
    </w:p>
    <w:p>
      <w:pPr>
        <w:spacing w:after="0" w:line="111" w:lineRule="exact"/>
        <w:rPr>
          <w:rFonts w:ascii="Arial" w:cs="Arial" w:eastAsia="Arial" w:hAnsi="Arial"/>
          <w:sz w:val="18"/>
          <w:szCs w:val="18"/>
          <w:color w:val="auto"/>
        </w:rPr>
      </w:pPr>
    </w:p>
    <w:p>
      <w:pPr>
        <w:ind w:left="580" w:right="1280" w:hanging="349"/>
        <w:spacing w:after="0" w:line="273"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Beginning May 1 and during the period of the Company’s restructuring, Special Meeting fees of $2,000 per meeting paid quarterly in arrears (i.e., Aug 1, Nov 1, Feb 1, May 1) to non-employee Directors who participate in meetings related to the restructuring, as determined by the Chairman of the Board in consultation with the General Counsel. Such meetings needed to meet these criteria:</w:t>
      </w:r>
    </w:p>
    <w:p>
      <w:pPr>
        <w:spacing w:after="0" w:line="65" w:lineRule="exact"/>
        <w:rPr>
          <w:rFonts w:ascii="Arial" w:cs="Arial" w:eastAsia="Arial" w:hAnsi="Arial"/>
          <w:sz w:val="18"/>
          <w:szCs w:val="18"/>
          <w:color w:val="auto"/>
        </w:rPr>
      </w:pPr>
    </w:p>
    <w:p>
      <w:pPr>
        <w:ind w:left="1240" w:hanging="413"/>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Last for at least one hour in duration (including reasonable prep time)</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Agenda relates principally to restructuring matters</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Can be virtual (telephonic) or in person</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Special Meeting fees terminated upon our emergence from bankruptcy.</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2" w:name="page63"/>
    <w:bookmarkEnd w:id="62"/>
    <w:p>
      <w:pPr>
        <w:ind w:left="90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97" w:lineRule="exact"/>
        <w:rPr>
          <w:sz w:val="20"/>
          <w:szCs w:val="20"/>
          <w:color w:val="auto"/>
        </w:rPr>
      </w:pPr>
    </w:p>
    <w:p>
      <w:pPr>
        <w:ind w:left="9720"/>
        <w:spacing w:after="0"/>
        <w:rPr>
          <w:sz w:val="20"/>
          <w:szCs w:val="20"/>
          <w:color w:val="auto"/>
        </w:rPr>
      </w:pPr>
      <w:r>
        <w:rPr>
          <w:rFonts w:ascii="Arial" w:cs="Arial" w:eastAsia="Arial" w:hAnsi="Arial"/>
          <w:sz w:val="14"/>
          <w:szCs w:val="14"/>
          <w:color w:val="auto"/>
        </w:rPr>
        <w:t>Director Compensation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0075C9"/>
        </w:rPr>
        <w:t>New Program Elements Following Emergence from Bankruptcy</w:t>
      </w:r>
    </w:p>
    <w:p>
      <w:pPr>
        <w:spacing w:after="0" w:line="188"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In December 2020, the new Board adopted a new outside director compensation program effective retroactive to the emergence date, based on a review of the director compensation programs of our 2021 Peer Companies provided by LB&amp;Co. The elements of the new program are as follows:</w:t>
      </w:r>
    </w:p>
    <w:p>
      <w:pPr>
        <w:spacing w:after="0" w:line="94" w:lineRule="exact"/>
        <w:rPr>
          <w:sz w:val="20"/>
          <w:szCs w:val="20"/>
          <w:color w:val="auto"/>
        </w:rPr>
      </w:pPr>
    </w:p>
    <w:p>
      <w:pPr>
        <w:ind w:left="580" w:hanging="349"/>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cash retainer of $125,000 ($250,000 for the Chairman) paid on a quarterly basis in advance.</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equity retainer with a grant date value of $200,000 beginning in 2022.</w:t>
      </w:r>
    </w:p>
    <w:p>
      <w:pPr>
        <w:spacing w:after="0" w:line="111" w:lineRule="exact"/>
        <w:rPr>
          <w:rFonts w:ascii="Arial" w:cs="Arial" w:eastAsia="Arial" w:hAnsi="Arial"/>
          <w:sz w:val="18"/>
          <w:szCs w:val="18"/>
          <w:color w:val="auto"/>
        </w:rPr>
      </w:pPr>
    </w:p>
    <w:p>
      <w:pPr>
        <w:ind w:left="580" w:right="1180" w:hanging="349"/>
        <w:spacing w:after="0" w:line="238"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one-time emergence equity grant that was made in January 2021, which vests ratably over three years, but vested shares are not delivered to the director until six months after the end of Board service.</w:t>
      </w:r>
    </w:p>
    <w:p>
      <w:pPr>
        <w:spacing w:after="0" w:line="92" w:lineRule="exact"/>
        <w:rPr>
          <w:rFonts w:ascii="Arial" w:cs="Arial" w:eastAsia="Arial" w:hAnsi="Arial"/>
          <w:sz w:val="18"/>
          <w:szCs w:val="18"/>
          <w:color w:val="auto"/>
        </w:rPr>
      </w:pPr>
    </w:p>
    <w:p>
      <w:pPr>
        <w:ind w:left="580" w:hanging="349"/>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Leadership annual fees as follows, paid on a quarterly basis in advance:</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chairperson (Audit, Operations &amp; Sustainability, Special Committees) – $31,000</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chairperson (Compensation and Nominating &amp; Governance) – $22,000</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member (Audit, Operations &amp; Sustainability, Special Committees) – $16,000</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member (Compensation and Nominating &amp; Governance) – $11,000</w:t>
      </w:r>
    </w:p>
    <w:p>
      <w:pPr>
        <w:spacing w:after="0" w:line="111" w:lineRule="exact"/>
        <w:rPr>
          <w:rFonts w:ascii="Arial" w:cs="Arial" w:eastAsia="Arial" w:hAnsi="Arial"/>
          <w:sz w:val="18"/>
          <w:szCs w:val="18"/>
          <w:color w:val="auto"/>
        </w:rPr>
      </w:pPr>
    </w:p>
    <w:p>
      <w:pPr>
        <w:ind w:left="1240" w:hanging="413"/>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Lead independent director – $50,000</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0075C9"/>
        </w:rPr>
        <w:t>2020 Compensation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2020 for each of the non-employee directors who served in 2020, other than Mr.</w:t>
      </w:r>
    </w:p>
    <w:p>
      <w:pPr>
        <w:spacing w:after="0"/>
        <w:rPr>
          <w:sz w:val="20"/>
          <w:szCs w:val="20"/>
          <w:color w:val="auto"/>
        </w:rPr>
      </w:pPr>
      <w:r>
        <w:rPr>
          <w:rFonts w:ascii="Arial" w:cs="Arial" w:eastAsia="Arial" w:hAnsi="Arial"/>
          <w:sz w:val="18"/>
          <w:szCs w:val="18"/>
          <w:color w:val="auto"/>
        </w:rPr>
        <w:t>McFarland, who is included in the Summary Compensation Table due to his concurrent role as Interim CEO:</w:t>
      </w:r>
    </w:p>
    <w:tbl>
      <w:tblPr>
        <w:tblLayout w:type="fixed"/>
        <w:tblInd w:w="0" w:type="dxa"/>
        <w:tblCellMar>
          <w:top w:w="0" w:type="dxa"/>
          <w:left w:w="0" w:type="dxa"/>
          <w:bottom w:w="0" w:type="dxa"/>
          <w:right w:w="0" w:type="dxa"/>
        </w:tblCellMar>
      </w:tblPr>
      <w:tr>
        <w:trPr>
          <w:trHeight w:val="152"/>
        </w:trPr>
        <w:tc>
          <w:tcPr>
            <w:tcW w:w="2970" w:type="dxa"/>
            <w:vAlign w:val="bottom"/>
          </w:tcPr>
          <w:p>
            <w:pPr>
              <w:spacing w:after="0"/>
              <w:rPr>
                <w:sz w:val="13"/>
                <w:szCs w:val="13"/>
                <w:color w:val="auto"/>
              </w:rPr>
            </w:pPr>
          </w:p>
        </w:tc>
        <w:tc>
          <w:tcPr>
            <w:tcW w:w="39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center"/>
              <w:ind w:right="49"/>
              <w:spacing w:after="0" w:line="151" w:lineRule="exact"/>
              <w:rPr>
                <w:sz w:val="20"/>
                <w:szCs w:val="20"/>
                <w:color w:val="auto"/>
              </w:rPr>
            </w:pPr>
            <w:r>
              <w:rPr>
                <w:rFonts w:ascii="Arial" w:cs="Arial" w:eastAsia="Arial" w:hAnsi="Arial"/>
                <w:sz w:val="14"/>
                <w:szCs w:val="14"/>
                <w:b w:val="1"/>
                <w:bCs w:val="1"/>
                <w:color w:val="0075C9"/>
              </w:rPr>
              <w:t>Change in</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2970" w:type="dxa"/>
            <w:vAlign w:val="bottom"/>
          </w:tcPr>
          <w:p>
            <w:pPr>
              <w:spacing w:after="0"/>
              <w:rPr>
                <w:sz w:val="13"/>
                <w:szCs w:val="13"/>
                <w:color w:val="auto"/>
              </w:rPr>
            </w:pPr>
          </w:p>
        </w:tc>
        <w:tc>
          <w:tcPr>
            <w:tcW w:w="39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center"/>
              <w:ind w:right="49"/>
              <w:spacing w:after="0" w:line="159" w:lineRule="exact"/>
              <w:rPr>
                <w:sz w:val="20"/>
                <w:szCs w:val="20"/>
                <w:color w:val="auto"/>
              </w:rPr>
            </w:pPr>
            <w:r>
              <w:rPr>
                <w:rFonts w:ascii="Arial" w:cs="Arial" w:eastAsia="Arial" w:hAnsi="Arial"/>
                <w:sz w:val="14"/>
                <w:szCs w:val="14"/>
                <w:b w:val="1"/>
                <w:bCs w:val="1"/>
                <w:color w:val="0075C9"/>
              </w:rPr>
              <w:t>Pension Value</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2970" w:type="dxa"/>
            <w:vAlign w:val="bottom"/>
          </w:tcPr>
          <w:p>
            <w:pPr>
              <w:spacing w:after="0"/>
              <w:rPr>
                <w:sz w:val="13"/>
                <w:szCs w:val="13"/>
                <w:color w:val="auto"/>
              </w:rPr>
            </w:pPr>
          </w:p>
        </w:tc>
        <w:tc>
          <w:tcPr>
            <w:tcW w:w="39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center"/>
              <w:ind w:right="69"/>
              <w:spacing w:after="0" w:line="159" w:lineRule="exact"/>
              <w:rPr>
                <w:sz w:val="20"/>
                <w:szCs w:val="20"/>
                <w:color w:val="auto"/>
              </w:rPr>
            </w:pPr>
            <w:r>
              <w:rPr>
                <w:rFonts w:ascii="Arial" w:cs="Arial" w:eastAsia="Arial" w:hAnsi="Arial"/>
                <w:sz w:val="14"/>
                <w:szCs w:val="14"/>
                <w:b w:val="1"/>
                <w:bCs w:val="1"/>
                <w:color w:val="0075C9"/>
              </w:rPr>
              <w:t>and</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2970" w:type="dxa"/>
            <w:vAlign w:val="bottom"/>
          </w:tcPr>
          <w:p>
            <w:pPr>
              <w:spacing w:after="0"/>
              <w:rPr>
                <w:sz w:val="13"/>
                <w:szCs w:val="13"/>
                <w:color w:val="auto"/>
              </w:rPr>
            </w:pPr>
          </w:p>
        </w:tc>
        <w:tc>
          <w:tcPr>
            <w:tcW w:w="1230" w:type="dxa"/>
            <w:vAlign w:val="bottom"/>
            <w:gridSpan w:val="2"/>
          </w:tcPr>
          <w:p>
            <w:pPr>
              <w:jc w:val="center"/>
              <w:ind w:left="199"/>
              <w:spacing w:after="0" w:line="159" w:lineRule="exact"/>
              <w:rPr>
                <w:sz w:val="20"/>
                <w:szCs w:val="20"/>
                <w:color w:val="auto"/>
              </w:rPr>
            </w:pPr>
            <w:r>
              <w:rPr>
                <w:rFonts w:ascii="Arial" w:cs="Arial" w:eastAsia="Arial" w:hAnsi="Arial"/>
                <w:sz w:val="14"/>
                <w:szCs w:val="14"/>
                <w:b w:val="1"/>
                <w:bCs w:val="1"/>
                <w:color w:val="0075C9"/>
              </w:rPr>
              <w:t>Fees Earned</w:t>
            </w: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center"/>
              <w:ind w:right="69"/>
              <w:spacing w:after="0" w:line="159" w:lineRule="exact"/>
              <w:rPr>
                <w:sz w:val="20"/>
                <w:szCs w:val="20"/>
                <w:color w:val="auto"/>
              </w:rPr>
            </w:pPr>
            <w:r>
              <w:rPr>
                <w:rFonts w:ascii="Arial" w:cs="Arial" w:eastAsia="Arial" w:hAnsi="Arial"/>
                <w:sz w:val="14"/>
                <w:szCs w:val="14"/>
                <w:b w:val="1"/>
                <w:bCs w:val="1"/>
                <w:color w:val="0075C9"/>
              </w:rPr>
              <w:t>Nonqualified</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2970" w:type="dxa"/>
            <w:vAlign w:val="bottom"/>
          </w:tcPr>
          <w:p>
            <w:pPr>
              <w:spacing w:after="0"/>
              <w:rPr>
                <w:sz w:val="14"/>
                <w:szCs w:val="14"/>
                <w:color w:val="auto"/>
              </w:rPr>
            </w:pPr>
          </w:p>
        </w:tc>
        <w:tc>
          <w:tcPr>
            <w:tcW w:w="390" w:type="dxa"/>
            <w:vAlign w:val="bottom"/>
          </w:tcPr>
          <w:p>
            <w:pPr>
              <w:spacing w:after="0"/>
              <w:rPr>
                <w:sz w:val="14"/>
                <w:szCs w:val="14"/>
                <w:color w:val="auto"/>
              </w:rPr>
            </w:pPr>
          </w:p>
        </w:tc>
        <w:tc>
          <w:tcPr>
            <w:tcW w:w="840" w:type="dxa"/>
            <w:vAlign w:val="bottom"/>
          </w:tcPr>
          <w:p>
            <w:pPr>
              <w:jc w:val="center"/>
              <w:ind w:right="49"/>
              <w:spacing w:after="0"/>
              <w:rPr>
                <w:sz w:val="20"/>
                <w:szCs w:val="20"/>
                <w:color w:val="auto"/>
              </w:rPr>
            </w:pPr>
            <w:r>
              <w:rPr>
                <w:rFonts w:ascii="Arial" w:cs="Arial" w:eastAsia="Arial" w:hAnsi="Arial"/>
                <w:sz w:val="14"/>
                <w:szCs w:val="14"/>
                <w:b w:val="1"/>
                <w:bCs w:val="1"/>
                <w:color w:val="0075C9"/>
              </w:rPr>
              <w:t>or Paid in</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center"/>
              <w:ind w:right="69"/>
              <w:spacing w:after="0"/>
              <w:rPr>
                <w:sz w:val="20"/>
                <w:szCs w:val="20"/>
                <w:color w:val="auto"/>
              </w:rPr>
            </w:pPr>
            <w:r>
              <w:rPr>
                <w:rFonts w:ascii="Arial" w:cs="Arial" w:eastAsia="Arial" w:hAnsi="Arial"/>
                <w:sz w:val="14"/>
                <w:szCs w:val="14"/>
                <w:b w:val="1"/>
                <w:bCs w:val="1"/>
                <w:color w:val="0075C9"/>
              </w:rPr>
              <w:t>Deferred</w:t>
            </w:r>
          </w:p>
        </w:tc>
        <w:tc>
          <w:tcPr>
            <w:tcW w:w="860" w:type="dxa"/>
            <w:vAlign w:val="bottom"/>
          </w:tcPr>
          <w:p>
            <w:pPr>
              <w:spacing w:after="0"/>
              <w:rPr>
                <w:sz w:val="14"/>
                <w:szCs w:val="14"/>
                <w:color w:val="auto"/>
              </w:rPr>
            </w:pPr>
          </w:p>
        </w:tc>
        <w:tc>
          <w:tcPr>
            <w:tcW w:w="1100" w:type="dxa"/>
            <w:vAlign w:val="bottom"/>
          </w:tcPr>
          <w:p>
            <w:pPr>
              <w:jc w:val="center"/>
              <w:ind w:right="409"/>
              <w:spacing w:after="0"/>
              <w:rPr>
                <w:sz w:val="20"/>
                <w:szCs w:val="20"/>
                <w:color w:val="auto"/>
              </w:rPr>
            </w:pPr>
            <w:r>
              <w:rPr>
                <w:rFonts w:ascii="Arial" w:cs="Arial" w:eastAsia="Arial" w:hAnsi="Arial"/>
                <w:sz w:val="14"/>
                <w:szCs w:val="14"/>
                <w:b w:val="1"/>
                <w:bCs w:val="1"/>
                <w:color w:val="0075C9"/>
              </w:rPr>
              <w:t>Other</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9"/>
        </w:trPr>
        <w:tc>
          <w:tcPr>
            <w:tcW w:w="2970" w:type="dxa"/>
            <w:vAlign w:val="bottom"/>
          </w:tcPr>
          <w:p>
            <w:pPr>
              <w:ind w:left="120"/>
              <w:spacing w:after="0" w:line="159" w:lineRule="exact"/>
              <w:rPr>
                <w:sz w:val="20"/>
                <w:szCs w:val="20"/>
                <w:color w:val="auto"/>
              </w:rPr>
            </w:pPr>
            <w:r>
              <w:rPr>
                <w:rFonts w:ascii="Arial" w:cs="Arial" w:eastAsia="Arial" w:hAnsi="Arial"/>
                <w:sz w:val="14"/>
                <w:szCs w:val="14"/>
                <w:b w:val="1"/>
                <w:bCs w:val="1"/>
                <w:color w:val="0075C9"/>
              </w:rPr>
              <w:t>Name</w:t>
            </w:r>
          </w:p>
        </w:tc>
        <w:tc>
          <w:tcPr>
            <w:tcW w:w="390" w:type="dxa"/>
            <w:vAlign w:val="bottom"/>
          </w:tcPr>
          <w:p>
            <w:pPr>
              <w:spacing w:after="0"/>
              <w:rPr>
                <w:sz w:val="13"/>
                <w:szCs w:val="13"/>
                <w:color w:val="auto"/>
              </w:rPr>
            </w:pPr>
          </w:p>
        </w:tc>
        <w:tc>
          <w:tcPr>
            <w:tcW w:w="840" w:type="dxa"/>
            <w:vAlign w:val="bottom"/>
          </w:tcPr>
          <w:p>
            <w:pPr>
              <w:jc w:val="center"/>
              <w:ind w:right="69"/>
              <w:spacing w:after="0" w:line="159" w:lineRule="exact"/>
              <w:rPr>
                <w:sz w:val="20"/>
                <w:szCs w:val="20"/>
                <w:color w:val="auto"/>
              </w:rPr>
            </w:pPr>
            <w:r>
              <w:rPr>
                <w:rFonts w:ascii="Arial" w:cs="Arial" w:eastAsia="Arial" w:hAnsi="Arial"/>
                <w:sz w:val="14"/>
                <w:szCs w:val="14"/>
                <w:b w:val="1"/>
                <w:bCs w:val="1"/>
                <w:color w:val="0075C9"/>
                <w:w w:val="99"/>
              </w:rPr>
              <w:t>Cash</w:t>
            </w:r>
          </w:p>
        </w:tc>
        <w:tc>
          <w:tcPr>
            <w:tcW w:w="1880" w:type="dxa"/>
            <w:vAlign w:val="bottom"/>
            <w:gridSpan w:val="2"/>
          </w:tcPr>
          <w:p>
            <w:pPr>
              <w:ind w:left="560"/>
              <w:spacing w:after="0" w:line="159" w:lineRule="exact"/>
              <w:rPr>
                <w:sz w:val="20"/>
                <w:szCs w:val="20"/>
                <w:color w:val="auto"/>
              </w:rPr>
            </w:pPr>
            <w:r>
              <w:rPr>
                <w:rFonts w:ascii="Arial" w:cs="Arial" w:eastAsia="Arial" w:hAnsi="Arial"/>
                <w:sz w:val="14"/>
                <w:szCs w:val="14"/>
                <w:b w:val="1"/>
                <w:bCs w:val="1"/>
                <w:color w:val="0075C9"/>
              </w:rPr>
              <w:t>Stock Awards (1)</w:t>
            </w:r>
          </w:p>
        </w:tc>
        <w:tc>
          <w:tcPr>
            <w:tcW w:w="1680" w:type="dxa"/>
            <w:vAlign w:val="bottom"/>
            <w:gridSpan w:val="2"/>
          </w:tcPr>
          <w:p>
            <w:pPr>
              <w:jc w:val="center"/>
              <w:ind w:left="289"/>
              <w:spacing w:after="0" w:line="159" w:lineRule="exact"/>
              <w:rPr>
                <w:sz w:val="20"/>
                <w:szCs w:val="20"/>
                <w:color w:val="auto"/>
              </w:rPr>
            </w:pPr>
            <w:r>
              <w:rPr>
                <w:rFonts w:ascii="Arial" w:cs="Arial" w:eastAsia="Arial" w:hAnsi="Arial"/>
                <w:sz w:val="14"/>
                <w:szCs w:val="14"/>
                <w:b w:val="1"/>
                <w:bCs w:val="1"/>
                <w:color w:val="0075C9"/>
              </w:rPr>
              <w:t>Compensation (2)</w:t>
            </w:r>
          </w:p>
        </w:tc>
        <w:tc>
          <w:tcPr>
            <w:tcW w:w="1960" w:type="dxa"/>
            <w:vAlign w:val="bottom"/>
            <w:gridSpan w:val="2"/>
          </w:tcPr>
          <w:p>
            <w:pPr>
              <w:jc w:val="center"/>
              <w:ind w:left="309"/>
              <w:spacing w:after="0" w:line="159" w:lineRule="exact"/>
              <w:rPr>
                <w:sz w:val="20"/>
                <w:szCs w:val="20"/>
                <w:color w:val="auto"/>
              </w:rPr>
            </w:pPr>
            <w:r>
              <w:rPr>
                <w:rFonts w:ascii="Arial" w:cs="Arial" w:eastAsia="Arial" w:hAnsi="Arial"/>
                <w:sz w:val="14"/>
                <w:szCs w:val="14"/>
                <w:b w:val="1"/>
                <w:bCs w:val="1"/>
                <w:color w:val="0075C9"/>
              </w:rPr>
              <w:t>Compensation</w:t>
            </w:r>
          </w:p>
        </w:tc>
        <w:tc>
          <w:tcPr>
            <w:tcW w:w="440" w:type="dxa"/>
            <w:vAlign w:val="bottom"/>
          </w:tcPr>
          <w:p>
            <w:pPr>
              <w:spacing w:after="0"/>
              <w:rPr>
                <w:sz w:val="13"/>
                <w:szCs w:val="13"/>
                <w:color w:val="auto"/>
              </w:rPr>
            </w:pPr>
          </w:p>
        </w:tc>
        <w:tc>
          <w:tcPr>
            <w:tcW w:w="1080" w:type="dxa"/>
            <w:vAlign w:val="bottom"/>
          </w:tcPr>
          <w:p>
            <w:pPr>
              <w:jc w:val="right"/>
              <w:ind w:right="489"/>
              <w:spacing w:after="0" w:line="159" w:lineRule="exact"/>
              <w:rPr>
                <w:sz w:val="20"/>
                <w:szCs w:val="20"/>
                <w:color w:val="auto"/>
              </w:rPr>
            </w:pPr>
            <w:r>
              <w:rPr>
                <w:rFonts w:ascii="Arial" w:cs="Arial" w:eastAsia="Arial" w:hAnsi="Arial"/>
                <w:sz w:val="14"/>
                <w:szCs w:val="14"/>
                <w:b w:val="1"/>
                <w:bCs w:val="1"/>
                <w:color w:val="0075C9"/>
              </w:rPr>
              <w:t>Total</w:t>
            </w:r>
          </w:p>
        </w:tc>
      </w:tr>
      <w:tr>
        <w:trPr>
          <w:trHeight w:val="172"/>
        </w:trPr>
        <w:tc>
          <w:tcPr>
            <w:tcW w:w="2970" w:type="dxa"/>
            <w:vAlign w:val="bottom"/>
            <w:tcBorders>
              <w:bottom w:val="single" w:sz="8" w:color="0075C9"/>
            </w:tcBorders>
          </w:tcPr>
          <w:p>
            <w:pPr>
              <w:spacing w:after="0"/>
              <w:rPr>
                <w:sz w:val="14"/>
                <w:szCs w:val="14"/>
                <w:color w:val="auto"/>
              </w:rPr>
            </w:pPr>
          </w:p>
        </w:tc>
        <w:tc>
          <w:tcPr>
            <w:tcW w:w="390" w:type="dxa"/>
            <w:vAlign w:val="bottom"/>
            <w:tcBorders>
              <w:bottom w:val="single" w:sz="8" w:color="0075C9"/>
            </w:tcBorders>
          </w:tcPr>
          <w:p>
            <w:pPr>
              <w:spacing w:after="0"/>
              <w:rPr>
                <w:sz w:val="14"/>
                <w:szCs w:val="14"/>
                <w:color w:val="auto"/>
              </w:rPr>
            </w:pPr>
          </w:p>
        </w:tc>
        <w:tc>
          <w:tcPr>
            <w:tcW w:w="8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spacing w:after="0"/>
              <w:rPr>
                <w:sz w:val="14"/>
                <w:szCs w:val="14"/>
                <w:color w:val="auto"/>
              </w:rPr>
            </w:pPr>
          </w:p>
        </w:tc>
        <w:tc>
          <w:tcPr>
            <w:tcW w:w="1120" w:type="dxa"/>
            <w:vAlign w:val="bottom"/>
            <w:tcBorders>
              <w:bottom w:val="single" w:sz="8" w:color="0075C9"/>
            </w:tcBorders>
          </w:tcPr>
          <w:p>
            <w:pPr>
              <w:spacing w:after="0"/>
              <w:rPr>
                <w:sz w:val="14"/>
                <w:szCs w:val="14"/>
                <w:color w:val="auto"/>
              </w:rPr>
            </w:pPr>
          </w:p>
        </w:tc>
        <w:tc>
          <w:tcPr>
            <w:tcW w:w="480" w:type="dxa"/>
            <w:vAlign w:val="bottom"/>
            <w:tcBorders>
              <w:bottom w:val="single" w:sz="8" w:color="0075C9"/>
            </w:tcBorders>
          </w:tcPr>
          <w:p>
            <w:pPr>
              <w:spacing w:after="0"/>
              <w:rPr>
                <w:sz w:val="14"/>
                <w:szCs w:val="14"/>
                <w:color w:val="auto"/>
              </w:rPr>
            </w:pPr>
          </w:p>
        </w:tc>
        <w:tc>
          <w:tcPr>
            <w:tcW w:w="1200" w:type="dxa"/>
            <w:vAlign w:val="bottom"/>
            <w:tcBorders>
              <w:bottom w:val="single" w:sz="8" w:color="0075C9"/>
            </w:tcBorders>
          </w:tcPr>
          <w:p>
            <w:pPr>
              <w:spacing w:after="0"/>
              <w:rPr>
                <w:sz w:val="14"/>
                <w:szCs w:val="14"/>
                <w:color w:val="auto"/>
              </w:rPr>
            </w:pPr>
          </w:p>
        </w:tc>
        <w:tc>
          <w:tcPr>
            <w:tcW w:w="860" w:type="dxa"/>
            <w:vAlign w:val="bottom"/>
            <w:tcBorders>
              <w:bottom w:val="single" w:sz="8" w:color="0075C9"/>
            </w:tcBorders>
          </w:tcPr>
          <w:p>
            <w:pPr>
              <w:spacing w:after="0"/>
              <w:rPr>
                <w:sz w:val="14"/>
                <w:szCs w:val="14"/>
                <w:color w:val="auto"/>
              </w:rPr>
            </w:pPr>
          </w:p>
        </w:tc>
        <w:tc>
          <w:tcPr>
            <w:tcW w:w="1100" w:type="dxa"/>
            <w:vAlign w:val="bottom"/>
            <w:tcBorders>
              <w:bottom w:val="single" w:sz="8" w:color="0075C9"/>
            </w:tcBorders>
          </w:tcPr>
          <w:p>
            <w:pPr>
              <w:jc w:val="center"/>
              <w:ind w:right="389"/>
              <w:spacing w:after="0"/>
              <w:rPr>
                <w:sz w:val="20"/>
                <w:szCs w:val="20"/>
                <w:color w:val="auto"/>
              </w:rPr>
            </w:pPr>
            <w:r>
              <w:rPr>
                <w:rFonts w:ascii="Arial" w:cs="Arial" w:eastAsia="Arial" w:hAnsi="Arial"/>
                <w:sz w:val="14"/>
                <w:szCs w:val="14"/>
                <w:b w:val="1"/>
                <w:bCs w:val="1"/>
                <w:color w:val="0075C9"/>
                <w:w w:val="93"/>
              </w:rPr>
              <w:t>(3)</w:t>
            </w:r>
          </w:p>
        </w:tc>
        <w:tc>
          <w:tcPr>
            <w:tcW w:w="440" w:type="dxa"/>
            <w:vAlign w:val="bottom"/>
            <w:tcBorders>
              <w:bottom w:val="single" w:sz="8" w:color="0075C9"/>
            </w:tcBorders>
          </w:tcPr>
          <w:p>
            <w:pPr>
              <w:spacing w:after="0"/>
              <w:rPr>
                <w:sz w:val="14"/>
                <w:szCs w:val="14"/>
                <w:color w:val="auto"/>
              </w:rPr>
            </w:pPr>
          </w:p>
        </w:tc>
        <w:tc>
          <w:tcPr>
            <w:tcW w:w="1080" w:type="dxa"/>
            <w:vAlign w:val="bottom"/>
            <w:tcBorders>
              <w:bottom w:val="single" w:sz="8" w:color="0075C9"/>
            </w:tcBorders>
          </w:tcPr>
          <w:p>
            <w:pPr>
              <w:spacing w:after="0"/>
              <w:rPr>
                <w:sz w:val="14"/>
                <w:szCs w:val="14"/>
                <w:color w:val="auto"/>
              </w:rPr>
            </w:pPr>
          </w:p>
        </w:tc>
      </w:tr>
      <w:tr>
        <w:trPr>
          <w:trHeight w:val="16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NEW DIRECTORS</w:t>
            </w:r>
          </w:p>
        </w:tc>
        <w:tc>
          <w:tcPr>
            <w:tcW w:w="39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20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r>
      <w:tr>
        <w:trPr>
          <w:trHeight w:val="186"/>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26,915</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26,915</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30,532</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30,532</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33,072</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33,072</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27,819</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27,819</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31,986</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31,986</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Brian Steck</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30,893</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30,893</w:t>
            </w:r>
          </w:p>
        </w:tc>
      </w:tr>
      <w:tr>
        <w:trPr>
          <w:trHeight w:val="186"/>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FORMER DIRECTORS</w:t>
            </w:r>
          </w:p>
        </w:tc>
        <w:tc>
          <w:tcPr>
            <w:tcW w:w="390" w:type="dxa"/>
            <w:vAlign w:val="bottom"/>
            <w:shd w:val="clear" w:color="auto" w:fill="EBEBEC"/>
          </w:tcPr>
          <w:p>
            <w:pPr>
              <w:spacing w:after="0"/>
              <w:rPr>
                <w:sz w:val="16"/>
                <w:szCs w:val="16"/>
                <w:color w:val="auto"/>
              </w:rPr>
            </w:pPr>
          </w:p>
        </w:tc>
        <w:tc>
          <w:tcPr>
            <w:tcW w:w="840" w:type="dxa"/>
            <w:vAlign w:val="bottom"/>
            <w:shd w:val="clear" w:color="auto" w:fill="EBEBEC"/>
          </w:tcPr>
          <w:p>
            <w:pPr>
              <w:spacing w:after="0"/>
              <w:rPr>
                <w:sz w:val="16"/>
                <w:szCs w:val="16"/>
                <w:color w:val="auto"/>
              </w:rPr>
            </w:pPr>
          </w:p>
        </w:tc>
        <w:tc>
          <w:tcPr>
            <w:tcW w:w="760" w:type="dxa"/>
            <w:vAlign w:val="bottom"/>
            <w:shd w:val="clear" w:color="auto" w:fill="EBEBEC"/>
          </w:tcPr>
          <w:p>
            <w:pPr>
              <w:spacing w:after="0"/>
              <w:rPr>
                <w:sz w:val="16"/>
                <w:szCs w:val="16"/>
                <w:color w:val="auto"/>
              </w:rPr>
            </w:pPr>
          </w:p>
        </w:tc>
        <w:tc>
          <w:tcPr>
            <w:tcW w:w="1120" w:type="dxa"/>
            <w:vAlign w:val="bottom"/>
            <w:shd w:val="clear" w:color="auto" w:fill="EBEBEC"/>
          </w:tcPr>
          <w:p>
            <w:pPr>
              <w:spacing w:after="0"/>
              <w:rPr>
                <w:sz w:val="16"/>
                <w:szCs w:val="16"/>
                <w:color w:val="auto"/>
              </w:rPr>
            </w:pPr>
          </w:p>
        </w:tc>
        <w:tc>
          <w:tcPr>
            <w:tcW w:w="480" w:type="dxa"/>
            <w:vAlign w:val="bottom"/>
            <w:shd w:val="clear" w:color="auto" w:fill="EBEBEC"/>
          </w:tcPr>
          <w:p>
            <w:pPr>
              <w:spacing w:after="0"/>
              <w:rPr>
                <w:sz w:val="16"/>
                <w:szCs w:val="16"/>
                <w:color w:val="auto"/>
              </w:rPr>
            </w:pPr>
          </w:p>
        </w:tc>
        <w:tc>
          <w:tcPr>
            <w:tcW w:w="1200" w:type="dxa"/>
            <w:vAlign w:val="bottom"/>
            <w:shd w:val="clear" w:color="auto" w:fill="EBEBEC"/>
          </w:tcPr>
          <w:p>
            <w:pPr>
              <w:spacing w:after="0"/>
              <w:rPr>
                <w:sz w:val="16"/>
                <w:szCs w:val="16"/>
                <w:color w:val="auto"/>
              </w:rPr>
            </w:pPr>
          </w:p>
        </w:tc>
        <w:tc>
          <w:tcPr>
            <w:tcW w:w="860" w:type="dxa"/>
            <w:vAlign w:val="bottom"/>
            <w:shd w:val="clear" w:color="auto" w:fill="EBEBEC"/>
          </w:tcPr>
          <w:p>
            <w:pPr>
              <w:spacing w:after="0"/>
              <w:rPr>
                <w:sz w:val="16"/>
                <w:szCs w:val="16"/>
                <w:color w:val="auto"/>
              </w:rPr>
            </w:pPr>
          </w:p>
        </w:tc>
        <w:tc>
          <w:tcPr>
            <w:tcW w:w="1100" w:type="dxa"/>
            <w:vAlign w:val="bottom"/>
            <w:shd w:val="clear" w:color="auto" w:fill="EBEBEC"/>
          </w:tcPr>
          <w:p>
            <w:pPr>
              <w:spacing w:after="0"/>
              <w:rPr>
                <w:sz w:val="16"/>
                <w:szCs w:val="16"/>
                <w:color w:val="auto"/>
              </w:rPr>
            </w:pPr>
          </w:p>
        </w:tc>
        <w:tc>
          <w:tcPr>
            <w:tcW w:w="440" w:type="dxa"/>
            <w:vAlign w:val="bottom"/>
            <w:shd w:val="clear" w:color="auto" w:fill="EBEBEC"/>
          </w:tcPr>
          <w:p>
            <w:pPr>
              <w:spacing w:after="0"/>
              <w:rPr>
                <w:sz w:val="16"/>
                <w:szCs w:val="16"/>
                <w:color w:val="auto"/>
              </w:rPr>
            </w:pPr>
          </w:p>
        </w:tc>
        <w:tc>
          <w:tcPr>
            <w:tcW w:w="1080" w:type="dxa"/>
            <w:vAlign w:val="bottom"/>
            <w:shd w:val="clear" w:color="auto" w:fill="EBEBEC"/>
          </w:tcPr>
          <w:p>
            <w:pPr>
              <w:spacing w:after="0"/>
              <w:rPr>
                <w:sz w:val="16"/>
                <w:szCs w:val="16"/>
                <w:color w:val="auto"/>
              </w:rPr>
            </w:pP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E. Albrecht</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277,833</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2,016</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279,849</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Justin A. Gannon</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211,167</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211,167</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Harold M. Korell</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38,333</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38,333</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Harry T. McMahon</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211,167</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211,167</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Richard W. Moncrief</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195,000</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195,000</w:t>
            </w:r>
          </w:p>
        </w:tc>
      </w:tr>
      <w:tr>
        <w:trPr>
          <w:trHeight w:val="186"/>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Avedick B. Poladian</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190,500</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190,500</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Anita M. Powers</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182,500</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182,500</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Laurie A. Siegel</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181,000</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181,000</w:t>
            </w:r>
          </w:p>
        </w:tc>
      </w:tr>
      <w:tr>
        <w:trPr>
          <w:trHeight w:val="185"/>
        </w:trPr>
        <w:tc>
          <w:tcPr>
            <w:tcW w:w="297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Robert V. Sinnott</w:t>
            </w:r>
          </w:p>
        </w:tc>
        <w:tc>
          <w:tcPr>
            <w:tcW w:w="39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BEBEC"/>
          </w:tcPr>
          <w:p>
            <w:pPr>
              <w:jc w:val="right"/>
              <w:ind w:right="49"/>
              <w:spacing w:after="0"/>
              <w:rPr>
                <w:sz w:val="20"/>
                <w:szCs w:val="20"/>
                <w:color w:val="auto"/>
              </w:rPr>
            </w:pPr>
            <w:r>
              <w:rPr>
                <w:rFonts w:ascii="Arial" w:cs="Arial" w:eastAsia="Arial" w:hAnsi="Arial"/>
                <w:sz w:val="14"/>
                <w:szCs w:val="14"/>
                <w:color w:val="auto"/>
              </w:rPr>
              <w:t>199,000</w:t>
            </w:r>
          </w:p>
        </w:tc>
        <w:tc>
          <w:tcPr>
            <w:tcW w:w="7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BEBEC"/>
          </w:tcPr>
          <w:p>
            <w:pPr>
              <w:ind w:lef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69"/>
              <w:spacing w:after="0"/>
              <w:rPr>
                <w:sz w:val="20"/>
                <w:szCs w:val="20"/>
                <w:color w:val="auto"/>
              </w:rPr>
            </w:pPr>
            <w:r>
              <w:rPr>
                <w:rFonts w:ascii="Arial" w:cs="Arial" w:eastAsia="Arial" w:hAnsi="Arial"/>
                <w:sz w:val="14"/>
                <w:szCs w:val="14"/>
                <w:color w:val="auto"/>
              </w:rPr>
              <w:t>28,000</w:t>
            </w:r>
          </w:p>
        </w:tc>
        <w:tc>
          <w:tcPr>
            <w:tcW w:w="440" w:type="dxa"/>
            <w:vAlign w:val="bottom"/>
            <w:shd w:val="clear" w:color="auto" w:fill="EBEBEC"/>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BEBEC"/>
          </w:tcPr>
          <w:p>
            <w:pPr>
              <w:jc w:val="right"/>
              <w:ind w:right="369"/>
              <w:spacing w:after="0"/>
              <w:rPr>
                <w:sz w:val="20"/>
                <w:szCs w:val="20"/>
                <w:color w:val="auto"/>
              </w:rPr>
            </w:pPr>
            <w:r>
              <w:rPr>
                <w:rFonts w:ascii="Arial" w:cs="Arial" w:eastAsia="Arial" w:hAnsi="Arial"/>
                <w:sz w:val="14"/>
                <w:szCs w:val="14"/>
                <w:color w:val="auto"/>
              </w:rPr>
              <w:t>227,000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134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7134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-352425</wp:posOffset>
            </wp:positionV>
            <wp:extent cx="7134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-470535</wp:posOffset>
            </wp:positionV>
            <wp:extent cx="7134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-588645</wp:posOffset>
            </wp:positionV>
            <wp:extent cx="7134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-706120</wp:posOffset>
            </wp:positionV>
            <wp:extent cx="7134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-823595</wp:posOffset>
            </wp:positionV>
            <wp:extent cx="7134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-941705</wp:posOffset>
            </wp:positionV>
            <wp:extent cx="7134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-1059180</wp:posOffset>
            </wp:positionV>
            <wp:extent cx="71348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-1177290</wp:posOffset>
            </wp:positionV>
            <wp:extent cx="7134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-1294765</wp:posOffset>
            </wp:positionV>
            <wp:extent cx="7134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-1412875</wp:posOffset>
            </wp:positionV>
            <wp:extent cx="71348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-1530350</wp:posOffset>
            </wp:positionV>
            <wp:extent cx="7134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-1648460</wp:posOffset>
            </wp:positionV>
            <wp:extent cx="7134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-1765935</wp:posOffset>
            </wp:positionV>
            <wp:extent cx="7134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-1884045</wp:posOffset>
            </wp:positionV>
            <wp:extent cx="7134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0" w:lineRule="exact"/>
        <w:rPr>
          <w:sz w:val="20"/>
          <w:szCs w:val="20"/>
          <w:color w:val="auto"/>
        </w:rPr>
      </w:pPr>
    </w:p>
    <w:p>
      <w:pPr>
        <w:ind w:left="360" w:right="60" w:hanging="354"/>
        <w:spacing w:after="0" w:line="250"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There were no stock awards granted to the non-employee directors during 2020. In January 2021, the Board approved emergence grants of restricted stock units for the non-employee directors, including Mr. McFarland.</w:t>
      </w:r>
    </w:p>
    <w:p>
      <w:pPr>
        <w:spacing w:after="0" w:line="88" w:lineRule="exact"/>
        <w:rPr>
          <w:rFonts w:ascii="Arial" w:cs="Arial" w:eastAsia="Arial" w:hAnsi="Arial"/>
          <w:sz w:val="14"/>
          <w:szCs w:val="14"/>
          <w:color w:val="auto"/>
        </w:rPr>
      </w:pPr>
    </w:p>
    <w:p>
      <w:pPr>
        <w:ind w:left="360" w:right="320" w:hanging="354"/>
        <w:spacing w:after="0" w:line="250"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 shown is the portion of interest credited in 2020 on nonqualified deferred compensation balances that was in excess of 120% of the long-term applicable federal rate, compounded monthly, as prescribed under Section 1274(d) of the Code.</w:t>
      </w:r>
    </w:p>
    <w:p>
      <w:pPr>
        <w:spacing w:after="0" w:line="88" w:lineRule="exact"/>
        <w:rPr>
          <w:rFonts w:ascii="Arial" w:cs="Arial" w:eastAsia="Arial" w:hAnsi="Arial"/>
          <w:sz w:val="14"/>
          <w:szCs w:val="14"/>
          <w:color w:val="auto"/>
        </w:rPr>
      </w:pPr>
    </w:p>
    <w:p>
      <w:pPr>
        <w:ind w:left="360" w:hanging="354"/>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attributable solely to charitable matching gifts.</w:t>
      </w:r>
    </w:p>
    <w:p>
      <w:pPr>
        <w:spacing w:after="0" w:line="200" w:lineRule="exact"/>
        <w:rPr>
          <w:sz w:val="20"/>
          <w:szCs w:val="20"/>
          <w:color w:val="auto"/>
        </w:rPr>
      </w:pPr>
    </w:p>
    <w:p>
      <w:pPr>
        <w:spacing w:after="0" w:line="216"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11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0075C9"/>
        </w:rPr>
        <w:t>Security Ownership of Directors, Management and Certain Beneficial Holders</w:t>
      </w:r>
    </w:p>
    <w:p>
      <w:pPr>
        <w:spacing w:after="0" w:line="109"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15, 2021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800" w:type="dxa"/>
            <w:vAlign w:val="bottom"/>
          </w:tcPr>
          <w:p>
            <w:pPr>
              <w:jc w:val="right"/>
              <w:ind w:right="433"/>
              <w:spacing w:after="0"/>
              <w:rPr>
                <w:sz w:val="20"/>
                <w:szCs w:val="20"/>
                <w:color w:val="auto"/>
              </w:rPr>
            </w:pPr>
            <w:r>
              <w:rPr>
                <w:rFonts w:ascii="Arial" w:cs="Arial" w:eastAsia="Arial" w:hAnsi="Arial"/>
                <w:sz w:val="14"/>
                <w:szCs w:val="14"/>
                <w:b w:val="1"/>
                <w:bCs w:val="1"/>
                <w:color w:val="0075C9"/>
              </w:rPr>
              <w:t>Amount of</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75C9"/>
              </w:rPr>
              <w:t>Percent of</w:t>
            </w:r>
          </w:p>
        </w:tc>
      </w:tr>
      <w:tr>
        <w:trPr>
          <w:trHeight w:val="172"/>
        </w:trPr>
        <w:tc>
          <w:tcPr>
            <w:tcW w:w="744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80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b w:val="1"/>
                <w:bCs w:val="1"/>
                <w:color w:val="0075C9"/>
              </w:rPr>
              <w:t>Beneficial Ownership</w:t>
            </w:r>
          </w:p>
        </w:tc>
        <w:tc>
          <w:tcPr>
            <w:tcW w:w="200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w w:val="99"/>
              </w:rPr>
              <w:t>Class (2)</w:t>
            </w:r>
          </w:p>
        </w:tc>
      </w:tr>
      <w:tr>
        <w:trPr>
          <w:trHeight w:val="205"/>
        </w:trPr>
        <w:tc>
          <w:tcPr>
            <w:tcW w:w="7440" w:type="dxa"/>
            <w:vAlign w:val="bottom"/>
            <w:shd w:val="clear" w:color="auto" w:fill="EBEBEC"/>
          </w:tcPr>
          <w:p>
            <w:pPr>
              <w:ind w:left="120"/>
              <w:spacing w:after="0" w:line="205" w:lineRule="exact"/>
              <w:rPr>
                <w:sz w:val="20"/>
                <w:szCs w:val="20"/>
                <w:color w:val="auto"/>
              </w:rPr>
            </w:pPr>
            <w:r>
              <w:rPr>
                <w:rFonts w:ascii="Arial" w:cs="Arial" w:eastAsia="Arial" w:hAnsi="Arial"/>
                <w:sz w:val="18"/>
                <w:szCs w:val="18"/>
                <w:color w:val="auto"/>
              </w:rPr>
              <w:t xml:space="preserve">GoldenTree Asset Management LP </w:t>
            </w:r>
            <w:r>
              <w:rPr>
                <w:rFonts w:ascii="Arial" w:cs="Arial" w:eastAsia="Arial" w:hAnsi="Arial"/>
                <w:sz w:val="14"/>
                <w:szCs w:val="14"/>
                <w:color w:val="auto"/>
              </w:rPr>
              <w:t>(3)</w:t>
            </w:r>
          </w:p>
        </w:tc>
        <w:tc>
          <w:tcPr>
            <w:tcW w:w="1800" w:type="dxa"/>
            <w:vAlign w:val="bottom"/>
            <w:shd w:val="clear" w:color="auto" w:fill="EBEBEC"/>
          </w:tcPr>
          <w:p>
            <w:pPr>
              <w:jc w:val="right"/>
              <w:ind w:right="33"/>
              <w:spacing w:after="0" w:line="205" w:lineRule="exact"/>
              <w:rPr>
                <w:sz w:val="20"/>
                <w:szCs w:val="20"/>
                <w:color w:val="auto"/>
              </w:rPr>
            </w:pPr>
            <w:r>
              <w:rPr>
                <w:rFonts w:ascii="Arial" w:cs="Arial" w:eastAsia="Arial" w:hAnsi="Arial"/>
                <w:sz w:val="18"/>
                <w:szCs w:val="18"/>
                <w:color w:val="auto"/>
              </w:rPr>
              <w:t>19,882,817</w:t>
            </w:r>
          </w:p>
        </w:tc>
        <w:tc>
          <w:tcPr>
            <w:tcW w:w="2000" w:type="dxa"/>
            <w:vAlign w:val="bottom"/>
            <w:shd w:val="clear" w:color="auto" w:fill="EBEBEC"/>
          </w:tcPr>
          <w:p>
            <w:pPr>
              <w:jc w:val="center"/>
              <w:spacing w:after="0" w:line="205" w:lineRule="exact"/>
              <w:rPr>
                <w:sz w:val="20"/>
                <w:szCs w:val="20"/>
                <w:color w:val="auto"/>
              </w:rPr>
            </w:pPr>
            <w:r>
              <w:rPr>
                <w:rFonts w:ascii="Arial" w:cs="Arial" w:eastAsia="Arial" w:hAnsi="Arial"/>
                <w:sz w:val="18"/>
                <w:szCs w:val="18"/>
                <w:color w:val="auto"/>
                <w:w w:val="97"/>
              </w:rPr>
              <w:t>23.9%</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4"/>
                <w:szCs w:val="14"/>
                <w:color w:val="auto"/>
              </w:rPr>
              <w:t>(4)</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18,628,608</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22.3%</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Ares Management LLC </w:t>
            </w:r>
            <w:r>
              <w:rPr>
                <w:rFonts w:ascii="Arial" w:cs="Arial" w:eastAsia="Arial" w:hAnsi="Arial"/>
                <w:sz w:val="14"/>
                <w:szCs w:val="14"/>
                <w:color w:val="auto"/>
              </w:rPr>
              <w:t>(5)</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17,324,848</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20.8%</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JB Investors, LLC </w:t>
            </w:r>
            <w:r>
              <w:rPr>
                <w:rFonts w:ascii="Arial" w:cs="Arial" w:eastAsia="Arial" w:hAnsi="Arial"/>
                <w:sz w:val="14"/>
                <w:szCs w:val="14"/>
                <w:color w:val="auto"/>
              </w:rPr>
              <w:t>(6)</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6,728,078</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8.08%</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Douglas E. Brooks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Tiffany (TJ) Thom Cepak</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James N. Chapman</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4"/>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Mark A. (Mac) McFarland</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Julio M. Quintana</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William B. Roby</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Brian Steck</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Shawn M. Kerns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Francisco L. Leon</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Marshall D. Smith</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Todd A. Stevens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2,500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Charles F. Weiss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2"/>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Darren Williams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199"/>
        </w:trPr>
        <w:tc>
          <w:tcPr>
            <w:tcW w:w="7440" w:type="dxa"/>
            <w:vAlign w:val="bottom"/>
            <w:shd w:val="clear" w:color="auto" w:fill="EBEBEC"/>
          </w:tcPr>
          <w:p>
            <w:pPr>
              <w:ind w:left="120"/>
              <w:spacing w:after="0" w:line="199" w:lineRule="exact"/>
              <w:rPr>
                <w:sz w:val="20"/>
                <w:szCs w:val="20"/>
                <w:color w:val="auto"/>
              </w:rPr>
            </w:pPr>
            <w:r>
              <w:rPr>
                <w:rFonts w:ascii="Arial" w:cs="Arial" w:eastAsia="Arial" w:hAnsi="Arial"/>
                <w:sz w:val="18"/>
                <w:szCs w:val="18"/>
                <w:color w:val="auto"/>
              </w:rPr>
              <w:t>Executive officers and directors as a group (consisting</w:t>
            </w:r>
          </w:p>
        </w:tc>
        <w:tc>
          <w:tcPr>
            <w:tcW w:w="1800" w:type="dxa"/>
            <w:vAlign w:val="bottom"/>
            <w:shd w:val="clear" w:color="auto" w:fill="EBEBEC"/>
          </w:tcPr>
          <w:p>
            <w:pPr>
              <w:spacing w:after="0"/>
              <w:rPr>
                <w:sz w:val="17"/>
                <w:szCs w:val="17"/>
                <w:color w:val="auto"/>
              </w:rPr>
            </w:pPr>
          </w:p>
        </w:tc>
        <w:tc>
          <w:tcPr>
            <w:tcW w:w="2000" w:type="dxa"/>
            <w:vAlign w:val="bottom"/>
            <w:shd w:val="clear" w:color="auto" w:fill="EBEBEC"/>
          </w:tcPr>
          <w:p>
            <w:pPr>
              <w:spacing w:after="0"/>
              <w:rPr>
                <w:sz w:val="17"/>
                <w:szCs w:val="17"/>
                <w:color w:val="auto"/>
              </w:rPr>
            </w:pPr>
          </w:p>
        </w:tc>
      </w:tr>
      <w:tr>
        <w:trPr>
          <w:trHeight w:val="200"/>
        </w:trPr>
        <w:tc>
          <w:tcPr>
            <w:tcW w:w="7440" w:type="dxa"/>
            <w:vAlign w:val="bottom"/>
            <w:shd w:val="clear" w:color="auto" w:fill="EBEBEC"/>
          </w:tcPr>
          <w:p>
            <w:pPr>
              <w:ind w:left="280"/>
              <w:spacing w:after="0" w:line="200" w:lineRule="exact"/>
              <w:rPr>
                <w:sz w:val="20"/>
                <w:szCs w:val="20"/>
                <w:color w:val="auto"/>
              </w:rPr>
            </w:pPr>
            <w:r>
              <w:rPr>
                <w:rFonts w:ascii="Arial" w:cs="Arial" w:eastAsia="Arial" w:hAnsi="Arial"/>
                <w:sz w:val="18"/>
                <w:szCs w:val="18"/>
                <w:color w:val="auto"/>
              </w:rPr>
              <w:t>of 14 persons)</w:t>
            </w:r>
          </w:p>
        </w:tc>
        <w:tc>
          <w:tcPr>
            <w:tcW w:w="1800" w:type="dxa"/>
            <w:vAlign w:val="bottom"/>
            <w:shd w:val="clear" w:color="auto" w:fill="EBEBEC"/>
          </w:tcPr>
          <w:p>
            <w:pPr>
              <w:jc w:val="right"/>
              <w:ind w:right="33"/>
              <w:spacing w:after="0" w:line="200" w:lineRule="exact"/>
              <w:rPr>
                <w:sz w:val="20"/>
                <w:szCs w:val="20"/>
                <w:color w:val="auto"/>
              </w:rPr>
            </w:pPr>
            <w:r>
              <w:rPr>
                <w:rFonts w:ascii="Arial" w:cs="Arial" w:eastAsia="Arial" w:hAnsi="Arial"/>
                <w:sz w:val="18"/>
                <w:szCs w:val="18"/>
                <w:color w:val="auto"/>
              </w:rPr>
              <w:t>2,500</w:t>
            </w:r>
          </w:p>
        </w:tc>
        <w:tc>
          <w:tcPr>
            <w:tcW w:w="2000" w:type="dxa"/>
            <w:vAlign w:val="bottom"/>
            <w:shd w:val="clear" w:color="auto" w:fill="EBEBEC"/>
          </w:tcPr>
          <w:p>
            <w:pPr>
              <w:jc w:val="center"/>
              <w:spacing w:after="0" w:line="200" w:lineRule="exact"/>
              <w:rPr>
                <w:sz w:val="20"/>
                <w:szCs w:val="20"/>
                <w:color w:val="auto"/>
              </w:rPr>
            </w:pPr>
            <w:r>
              <w:rPr>
                <w:rFonts w:ascii="Arial" w:cs="Arial" w:eastAsia="Arial" w:hAnsi="Arial"/>
                <w:sz w:val="18"/>
                <w:szCs w:val="18"/>
                <w:color w:val="auto"/>
                <w:w w:val="84"/>
              </w:rPr>
              <w:t>*</w:t>
            </w:r>
          </w:p>
        </w:tc>
      </w:tr>
      <w:tr>
        <w:trPr>
          <w:trHeight w:val="214"/>
        </w:trPr>
        <w:tc>
          <w:tcPr>
            <w:tcW w:w="7440" w:type="dxa"/>
            <w:vAlign w:val="bottom"/>
          </w:tcPr>
          <w:p>
            <w:pPr>
              <w:spacing w:after="0"/>
              <w:rPr>
                <w:sz w:val="20"/>
                <w:szCs w:val="20"/>
                <w:color w:val="auto"/>
              </w:rPr>
            </w:pPr>
            <w:r>
              <w:rPr>
                <w:rFonts w:ascii="Arial" w:cs="Arial" w:eastAsia="Arial" w:hAnsi="Arial"/>
                <w:sz w:val="14"/>
                <w:szCs w:val="14"/>
                <w:color w:val="auto"/>
                <w:w w:val="99"/>
              </w:rPr>
              <w:t>*Less than 1%.</w:t>
            </w:r>
          </w:p>
        </w:tc>
        <w:tc>
          <w:tcPr>
            <w:tcW w:w="180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95" w:lineRule="exact"/>
        <w:rPr>
          <w:sz w:val="20"/>
          <w:szCs w:val="20"/>
          <w:color w:val="auto"/>
        </w:rPr>
      </w:pPr>
    </w:p>
    <w:p>
      <w:pPr>
        <w:ind w:left="360" w:right="560" w:hanging="354"/>
        <w:spacing w:after="0" w:line="250"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27200 Tourney Road, Suite 200, Santa Clarita, California 91355.</w:t>
      </w:r>
    </w:p>
    <w:p>
      <w:pPr>
        <w:spacing w:after="0" w:line="88" w:lineRule="exact"/>
        <w:rPr>
          <w:rFonts w:ascii="Arial" w:cs="Arial" w:eastAsia="Arial" w:hAnsi="Arial"/>
          <w:sz w:val="14"/>
          <w:szCs w:val="14"/>
          <w:color w:val="auto"/>
        </w:rPr>
      </w:pPr>
    </w:p>
    <w:p>
      <w:pPr>
        <w:ind w:left="360" w:hanging="354"/>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83,319,660 as of March 15, 2021.</w:t>
      </w:r>
    </w:p>
    <w:p>
      <w:pPr>
        <w:spacing w:after="0" w:line="88" w:lineRule="exact"/>
        <w:rPr>
          <w:rFonts w:ascii="Arial" w:cs="Arial" w:eastAsia="Arial" w:hAnsi="Arial"/>
          <w:sz w:val="14"/>
          <w:szCs w:val="14"/>
          <w:color w:val="auto"/>
        </w:rPr>
      </w:pPr>
    </w:p>
    <w:p>
      <w:pPr>
        <w:ind w:left="360" w:right="20" w:hanging="354"/>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Schedule 13D/A filed with the SEC on November 10, 2020 by GoldenTree Asset Management LP (“</w:t>
      </w:r>
      <w:r>
        <w:rPr>
          <w:rFonts w:ascii="Arial" w:cs="Arial" w:eastAsia="Arial" w:hAnsi="Arial"/>
          <w:sz w:val="14"/>
          <w:szCs w:val="14"/>
          <w:b w:val="1"/>
          <w:bCs w:val="1"/>
          <w:i w:val="1"/>
          <w:iCs w:val="1"/>
          <w:color w:val="auto"/>
        </w:rPr>
        <w:t>GoldenTree</w:t>
      </w:r>
      <w:r>
        <w:rPr>
          <w:rFonts w:ascii="Arial" w:cs="Arial" w:eastAsia="Arial" w:hAnsi="Arial"/>
          <w:sz w:val="14"/>
          <w:szCs w:val="14"/>
          <w:color w:val="auto"/>
        </w:rPr>
        <w:t>”). GoldenTree has shared voting power and shared dispositive power with respect to 19,882,817 shares of common stock, which included 475,556 shares of common stock that would be issued upon the exercise of outstanding warrants. In this Schedule 13D, GoldenTree states that its managing member, Steven A. Tananbaum, has an aggregate beneficial ownership of 19,882,817 shares of common stock or 23.9% of the class, and shared voting power with respect to 19,882,817 shares of common stock, and shared dispositive power with respect to 19,882,817 shares of common stock. GoldenTree also states that its subsidiary, GoldenTree Asset Management LLC, has an aggregate beneficial ownership of 19,882,817 shares of common stock or 23.9% of the class, and shared voting power with respect to 19,882,817 shares of common stock, and shared dispositive power with respect to 19,882,817 shares of common stock. GoldenTree also states that its subsidiary, GoldenTree Distressed Master Fund III LTD, has an aggregate beneficial ownership of 5,245,348 shares of common stock or 6.3% of the class, and shared voting power with respect to 5,245,348 shares of common stock, and shared dispositive power with respect to 5,245,348 shares of common stock. GoldenTree’s address is 300 Park Avenue, 21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Floor, New York, New York 10022.</w:t>
      </w:r>
    </w:p>
    <w:p>
      <w:pPr>
        <w:spacing w:after="0" w:line="132" w:lineRule="exact"/>
        <w:rPr>
          <w:rFonts w:ascii="Arial" w:cs="Arial" w:eastAsia="Arial" w:hAnsi="Arial"/>
          <w:sz w:val="14"/>
          <w:szCs w:val="14"/>
          <w:color w:val="auto"/>
        </w:rPr>
      </w:pPr>
    </w:p>
    <w:p>
      <w:pPr>
        <w:ind w:left="360" w:right="20" w:hanging="354"/>
        <w:spacing w:after="0" w:line="244"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8, 2021 by FMR LLC (“</w:t>
      </w:r>
      <w:r>
        <w:rPr>
          <w:rFonts w:ascii="Arial" w:cs="Arial" w:eastAsia="Arial" w:hAnsi="Arial"/>
          <w:sz w:val="14"/>
          <w:szCs w:val="14"/>
          <w:b w:val="1"/>
          <w:bCs w:val="1"/>
          <w:i w:val="1"/>
          <w:iCs w:val="1"/>
          <w:color w:val="auto"/>
        </w:rPr>
        <w:t>Fidelity</w:t>
      </w:r>
      <w:r>
        <w:rPr>
          <w:rFonts w:ascii="Arial" w:cs="Arial" w:eastAsia="Arial" w:hAnsi="Arial"/>
          <w:sz w:val="14"/>
          <w:szCs w:val="14"/>
          <w:color w:val="auto"/>
        </w:rPr>
        <w:t>”). Fidelity has (i) sole voting power with respect to 3,006,044 shares of common stock, and (ii) sole dispositive power with respect to 18,628,608 shares of common stock. In this Schedule 13G, Fidelity states that its director, chairman and CEO, Abigail P. Johnson, has an aggregate beneficial ownership of 18,628,608 shares of common stock or 22.273% of the class, and has sole dispositive power with respect to 18,628,608 shares of common stock. Fidelity also states that its subsidiary, Fidelity Capital &amp; Income Fund, has an aggregate beneficial ownership of 6,065,715 shares of our common stock or 7.252% of the class, and has sole voting power with respect to 6,065,715 shares of common stock. Fidelity’s address is 245 Summer Street, Boston, Massachusetts 02210.</w:t>
      </w:r>
    </w:p>
    <w:p>
      <w:pPr>
        <w:spacing w:after="0" w:line="194" w:lineRule="exact"/>
        <w:rPr>
          <w:sz w:val="20"/>
          <w:szCs w:val="20"/>
          <w:color w:val="auto"/>
        </w:rPr>
      </w:pPr>
    </w:p>
    <w:p>
      <w:pPr>
        <w:ind w:left="728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11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313" w:lineRule="exact"/>
        <w:rPr>
          <w:sz w:val="20"/>
          <w:szCs w:val="20"/>
          <w:color w:val="auto"/>
        </w:rPr>
      </w:pPr>
    </w:p>
    <w:p>
      <w:pPr>
        <w:ind w:left="360" w:right="80" w:hanging="354"/>
        <w:spacing w:after="0" w:line="241"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Schedule 13D filed with the SEC on November 6, 2020 by Ares Management LLC (“</w:t>
      </w:r>
      <w:r>
        <w:rPr>
          <w:rFonts w:ascii="Arial" w:cs="Arial" w:eastAsia="Arial" w:hAnsi="Arial"/>
          <w:sz w:val="14"/>
          <w:szCs w:val="14"/>
          <w:b w:val="1"/>
          <w:bCs w:val="1"/>
          <w:i w:val="1"/>
          <w:iCs w:val="1"/>
          <w:color w:val="auto"/>
        </w:rPr>
        <w:t>Ares</w:t>
      </w:r>
      <w:r>
        <w:rPr>
          <w:rFonts w:ascii="Arial" w:cs="Arial" w:eastAsia="Arial" w:hAnsi="Arial"/>
          <w:sz w:val="14"/>
          <w:szCs w:val="14"/>
          <w:color w:val="auto"/>
        </w:rPr>
        <w:t>”). Ares has shared voting power with respect to 17,324,848 shares of common stock, and shared dispositive power with respect to 17,324,848 shares of common stock. In this Schedule 13D, Ares states that its subsidiary, AF V Energy IV AIV 1A, L.P., has an aggregate beneficial ownership of 790,194 shares of common stock or 1.0% of the class, and shared voting power with respect to 790,194 shares of common stock, and shared dispositive power with respect to 790,194 shares of common stock. Ares also states that its subsidiary, AF V Energy IV AIV 1B, L.P., has an aggregate beneficial ownership of 2,901,771 shares of common stock or 3.5% of the class, and shared voting power with respect to</w:t>
      </w:r>
    </w:p>
    <w:p>
      <w:pPr>
        <w:spacing w:after="0" w:line="2" w:lineRule="exact"/>
        <w:rPr>
          <w:rFonts w:ascii="Arial" w:cs="Arial" w:eastAsia="Arial" w:hAnsi="Arial"/>
          <w:sz w:val="14"/>
          <w:szCs w:val="14"/>
          <w:color w:val="auto"/>
        </w:rPr>
      </w:pPr>
    </w:p>
    <w:p>
      <w:pPr>
        <w:ind w:left="360" w:right="20"/>
        <w:spacing w:after="0"/>
        <w:rPr>
          <w:rFonts w:ascii="Arial" w:cs="Arial" w:eastAsia="Arial" w:hAnsi="Arial"/>
          <w:sz w:val="14"/>
          <w:szCs w:val="14"/>
          <w:color w:val="auto"/>
        </w:rPr>
      </w:pPr>
      <w:r>
        <w:rPr>
          <w:rFonts w:ascii="Arial" w:cs="Arial" w:eastAsia="Arial" w:hAnsi="Arial"/>
          <w:sz w:val="14"/>
          <w:szCs w:val="14"/>
          <w:color w:val="auto"/>
        </w:rPr>
        <w:t>2,901,771 shares of common stock, and shared dispositive power with respect to 2,901,771 shares of common stock. Ares also states that its subsidiary, AF V Energy IV AIV 2, L.P., has an aggregate beneficial ownership of 2,958,809 shares of common stock or 3.6% of the class, and shared voting power with respect to 2,958,809 shares of common stock, and shared dispositive power with respect to 2,958,809 shares of common stock. Ares also states that its subsidiary, AEOF ECR AIV A-B, L.P., has an aggregate beneficial ownership of 1,894,861 shares of common stock or 2.3% of the class, and shared voting power with respect to 1,894,861 shares of common stock, and shared dispositive power with respect to 1,894,861 shares of common stock. Ares also states that its subsidiary, AEOF ECR AIV A-B, L.P., has an aggregate beneficial ownership of 1,894,861 shares of common stock or 2.3% of the class, and shared voting power with respect to 1,894,861 shares of common stock, and shared dispositive power with respect to 1,894,861 shares of common stock. Ares also states that its subsidiary, AEOF ECR AIV C, L.P., has an aggregate beneficial ownership of 804,524 shares of common stock or 1.0% of the class, and shared voting power with respect to 804,524 shares of common stock, and shared dispositive power with respect to 804,524 shares of common stock. Ares also states that its subsidiary, AF Energy Feeder, L.P., has an aggregate beneficial ownership of 5,815,182 shares of common stock or 7.0% of the class, and shared voting power with respect to 5,815,182 shares of common stock, and shared dispositive power with respect to 5,815,182 shares of common stock. Ares also states that its subsidiary, ACOF Investment Management LLC, has an aggregate beneficial ownership of 15,165,341 shares of common stock or 18.2% of the class, and shared voting power with respect to 15,165,341 shares of common stock, and shared dispositive power with respect to 15,165,341 shares of common stock. Ares also states that its subsidiary, SSF IV Energy I AIV 1A, L.P., has an aggregate beneficial ownership of 645,985 shares of common stock or 0.8% of the class, and shared voting power with respect to 645,985 shares of common stock, and shared dispositive power with respect to 645,985 shares of common stock. Ares also states that its subsidiary, SSF IV Energy I AIV 1B, L.P., has an aggregate beneficial ownership of 575,926 shares of common stock or 0.7% of the class, and shared voting power with respect to 575,926 shares of common stock, and shared dispositive power with respect to 575,926 shares of common stock. Ares also states that its subsidiary, SSF IV Energy I AIV 2, L.P., has an aggregate beneficial ownership of 937,596 shares of common stock or 1.1% of the class, and shared voting power with respect to 937,596 shares of common stock, and shared dispositive power with respect to 937,596 shares of common stock. Ares also states that its subsidiary, ASSF Operating Manager IV, L.P., has an aggregate beneficial ownership of 2,159,507 shares of common stock or 2.6% of the class, and shared voting power with respect to 2,159,507 shares of common stock, and shared dispositive power with respect to 2,159,507 shares of common stock. Ares also states that its subsidiary, Ares Management Holdings L.P., has an aggregate beneficial ownership of 17,324,848 shares of common stock or 20.8% of the class, and shared voting power with respect to 17,324,848 shares of common stock, and shared dispositive power with respect to 17,324,848 shares of common stock. Ares also states that its subsidiary, Ares Holdco LLC, has an aggregate beneficial ownership of 17,324,848 shares of common stock or 20.8% of the class, and shared voting power with respect to 17,324,848 shares of common stock, and shared dispositive power with respect to 17,324,848 shares of common stock. Ares also states that its subsidiary, Ares Holdings Inc., has an aggregate beneficial ownership of 17,324,848 shares of common stock or 20.8% of the class, and shared voting power with respect to 17,324,848 shares of common stock, and shared dispositive power with respect to 17,324,848 shares of common stock. Ares also states that its subsidiary, Ares Management Corp., has an aggregate beneficial ownership of 17,324,848 shares of common stock or 20.8% of the class, and shared voting power with respect to 17,324,848 shares of common stock, and shared dispositive power with respect to 17,324,848 shares of common stock. Ares also states that its subsidiary, Ares Voting LLC, has an aggregate beneficial ownership of 17,324,848 shares of common stock or 20.8% of the class, and shared voting power with respect to 17,324,848 shares of common stock, and shared dispositive power with respect to 17,324,848 shares of common stock. Ares also states that its subsidiary, Ares Management GP LLC, has an aggregate beneficial ownership of 17,324,848 shares of common stock or 20.8% of the class, and shared voting power with respect to 17,324,848 shares of common stock, and shared dispositive power with respect to 17,324,848 shares of common stock. Ares also states that its subsidiary, Ares Partners Holdco LLC, has an aggregate beneficial ownership of 17,324,848 shares of common stock or 20.8% of the class, and shared voting power with respect to 17,324,848 shares of common stock, and shared dispositive power with respect to 17,324,848 shares of common stock. Ares’s address is 2000 Avenue of the Stars, 12</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Los Angeles, California 90067.</w:t>
      </w:r>
    </w:p>
    <w:p>
      <w:pPr>
        <w:spacing w:after="0" w:line="243" w:lineRule="exact"/>
        <w:rPr>
          <w:rFonts w:ascii="Arial" w:cs="Arial" w:eastAsia="Arial" w:hAnsi="Arial"/>
          <w:sz w:val="14"/>
          <w:szCs w:val="14"/>
          <w:color w:val="auto"/>
        </w:rPr>
      </w:pPr>
    </w:p>
    <w:p>
      <w:pPr>
        <w:ind w:left="360" w:right="100" w:hanging="354"/>
        <w:spacing w:after="0" w:line="239"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12, 2021 by JB Investors, LLC (“</w:t>
      </w:r>
      <w:r>
        <w:rPr>
          <w:rFonts w:ascii="Arial" w:cs="Arial" w:eastAsia="Arial" w:hAnsi="Arial"/>
          <w:sz w:val="14"/>
          <w:szCs w:val="14"/>
          <w:b w:val="1"/>
          <w:bCs w:val="1"/>
          <w:i w:val="1"/>
          <w:iCs w:val="1"/>
          <w:color w:val="auto"/>
        </w:rPr>
        <w:t>JB Investors</w:t>
      </w:r>
      <w:r>
        <w:rPr>
          <w:rFonts w:ascii="Arial" w:cs="Arial" w:eastAsia="Arial" w:hAnsi="Arial"/>
          <w:sz w:val="14"/>
          <w:szCs w:val="14"/>
          <w:color w:val="auto"/>
        </w:rPr>
        <w:t>”). JB Investors has (i) shared voting power with respect to 6,728,078 shares of common stock, and (ii) shared dispositive power with respect to 6,728,078 shares of common stock. In this Schedule 13G, JB Investors states that its subsidiary, Solar Projects LLC, has an aggregate beneficial ownership of 6,728,078 shares of common stock or 8.08% of the class, and has (i) shared voting power with respect to 6,728,078 shares of common stock, and (ii) shared dispositive power with respect to 6,728,078 shares of common stock. JB Investors also states that its subsidiary, Solar Trust No. 2, has an aggregate beneficial ownership of 6,728,078 shares of common stock or 8.08% of the class, and has (i) shared voting power with respect to 6,728,078 shares of common stock, and (ii) shared dispositive power with respect to 6,728,078 shares of common stock. JB Investors’ address is 100 West Liberty Street, Tenth Floor, Reno, Nevada 89501.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0075C9"/>
        </w:rPr>
        <w:t>Proposal 1: Election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2021, seven incumbent directors have been nominated by the Board of Directors for reelection through the 2022 annual meeting.</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153035</wp:posOffset>
            </wp:positionV>
            <wp:extent cx="67811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93980</wp:posOffset>
            </wp:positionV>
            <wp:extent cx="67811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color w:val="0075C9"/>
        </w:rPr>
        <w:t>Proposal 2: Ratification of the Appointment of the Independent Registered Public Accounting Firm</w:t>
      </w:r>
    </w:p>
    <w:p>
      <w:pPr>
        <w:spacing w:after="0" w:line="10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2021.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1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2020 and 2019:</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00" w:type="dxa"/>
            <w:vAlign w:val="bottom"/>
            <w:tcBorders>
              <w:bottom w:val="single" w:sz="8" w:color="0075C9"/>
            </w:tcBorders>
          </w:tcPr>
          <w:p>
            <w:pPr>
              <w:spacing w:after="0"/>
              <w:rPr>
                <w:sz w:val="18"/>
                <w:szCs w:val="18"/>
                <w:color w:val="auto"/>
              </w:rPr>
            </w:pPr>
          </w:p>
        </w:tc>
        <w:tc>
          <w:tcPr>
            <w:tcW w:w="30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160" w:type="dxa"/>
            <w:vAlign w:val="bottom"/>
            <w:tcBorders>
              <w:bottom w:val="single" w:sz="8" w:color="0075C9"/>
            </w:tcBorders>
          </w:tcPr>
          <w:p>
            <w:pPr>
              <w:jc w:val="right"/>
              <w:ind w:right="372"/>
              <w:spacing w:after="0"/>
              <w:rPr>
                <w:sz w:val="20"/>
                <w:szCs w:val="20"/>
                <w:color w:val="auto"/>
              </w:rPr>
            </w:pPr>
            <w:r>
              <w:rPr>
                <w:rFonts w:ascii="Arial" w:cs="Arial" w:eastAsia="Arial" w:hAnsi="Arial"/>
                <w:sz w:val="18"/>
                <w:szCs w:val="18"/>
                <w:color w:val="0075C9"/>
              </w:rPr>
              <w:t>2020</w:t>
            </w:r>
          </w:p>
        </w:tc>
        <w:tc>
          <w:tcPr>
            <w:tcW w:w="480" w:type="dxa"/>
            <w:vAlign w:val="bottom"/>
            <w:tcBorders>
              <w:bottom w:val="single" w:sz="8" w:color="0075C9"/>
            </w:tcBorders>
          </w:tcPr>
          <w:p>
            <w:pPr>
              <w:spacing w:after="0"/>
              <w:rPr>
                <w:sz w:val="18"/>
                <w:szCs w:val="18"/>
                <w:color w:val="auto"/>
              </w:rPr>
            </w:pPr>
          </w:p>
        </w:tc>
        <w:tc>
          <w:tcPr>
            <w:tcW w:w="240" w:type="dxa"/>
            <w:vAlign w:val="bottom"/>
            <w:tcBorders>
              <w:bottom w:val="single" w:sz="8" w:color="0075C9"/>
            </w:tcBorders>
          </w:tcPr>
          <w:p>
            <w:pPr>
              <w:spacing w:after="0"/>
              <w:rPr>
                <w:sz w:val="18"/>
                <w:szCs w:val="18"/>
                <w:color w:val="auto"/>
              </w:rPr>
            </w:pPr>
          </w:p>
        </w:tc>
        <w:tc>
          <w:tcPr>
            <w:tcW w:w="960" w:type="dxa"/>
            <w:vAlign w:val="bottom"/>
            <w:tcBorders>
              <w:bottom w:val="single" w:sz="8" w:color="0075C9"/>
            </w:tcBorders>
          </w:tcPr>
          <w:p>
            <w:pPr>
              <w:jc w:val="right"/>
              <w:ind w:right="292"/>
              <w:spacing w:after="0"/>
              <w:rPr>
                <w:sz w:val="20"/>
                <w:szCs w:val="20"/>
                <w:color w:val="auto"/>
              </w:rPr>
            </w:pPr>
            <w:r>
              <w:rPr>
                <w:rFonts w:ascii="Arial" w:cs="Arial" w:eastAsia="Arial" w:hAnsi="Arial"/>
                <w:sz w:val="18"/>
                <w:szCs w:val="18"/>
                <w:color w:val="0075C9"/>
              </w:rPr>
              <w:t>2019</w:t>
            </w:r>
          </w:p>
        </w:tc>
        <w:tc>
          <w:tcPr>
            <w:tcW w:w="240" w:type="dxa"/>
            <w:vAlign w:val="bottom"/>
            <w:tcBorders>
              <w:bottom w:val="single" w:sz="8" w:color="0075C9"/>
            </w:tcBorders>
          </w:tcPr>
          <w:p>
            <w:pPr>
              <w:spacing w:after="0"/>
              <w:rPr>
                <w:sz w:val="18"/>
                <w:szCs w:val="18"/>
                <w:color w:val="auto"/>
              </w:rPr>
            </w:pPr>
          </w:p>
        </w:tc>
      </w:tr>
      <w:tr>
        <w:trPr>
          <w:trHeight w:val="218"/>
        </w:trPr>
        <w:tc>
          <w:tcPr>
            <w:tcW w:w="20" w:type="dxa"/>
            <w:vAlign w:val="bottom"/>
          </w:tcPr>
          <w:p>
            <w:pPr>
              <w:spacing w:after="0"/>
              <w:rPr>
                <w:sz w:val="19"/>
                <w:szCs w:val="19"/>
                <w:color w:val="auto"/>
              </w:rPr>
            </w:pPr>
          </w:p>
        </w:tc>
        <w:tc>
          <w:tcPr>
            <w:tcW w:w="660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4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2F2F2"/>
          </w:tcPr>
          <w:p>
            <w:pPr>
              <w:jc w:val="right"/>
              <w:ind w:right="12"/>
              <w:spacing w:after="0"/>
              <w:rPr>
                <w:sz w:val="20"/>
                <w:szCs w:val="20"/>
                <w:color w:val="auto"/>
              </w:rPr>
            </w:pPr>
            <w:r>
              <w:rPr>
                <w:rFonts w:ascii="Arial" w:cs="Arial" w:eastAsia="Arial" w:hAnsi="Arial"/>
                <w:sz w:val="18"/>
                <w:szCs w:val="18"/>
                <w:color w:val="auto"/>
              </w:rPr>
              <w:t>3,714,807</w:t>
            </w:r>
          </w:p>
        </w:tc>
        <w:tc>
          <w:tcPr>
            <w:tcW w:w="7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2,193,000</w:t>
            </w:r>
          </w:p>
        </w:tc>
        <w:tc>
          <w:tcPr>
            <w:tcW w:w="240" w:type="dxa"/>
            <w:vAlign w:val="bottom"/>
            <w:shd w:val="clear" w:color="auto" w:fill="F2F2F2"/>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6600" w:type="dxa"/>
            <w:vAlign w:val="bottom"/>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60" w:type="dxa"/>
            <w:vAlign w:val="bottom"/>
            <w:shd w:val="clear" w:color="auto" w:fill="F2F2F2"/>
          </w:tcPr>
          <w:p>
            <w:pPr>
              <w:jc w:val="right"/>
              <w:ind w:right="12"/>
              <w:spacing w:after="0"/>
              <w:rPr>
                <w:sz w:val="20"/>
                <w:szCs w:val="20"/>
                <w:color w:val="auto"/>
              </w:rPr>
            </w:pPr>
            <w:r>
              <w:rPr>
                <w:rFonts w:ascii="Arial" w:cs="Arial" w:eastAsia="Arial" w:hAnsi="Arial"/>
                <w:sz w:val="18"/>
                <w:szCs w:val="18"/>
                <w:color w:val="auto"/>
              </w:rPr>
              <w:t>165,660</w:t>
            </w:r>
          </w:p>
        </w:tc>
        <w:tc>
          <w:tcPr>
            <w:tcW w:w="48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967,200</w:t>
            </w:r>
          </w:p>
        </w:tc>
        <w:tc>
          <w:tcPr>
            <w:tcW w:w="240" w:type="dxa"/>
            <w:vAlign w:val="bottom"/>
            <w:shd w:val="clear" w:color="auto" w:fill="F2F2F2"/>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6600" w:type="dxa"/>
            <w:vAlign w:val="bottom"/>
            <w:shd w:val="clear" w:color="auto" w:fill="F2F2F2"/>
          </w:tcPr>
          <w:p>
            <w:pPr>
              <w:spacing w:after="0"/>
              <w:rPr>
                <w:sz w:val="20"/>
                <w:szCs w:val="20"/>
                <w:color w:val="auto"/>
              </w:rPr>
            </w:pPr>
            <w:r>
              <w:rPr>
                <w:rFonts w:ascii="Arial" w:cs="Arial" w:eastAsia="Arial" w:hAnsi="Arial"/>
                <w:sz w:val="18"/>
                <w:szCs w:val="18"/>
                <w:color w:val="auto"/>
              </w:rPr>
              <w:t>Tax Fees</w:t>
            </w:r>
          </w:p>
        </w:tc>
        <w:tc>
          <w:tcPr>
            <w:tcW w:w="30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60" w:type="dxa"/>
            <w:vAlign w:val="bottom"/>
            <w:shd w:val="clear" w:color="auto" w:fill="F2F2F2"/>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1200" w:type="dxa"/>
            <w:vAlign w:val="bottom"/>
            <w:gridSpan w:val="2"/>
            <w:shd w:val="clear" w:color="auto" w:fill="F2F2F2"/>
          </w:tcPr>
          <w:p>
            <w:pPr>
              <w:jc w:val="right"/>
              <w:ind w:right="260"/>
              <w:spacing w:after="0"/>
              <w:rPr>
                <w:sz w:val="20"/>
                <w:szCs w:val="20"/>
                <w:color w:val="auto"/>
              </w:rPr>
            </w:pPr>
            <w:r>
              <w:rPr>
                <w:rFonts w:ascii="Arial" w:cs="Arial" w:eastAsia="Arial" w:hAnsi="Arial"/>
                <w:sz w:val="18"/>
                <w:szCs w:val="18"/>
                <w:color w:val="auto"/>
              </w:rPr>
              <w:t>—</w:t>
            </w:r>
          </w:p>
        </w:tc>
      </w:tr>
      <w:tr>
        <w:trPr>
          <w:trHeight w:val="238"/>
        </w:trPr>
        <w:tc>
          <w:tcPr>
            <w:tcW w:w="20" w:type="dxa"/>
            <w:vAlign w:val="bottom"/>
          </w:tcPr>
          <w:p>
            <w:pPr>
              <w:spacing w:after="0"/>
              <w:rPr>
                <w:sz w:val="20"/>
                <w:szCs w:val="20"/>
                <w:color w:val="auto"/>
              </w:rPr>
            </w:pPr>
          </w:p>
        </w:tc>
        <w:tc>
          <w:tcPr>
            <w:tcW w:w="66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30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auto"/>
            </w:tcBorders>
            <w:shd w:val="clear" w:color="auto" w:fill="F2F2F2"/>
          </w:tcPr>
          <w:p>
            <w:pPr>
              <w:spacing w:after="0"/>
              <w:rPr>
                <w:sz w:val="20"/>
                <w:szCs w:val="20"/>
                <w:color w:val="auto"/>
              </w:rPr>
            </w:pPr>
          </w:p>
        </w:tc>
        <w:tc>
          <w:tcPr>
            <w:tcW w:w="1160" w:type="dxa"/>
            <w:vAlign w:val="bottom"/>
            <w:tcBorders>
              <w:bottom w:val="single" w:sz="8" w:color="auto"/>
            </w:tcBorders>
            <w:shd w:val="clear" w:color="auto" w:fill="F2F2F2"/>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9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2F2F2"/>
            </w:tcBorders>
            <w:shd w:val="clear" w:color="auto" w:fill="F2F2F2"/>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6600" w:type="dxa"/>
            <w:vAlign w:val="bottom"/>
            <w:shd w:val="clear" w:color="auto" w:fill="F2F2F2"/>
          </w:tcPr>
          <w:p>
            <w:pPr>
              <w:spacing w:after="0" w:line="205"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F2F2F2"/>
          </w:tcPr>
          <w:p>
            <w:pPr>
              <w:spacing w:after="0"/>
              <w:rPr>
                <w:sz w:val="17"/>
                <w:szCs w:val="17"/>
                <w:color w:val="auto"/>
              </w:rPr>
            </w:pPr>
          </w:p>
        </w:tc>
        <w:tc>
          <w:tcPr>
            <w:tcW w:w="120" w:type="dxa"/>
            <w:vAlign w:val="bottom"/>
            <w:shd w:val="clear" w:color="auto" w:fill="F2F2F2"/>
          </w:tcPr>
          <w:p>
            <w:pPr>
              <w:jc w:val="right"/>
              <w:spacing w:after="0" w:line="205"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F2F2F2"/>
          </w:tcPr>
          <w:p>
            <w:pPr>
              <w:jc w:val="right"/>
              <w:ind w:right="12"/>
              <w:spacing w:after="0" w:line="205" w:lineRule="exact"/>
              <w:rPr>
                <w:sz w:val="20"/>
                <w:szCs w:val="20"/>
                <w:color w:val="auto"/>
              </w:rPr>
            </w:pPr>
            <w:r>
              <w:rPr>
                <w:rFonts w:ascii="Arial" w:cs="Arial" w:eastAsia="Arial" w:hAnsi="Arial"/>
                <w:sz w:val="18"/>
                <w:szCs w:val="18"/>
                <w:color w:val="auto"/>
              </w:rPr>
              <w:t>3,880,467</w:t>
            </w:r>
          </w:p>
        </w:tc>
        <w:tc>
          <w:tcPr>
            <w:tcW w:w="720" w:type="dxa"/>
            <w:vAlign w:val="bottom"/>
            <w:gridSpan w:val="2"/>
            <w:shd w:val="clear" w:color="auto" w:fill="F2F2F2"/>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960" w:type="dxa"/>
            <w:vAlign w:val="bottom"/>
            <w:shd w:val="clear" w:color="auto" w:fill="F2F2F2"/>
          </w:tcPr>
          <w:p>
            <w:pPr>
              <w:jc w:val="right"/>
              <w:spacing w:after="0" w:line="205" w:lineRule="exact"/>
              <w:rPr>
                <w:sz w:val="20"/>
                <w:szCs w:val="20"/>
                <w:color w:val="auto"/>
              </w:rPr>
            </w:pPr>
            <w:r>
              <w:rPr>
                <w:rFonts w:ascii="Arial" w:cs="Arial" w:eastAsia="Arial" w:hAnsi="Arial"/>
                <w:sz w:val="18"/>
                <w:szCs w:val="18"/>
                <w:color w:val="auto"/>
              </w:rPr>
              <w:t>3,160,200</w:t>
            </w:r>
          </w:p>
        </w:tc>
        <w:tc>
          <w:tcPr>
            <w:tcW w:w="240" w:type="dxa"/>
            <w:vAlign w:val="bottom"/>
            <w:shd w:val="clear" w:color="auto" w:fill="F2F2F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-142240</wp:posOffset>
            </wp:positionV>
            <wp:extent cx="1009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-142240</wp:posOffset>
            </wp:positionV>
            <wp:extent cx="55022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0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-294005</wp:posOffset>
            </wp:positionV>
            <wp:extent cx="64198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-445135</wp:posOffset>
            </wp:positionV>
            <wp:extent cx="64198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-596900</wp:posOffset>
            </wp:positionV>
            <wp:extent cx="64198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19850" cy="8255"/>
                    </a:xfrm>
                    <a:prstGeom prst="rect">
                      <a:avLst/>
                    </a:prstGeom>
                    <a:noFill/>
                  </pic:spPr>
                </pic:pic>
              </a:graphicData>
            </a:graphic>
          </wp:anchor>
        </w:drawing>
      </w:r>
    </w:p>
    <w:p>
      <w:pPr>
        <w:spacing w:after="0" w:line="170" w:lineRule="exact"/>
        <w:rPr>
          <w:sz w:val="20"/>
          <w:szCs w:val="20"/>
          <w:color w:val="auto"/>
        </w:rPr>
      </w:pPr>
    </w:p>
    <w:p>
      <w:pPr>
        <w:ind w:left="360" w:right="320" w:hanging="354"/>
        <w:spacing w:after="0" w:line="243"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reviews of our quarterly financial statements. Beginning in 2020, Audit Fees include registration statements, consents, comfort letters and fees for services related to debt compliance.</w:t>
      </w:r>
    </w:p>
    <w:p>
      <w:pPr>
        <w:spacing w:after="0" w:line="107" w:lineRule="exact"/>
        <w:rPr>
          <w:rFonts w:ascii="Arial" w:cs="Arial" w:eastAsia="Arial" w:hAnsi="Arial"/>
          <w:sz w:val="14"/>
          <w:szCs w:val="14"/>
          <w:color w:val="auto"/>
        </w:rPr>
      </w:pPr>
    </w:p>
    <w:p>
      <w:pPr>
        <w:ind w:left="360" w:right="140" w:hanging="354"/>
        <w:spacing w:after="0" w:line="243"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Audit-Related Fees are primarily for audits of our benefit plans and other audits. KPMG did not render any advisory services in 2020 with respect to financial accounting matters. In 2019, KPMG rendered advisory service primarily related to financial accounting matters including adoption of new accounting standards and an asset divestiture. In 2019, Audit-Related Fees included registration statements, consents, comfort letters and fees for services related to debt compliance.</w:t>
      </w:r>
    </w:p>
    <w:p>
      <w:pPr>
        <w:spacing w:after="0" w:line="19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 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pre-approved all services provided to CRC by our independent registered accounting firm in 2020 and 2019.</w:t>
      </w:r>
    </w:p>
    <w:p>
      <w:pPr>
        <w:spacing w:after="0" w:line="2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152400</wp:posOffset>
            </wp:positionV>
            <wp:extent cx="67811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367" w:lineRule="exact"/>
        <w:rPr>
          <w:sz w:val="20"/>
          <w:szCs w:val="20"/>
          <w:color w:val="auto"/>
        </w:rPr>
      </w:pPr>
    </w:p>
    <w:p>
      <w:pPr>
        <w:jc w:val="center"/>
        <w:ind w:left="340" w:right="1580"/>
        <w:spacing w:after="0" w:line="246"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83820</wp:posOffset>
            </wp:positionV>
            <wp:extent cx="67811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0075C9"/>
        </w:rPr>
        <w:t>Proposal 3: Advisory Vote to Approve Named Executive Officer Compensation</w:t>
      </w:r>
    </w:p>
    <w:p>
      <w:pPr>
        <w:spacing w:after="0" w:line="10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Company last held a “say- on-frequency” vote in 2015, at which point our stockholders voted for, and the Board determined to hold, annual say-on-pay votes. The Company is holding a “say-on-frequency” vote at the Annual Meeting.</w:t>
      </w:r>
    </w:p>
    <w:p>
      <w:pPr>
        <w:spacing w:after="0" w:line="199"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Revised 2020 Compensation Program was approved by our Former Compensation Committee to address the unprecedented circumstances that led to our Chapter 11 bankruptcy filing, and was designed to retain our executives and also to motivate our executives to achieve our designated goals to preserve stakeholder value through our bankruptcy process. In connection with our reorganization, the parties to the Restructuring Support Agreement voted to accept, and the bankruptcy court confirmed, the Joint Plan of Reorganization, pursuant to which all employee compensation and benefits programs, including the components of our Revised 2020 Compensation Program, were assumed by, and were continued to be honored by, the Company. This advisory, nonbinding say-on-pay vote does not cover director compensation, which is also disclosed in the accompanying compensation tables.</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290195</wp:posOffset>
            </wp:positionV>
            <wp:extent cx="67811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left="340" w:right="1960"/>
        <w:spacing w:after="0" w:line="247"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83185</wp:posOffset>
            </wp:positionV>
            <wp:extent cx="67811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right="380"/>
        <w:spacing w:after="0" w:line="251" w:lineRule="auto"/>
        <w:rPr>
          <w:sz w:val="20"/>
          <w:szCs w:val="20"/>
          <w:color w:val="auto"/>
        </w:rPr>
      </w:pPr>
      <w:r>
        <w:rPr>
          <w:rFonts w:ascii="Arial" w:cs="Arial" w:eastAsia="Arial" w:hAnsi="Arial"/>
          <w:sz w:val="21"/>
          <w:szCs w:val="21"/>
          <w:color w:val="0075C9"/>
        </w:rPr>
        <w:t>Proposal 4: Advisory Vote on the Frequency of Future Stockholder Advisory Votes to Approve Named Executive Officer Compensation</w:t>
      </w:r>
    </w:p>
    <w:p>
      <w:pPr>
        <w:spacing w:after="0" w:line="189" w:lineRule="exact"/>
        <w:rPr>
          <w:sz w:val="20"/>
          <w:szCs w:val="20"/>
          <w:color w:val="auto"/>
        </w:rPr>
      </w:pPr>
    </w:p>
    <w:p>
      <w:pPr>
        <w:ind w:right="40"/>
        <w:spacing w:after="0" w:line="201" w:lineRule="exact"/>
        <w:rPr>
          <w:sz w:val="20"/>
          <w:szCs w:val="20"/>
          <w:color w:val="auto"/>
        </w:rPr>
      </w:pPr>
      <w:r>
        <w:rPr>
          <w:rFonts w:ascii="Arial" w:cs="Arial" w:eastAsia="Arial" w:hAnsi="Arial"/>
          <w:sz w:val="18"/>
          <w:szCs w:val="18"/>
          <w:color w:val="auto"/>
        </w:rPr>
        <w:t>Section 14A of the Securities Exchange Act of 1934 also requires the Company to provide stockholders with the opportunity to determine,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 how frequently the Company should seek stockholder approval of executive compensation, as disclosed pursuant to the SEC’s compensation disclosure rules,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 By voting on the Resolution below, stockholders may indicate whether they would prefer to approve executive compensation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 once every one, two or three years or to abstain from voting.</w:t>
      </w:r>
    </w:p>
    <w:p>
      <w:pPr>
        <w:spacing w:after="0" w:line="201" w:lineRule="exact"/>
        <w:rPr>
          <w:sz w:val="20"/>
          <w:szCs w:val="20"/>
          <w:color w:val="auto"/>
        </w:rPr>
      </w:pPr>
    </w:p>
    <w:p>
      <w:pPr>
        <w:jc w:val="both"/>
        <w:ind w:right="40"/>
        <w:spacing w:after="0" w:line="203" w:lineRule="exact"/>
        <w:rPr>
          <w:sz w:val="20"/>
          <w:szCs w:val="20"/>
          <w:color w:val="auto"/>
        </w:rPr>
      </w:pPr>
      <w:r>
        <w:rPr>
          <w:rFonts w:ascii="Arial" w:cs="Arial" w:eastAsia="Arial" w:hAnsi="Arial"/>
          <w:sz w:val="18"/>
          <w:szCs w:val="18"/>
          <w:color w:val="auto"/>
        </w:rPr>
        <w:t>After careful consideration of this Proposal 4, the Board of Directors has determined that stockholder approval of executive compensation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 that occurs every year is the most appropriate alternative for CRC, and therefore the Board of Directors recommends that you vote for a one</w:t>
      </w:r>
      <w:r>
        <w:rPr>
          <w:rFonts w:ascii="MS PGothic" w:cs="MS PGothic" w:eastAsia="MS PGothic" w:hAnsi="MS PGothic"/>
          <w:sz w:val="18"/>
          <w:szCs w:val="18"/>
          <w:color w:val="auto"/>
        </w:rPr>
        <w:t>‑</w:t>
      </w:r>
      <w:r>
        <w:rPr>
          <w:rFonts w:ascii="Arial" w:cs="Arial" w:eastAsia="Arial" w:hAnsi="Arial"/>
          <w:sz w:val="18"/>
          <w:szCs w:val="18"/>
          <w:color w:val="auto"/>
        </w:rPr>
        <w:t>year interval for the approval of executive compensation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w:t>
      </w:r>
    </w:p>
    <w:p>
      <w:pPr>
        <w:spacing w:after="0" w:line="200" w:lineRule="exact"/>
        <w:rPr>
          <w:sz w:val="20"/>
          <w:szCs w:val="20"/>
          <w:color w:val="auto"/>
        </w:rPr>
      </w:pPr>
    </w:p>
    <w:p>
      <w:pPr>
        <w:ind w:right="80"/>
        <w:spacing w:after="0" w:line="201" w:lineRule="exact"/>
        <w:rPr>
          <w:sz w:val="20"/>
          <w:szCs w:val="20"/>
          <w:color w:val="auto"/>
        </w:rPr>
      </w:pPr>
      <w:r>
        <w:rPr>
          <w:rFonts w:ascii="Arial" w:cs="Arial" w:eastAsia="Arial" w:hAnsi="Arial"/>
          <w:sz w:val="18"/>
          <w:szCs w:val="18"/>
          <w:color w:val="auto"/>
        </w:rPr>
        <w:t>In formulating its recommendation, the Board of Directors considered that an annual vote on executive compensation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 will allow stockholders to provide the Company with their direct input on the Company’s compensation philosophy, policies and practices as disclosed in the Proxy Statement every year. Additionally, an annual stockholder approval of executive compensation on an advisory, non</w:t>
      </w:r>
      <w:r>
        <w:rPr>
          <w:rFonts w:ascii="MS PGothic" w:cs="MS PGothic" w:eastAsia="MS PGothic" w:hAnsi="MS PGothic"/>
          <w:sz w:val="18"/>
          <w:szCs w:val="18"/>
          <w:color w:val="auto"/>
        </w:rPr>
        <w:t>‑</w:t>
      </w:r>
      <w:r>
        <w:rPr>
          <w:rFonts w:ascii="Arial" w:cs="Arial" w:eastAsia="Arial" w:hAnsi="Arial"/>
          <w:sz w:val="18"/>
          <w:szCs w:val="18"/>
          <w:color w:val="auto"/>
        </w:rPr>
        <w:t>binding basis is consistent with our policy of seeking input from, and engaging in discussions with, our stockholders on corporate governance matters and our executive compensation philosophy, policies and practices.</w:t>
      </w:r>
    </w:p>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You may cast your vote on your preferred voting frequency by choosing the option of every year, every two years or every three years, or you may abstain from voting. Accordingly, you may vote on the following Resolution at the Annual Meeting.</w:t>
      </w:r>
    </w:p>
    <w:p>
      <w:pPr>
        <w:spacing w:after="0" w:line="199" w:lineRule="exact"/>
        <w:rPr>
          <w:sz w:val="20"/>
          <w:szCs w:val="20"/>
          <w:color w:val="auto"/>
        </w:rPr>
      </w:pPr>
    </w:p>
    <w:p>
      <w:pPr>
        <w:ind w:left="1660" w:right="2640"/>
        <w:spacing w:after="0" w:line="203" w:lineRule="exact"/>
        <w:rPr>
          <w:sz w:val="20"/>
          <w:szCs w:val="20"/>
          <w:color w:val="auto"/>
        </w:rPr>
      </w:pPr>
      <w:r>
        <w:rPr>
          <w:rFonts w:ascii="Arial" w:cs="Arial" w:eastAsia="Arial" w:hAnsi="Arial"/>
          <w:sz w:val="17"/>
          <w:szCs w:val="17"/>
          <w:color w:val="auto"/>
        </w:rPr>
        <w:t>“RESOLVED, that the Company’s stockholders determine, by voting on one of the four alternatives below, on an advisory, non</w:t>
      </w:r>
      <w:r>
        <w:rPr>
          <w:rFonts w:ascii="MS PGothic" w:cs="MS PGothic" w:eastAsia="MS PGothic" w:hAnsi="MS PGothic"/>
          <w:sz w:val="17"/>
          <w:szCs w:val="17"/>
          <w:color w:val="auto"/>
        </w:rPr>
        <w:t>‑</w:t>
      </w:r>
      <w:r>
        <w:rPr>
          <w:rFonts w:ascii="Arial" w:cs="Arial" w:eastAsia="Arial" w:hAnsi="Arial"/>
          <w:sz w:val="17"/>
          <w:szCs w:val="17"/>
          <w:color w:val="auto"/>
        </w:rPr>
        <w:t>binding basis, the frequency of future stockholder advisory votes on the compensation of the Company’s named executive officers:</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Choice 1—EVERY YEAR;</w:t>
      </w:r>
    </w:p>
    <w:p>
      <w:pPr>
        <w:spacing w:after="0" w:line="20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Choice 2—EVERY TWO YEARS;</w:t>
      </w:r>
    </w:p>
    <w:p>
      <w:pPr>
        <w:spacing w:after="0" w:line="20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Choice 3—EVERY THREE YEARS; or</w:t>
      </w:r>
    </w:p>
    <w:p>
      <w:pPr>
        <w:spacing w:after="0" w:line="20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Choice 4—ABSTAIN from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154940</wp:posOffset>
            </wp:positionV>
            <wp:extent cx="67811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372" w:lineRule="exact"/>
        <w:rPr>
          <w:sz w:val="20"/>
          <w:szCs w:val="20"/>
          <w:color w:val="auto"/>
        </w:rPr>
      </w:pPr>
    </w:p>
    <w:p>
      <w:pPr>
        <w:jc w:val="center"/>
        <w:spacing w:after="0" w:line="247" w:lineRule="auto"/>
        <w:rPr>
          <w:sz w:val="20"/>
          <w:szCs w:val="20"/>
          <w:color w:val="auto"/>
        </w:rPr>
      </w:pPr>
      <w:r>
        <w:rPr>
          <w:rFonts w:ascii="Arial" w:cs="Arial" w:eastAsia="Arial" w:hAnsi="Arial"/>
          <w:sz w:val="25"/>
          <w:szCs w:val="25"/>
          <w:color w:val="808080"/>
        </w:rPr>
        <w:t xml:space="preserve">THE BOARD OF DIRECTORS RECOMMENDS THAT YOU VOTE FOR </w:t>
      </w:r>
      <w:r>
        <w:rPr>
          <w:rFonts w:ascii="Arial" w:cs="Arial" w:eastAsia="Arial" w:hAnsi="Arial"/>
          <w:sz w:val="25"/>
          <w:szCs w:val="25"/>
          <w:b w:val="1"/>
          <w:bCs w:val="1"/>
          <w:color w:val="0075C9"/>
        </w:rPr>
        <w:t xml:space="preserve">“CHOICE 1” </w:t>
      </w:r>
      <w:r>
        <w:rPr>
          <w:rFonts w:ascii="Arial" w:cs="Arial" w:eastAsia="Arial" w:hAnsi="Arial"/>
          <w:sz w:val="25"/>
          <w:szCs w:val="25"/>
          <w:color w:val="808080"/>
        </w:rPr>
        <w:t>FOR THE FREQUENCY OF FUTURE ADVISORY VOTES TO APPROVE NAMED</w:t>
      </w:r>
      <w:r>
        <w:rPr>
          <w:rFonts w:ascii="Arial" w:cs="Arial" w:eastAsia="Arial" w:hAnsi="Arial"/>
          <w:sz w:val="25"/>
          <w:szCs w:val="25"/>
          <w:b w:val="1"/>
          <w:bCs w:val="1"/>
          <w:color w:val="0075C9"/>
        </w:rPr>
        <w:t xml:space="preserve"> </w:t>
      </w:r>
      <w:r>
        <w:rPr>
          <w:rFonts w:ascii="Arial" w:cs="Arial" w:eastAsia="Arial" w:hAnsi="Arial"/>
          <w:sz w:val="25"/>
          <w:szCs w:val="25"/>
          <w:color w:val="808080"/>
        </w:rPr>
        <w:t>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83185</wp:posOffset>
            </wp:positionV>
            <wp:extent cx="67811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81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0075C9"/>
        </w:rPr>
        <w:t>Voting Procedures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At the close of business on March 15, 2021,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83,319,660 shares of common stock outstanding, each share of which is entitled to one vote. Common stock is the only class of our outstanding securities entitled to receive notice of and to vote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Board of Directors asks you to appoint Mark A. (Mac) McFarland as your proxy holder (“</w:t>
      </w:r>
      <w:r>
        <w:rPr>
          <w:rFonts w:ascii="Arial" w:cs="Arial" w:eastAsia="Arial" w:hAnsi="Arial"/>
          <w:sz w:val="18"/>
          <w:szCs w:val="18"/>
          <w:b w:val="1"/>
          <w:bCs w:val="1"/>
          <w:i w:val="1"/>
          <w:iCs w:val="1"/>
          <w:color w:val="auto"/>
        </w:rPr>
        <w:t>Proxy 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0"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Chairman of the Annual Meeting or, if directed by the Chairman of the Annual Meeting, a majority of the shares so represented, may adjourn the Annual Meeting from time to time, whether or not there is a quorum represented, and the Proxy Holder will vote the proxies he has been authorized to vote at the Annual Meeting in favor of such an adjournment. In the event a quorum is present at the Annual Meeting but sufficient votes to approve any of the items proposed by our Board of Directors have not been received, the Chairman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3"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635"/>
        </w:trPr>
        <w:tc>
          <w:tcPr>
            <w:tcW w:w="334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220" w:type="dxa"/>
            <w:vAlign w:val="bottom"/>
            <w:shd w:val="clear" w:color="auto" w:fill="E6EFF7"/>
          </w:tcPr>
          <w:p>
            <w:pPr>
              <w:ind w:left="820"/>
              <w:spacing w:after="0"/>
              <w:rPr>
                <w:sz w:val="20"/>
                <w:szCs w:val="20"/>
                <w:color w:val="auto"/>
              </w:rPr>
            </w:pPr>
            <w:r>
              <w:rPr>
                <w:rFonts w:ascii="Arial" w:cs="Arial" w:eastAsia="Arial" w:hAnsi="Arial"/>
                <w:sz w:val="18"/>
                <w:szCs w:val="18"/>
                <w:b w:val="1"/>
                <w:bCs w:val="1"/>
                <w:color w:val="0075C9"/>
              </w:rPr>
              <w:t>BY TELEPHONE</w:t>
            </w:r>
          </w:p>
        </w:tc>
        <w:tc>
          <w:tcPr>
            <w:tcW w:w="2980" w:type="dxa"/>
            <w:vAlign w:val="bottom"/>
            <w:shd w:val="clear" w:color="auto" w:fill="E6EFF7"/>
          </w:tcPr>
          <w:p>
            <w:pPr>
              <w:ind w:left="920"/>
              <w:spacing w:after="0"/>
              <w:rPr>
                <w:sz w:val="20"/>
                <w:szCs w:val="20"/>
                <w:color w:val="auto"/>
              </w:rPr>
            </w:pPr>
            <w:r>
              <w:rPr>
                <w:rFonts w:ascii="Arial" w:cs="Arial" w:eastAsia="Arial" w:hAnsi="Arial"/>
                <w:sz w:val="18"/>
                <w:szCs w:val="18"/>
                <w:b w:val="1"/>
                <w:bCs w:val="1"/>
                <w:color w:val="0075C9"/>
              </w:rPr>
              <w:t>BY MAIL</w:t>
            </w:r>
          </w:p>
        </w:tc>
      </w:tr>
      <w:tr>
        <w:trPr>
          <w:trHeight w:val="270"/>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2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98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59"/>
        </w:trPr>
        <w:tc>
          <w:tcPr>
            <w:tcW w:w="334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Internet by following the instructions provided in</w:t>
            </w:r>
          </w:p>
        </w:tc>
        <w:tc>
          <w:tcPr>
            <w:tcW w:w="322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materials by mail, you may submit a proxy by</w:t>
            </w:r>
          </w:p>
        </w:tc>
        <w:tc>
          <w:tcPr>
            <w:tcW w:w="2980" w:type="dxa"/>
            <w:vAlign w:val="bottom"/>
            <w:shd w:val="clear" w:color="auto" w:fill="E6EFF7"/>
          </w:tcPr>
          <w:p>
            <w:pPr>
              <w:ind w:left="140"/>
              <w:spacing w:after="0" w:line="159" w:lineRule="exact"/>
              <w:rPr>
                <w:sz w:val="20"/>
                <w:szCs w:val="20"/>
                <w:color w:val="auto"/>
              </w:rPr>
            </w:pPr>
            <w:r>
              <w:rPr>
                <w:rFonts w:ascii="Arial" w:cs="Arial" w:eastAsia="Arial" w:hAnsi="Arial"/>
                <w:sz w:val="14"/>
                <w:szCs w:val="14"/>
                <w:i w:val="1"/>
                <w:iCs w:val="1"/>
                <w:color w:val="auto"/>
              </w:rPr>
              <w:t>materials by mail, you may indicate your</w:t>
            </w:r>
          </w:p>
        </w:tc>
      </w:tr>
      <w:tr>
        <w:trPr>
          <w:trHeight w:val="159"/>
        </w:trPr>
        <w:tc>
          <w:tcPr>
            <w:tcW w:w="334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the Notice of Internet Availability of Proxy</w:t>
            </w:r>
          </w:p>
        </w:tc>
        <w:tc>
          <w:tcPr>
            <w:tcW w:w="322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telephone using the toll-free number listed on</w:t>
            </w:r>
          </w:p>
        </w:tc>
        <w:tc>
          <w:tcPr>
            <w:tcW w:w="2980" w:type="dxa"/>
            <w:vAlign w:val="bottom"/>
            <w:shd w:val="clear" w:color="auto" w:fill="E6EFF7"/>
          </w:tcPr>
          <w:p>
            <w:pPr>
              <w:ind w:left="140"/>
              <w:spacing w:after="0" w:line="159" w:lineRule="exact"/>
              <w:rPr>
                <w:sz w:val="20"/>
                <w:szCs w:val="20"/>
                <w:color w:val="auto"/>
              </w:rPr>
            </w:pPr>
            <w:r>
              <w:rPr>
                <w:rFonts w:ascii="Arial" w:cs="Arial" w:eastAsia="Arial" w:hAnsi="Arial"/>
                <w:sz w:val="14"/>
                <w:szCs w:val="14"/>
                <w:i w:val="1"/>
                <w:iCs w:val="1"/>
                <w:color w:val="auto"/>
              </w:rPr>
              <w:t>vote by completing, signing and dating your</w:t>
            </w:r>
          </w:p>
        </w:tc>
      </w:tr>
      <w:tr>
        <w:trPr>
          <w:trHeight w:val="159"/>
        </w:trPr>
        <w:tc>
          <w:tcPr>
            <w:tcW w:w="334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Materials. Please have the Notice of Internet</w:t>
            </w:r>
          </w:p>
        </w:tc>
        <w:tc>
          <w:tcPr>
            <w:tcW w:w="322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the proxy card. Please have your proxy card in</w:t>
            </w:r>
          </w:p>
        </w:tc>
        <w:tc>
          <w:tcPr>
            <w:tcW w:w="2980" w:type="dxa"/>
            <w:vAlign w:val="bottom"/>
            <w:shd w:val="clear" w:color="auto" w:fill="E6EFF7"/>
          </w:tcPr>
          <w:p>
            <w:pPr>
              <w:ind w:left="140"/>
              <w:spacing w:after="0" w:line="159" w:lineRule="exact"/>
              <w:rPr>
                <w:sz w:val="20"/>
                <w:szCs w:val="20"/>
                <w:color w:val="auto"/>
              </w:rPr>
            </w:pPr>
            <w:r>
              <w:rPr>
                <w:rFonts w:ascii="Arial" w:cs="Arial" w:eastAsia="Arial" w:hAnsi="Arial"/>
                <w:sz w:val="14"/>
                <w:szCs w:val="14"/>
                <w:i w:val="1"/>
                <w:iCs w:val="1"/>
                <w:color w:val="auto"/>
              </w:rPr>
              <w:t>proxy card and returning it in the reply</w:t>
            </w:r>
          </w:p>
        </w:tc>
      </w:tr>
      <w:tr>
        <w:trPr>
          <w:trHeight w:val="157"/>
        </w:trPr>
        <w:tc>
          <w:tcPr>
            <w:tcW w:w="3340" w:type="dxa"/>
            <w:vAlign w:val="bottom"/>
            <w:shd w:val="clear" w:color="auto" w:fill="E6EFF7"/>
          </w:tcPr>
          <w:p>
            <w:pPr>
              <w:ind w:left="180"/>
              <w:spacing w:after="0" w:line="157" w:lineRule="exact"/>
              <w:rPr>
                <w:sz w:val="20"/>
                <w:szCs w:val="20"/>
                <w:color w:val="auto"/>
              </w:rPr>
            </w:pPr>
            <w:r>
              <w:rPr>
                <w:rFonts w:ascii="Arial" w:cs="Arial" w:eastAsia="Arial" w:hAnsi="Arial"/>
                <w:sz w:val="14"/>
                <w:szCs w:val="14"/>
                <w:i w:val="1"/>
                <w:iCs w:val="1"/>
                <w:color w:val="auto"/>
              </w:rPr>
              <w:t>Availability of Proxy Materials in hand when you</w:t>
            </w:r>
          </w:p>
        </w:tc>
        <w:tc>
          <w:tcPr>
            <w:tcW w:w="3220" w:type="dxa"/>
            <w:vAlign w:val="bottom"/>
            <w:shd w:val="clear" w:color="auto" w:fill="E6EFF7"/>
          </w:tcPr>
          <w:p>
            <w:pPr>
              <w:ind w:left="180"/>
              <w:spacing w:after="0" w:line="157" w:lineRule="exact"/>
              <w:rPr>
                <w:sz w:val="20"/>
                <w:szCs w:val="20"/>
                <w:color w:val="auto"/>
              </w:rPr>
            </w:pPr>
            <w:r>
              <w:rPr>
                <w:rFonts w:ascii="Arial" w:cs="Arial" w:eastAsia="Arial" w:hAnsi="Arial"/>
                <w:sz w:val="14"/>
                <w:szCs w:val="14"/>
                <w:i w:val="1"/>
                <w:iCs w:val="1"/>
                <w:color w:val="auto"/>
              </w:rPr>
              <w:t>hand when you call. Telephone voting facilities</w:t>
            </w:r>
          </w:p>
        </w:tc>
        <w:tc>
          <w:tcPr>
            <w:tcW w:w="2980" w:type="dxa"/>
            <w:vAlign w:val="bottom"/>
            <w:shd w:val="clear" w:color="auto" w:fill="E6EFF7"/>
          </w:tcPr>
          <w:p>
            <w:pPr>
              <w:ind w:left="140"/>
              <w:spacing w:after="0" w:line="157" w:lineRule="exact"/>
              <w:rPr>
                <w:sz w:val="20"/>
                <w:szCs w:val="20"/>
                <w:color w:val="auto"/>
              </w:rPr>
            </w:pPr>
            <w:r>
              <w:rPr>
                <w:rFonts w:ascii="Arial" w:cs="Arial" w:eastAsia="Arial" w:hAnsi="Arial"/>
                <w:sz w:val="14"/>
                <w:szCs w:val="14"/>
                <w:i w:val="1"/>
                <w:iCs w:val="1"/>
                <w:color w:val="auto"/>
              </w:rPr>
              <w:t>envelope provided.</w:t>
            </w:r>
          </w:p>
        </w:tc>
      </w:tr>
      <w:tr>
        <w:trPr>
          <w:trHeight w:val="161"/>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 xml:space="preserve">log onto the website. Internet voting facilities </w:t>
            </w:r>
            <w:r>
              <w:rPr>
                <w:rFonts w:ascii="Arial" w:cs="Arial" w:eastAsia="Arial" w:hAnsi="Arial"/>
                <w:sz w:val="14"/>
                <w:szCs w:val="14"/>
                <w:b w:val="1"/>
                <w:bCs w:val="1"/>
                <w:i w:val="1"/>
                <w:iCs w:val="1"/>
                <w:color w:val="auto"/>
              </w:rPr>
              <w:t>will</w:t>
            </w:r>
          </w:p>
        </w:tc>
        <w:tc>
          <w:tcPr>
            <w:tcW w:w="32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and no longer be available after</w:t>
            </w:r>
          </w:p>
        </w:tc>
        <w:tc>
          <w:tcPr>
            <w:tcW w:w="2980" w:type="dxa"/>
            <w:vAlign w:val="bottom"/>
            <w:shd w:val="clear" w:color="auto" w:fill="E6EFF7"/>
          </w:tcPr>
          <w:p>
            <w:pPr>
              <w:spacing w:after="0"/>
              <w:rPr>
                <w:sz w:val="14"/>
                <w:szCs w:val="14"/>
                <w:color w:val="auto"/>
              </w:rPr>
            </w:pPr>
          </w:p>
        </w:tc>
      </w:tr>
      <w:tr>
        <w:trPr>
          <w:trHeight w:val="159"/>
        </w:trPr>
        <w:tc>
          <w:tcPr>
            <w:tcW w:w="334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be available 24 hours a day, 7 days a week, and</w:t>
            </w:r>
          </w:p>
        </w:tc>
        <w:tc>
          <w:tcPr>
            <w:tcW w:w="322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11:59 p.m., Eastern Time, on May 11, 2021.</w:t>
            </w:r>
          </w:p>
        </w:tc>
        <w:tc>
          <w:tcPr>
            <w:tcW w:w="2980" w:type="dxa"/>
            <w:vAlign w:val="bottom"/>
            <w:shd w:val="clear" w:color="auto" w:fill="E6EFF7"/>
          </w:tcPr>
          <w:p>
            <w:pPr>
              <w:spacing w:after="0"/>
              <w:rPr>
                <w:sz w:val="13"/>
                <w:szCs w:val="13"/>
                <w:color w:val="auto"/>
              </w:rPr>
            </w:pPr>
          </w:p>
        </w:tc>
      </w:tr>
      <w:tr>
        <w:trPr>
          <w:trHeight w:val="159"/>
        </w:trPr>
        <w:tc>
          <w:tcPr>
            <w:tcW w:w="3340" w:type="dxa"/>
            <w:vAlign w:val="bottom"/>
            <w:shd w:val="clear" w:color="auto" w:fill="E6EFF7"/>
          </w:tcPr>
          <w:p>
            <w:pPr>
              <w:ind w:left="180"/>
              <w:spacing w:after="0" w:line="159" w:lineRule="exact"/>
              <w:rPr>
                <w:sz w:val="20"/>
                <w:szCs w:val="20"/>
                <w:color w:val="auto"/>
              </w:rPr>
            </w:pPr>
            <w:r>
              <w:rPr>
                <w:rFonts w:ascii="Arial" w:cs="Arial" w:eastAsia="Arial" w:hAnsi="Arial"/>
                <w:sz w:val="14"/>
                <w:szCs w:val="14"/>
                <w:i w:val="1"/>
                <w:iCs w:val="1"/>
                <w:color w:val="auto"/>
              </w:rPr>
              <w:t>will close at 11:59 p.m., Eastern Time, on</w:t>
            </w:r>
          </w:p>
        </w:tc>
        <w:tc>
          <w:tcPr>
            <w:tcW w:w="3220" w:type="dxa"/>
            <w:vAlign w:val="bottom"/>
            <w:shd w:val="clear" w:color="auto" w:fill="E6EFF7"/>
          </w:tcPr>
          <w:p>
            <w:pPr>
              <w:spacing w:after="0"/>
              <w:rPr>
                <w:sz w:val="13"/>
                <w:szCs w:val="13"/>
                <w:color w:val="auto"/>
              </w:rPr>
            </w:pPr>
          </w:p>
        </w:tc>
        <w:tc>
          <w:tcPr>
            <w:tcW w:w="2980" w:type="dxa"/>
            <w:vAlign w:val="bottom"/>
            <w:shd w:val="clear" w:color="auto" w:fill="E6EFF7"/>
          </w:tcPr>
          <w:p>
            <w:pPr>
              <w:spacing w:after="0"/>
              <w:rPr>
                <w:sz w:val="13"/>
                <w:szCs w:val="13"/>
                <w:color w:val="auto"/>
              </w:rPr>
            </w:pPr>
          </w:p>
        </w:tc>
      </w:tr>
      <w:tr>
        <w:trPr>
          <w:trHeight w:val="184"/>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May 11, 2021.</w:t>
            </w:r>
          </w:p>
        </w:tc>
        <w:tc>
          <w:tcPr>
            <w:tcW w:w="3220" w:type="dxa"/>
            <w:vAlign w:val="bottom"/>
            <w:shd w:val="clear" w:color="auto" w:fill="E6EFF7"/>
          </w:tcPr>
          <w:p>
            <w:pPr>
              <w:spacing w:after="0"/>
              <w:rPr>
                <w:sz w:val="15"/>
                <w:szCs w:val="15"/>
                <w:color w:val="auto"/>
              </w:rPr>
            </w:pPr>
          </w:p>
        </w:tc>
        <w:tc>
          <w:tcPr>
            <w:tcW w:w="2980" w:type="dxa"/>
            <w:vAlign w:val="bottom"/>
            <w:shd w:val="clear" w:color="auto" w:fill="E6EFF7"/>
          </w:tcPr>
          <w:p>
            <w:pPr>
              <w:spacing w:after="0"/>
              <w:rPr>
                <w:sz w:val="15"/>
                <w:szCs w:val="15"/>
                <w:color w:val="auto"/>
              </w:rPr>
            </w:pPr>
          </w:p>
        </w:tc>
      </w:tr>
      <w:tr>
        <w:trPr>
          <w:trHeight w:val="91"/>
        </w:trPr>
        <w:tc>
          <w:tcPr>
            <w:tcW w:w="3340" w:type="dxa"/>
            <w:vAlign w:val="bottom"/>
            <w:shd w:val="clear" w:color="auto" w:fill="E6EFF7"/>
          </w:tcPr>
          <w:p>
            <w:pPr>
              <w:spacing w:after="0"/>
              <w:rPr>
                <w:sz w:val="7"/>
                <w:szCs w:val="7"/>
                <w:color w:val="auto"/>
              </w:rPr>
            </w:pPr>
          </w:p>
        </w:tc>
        <w:tc>
          <w:tcPr>
            <w:tcW w:w="3220" w:type="dxa"/>
            <w:vAlign w:val="bottom"/>
            <w:shd w:val="clear" w:color="auto" w:fill="E6EFF7"/>
          </w:tcPr>
          <w:p>
            <w:pPr>
              <w:spacing w:after="0"/>
              <w:rPr>
                <w:sz w:val="7"/>
                <w:szCs w:val="7"/>
                <w:color w:val="auto"/>
              </w:rPr>
            </w:pPr>
          </w:p>
        </w:tc>
        <w:tc>
          <w:tcPr>
            <w:tcW w:w="2980" w:type="dxa"/>
            <w:vAlign w:val="bottom"/>
            <w:shd w:val="clear" w:color="auto" w:fill="E6EFF7"/>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-1387475</wp:posOffset>
            </wp:positionV>
            <wp:extent cx="370205" cy="3702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70205" cy="37020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-1387475</wp:posOffset>
            </wp:positionV>
            <wp:extent cx="219075" cy="3702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9075" cy="37020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-1379220</wp:posOffset>
            </wp:positionV>
            <wp:extent cx="328295" cy="3619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8295" cy="361950"/>
                    </a:xfrm>
                    <a:prstGeom prst="rect">
                      <a:avLst/>
                    </a:prstGeom>
                    <a:noFill/>
                  </pic:spPr>
                </pic:pic>
              </a:graphicData>
            </a:graphic>
          </wp:anchor>
        </w:drawing>
      </w:r>
    </w:p>
    <w:p>
      <w:pPr>
        <w:spacing w:after="0" w:line="21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0"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xml:space="preserve"> ”) a voting instruction form that will explain how to direct the voting of your shares through the intermediary, which may include the ability to provide voting instructions via the Internet or by telephone.</w:t>
      </w:r>
    </w:p>
    <w:p>
      <w:pPr>
        <w:spacing w:after="0" w:line="20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instructions to the broker or other intermediary so that your vote will be counted. </w:t>
      </w:r>
      <w:r>
        <w:rPr>
          <w:rFonts w:ascii="Arial" w:cs="Arial" w:eastAsia="Arial" w:hAnsi="Arial"/>
          <w:sz w:val="18"/>
          <w:szCs w:val="18"/>
          <w:color w:val="auto"/>
        </w:rPr>
        <w:t>Under NYSE rules, Proposal 2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“routine matter,” and thus a broker is permitted in its discretion to cast a vote on this proposal as to your shares in the event that you do not provide the broker with voting instructions.</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16"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0"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98" w:lineRule="exact"/>
        <w:rPr>
          <w:sz w:val="20"/>
          <w:szCs w:val="20"/>
          <w:color w:val="auto"/>
        </w:rPr>
      </w:pPr>
    </w:p>
    <w:p>
      <w:pPr>
        <w:ind w:left="580" w:hanging="34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11, 2021;</w:t>
      </w:r>
    </w:p>
    <w:p>
      <w:pPr>
        <w:spacing w:after="0" w:line="111" w:lineRule="exact"/>
        <w:rPr>
          <w:rFonts w:ascii="Arial" w:cs="Arial" w:eastAsia="Arial" w:hAnsi="Arial"/>
          <w:sz w:val="18"/>
          <w:szCs w:val="18"/>
          <w:color w:val="auto"/>
        </w:rPr>
      </w:pPr>
    </w:p>
    <w:p>
      <w:pPr>
        <w:ind w:left="580" w:hanging="34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1" w:lineRule="exact"/>
        <w:rPr>
          <w:rFonts w:ascii="Arial" w:cs="Arial" w:eastAsia="Arial" w:hAnsi="Arial"/>
          <w:sz w:val="18"/>
          <w:szCs w:val="18"/>
          <w:color w:val="auto"/>
        </w:rPr>
      </w:pPr>
    </w:p>
    <w:p>
      <w:pPr>
        <w:ind w:left="580" w:right="420" w:hanging="349"/>
        <w:spacing w:after="0" w:line="23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voting in person at the Annual Meeting; however, attending the Annual Meeting without completing a ballot will not revoke any previously submitted proxy; or</w:t>
      </w:r>
    </w:p>
    <w:p>
      <w:pPr>
        <w:spacing w:after="0" w:line="92" w:lineRule="exact"/>
        <w:rPr>
          <w:rFonts w:ascii="Arial" w:cs="Arial" w:eastAsia="Arial" w:hAnsi="Arial"/>
          <w:sz w:val="18"/>
          <w:szCs w:val="18"/>
          <w:color w:val="auto"/>
        </w:rPr>
      </w:pPr>
    </w:p>
    <w:p>
      <w:pPr>
        <w:ind w:left="580" w:right="200" w:hanging="349"/>
        <w:spacing w:after="0" w:line="23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27200 Tourney Road, Suite 200, Santa Clarita, California 91355 that is received no later than May 11, 2021.</w:t>
      </w:r>
    </w:p>
    <w:p>
      <w:pPr>
        <w:spacing w:after="0" w:line="199"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3"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3" w:lineRule="exact"/>
        <w:rPr>
          <w:sz w:val="20"/>
          <w:szCs w:val="20"/>
          <w:color w:val="auto"/>
        </w:rPr>
      </w:pPr>
    </w:p>
    <w:p>
      <w:pPr>
        <w:jc w:val="both"/>
        <w:ind w:right="140"/>
        <w:spacing w:after="0" w:line="233"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3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5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non-vote will occur. Broker non-votes are not considered and will have no effect on the outcome of Proposal 3. Abstentions are treated as present or represented and voting and will have the same effect as a vote “AGAINST.”</w:t>
      </w:r>
    </w:p>
    <w:p>
      <w:pPr>
        <w:spacing w:after="0" w:line="177"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b w:val="1"/>
          <w:bCs w:val="1"/>
          <w:i w:val="1"/>
          <w:iCs w:val="1"/>
          <w:color w:val="0075C9"/>
        </w:rPr>
        <w:t>Proposal 4. Advisory Vote on the Frequency of Future Stockholder Advisory Votes to Approve Named Executive Officer Compensation</w:t>
      </w:r>
    </w:p>
    <w:p>
      <w:pPr>
        <w:spacing w:after="0" w:line="89" w:lineRule="exact"/>
        <w:rPr>
          <w:sz w:val="20"/>
          <w:szCs w:val="20"/>
          <w:color w:val="auto"/>
        </w:rPr>
      </w:pPr>
    </w:p>
    <w:p>
      <w:pPr>
        <w:ind w:right="40"/>
        <w:spacing w:after="0" w:line="201" w:lineRule="exact"/>
        <w:rPr>
          <w:sz w:val="20"/>
          <w:szCs w:val="20"/>
          <w:color w:val="auto"/>
        </w:rPr>
      </w:pPr>
      <w:r>
        <w:rPr>
          <w:rFonts w:ascii="Arial" w:cs="Arial" w:eastAsia="Arial" w:hAnsi="Arial"/>
          <w:sz w:val="18"/>
          <w:szCs w:val="18"/>
          <w:color w:val="auto"/>
        </w:rPr>
        <w:t>Pursuant to the Company’s Bylaws, in a non</w:t>
      </w:r>
      <w:r>
        <w:rPr>
          <w:rFonts w:ascii="MS PGothic" w:cs="MS PGothic" w:eastAsia="MS PGothic" w:hAnsi="MS PGothic"/>
          <w:sz w:val="18"/>
          <w:szCs w:val="18"/>
          <w:color w:val="auto"/>
        </w:rPr>
        <w:t>‑</w:t>
      </w:r>
      <w:r>
        <w:rPr>
          <w:rFonts w:ascii="Arial" w:cs="Arial" w:eastAsia="Arial" w:hAnsi="Arial"/>
          <w:sz w:val="18"/>
          <w:szCs w:val="18"/>
          <w:color w:val="auto"/>
        </w:rPr>
        <w:t>binding advisory matter with more than two possible vote choices such as Proposal 4, the option that receives the most affirmative votes of the shares present in person or represented by proxy at the Annual Meeting and entitled to vote on the matter shall be the recommendation of the stockholders. If you do not instruct your broker how to vote with respect to this item, your broker may not vote your shares with respect to this proposal. Abstentions and broker non</w:t>
      </w:r>
      <w:r>
        <w:rPr>
          <w:rFonts w:ascii="MS PGothic" w:cs="MS PGothic" w:eastAsia="MS PGothic" w:hAnsi="MS PGothic"/>
          <w:sz w:val="18"/>
          <w:szCs w:val="18"/>
          <w:color w:val="auto"/>
        </w:rPr>
        <w:t>‑</w:t>
      </w:r>
      <w:r>
        <w:rPr>
          <w:rFonts w:ascii="Arial" w:cs="Arial" w:eastAsia="Arial" w:hAnsi="Arial"/>
          <w:sz w:val="18"/>
          <w:szCs w:val="18"/>
          <w:color w:val="auto"/>
        </w:rPr>
        <w:t>votes will have no effect on the outcome of Proposal 4.</w:t>
      </w:r>
    </w:p>
    <w:p>
      <w:pPr>
        <w:spacing w:after="0" w:line="201"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With respect to both Proposal 3 and Proposal 4, while these votes are required by law, they will neither be binding on the Company or the Board of Directors nor will they create or imply any change in the fiduciary duties of, or impose any additional fiduciary duty on, the Company or the Board of Directors. However, the views of our stockholders are important to us, and our Compensation Committee will take into account the outcome of the votes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2021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$7,500, plus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8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in person and participate at the Annual Meeting?</w:t>
      </w:r>
    </w:p>
    <w:p>
      <w:pPr>
        <w:spacing w:after="0" w:line="67" w:lineRule="exact"/>
        <w:rPr>
          <w:sz w:val="20"/>
          <w:szCs w:val="20"/>
          <w:color w:val="auto"/>
        </w:rPr>
      </w:pPr>
    </w:p>
    <w:p>
      <w:pPr>
        <w:ind w:right="80"/>
        <w:spacing w:after="0" w:line="207" w:lineRule="exact"/>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https://www.virtualshareholdermeeting.com/CRC2021. To participate in the Annual Meeting, you will need the 16</w:t>
      </w:r>
      <w:r>
        <w:rPr>
          <w:rFonts w:ascii="MS PGothic" w:cs="MS PGothic" w:eastAsia="MS PGothic" w:hAnsi="MS PGothic"/>
          <w:sz w:val="18"/>
          <w:szCs w:val="18"/>
          <w:color w:val="auto"/>
        </w:rPr>
        <w:t>‐</w:t>
      </w:r>
      <w:r>
        <w:rPr>
          <w:rFonts w:ascii="Arial" w:cs="Arial" w:eastAsia="Arial" w:hAnsi="Arial"/>
          <w:sz w:val="18"/>
          <w:szCs w:val="18"/>
          <w:color w:val="auto"/>
        </w:rPr>
        <w:t>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15, 2021 to vote their shares at the meeting, they will need to obtain a legal proxy from the broker, bank or other nominee that holds their shares authorizing them to vote in person at the annual meeting. However, even if you plan to attend the Annual Meeting, the Company recommends that you vote your shares in advance, so that your vote will be counted if you later decide not to attend the Annual Meeting.</w:t>
      </w:r>
    </w:p>
    <w:p>
      <w:pPr>
        <w:spacing w:after="0" w:line="35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2" w:name="page73"/>
    <w:bookmarkEnd w:id="7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67" w:lineRule="exact"/>
        <w:rPr>
          <w:sz w:val="20"/>
          <w:szCs w:val="20"/>
          <w:color w:val="auto"/>
        </w:rPr>
      </w:pPr>
    </w:p>
    <w:p>
      <w:pPr>
        <w:ind w:right="20"/>
        <w:spacing w:after="0" w:line="202" w:lineRule="exact"/>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15, 2021, or you hold a valid proxy for the Annual Meeting. You may attend the Annual Meeting, vote, and submit a question during the Annual Meeting by visiting https://www.virtualshareholdermeeting.com/CRC2021 and using your 16</w:t>
      </w:r>
      <w:r>
        <w:rPr>
          <w:rFonts w:ascii="MS PGothic" w:cs="MS PGothic" w:eastAsia="MS PGothic" w:hAnsi="MS PGothic"/>
          <w:sz w:val="18"/>
          <w:szCs w:val="18"/>
          <w:color w:val="auto"/>
        </w:rPr>
        <w:t>‐</w:t>
      </w:r>
      <w:r>
        <w:rPr>
          <w:rFonts w:ascii="Arial" w:cs="Arial" w:eastAsia="Arial" w:hAnsi="Arial"/>
          <w:sz w:val="18"/>
          <w:szCs w:val="18"/>
          <w:color w:val="auto"/>
        </w:rPr>
        <w:t>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204"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https://www.virtualshareholdermeeting.com/CRC2021.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201" w:lineRule="exact"/>
        <w:rPr>
          <w:sz w:val="20"/>
          <w:szCs w:val="20"/>
          <w:color w:val="auto"/>
        </w:rPr>
      </w:pPr>
    </w:p>
    <w:p>
      <w:pPr>
        <w:jc w:val="both"/>
        <w:ind w:right="180"/>
        <w:spacing w:after="0" w:line="233"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Notice of Internet Availability of Proxy Materials</w:t>
      </w:r>
    </w:p>
    <w:p>
      <w:pPr>
        <w:spacing w:after="0" w:line="109"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On March 30, 2021, we mailed a Notice of Internet Availability of Proxy Materials to our stockholders of record and beneficial owners who owned shares of our common stock at the close of business on March 15, 2021.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Stockholder Proposals and Director Nominations</w:t>
      </w:r>
    </w:p>
    <w:p>
      <w:pPr>
        <w:spacing w:after="0" w:line="10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2022 annual meeting of stockholders may do so by following the procedures set forth in Rule 14a-8 under the Exchange Act. In accordance with Rule 14a-8, stockholder proposals should be received by our Corporate Secretary at the address below not later than November 30, 2021.</w:t>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1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For proposals that are not submitted for inclusion in our proxy statement under Rule 14a-8, as more specifically provided in our Bylaws, in order for nominations of persons for election to the Board of Directors or a proposal of any other business to be properly brought before the 2022 annual meeting of stockholders, it must be submitted in accordance with our Bylaws and must be received at our principal executive offices no earlier than the close of business on January 12, 2022 and not later than the close of business on February 11, 2022. Any such proposal must be an appropriate subject for stockholder action under applicable law and must comply with the notice requirements set forth in Section 2.9 of our Bylaws and should be sent in writing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0" w:lineRule="auto"/>
        <w:rPr>
          <w:sz w:val="20"/>
          <w:szCs w:val="20"/>
          <w:color w:val="auto"/>
        </w:rPr>
      </w:pPr>
      <w:r>
        <w:rPr>
          <w:rFonts w:ascii="Arial" w:cs="Arial" w:eastAsia="Arial" w:hAnsi="Arial"/>
          <w:sz w:val="18"/>
          <w:szCs w:val="18"/>
          <w:color w:val="auto"/>
        </w:rPr>
        <w:t>Attention: Corporate Secretary</w:t>
      </w:r>
    </w:p>
    <w:p>
      <w:pPr>
        <w:jc w:val="center"/>
        <w:spacing w:after="0" w:line="230" w:lineRule="auto"/>
        <w:rPr>
          <w:sz w:val="20"/>
          <w:szCs w:val="20"/>
          <w:color w:val="auto"/>
        </w:rPr>
      </w:pPr>
      <w:r>
        <w:rPr>
          <w:rFonts w:ascii="Arial" w:cs="Arial" w:eastAsia="Arial" w:hAnsi="Arial"/>
          <w:sz w:val="18"/>
          <w:szCs w:val="18"/>
          <w:color w:val="auto"/>
        </w:rPr>
        <w:t>27200 Tourney Road, Suite 200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0075C9"/>
        </w:rPr>
        <w:t>Householding of Proxy Materials</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0"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20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2020 Annual Report</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2020 Annual Report to Stockholders, including our Annual Report on Form 10-K for the fiscal year ended December 31, 2020 as filed with the SEC, is being furnished to our stockholders primarily via the Internet and mailed to all stockholders who have requested to receive paper copies of the proxy materials. The 2020 Annual Report to Stockholders does not constitute a part of the proxy soliciting material.</w:t>
      </w:r>
    </w:p>
    <w:p>
      <w:pPr>
        <w:spacing w:after="0" w:line="3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936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2021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4" w:lineRule="exact"/>
        <w:rPr>
          <w:sz w:val="20"/>
          <w:szCs w:val="20"/>
          <w:color w:val="auto"/>
        </w:rPr>
      </w:pPr>
    </w:p>
    <w:p>
      <w:pPr>
        <w:ind w:right="180"/>
        <w:spacing w:after="0"/>
        <w:rPr>
          <w:sz w:val="20"/>
          <w:szCs w:val="20"/>
          <w:color w:val="auto"/>
        </w:rPr>
      </w:pPr>
      <w:r>
        <w:rPr>
          <w:rFonts w:ascii="Arial" w:cs="Arial" w:eastAsia="Arial" w:hAnsi="Arial"/>
          <w:sz w:val="18"/>
          <w:szCs w:val="18"/>
          <w:b w:val="1"/>
          <w:bCs w:val="1"/>
          <w:color w:val="auto"/>
        </w:rPr>
        <w:t>A copy of our Annual Report on Form 10- K for the fiscal year ended December 31, 2020,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382"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(800) 579-1639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sendmaterial@proxyvote.com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http://www.proxyvote.com</w:t>
      </w:r>
    </w:p>
    <w:p>
      <w:pPr>
        <w:spacing w:after="0" w:line="200" w:lineRule="exact"/>
        <w:rPr>
          <w:sz w:val="20"/>
          <w:szCs w:val="20"/>
          <w:color w:val="auto"/>
        </w:rPr>
      </w:pPr>
    </w:p>
    <w:p>
      <w:pPr>
        <w:sectPr>
          <w:pgSz w:w="11900" w:h="16838" w:orient="portrait"/>
          <w:cols w:equalWidth="0" w:num="2">
            <w:col w:w="1140" w:space="560"/>
            <w:col w:w="9540"/>
          </w:cols>
          <w:pgMar w:left="320" w:top="382"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7677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383540</wp:posOffset>
            </wp:positionV>
            <wp:extent cx="6032500" cy="76396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6032500" cy="763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California Resources Corporation crc.com ®UFCW 888</w:t>
      </w:r>
    </w:p>
    <w:p>
      <w:pPr>
        <w:jc w:val="center"/>
        <w:spacing w:after="0"/>
        <w:rPr>
          <w:sz w:val="20"/>
          <w:szCs w:val="20"/>
          <w:color w:val="auto"/>
        </w:rPr>
      </w:pPr>
      <w:r>
        <w:rPr>
          <w:rFonts w:ascii="Arial" w:cs="Arial" w:eastAsia="Arial" w:hAnsi="Arial"/>
          <w:sz w:val="17"/>
          <w:szCs w:val="17"/>
          <w:color w:val="FFFFFF"/>
        </w:rPr>
        <w:t>MIX Paper from responsible sources FCS® C132107 FSC www.fsc.org®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478155</wp:posOffset>
            </wp:positionV>
            <wp:extent cx="7176770"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7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408305</wp:posOffset>
            </wp:positionV>
            <wp:extent cx="7176770" cy="765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770" cy="7652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1040130</wp:posOffset>
            </wp:positionH>
            <wp:positionV relativeFrom="page">
              <wp:posOffset>400050</wp:posOffset>
            </wp:positionV>
            <wp:extent cx="5468620" cy="70840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5468620" cy="7084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lvl w:ilvl="1">
      <w:lvlJc w:val="left"/>
      <w:lvlText w:val="(%2)"/>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a"/>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1)"/>
      <w:numFmt w:val="decimal"/>
      <w:start w:val="5"/>
    </w:lvl>
  </w:abstractNum>
  <w:abstractNum w:abstractNumId="29">
    <w:nsid w:val="5E884ADC"/>
    <w:multiLevelType w:val="hybridMultilevel"/>
    <w:lvl w:ilvl="0">
      <w:lvlJc w:val="left"/>
      <w:lvlText w:val="%1"/>
      <w:numFmt w:val="decimal"/>
      <w:start w:val="1"/>
    </w:lvl>
    <w:lvl w:ilvl="1">
      <w:lvlJc w:val="left"/>
      <w:lvlText w:val="(%2)"/>
      <w:numFmt w:val="lowerLetter"/>
      <w:start w:val="1"/>
    </w:lvl>
  </w:abstractNum>
  <w:abstractNum w:abstractNumId="30">
    <w:nsid w:val="51EAD36B"/>
    <w:multiLevelType w:val="hybridMultilevel"/>
    <w:lvl w:ilvl="0">
      <w:lvlJc w:val="left"/>
      <w:lvlText w:val="(%1)"/>
      <w:numFmt w:val="decimal"/>
      <w:start w:val="7"/>
    </w:lvl>
    <w:lvl w:ilvl="1">
      <w:lvlJc w:val="left"/>
      <w:lvlText w:val="%2"/>
      <w:numFmt w:val="lowerLetter"/>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lvl w:ilvl="1">
      <w:lvlJc w:val="left"/>
      <w:lvlText w:val="•"/>
      <w:numFmt w:val="bullet"/>
      <w:start w:val="1"/>
    </w:lvl>
  </w:abstractNum>
  <w:abstractNum w:abstractNumId="42">
    <w:nsid w:val="7A6D8D3C"/>
    <w:multiLevelType w:val="hybridMultilevel"/>
    <w:lvl w:ilvl="0">
      <w:lvlJc w:val="left"/>
      <w:lvlText w:val="•"/>
      <w:numFmt w:val="bullet"/>
      <w:start w:val="1"/>
    </w:lvl>
    <w:lvl w:ilvl="1">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5"/>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2021-03-30T16:49:22Z</dcterms:created>
  <dcterms:modified xsi:type="dcterms:W3CDTF">2021-03-30T16:49:22Z</dcterms:modified>
</cp:coreProperties>
</file>