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0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903"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rPr>
                <w:sz w:val="20"/>
                <w:szCs w:val="20"/>
                <w:color w:val="auto"/>
              </w:rPr>
            </w:pPr>
            <w:r>
              <w:rPr>
                <w:rFonts w:ascii="Arial" w:cs="Arial" w:eastAsia="Arial" w:hAnsi="Arial"/>
                <w:sz w:val="12"/>
                <w:szCs w:val="12"/>
                <w:b w:val="1"/>
                <w:bCs w:val="1"/>
                <w:color w:val="auto"/>
              </w:rPr>
              <w:t>Transaction</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jc w:val="right"/>
              <w:ind w:right="29"/>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1"/>
                <w:szCs w:val="11"/>
                <w:color w:val="auto"/>
              </w:rPr>
            </w:pPr>
          </w:p>
        </w:tc>
        <w:tc>
          <w:tcPr>
            <w:tcW w:w="340" w:type="dxa"/>
            <w:vAlign w:val="bottom"/>
          </w:tcPr>
          <w:p>
            <w:pPr>
              <w:jc w:val="right"/>
              <w:ind w:right="89"/>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jc w:val="right"/>
              <w:ind w:right="29"/>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03/01/2022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jc w:val="center"/>
              <w:ind w:right="40"/>
              <w:spacing w:after="0" w:line="320" w:lineRule="exact"/>
              <w:rPr>
                <w:sz w:val="20"/>
                <w:szCs w:val="20"/>
                <w:color w:val="auto"/>
              </w:rPr>
            </w:pPr>
            <w:r>
              <w:rPr>
                <w:rFonts w:ascii="Arial" w:cs="Arial" w:eastAsia="Arial" w:hAnsi="Arial"/>
                <w:sz w:val="34"/>
                <w:szCs w:val="34"/>
                <w:color w:val="0000FF"/>
                <w:w w:val="85"/>
                <w:vertAlign w:val="subscript"/>
              </w:rPr>
              <w:t>48,085</w:t>
            </w:r>
            <w:r>
              <w:rPr>
                <w:rFonts w:ascii="Arial" w:cs="Arial" w:eastAsia="Arial" w:hAnsi="Arial"/>
                <w:sz w:val="11"/>
                <w:szCs w:val="11"/>
                <w:color w:val="008000"/>
                <w:w w:val="85"/>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42.5545</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8,506,373</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03/02/2022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jc w:val="center"/>
              <w:spacing w:after="0" w:line="320" w:lineRule="exact"/>
              <w:rPr>
                <w:sz w:val="20"/>
                <w:szCs w:val="20"/>
                <w:color w:val="auto"/>
              </w:rPr>
            </w:pPr>
            <w:r>
              <w:rPr>
                <w:rFonts w:ascii="Arial" w:cs="Arial" w:eastAsia="Arial" w:hAnsi="Arial"/>
                <w:sz w:val="34"/>
                <w:szCs w:val="34"/>
                <w:color w:val="0000FF"/>
                <w:w w:val="82"/>
                <w:vertAlign w:val="subscript"/>
              </w:rPr>
              <w:t>125,000</w:t>
            </w:r>
            <w:r>
              <w:rPr>
                <w:rFonts w:ascii="Arial" w:cs="Arial" w:eastAsia="Arial" w:hAnsi="Arial"/>
                <w:sz w:val="11"/>
                <w:szCs w:val="11"/>
                <w:color w:val="008000"/>
                <w:w w:val="82"/>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42.7213</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8,381,373</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15"/>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903"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903"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609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809240" cy="86099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1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8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8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collectively beneficially own, or may be deemed to beneficially own, in the aggregate 8,381,373 shares of Common Stock by reason of the direct or indirect beneficial ownership of such shares as follows: (i) ACOF AIV 1A directly holds 445,858 shares of Common Stock, (ii) ACOF AIV 1B directly holds 1,631,606 shares of Common Stock, (iii) ACOF AIV 2 directly holds</w:t>
      </w:r>
    </w:p>
    <w:p>
      <w:pPr>
        <w:sectPr>
          <w:pgSz w:w="11900" w:h="16838" w:orient="portrait"/>
          <w:cols w:equalWidth="0" w:num="1">
            <w:col w:w="10880"/>
          </w:cols>
          <w:pgMar w:left="480" w:top="459" w:right="539" w:bottom="0" w:gutter="0" w:footer="0" w:header="0"/>
        </w:sectPr>
      </w:pPr>
    </w:p>
    <w:bookmarkStart w:id="2" w:name="page3"/>
    <w:bookmarkEnd w:id="2"/>
    <w:p>
      <w:pPr>
        <w:spacing w:after="0" w:line="266" w:lineRule="auto"/>
        <w:rPr>
          <w:sz w:val="20"/>
          <w:szCs w:val="20"/>
          <w:color w:val="auto"/>
        </w:rPr>
      </w:pPr>
      <w:r>
        <w:rPr>
          <w:rFonts w:ascii="Arial" w:cs="Arial" w:eastAsia="Arial" w:hAnsi="Arial"/>
          <w:sz w:val="13"/>
          <w:szCs w:val="13"/>
          <w:color w:val="008000"/>
        </w:rPr>
        <w:t>1,662,131 shares of Common Stock, (iv) AEOF AIV A-B directly holds 1,894,861 shares of Common Stock, (v) AEOF AIV C directly holds 804,524 shares of Common Stock and (vi) AF Energy Feeder, L.P. directly holds 1,942,393 shares of Common Stock.</w:t>
      </w:r>
    </w:p>
    <w:p>
      <w:pPr>
        <w:spacing w:after="0" w:line="15" w:lineRule="exact"/>
        <w:rPr>
          <w:sz w:val="20"/>
          <w:szCs w:val="20"/>
          <w:color w:val="auto"/>
        </w:rPr>
      </w:pPr>
    </w:p>
    <w:p>
      <w:pPr>
        <w:ind w:right="2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31"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60" w:space="80"/>
            <w:col w:w="2160"/>
          </w:cols>
          <w:pgMar w:left="500" w:top="131"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7" Type="http://schemas.openxmlformats.org/officeDocument/2006/relationships/hyperlink" Target="http://www.sec.gov/cgi-bin/browse-edgar?action=getcompany&amp;CIK=0001831196" TargetMode="External"/><Relationship Id="rId18" Type="http://schemas.openxmlformats.org/officeDocument/2006/relationships/hyperlink" Target="http://www.sec.gov/cgi-bin/browse-edgar?action=getcompany&amp;CIK=0001831200" TargetMode="External"/><Relationship Id="rId19" Type="http://schemas.openxmlformats.org/officeDocument/2006/relationships/hyperlink" Target="http://www.sec.gov/cgi-bin/browse-edgar?action=getcompany&amp;CIK=0001831202" TargetMode="External"/><Relationship Id="rId20"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2022-03-03T15:16:05Z</dcterms:created>
  <dcterms:modified xsi:type="dcterms:W3CDTF">2022-03-03T15:16:05Z</dcterms:modified>
</cp:coreProperties>
</file>