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vMerge w:val="restart"/>
          </w:tcPr>
          <w:p>
            <w:pPr>
              <w:spacing w:after="0"/>
              <w:rPr>
                <w:sz w:val="20"/>
                <w:szCs w:val="20"/>
                <w:color w:val="auto"/>
              </w:rPr>
            </w:pPr>
            <w:r>
              <w:rPr>
                <w:rFonts w:ascii="Arial" w:cs="Arial" w:eastAsia="Arial" w:hAnsi="Arial"/>
                <w:sz w:val="17"/>
                <w:szCs w:val="17"/>
                <w:color w:val="0000FF"/>
                <w:w w:val="98"/>
              </w:rPr>
              <w:t>2000 AVENUE OF THE STARS, 12TH FLOOR</w:t>
            </w:r>
          </w:p>
        </w:tc>
        <w:tc>
          <w:tcPr>
            <w:tcW w:w="1700" w:type="dxa"/>
            <w:vAlign w:val="bottom"/>
            <w:gridSpan w:val="9"/>
          </w:tcPr>
          <w:p>
            <w:pPr>
              <w:ind w:left="280"/>
              <w:spacing w:after="0"/>
              <w:rPr>
                <w:sz w:val="20"/>
                <w:szCs w:val="20"/>
                <w:color w:val="auto"/>
              </w:rPr>
            </w:pPr>
            <w:r>
              <w:rPr>
                <w:rFonts w:ascii="Arial" w:cs="Arial" w:eastAsia="Arial" w:hAnsi="Arial"/>
                <w:sz w:val="17"/>
                <w:szCs w:val="17"/>
                <w:color w:val="0000FF"/>
              </w:rPr>
              <w:t>02/03/2022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7"/>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(D) (Instr. 3, 4 and 5)</w:t>
            </w: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1"/>
                <w:szCs w:val="11"/>
                <w:color w:val="auto"/>
              </w:rPr>
            </w:pP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02/03/2022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45,000</w:t>
            </w:r>
            <w:r>
              <w:rPr>
                <w:rFonts w:ascii="Arial" w:cs="Arial" w:eastAsia="Arial" w:hAnsi="Arial"/>
                <w:sz w:val="11"/>
                <w:szCs w:val="11"/>
                <w:color w:val="008000"/>
                <w:w w:val="86"/>
              </w:rPr>
              <w:t>(1)(2)(3)(4)(5)(6)</w:t>
            </w:r>
          </w:p>
        </w:tc>
        <w:tc>
          <w:tcPr>
            <w:tcW w:w="400" w:type="dxa"/>
            <w:vAlign w:val="bottom"/>
          </w:tcPr>
          <w:p>
            <w:pPr>
              <w:ind w:left="120"/>
              <w:spacing w:after="0"/>
              <w:rPr>
                <w:sz w:val="20"/>
                <w:szCs w:val="20"/>
                <w:color w:val="auto"/>
              </w:rPr>
            </w:pPr>
            <w:r>
              <w:rPr>
                <w:rFonts w:ascii="Arial" w:cs="Arial" w:eastAsia="Arial" w:hAnsi="Arial"/>
                <w:sz w:val="17"/>
                <w:szCs w:val="17"/>
                <w:color w:val="0000FF"/>
              </w:rPr>
              <w:t>D</w:t>
            </w:r>
          </w:p>
        </w:tc>
        <w:tc>
          <w:tcPr>
            <w:tcW w:w="760" w:type="dxa"/>
            <w:vAlign w:val="bottom"/>
          </w:tcPr>
          <w:p>
            <w:pPr>
              <w:jc w:val="center"/>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44.016</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8,772,002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02/04/2022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60,000</w:t>
            </w:r>
            <w:r>
              <w:rPr>
                <w:rFonts w:ascii="Arial" w:cs="Arial" w:eastAsia="Arial" w:hAnsi="Arial"/>
                <w:sz w:val="11"/>
                <w:szCs w:val="11"/>
                <w:color w:val="008000"/>
                <w:w w:val="86"/>
              </w:rPr>
              <w:t>(1)(2)(3)(4)(5)(6)</w:t>
            </w:r>
          </w:p>
        </w:tc>
        <w:tc>
          <w:tcPr>
            <w:tcW w:w="400" w:type="dxa"/>
            <w:vAlign w:val="bottom"/>
          </w:tcPr>
          <w:p>
            <w:pPr>
              <w:ind w:left="120"/>
              <w:spacing w:after="0"/>
              <w:rPr>
                <w:sz w:val="20"/>
                <w:szCs w:val="20"/>
                <w:color w:val="auto"/>
              </w:rPr>
            </w:pPr>
            <w:r>
              <w:rPr>
                <w:rFonts w:ascii="Arial" w:cs="Arial" w:eastAsia="Arial" w:hAnsi="Arial"/>
                <w:sz w:val="17"/>
                <w:szCs w:val="17"/>
                <w:color w:val="0000FF"/>
              </w:rPr>
              <w:t>D</w:t>
            </w:r>
          </w:p>
        </w:tc>
        <w:tc>
          <w:tcPr>
            <w:tcW w:w="76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44.4238</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8,712,002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8"/>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10"/>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7585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58571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6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8,712,002 shares of Common Stock by reason of the direct or indirect beneficial ownership of such shares as follows: (i) ACOF AIV 1A directly holds 471,800 shares of Common Stock, (ii) ACOF AIV 1B directly holds 1,726,547 shares of Common Stock, (iii) ACOF AIV 2 directly holds 1,758,848 shares of Common Stock, (iv) AEOF AIV A-B directly holds 1,894,861 shares of Common Stock, (v) AEOF AIV C directly holds 804,524 shares of Common Stock and (vi) AF Energy Feeder, L.P. directly holds 2,055,422 shares of Common Stock.</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20"/>
          </w:cols>
          <w:pgMar w:left="480" w:top="131" w:right="49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 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ectPr>
          <w:pgSz w:w="11900" w:h="16838" w:orient="portrait"/>
          <w:cols w:equalWidth="0" w:num="1">
            <w:col w:w="10920"/>
          </w:cols>
          <w:pgMar w:left="480" w:top="131" w:right="49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2022-02-07T15:22:12Z</dcterms:created>
  <dcterms:modified xsi:type="dcterms:W3CDTF">2022-02-07T15:22:12Z</dcterms:modified>
</cp:coreProperties>
</file>