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June 30, 2021</w:t>
      </w:r>
    </w:p>
    <w:p>
      <w:pPr>
        <w:jc w:val="center"/>
        <w:spacing w:after="0"/>
        <w:rPr>
          <w:sz w:val="20"/>
          <w:szCs w:val="20"/>
          <w:color w:val="auto"/>
        </w:rPr>
      </w:pPr>
      <w:r>
        <w:rPr>
          <w:rFonts w:ascii="Arial" w:cs="Arial" w:eastAsia="Arial" w:hAnsi="Arial"/>
          <w:sz w:val="20"/>
          <w:szCs w:val="20"/>
          <w:b w:val="1"/>
          <w:bCs w:val="1"/>
          <w:color w:val="auto"/>
        </w:rPr>
        <w:t>OR</w:t>
      </w:r>
    </w:p>
    <w:p>
      <w:pPr>
        <w:spacing w:after="0" w:line="20"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30"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7" w:lineRule="exact"/>
        <w:rPr>
          <w:sz w:val="24"/>
          <w:szCs w:val="24"/>
          <w:color w:val="auto"/>
        </w:rPr>
      </w:pPr>
    </w:p>
    <w:tbl>
      <w:tblPr>
        <w:tblLayout w:type="fixed"/>
        <w:tblInd w:w="1700" w:type="dxa"/>
        <w:tblCellMar>
          <w:top w:w="0" w:type="dxa"/>
          <w:left w:w="0" w:type="dxa"/>
          <w:bottom w:w="0" w:type="dxa"/>
          <w:right w:w="0" w:type="dxa"/>
        </w:tblCellMar>
      </w:tblPr>
      <w:tr>
        <w:trPr>
          <w:trHeight w:val="261"/>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195"/>
        </w:trPr>
        <w:tc>
          <w:tcPr>
            <w:tcW w:w="4360" w:type="dxa"/>
            <w:vAlign w:val="bottom"/>
          </w:tcPr>
          <w:p>
            <w:pPr>
              <w:ind w:left="20"/>
              <w:spacing w:after="0" w:line="195"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195" w:lineRule="exact"/>
              <w:rPr>
                <w:sz w:val="20"/>
                <w:szCs w:val="20"/>
                <w:color w:val="auto"/>
              </w:rPr>
            </w:pPr>
            <w:r>
              <w:rPr>
                <w:rFonts w:ascii="Arial" w:cs="Arial" w:eastAsia="Arial" w:hAnsi="Arial"/>
                <w:sz w:val="20"/>
                <w:szCs w:val="20"/>
                <w:color w:val="auto"/>
              </w:rPr>
              <w:t>(I.R.S. Employer</w:t>
            </w:r>
          </w:p>
        </w:tc>
      </w:tr>
      <w:tr>
        <w:trPr>
          <w:trHeight w:val="237"/>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7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27200 Tourney Road, Suite 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Santa Clarita, California 91355</w:t>
      </w: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29" w:right="339" w:bottom="1440" w:gutter="0" w:footer="0" w:header="0"/>
        </w:sectPr>
      </w:pPr>
    </w:p>
    <w:p>
      <w:pPr>
        <w:spacing w:after="0" w:line="12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2"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41"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29" w:right="339" w:bottom="1440" w:gutter="0" w:footer="0" w:header="0"/>
          <w:type w:val="continuous"/>
        </w:sectPr>
      </w:pPr>
    </w:p>
    <w:p>
      <w:pPr>
        <w:spacing w:after="0" w:line="145" w:lineRule="exact"/>
        <w:rPr>
          <w:sz w:val="24"/>
          <w:szCs w:val="24"/>
          <w:color w:val="auto"/>
        </w:rPr>
      </w:pPr>
    </w:p>
    <w:p>
      <w:pPr>
        <w:jc w:val="both"/>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8" w:lineRule="exact"/>
        <w:rPr>
          <w:sz w:val="24"/>
          <w:szCs w:val="24"/>
          <w:color w:val="auto"/>
        </w:rPr>
      </w:pPr>
    </w:p>
    <w:p>
      <w:pPr>
        <w:jc w:val="both"/>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86"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type w:val="continuous"/>
        </w:sectPr>
      </w:pPr>
    </w:p>
    <w:p>
      <w:pPr>
        <w:spacing w:after="0" w:line="108" w:lineRule="exact"/>
        <w:rPr>
          <w:sz w:val="24"/>
          <w:szCs w:val="24"/>
          <w:color w:val="auto"/>
        </w:rPr>
      </w:pPr>
    </w:p>
    <w:p>
      <w:pPr>
        <w:ind w:left="1040"/>
        <w:spacing w:after="0" w:line="276"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24"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29" w:right="339" w:bottom="1440" w:gutter="0" w:footer="0" w:header="0"/>
          <w:type w:val="continuous"/>
        </w:sectPr>
      </w:pPr>
    </w:p>
    <w:p>
      <w:pPr>
        <w:spacing w:after="0" w:line="21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14"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last practicable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June 30, 2021 was 81,879,457.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960" w:type="dxa"/>
            <w:vAlign w:val="bottom"/>
          </w:tcPr>
          <w:p>
            <w:pPr>
              <w:spacing w:after="0"/>
              <w:rPr>
                <w:sz w:val="20"/>
                <w:szCs w:val="20"/>
                <w:color w:val="auto"/>
              </w:rPr>
            </w:pPr>
          </w:p>
        </w:tc>
        <w:tc>
          <w:tcPr>
            <w:tcW w:w="7520" w:type="dxa"/>
            <w:vAlign w:val="bottom"/>
          </w:tcPr>
          <w:p>
            <w:pPr>
              <w:ind w:left="1460"/>
              <w:spacing w:after="0"/>
              <w:rPr>
                <w:sz w:val="20"/>
                <w:szCs w:val="20"/>
                <w:color w:val="auto"/>
              </w:rPr>
            </w:pPr>
            <w:r>
              <w:rPr>
                <w:rFonts w:ascii="Arial" w:cs="Arial" w:eastAsia="Arial" w:hAnsi="Arial"/>
                <w:sz w:val="18"/>
                <w:szCs w:val="18"/>
                <w:b w:val="1"/>
                <w:bCs w:val="1"/>
                <w:color w:val="auto"/>
              </w:rPr>
              <w:t>California Resources Corporation and Subsidiaries</w:t>
            </w:r>
          </w:p>
        </w:tc>
        <w:tc>
          <w:tcPr>
            <w:tcW w:w="74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7520" w:type="dxa"/>
            <w:vAlign w:val="bottom"/>
          </w:tcPr>
          <w:p>
            <w:pPr>
              <w:ind w:left="290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4"/>
                <w:szCs w:val="24"/>
                <w:color w:val="auto"/>
              </w:rPr>
            </w:pPr>
          </w:p>
        </w:tc>
      </w:tr>
      <w:tr>
        <w:trPr>
          <w:trHeight w:val="351"/>
        </w:trPr>
        <w:tc>
          <w:tcPr>
            <w:tcW w:w="9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Financial Statements (unaudited)</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2</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40" w:type="dxa"/>
            <w:vAlign w:val="bottom"/>
          </w:tcPr>
          <w:p>
            <w:pPr>
              <w:jc w:val="right"/>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3</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5">
              <w:r>
                <w:rPr>
                  <w:rFonts w:ascii="Arial" w:cs="Arial" w:eastAsia="Arial" w:hAnsi="Arial"/>
                  <w:sz w:val="18"/>
                  <w:szCs w:val="18"/>
                  <w:b w:val="1"/>
                  <w:bCs w:val="1"/>
                  <w:color w:val="auto"/>
                </w:rPr>
                <w:t>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Condensed Consolidated Statements of Equity</w:t>
            </w:r>
          </w:p>
        </w:tc>
        <w:tc>
          <w:tcPr>
            <w:tcW w:w="740" w:type="dxa"/>
            <w:vAlign w:val="bottom"/>
          </w:tcPr>
          <w:p>
            <w:pPr>
              <w:jc w:val="right"/>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8">
              <w:r>
                <w:rPr>
                  <w:rFonts w:ascii="Arial" w:cs="Arial" w:eastAsia="Arial" w:hAnsi="Arial"/>
                  <w:sz w:val="18"/>
                  <w:szCs w:val="18"/>
                  <w:b w:val="1"/>
                  <w:bCs w:val="1"/>
                  <w:color w:val="auto"/>
                </w:rPr>
                <w:t>7</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40" w:type="dxa"/>
            <w:vAlign w:val="bottom"/>
          </w:tcPr>
          <w:p>
            <w:pPr>
              <w:jc w:val="right"/>
              <w:spacing w:after="0"/>
              <w:rPr>
                <w:rFonts w:ascii="Arial" w:cs="Arial" w:eastAsia="Arial" w:hAnsi="Arial"/>
                <w:sz w:val="18"/>
                <w:szCs w:val="18"/>
                <w:b w:val="1"/>
                <w:bCs w:val="1"/>
                <w:color w:val="auto"/>
              </w:rPr>
            </w:pPr>
            <w:hyperlink w:anchor="page9">
              <w:r>
                <w:rPr>
                  <w:rFonts w:ascii="Arial" w:cs="Arial" w:eastAsia="Arial" w:hAnsi="Arial"/>
                  <w:sz w:val="18"/>
                  <w:szCs w:val="18"/>
                  <w:b w:val="1"/>
                  <w:bCs w:val="1"/>
                  <w:color w:val="auto"/>
                </w:rPr>
                <w:t>8</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2">
              <w:r>
                <w:rPr>
                  <w:rFonts w:ascii="Arial" w:cs="Arial" w:eastAsia="Arial" w:hAnsi="Arial"/>
                  <w:sz w:val="18"/>
                  <w:szCs w:val="18"/>
                  <w:b w:val="1"/>
                  <w:bCs w:val="1"/>
                  <w:color w:val="auto"/>
                </w:rPr>
                <w:t>21</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General</w:t>
            </w:r>
          </w:p>
        </w:tc>
        <w:tc>
          <w:tcPr>
            <w:tcW w:w="740" w:type="dxa"/>
            <w:vAlign w:val="bottom"/>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21</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Production</w:t>
            </w:r>
          </w:p>
        </w:tc>
        <w:tc>
          <w:tcPr>
            <w:tcW w:w="740" w:type="dxa"/>
            <w:vAlign w:val="bottom"/>
          </w:tcPr>
          <w:p>
            <w:pPr>
              <w:jc w:val="right"/>
              <w:spacing w:after="0"/>
              <w:rPr>
                <w:rFonts w:ascii="Arial" w:cs="Arial" w:eastAsia="Arial" w:hAnsi="Arial"/>
                <w:sz w:val="18"/>
                <w:szCs w:val="18"/>
                <w:b w:val="1"/>
                <w:bCs w:val="1"/>
                <w:color w:val="auto"/>
              </w:rPr>
            </w:pPr>
            <w:hyperlink w:anchor="page24">
              <w:r>
                <w:rPr>
                  <w:rFonts w:ascii="Arial" w:cs="Arial" w:eastAsia="Arial" w:hAnsi="Arial"/>
                  <w:sz w:val="18"/>
                  <w:szCs w:val="18"/>
                  <w:b w:val="1"/>
                  <w:bCs w:val="1"/>
                  <w:color w:val="auto"/>
                </w:rPr>
                <w:t>22</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Prices and Realizations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25">
              <w:r>
                <w:rPr>
                  <w:rFonts w:ascii="Arial" w:cs="Arial" w:eastAsia="Arial" w:hAnsi="Arial"/>
                  <w:sz w:val="18"/>
                  <w:szCs w:val="18"/>
                  <w:b w:val="1"/>
                  <w:bCs w:val="1"/>
                  <w:color w:val="auto"/>
                </w:rPr>
                <w:t>24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Statements of Operations Analysis</w:t>
            </w:r>
          </w:p>
        </w:tc>
        <w:tc>
          <w:tcPr>
            <w:tcW w:w="740" w:type="dxa"/>
            <w:vAlign w:val="bottom"/>
          </w:tcPr>
          <w:p>
            <w:pPr>
              <w:jc w:val="right"/>
              <w:spacing w:after="0"/>
              <w:rPr>
                <w:rFonts w:ascii="Arial" w:cs="Arial" w:eastAsia="Arial" w:hAnsi="Arial"/>
                <w:sz w:val="18"/>
                <w:szCs w:val="18"/>
                <w:b w:val="1"/>
                <w:bCs w:val="1"/>
                <w:color w:val="auto"/>
              </w:rPr>
            </w:pPr>
            <w:hyperlink w:anchor="page27">
              <w:r>
                <w:rPr>
                  <w:rFonts w:ascii="Arial" w:cs="Arial" w:eastAsia="Arial" w:hAnsi="Arial"/>
                  <w:sz w:val="18"/>
                  <w:szCs w:val="18"/>
                  <w:b w:val="1"/>
                  <w:bCs w:val="1"/>
                  <w:color w:val="auto"/>
                </w:rPr>
                <w:t>26</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Liquidity and Capital Resources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31</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2021 Capital Program</w:t>
            </w: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Regulatory Update</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Share Repurchase Program</w:t>
            </w:r>
          </w:p>
        </w:tc>
        <w:tc>
          <w:tcPr>
            <w:tcW w:w="740" w:type="dxa"/>
            <w:vAlign w:val="bottom"/>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29"/>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Divestitures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6">
              <w:r>
                <w:rPr>
                  <w:rFonts w:ascii="Arial" w:cs="Arial" w:eastAsia="Arial" w:hAnsi="Arial"/>
                  <w:sz w:val="18"/>
                  <w:szCs w:val="18"/>
                  <w:b w:val="1"/>
                  <w:bCs w:val="1"/>
                  <w:color w:val="auto"/>
                </w:rPr>
                <w:t>34</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Acquisitions and Joint Ventures</w:t>
            </w:r>
          </w:p>
        </w:tc>
        <w:tc>
          <w:tcPr>
            <w:tcW w:w="740" w:type="dxa"/>
            <w:vAlign w:val="bottom"/>
          </w:tcPr>
          <w:p>
            <w:pPr>
              <w:jc w:val="right"/>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35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Seasonality</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35</w:t>
              </w:r>
            </w:hyperlink>
          </w:p>
        </w:tc>
      </w:tr>
      <w:tr>
        <w:trPr>
          <w:trHeight w:val="229"/>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Fixed and Variable Costs</w:t>
            </w:r>
          </w:p>
        </w:tc>
        <w:tc>
          <w:tcPr>
            <w:tcW w:w="740" w:type="dxa"/>
            <w:vAlign w:val="bottom"/>
          </w:tcPr>
          <w:p>
            <w:pPr>
              <w:jc w:val="right"/>
              <w:spacing w:after="0"/>
              <w:rPr>
                <w:rFonts w:ascii="Arial" w:cs="Arial" w:eastAsia="Arial" w:hAnsi="Arial"/>
                <w:sz w:val="18"/>
                <w:szCs w:val="18"/>
                <w:b w:val="1"/>
                <w:bCs w:val="1"/>
                <w:color w:val="auto"/>
              </w:rPr>
            </w:pPr>
            <w:hyperlink w:anchor="page37">
              <w:r>
                <w:rPr>
                  <w:rFonts w:ascii="Arial" w:cs="Arial" w:eastAsia="Arial" w:hAnsi="Arial"/>
                  <w:sz w:val="18"/>
                  <w:szCs w:val="18"/>
                  <w:b w:val="1"/>
                  <w:bCs w:val="1"/>
                  <w:color w:val="auto"/>
                </w:rPr>
                <w:t>35</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30"/>
        </w:trPr>
        <w:tc>
          <w:tcPr>
            <w:tcW w:w="960" w:type="dxa"/>
            <w:vAlign w:val="bottom"/>
          </w:tcPr>
          <w:p>
            <w:pPr>
              <w:spacing w:after="0"/>
              <w:rPr>
                <w:sz w:val="19"/>
                <w:szCs w:val="19"/>
                <w:color w:val="auto"/>
              </w:rPr>
            </w:pPr>
          </w:p>
        </w:tc>
        <w:tc>
          <w:tcPr>
            <w:tcW w:w="7520" w:type="dxa"/>
            <w:vAlign w:val="bottom"/>
          </w:tcPr>
          <w:p>
            <w:pPr>
              <w:ind w:left="380"/>
              <w:spacing w:after="0"/>
              <w:rPr>
                <w:sz w:val="20"/>
                <w:szCs w:val="20"/>
                <w:color w:val="auto"/>
              </w:rPr>
            </w:pPr>
            <w:r>
              <w:rPr>
                <w:rFonts w:ascii="Arial" w:cs="Arial" w:eastAsia="Arial" w:hAnsi="Arial"/>
                <w:sz w:val="18"/>
                <w:szCs w:val="18"/>
                <w:color w:val="auto"/>
              </w:rPr>
              <w:t>Significant Accounting and Disclosure Changes</w:t>
            </w:r>
          </w:p>
        </w:tc>
        <w:tc>
          <w:tcPr>
            <w:tcW w:w="740" w:type="dxa"/>
            <w:vAlign w:val="bottom"/>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36</w:t>
              </w:r>
            </w:hyperlink>
          </w:p>
        </w:tc>
      </w:tr>
      <w:tr>
        <w:trPr>
          <w:trHeight w:val="230"/>
        </w:trPr>
        <w:tc>
          <w:tcPr>
            <w:tcW w:w="960" w:type="dxa"/>
            <w:vAlign w:val="bottom"/>
            <w:shd w:val="clear" w:color="auto" w:fill="CCEEFF"/>
          </w:tcPr>
          <w:p>
            <w:pPr>
              <w:spacing w:after="0"/>
              <w:rPr>
                <w:sz w:val="19"/>
                <w:szCs w:val="19"/>
                <w:color w:val="auto"/>
              </w:rPr>
            </w:pPr>
          </w:p>
        </w:tc>
        <w:tc>
          <w:tcPr>
            <w:tcW w:w="7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37</w:t>
              </w:r>
            </w:hyperlink>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3</w:t>
            </w:r>
          </w:p>
        </w:tc>
        <w:tc>
          <w:tcPr>
            <w:tcW w:w="75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39</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4</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1">
              <w:r>
                <w:rPr>
                  <w:rFonts w:ascii="Arial" w:cs="Arial" w:eastAsia="Arial" w:hAnsi="Arial"/>
                  <w:sz w:val="18"/>
                  <w:szCs w:val="18"/>
                  <w:b w:val="1"/>
                  <w:bCs w:val="1"/>
                  <w:color w:val="auto"/>
                </w:rPr>
                <w:t>39</w:t>
              </w:r>
            </w:hyperlink>
          </w:p>
        </w:tc>
      </w:tr>
      <w:tr>
        <w:trPr>
          <w:trHeight w:val="216"/>
        </w:trPr>
        <w:tc>
          <w:tcPr>
            <w:tcW w:w="9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4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3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1A</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2</w:t>
            </w:r>
          </w:p>
        </w:tc>
        <w:tc>
          <w:tcPr>
            <w:tcW w:w="752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4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29"/>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5</w:t>
            </w:r>
          </w:p>
        </w:tc>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Disclosures</w:t>
            </w:r>
          </w:p>
        </w:tc>
        <w:tc>
          <w:tcPr>
            <w:tcW w:w="740" w:type="dxa"/>
            <w:vAlign w:val="bottom"/>
            <w:shd w:val="clear" w:color="auto" w:fill="CCEEFF"/>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40</w:t>
              </w:r>
            </w:hyperlink>
          </w:p>
        </w:tc>
      </w:tr>
      <w:tr>
        <w:trPr>
          <w:trHeight w:val="239"/>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6</w:t>
            </w:r>
          </w:p>
        </w:tc>
        <w:tc>
          <w:tcPr>
            <w:tcW w:w="75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740" w:type="dxa"/>
            <w:vAlign w:val="bottom"/>
          </w:tcPr>
          <w:p>
            <w:pPr>
              <w:jc w:val="right"/>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41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886" w:right="1339" w:bottom="1440" w:gutter="0" w:footer="0" w:header="0"/>
        </w:sectPr>
      </w:pPr>
    </w:p>
    <w:bookmarkStart w:id="3" w:name="page4"/>
    <w:bookmarkEnd w:id="3"/>
    <w:p>
      <w:pPr>
        <w:jc w:val="center"/>
        <w:ind w:right="-19"/>
        <w:spacing w:after="0"/>
        <w:tabs>
          <w:tab w:leader="none" w:pos="18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 and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6"/>
          </w:tcPr>
          <w:p>
            <w:pPr>
              <w:ind w:left="960"/>
              <w:spacing w:after="0"/>
              <w:rPr>
                <w:sz w:val="20"/>
                <w:szCs w:val="20"/>
                <w:color w:val="auto"/>
              </w:rPr>
            </w:pPr>
            <w:r>
              <w:rPr>
                <w:rFonts w:ascii="Arial" w:cs="Arial" w:eastAsia="Arial" w:hAnsi="Arial"/>
                <w:sz w:val="18"/>
                <w:szCs w:val="18"/>
                <w:b w:val="1"/>
                <w:bCs w:val="1"/>
                <w:color w:val="auto"/>
              </w:rPr>
              <w:t>Successor</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40"/>
              <w:spacing w:after="0"/>
              <w:rPr>
                <w:sz w:val="20"/>
                <w:szCs w:val="20"/>
                <w:color w:val="auto"/>
              </w:rPr>
            </w:pPr>
            <w:r>
              <w:rPr>
                <w:rFonts w:ascii="Arial" w:cs="Arial" w:eastAsia="Arial" w:hAnsi="Arial"/>
                <w:sz w:val="18"/>
                <w:szCs w:val="18"/>
                <w:color w:val="auto"/>
              </w:rPr>
              <w:t>Assets held for sale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78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Liabilities associated with assets held for sale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 DEBT,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77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June 30, 2021 and December 31, 2020</w:t>
            </w:r>
          </w:p>
        </w:tc>
        <w:tc>
          <w:tcPr>
            <w:tcW w:w="3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740" w:type="dxa"/>
            <w:vAlign w:val="bottom"/>
          </w:tcPr>
          <w:p>
            <w:pPr>
              <w:ind w:left="320"/>
              <w:spacing w:after="0" w:line="189" w:lineRule="exact"/>
              <w:rPr>
                <w:sz w:val="20"/>
                <w:szCs w:val="20"/>
                <w:color w:val="auto"/>
              </w:rPr>
            </w:pPr>
            <w:r>
              <w:rPr>
                <w:rFonts w:ascii="Arial" w:cs="Arial" w:eastAsia="Arial" w:hAnsi="Arial"/>
                <w:sz w:val="18"/>
                <w:szCs w:val="18"/>
                <w:color w:val="auto"/>
              </w:rPr>
              <w:t>Common stock (200,000,000 shares authorized at $0.01 par value) issued shares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740" w:type="dxa"/>
            <w:vAlign w:val="bottom"/>
          </w:tcPr>
          <w:p>
            <w:pPr>
              <w:ind w:left="480"/>
              <w:spacing w:after="0"/>
              <w:rPr>
                <w:sz w:val="20"/>
                <w:szCs w:val="20"/>
                <w:color w:val="auto"/>
              </w:rPr>
            </w:pPr>
            <w:r>
              <w:rPr>
                <w:rFonts w:ascii="Arial" w:cs="Arial" w:eastAsia="Arial" w:hAnsi="Arial"/>
                <w:sz w:val="18"/>
                <w:szCs w:val="18"/>
                <w:color w:val="auto"/>
              </w:rPr>
              <w:t>(83,319,660 at June 30, 2021 and December 31, 2020)</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774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Treasury stock (1,440,203 shares held at cost at June 30, 2021 and no shares held at</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31, 2020)</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4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equity attributable to common stock</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7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Equity attributable to noncontrolling interests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7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gridSpan w:val="2"/>
            <w:vMerge w:val="restart"/>
          </w:tcPr>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77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7"/>
        </w:trPr>
        <w:tc>
          <w:tcPr>
            <w:tcW w:w="7780" w:type="dxa"/>
            <w:vAlign w:val="bottom"/>
            <w:gridSpan w:val="2"/>
          </w:tcPr>
          <w:p>
            <w:pPr>
              <w:ind w:left="55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Successor</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Predecessor</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Successor</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Predecessor</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Three months</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Three months</w:t>
            </w:r>
          </w:p>
        </w:tc>
        <w:tc>
          <w:tcPr>
            <w:tcW w:w="120" w:type="dxa"/>
            <w:vAlign w:val="bottom"/>
          </w:tcPr>
          <w:p>
            <w:pPr>
              <w:spacing w:after="0"/>
              <w:rPr>
                <w:sz w:val="13"/>
                <w:szCs w:val="13"/>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Six months ended</w:t>
            </w:r>
          </w:p>
        </w:tc>
        <w:tc>
          <w:tcPr>
            <w:tcW w:w="14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81"/>
        </w:trPr>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2"/>
            <w:vMerge w:val="restart"/>
          </w:tcPr>
          <w:p>
            <w:pPr>
              <w:jc w:val="center"/>
              <w:ind w:right="480"/>
              <w:spacing w:after="0" w:line="162" w:lineRule="exact"/>
              <w:rPr>
                <w:sz w:val="20"/>
                <w:szCs w:val="20"/>
                <w:color w:val="auto"/>
              </w:rPr>
            </w:pPr>
            <w:r>
              <w:rPr>
                <w:rFonts w:ascii="Arial" w:cs="Arial" w:eastAsia="Arial" w:hAnsi="Arial"/>
                <w:sz w:val="16"/>
                <w:szCs w:val="16"/>
                <w:b w:val="1"/>
                <w:bCs w:val="1"/>
                <w:color w:val="auto"/>
              </w:rPr>
              <w:t>ended</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7"/>
              </w:rPr>
              <w:t>ended</w:t>
            </w:r>
          </w:p>
        </w:tc>
        <w:tc>
          <w:tcPr>
            <w:tcW w:w="1660" w:type="dxa"/>
            <w:vAlign w:val="bottom"/>
            <w:gridSpan w:val="3"/>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7"/>
                <w:szCs w:val="7"/>
                <w:color w:val="auto"/>
              </w:rPr>
            </w:pPr>
          </w:p>
        </w:tc>
        <w:tc>
          <w:tcPr>
            <w:tcW w:w="13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June 30,</w:t>
            </w: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6"/>
                <w:szCs w:val="16"/>
                <w:b w:val="1"/>
                <w:bCs w:val="1"/>
                <w:color w:val="auto"/>
                <w:w w:val="99"/>
              </w:rPr>
              <w:t>June 30,</w:t>
            </w:r>
          </w:p>
        </w:tc>
        <w:tc>
          <w:tcPr>
            <w:tcW w:w="140" w:type="dxa"/>
            <w:vAlign w:val="bottom"/>
          </w:tcPr>
          <w:p>
            <w:pPr>
              <w:spacing w:after="0"/>
              <w:rPr>
                <w:sz w:val="11"/>
                <w:szCs w:val="1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2021</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Oil, natural gas and natural gas liquids (NGL)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Net derivative (loss) gain from commodity contracts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Trading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Electricity sales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COSTS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costs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depletion and amortization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Asset impairments</w:t>
            </w:r>
          </w:p>
        </w:tc>
        <w:tc>
          <w:tcPr>
            <w:tcW w:w="14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other than on income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Exploration expense</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Trading costs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Electricity cost of sales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Transportation costs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expenses, net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costs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NON-OPERATING (LOSS) INCOME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Reorganization items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and debt expense,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3"/>
        </w:trPr>
        <w:tc>
          <w:tcPr>
            <w:tcW w:w="4740" w:type="dxa"/>
            <w:vAlign w:val="bottom"/>
          </w:tcPr>
          <w:p>
            <w:pPr>
              <w:ind w:left="360"/>
              <w:spacing w:after="0"/>
              <w:rPr>
                <w:sz w:val="20"/>
                <w:szCs w:val="20"/>
                <w:color w:val="auto"/>
              </w:rPr>
            </w:pPr>
            <w:r>
              <w:rPr>
                <w:rFonts w:ascii="Arial" w:cs="Arial" w:eastAsia="Arial" w:hAnsi="Arial"/>
                <w:sz w:val="16"/>
                <w:szCs w:val="16"/>
                <w:color w:val="auto"/>
              </w:rPr>
              <w:t>Net (loss) gain on early extinguishment of debt</w:t>
            </w:r>
          </w:p>
        </w:tc>
        <w:tc>
          <w:tcPr>
            <w:tcW w:w="140" w:type="dxa"/>
            <w:vAlign w:val="bottom"/>
          </w:tcPr>
          <w:p>
            <w:pPr>
              <w:spacing w:after="0"/>
              <w:rPr>
                <w:sz w:val="18"/>
                <w:szCs w:val="18"/>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w:t>
            </w: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4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NET INCOME ATTRIBUTABLE TO NONCONTROLLING</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INTERESTS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Mezzanine equity</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COMMON STOCK</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common stock per share</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(41.84)</w:t>
            </w:r>
          </w:p>
        </w:tc>
        <w:tc>
          <w:tcPr>
            <w:tcW w:w="0" w:type="dxa"/>
            <w:vAlign w:val="bottom"/>
          </w:tcPr>
          <w:p>
            <w:pPr>
              <w:spacing w:after="0"/>
              <w:rPr>
                <w:sz w:val="1"/>
                <w:szCs w:val="1"/>
                <w:color w:val="auto"/>
              </w:rPr>
            </w:pPr>
          </w:p>
        </w:tc>
      </w:tr>
      <w:tr>
        <w:trPr>
          <w:trHeight w:val="180"/>
        </w:trPr>
        <w:tc>
          <w:tcPr>
            <w:tcW w:w="4740" w:type="dxa"/>
            <w:vAlign w:val="bottom"/>
          </w:tcPr>
          <w:p>
            <w:pPr>
              <w:ind w:left="20"/>
              <w:spacing w:after="0" w:line="181" w:lineRule="exact"/>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81" w:lineRule="exact"/>
              <w:rPr>
                <w:sz w:val="20"/>
                <w:szCs w:val="20"/>
                <w:color w:val="auto"/>
              </w:rPr>
            </w:pPr>
            <w:r>
              <w:rPr>
                <w:rFonts w:ascii="Arial" w:cs="Arial" w:eastAsia="Arial" w:hAnsi="Arial"/>
                <w:sz w:val="16"/>
                <w:szCs w:val="16"/>
                <w:color w:val="auto"/>
              </w:rPr>
              <w:t>(1.34)</w:t>
            </w:r>
          </w:p>
        </w:tc>
        <w:tc>
          <w:tcPr>
            <w:tcW w:w="32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line="181" w:lineRule="exact"/>
              <w:rPr>
                <w:sz w:val="20"/>
                <w:szCs w:val="20"/>
                <w:color w:val="auto"/>
              </w:rPr>
            </w:pPr>
            <w:r>
              <w:rPr>
                <w:rFonts w:ascii="Arial" w:cs="Arial" w:eastAsia="Arial" w:hAnsi="Arial"/>
                <w:sz w:val="16"/>
                <w:szCs w:val="16"/>
                <w:color w:val="auto"/>
              </w:rPr>
              <w:t>(5.47)</w:t>
            </w:r>
          </w:p>
        </w:tc>
        <w:tc>
          <w:tcPr>
            <w:tcW w:w="120" w:type="dxa"/>
            <w:vAlign w:val="bottom"/>
          </w:tcPr>
          <w:p>
            <w:pPr>
              <w:spacing w:after="0"/>
              <w:rPr>
                <w:sz w:val="15"/>
                <w:szCs w:val="15"/>
                <w:color w:val="auto"/>
              </w:rPr>
            </w:pPr>
          </w:p>
        </w:tc>
        <w:tc>
          <w:tcPr>
            <w:tcW w:w="220" w:type="dxa"/>
            <w:vAlign w:val="bottom"/>
          </w:tcPr>
          <w:p>
            <w:pPr>
              <w:ind w:left="20"/>
              <w:spacing w:after="0" w:line="181" w:lineRule="exact"/>
              <w:rPr>
                <w:sz w:val="20"/>
                <w:szCs w:val="20"/>
                <w:color w:val="auto"/>
              </w:rPr>
            </w:pPr>
            <w:r>
              <w:rPr>
                <w:rFonts w:ascii="Arial" w:cs="Arial" w:eastAsia="Arial" w:hAnsi="Arial"/>
                <w:sz w:val="16"/>
                <w:szCs w:val="16"/>
                <w:color w:val="auto"/>
              </w:rPr>
              <w:t>$</w:t>
            </w:r>
          </w:p>
        </w:tc>
        <w:tc>
          <w:tcPr>
            <w:tcW w:w="1240" w:type="dxa"/>
            <w:vAlign w:val="bottom"/>
          </w:tcPr>
          <w:p>
            <w:pPr>
              <w:jc w:val="right"/>
              <w:spacing w:after="0" w:line="181" w:lineRule="exact"/>
              <w:rPr>
                <w:sz w:val="20"/>
                <w:szCs w:val="20"/>
                <w:color w:val="auto"/>
              </w:rPr>
            </w:pPr>
            <w:r>
              <w:rPr>
                <w:rFonts w:ascii="Arial" w:cs="Arial" w:eastAsia="Arial" w:hAnsi="Arial"/>
                <w:sz w:val="16"/>
                <w:szCs w:val="16"/>
                <w:color w:val="auto"/>
              </w:rPr>
              <w:t>(2.46)</w:t>
            </w:r>
          </w:p>
        </w:tc>
        <w:tc>
          <w:tcPr>
            <w:tcW w:w="200" w:type="dxa"/>
            <w:vAlign w:val="bottom"/>
          </w:tcPr>
          <w:p>
            <w:pPr>
              <w:spacing w:after="0"/>
              <w:rPr>
                <w:sz w:val="15"/>
                <w:szCs w:val="15"/>
                <w:color w:val="auto"/>
              </w:rPr>
            </w:pPr>
          </w:p>
        </w:tc>
        <w:tc>
          <w:tcPr>
            <w:tcW w:w="180" w:type="dxa"/>
            <w:vAlign w:val="bottom"/>
          </w:tcPr>
          <w:p>
            <w:pPr>
              <w:ind w:left="20"/>
              <w:spacing w:after="0" w:line="181"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(41.84)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-6414770</wp:posOffset>
            </wp:positionV>
            <wp:extent cx="8255" cy="643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6437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-6414770</wp:posOffset>
            </wp:positionV>
            <wp:extent cx="8255" cy="6437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643763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spacing w:after="0" w:line="262"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(Loss) For the three and six months ended June 30, 2021 and 2020 </w:t>
      </w:r>
      <w:r>
        <w:rPr>
          <w:rFonts w:ascii="Arial" w:cs="Arial" w:eastAsia="Arial" w:hAnsi="Arial"/>
          <w:sz w:val="18"/>
          <w:szCs w:val="18"/>
          <w:color w:val="auto"/>
        </w:rPr>
        <w:t>(dollars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Predecessor</w:t>
            </w:r>
          </w:p>
        </w:tc>
        <w:tc>
          <w:tcPr>
            <w:tcW w:w="220" w:type="dxa"/>
            <w:vAlign w:val="bottom"/>
          </w:tcPr>
          <w:p>
            <w:pPr>
              <w:spacing w:after="0"/>
              <w:rPr>
                <w:sz w:val="19"/>
                <w:szCs w:val="19"/>
                <w:color w:val="auto"/>
              </w:rPr>
            </w:pPr>
          </w:p>
        </w:tc>
        <w:tc>
          <w:tcPr>
            <w:tcW w:w="15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rPr>
              <w:t>Three months</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Six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81"/>
        </w:trPr>
        <w:tc>
          <w:tcPr>
            <w:tcW w:w="4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Borders>
              <w:right w:val="single" w:sz="8" w:color="auto"/>
            </w:tcBorders>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7"/>
                <w:szCs w:val="7"/>
                <w:color w:val="auto"/>
              </w:rPr>
            </w:pPr>
          </w:p>
        </w:tc>
        <w:tc>
          <w:tcPr>
            <w:tcW w:w="1520" w:type="dxa"/>
            <w:vAlign w:val="bottom"/>
            <w:tcBorders>
              <w:right w:val="single" w:sz="8" w:color="auto"/>
            </w:tcBorders>
            <w:gridSpan w:val="2"/>
            <w:vMerge w:val="restart"/>
          </w:tcPr>
          <w:p>
            <w:pPr>
              <w:jc w:val="center"/>
              <w:ind w:right="360"/>
              <w:spacing w:after="0" w:line="176"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4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Borders>
              <w:right w:val="single" w:sz="8" w:color="auto"/>
            </w:tcBorders>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Borders>
              <w:right w:val="single" w:sz="8" w:color="auto"/>
            </w:tcBorders>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2"/>
                <w:szCs w:val="12"/>
                <w:color w:val="auto"/>
              </w:rPr>
            </w:pPr>
          </w:p>
        </w:tc>
        <w:tc>
          <w:tcPr>
            <w:tcW w:w="1520" w:type="dxa"/>
            <w:vAlign w:val="bottom"/>
            <w:tcBorders>
              <w:right w:val="single" w:sz="8" w:color="auto"/>
            </w:tcBorders>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Borders>
              <w:right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520" w:type="dxa"/>
            <w:vAlign w:val="bottom"/>
            <w:tcBorders>
              <w:right w:val="single" w:sz="8" w:color="auto"/>
            </w:tcBorders>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Comprehensive loss attributable to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right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135"/>
        </w:trPr>
        <w:tc>
          <w:tcPr>
            <w:tcW w:w="4040" w:type="dxa"/>
            <w:vAlign w:val="bottom"/>
            <w:vMerge w:val="restart"/>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stock</w:t>
            </w:r>
          </w:p>
        </w:tc>
        <w:tc>
          <w:tcPr>
            <w:tcW w:w="160" w:type="dxa"/>
            <w:vAlign w:val="bottom"/>
            <w:vMerge w:val="continue"/>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14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4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CCEEFF"/>
              <w:right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48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CCEEFF"/>
              <w:right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six months ended June 30,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1"/>
          </w:tcPr>
          <w:p>
            <w:pPr>
              <w:jc w:val="center"/>
              <w:ind w:right="520"/>
              <w:spacing w:after="0"/>
              <w:rPr>
                <w:sz w:val="20"/>
                <w:szCs w:val="20"/>
                <w:color w:val="auto"/>
              </w:rPr>
            </w:pPr>
            <w:r>
              <w:rPr>
                <w:rFonts w:ascii="Arial" w:cs="Arial" w:eastAsia="Arial" w:hAnsi="Arial"/>
                <w:sz w:val="14"/>
                <w:szCs w:val="14"/>
                <w:b w:val="1"/>
                <w:bCs w:val="1"/>
                <w:color w:val="auto"/>
              </w:rPr>
              <w:t>Three months ended June 30, 2021 (Successor)</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1"/>
                <w:szCs w:val="11"/>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line="189"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05"/>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1,273</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1"/>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10"/>
          </w:tcPr>
          <w:p>
            <w:pPr>
              <w:jc w:val="center"/>
              <w:ind w:right="560"/>
              <w:spacing w:after="0"/>
              <w:rPr>
                <w:sz w:val="20"/>
                <w:szCs w:val="20"/>
                <w:color w:val="auto"/>
              </w:rPr>
            </w:pPr>
            <w:r>
              <w:rPr>
                <w:rFonts w:ascii="Arial" w:cs="Arial" w:eastAsia="Arial" w:hAnsi="Arial"/>
                <w:sz w:val="14"/>
                <w:szCs w:val="14"/>
                <w:b w:val="1"/>
                <w:bCs w:val="1"/>
                <w:color w:val="auto"/>
              </w:rPr>
              <w:t>Six months ended June 30, 2021 (Successor)</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Attributable</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Attributable to</w:t>
            </w:r>
          </w:p>
        </w:tc>
        <w:tc>
          <w:tcPr>
            <w:tcW w:w="160" w:type="dxa"/>
            <w:vAlign w:val="bottom"/>
          </w:tcPr>
          <w:p>
            <w:pPr>
              <w:spacing w:after="0"/>
              <w:rPr>
                <w:sz w:val="11"/>
                <w:szCs w:val="11"/>
                <w:color w:val="auto"/>
              </w:rPr>
            </w:pPr>
          </w:p>
        </w:tc>
        <w:tc>
          <w:tcPr>
            <w:tcW w:w="7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to Common</w:t>
            </w: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line="189"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53"/>
        </w:trPr>
        <w:tc>
          <w:tcPr>
            <w:tcW w:w="240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 noncontrolling</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05"/>
        </w:trPr>
        <w:tc>
          <w:tcPr>
            <w:tcW w:w="24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interest holders</w:t>
            </w:r>
          </w:p>
        </w:tc>
        <w:tc>
          <w:tcPr>
            <w:tcW w:w="14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0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40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1,273</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ind w:left="100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320" w:hanging="492"/>
        <w:spacing w:after="0" w:line="249" w:lineRule="auto"/>
        <w:tabs>
          <w:tab w:leader="none" w:pos="487"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six months ended June 30, 2021, we allocated $4 million and $9 million of net income to noncontrolling interest holders, respectively, with the remaining $111 million and $205 million of net loss attributed to holders of our common stock, both of which were included in stockholders' equity on our condensed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40" w:type="dxa"/>
            <w:vAlign w:val="bottom"/>
            <w:tcBorders>
              <w:bottom w:val="single" w:sz="8" w:color="auto"/>
            </w:tcBorders>
            <w:gridSpan w:val="11"/>
          </w:tcPr>
          <w:p>
            <w:pPr>
              <w:jc w:val="center"/>
              <w:ind w:left="148"/>
              <w:spacing w:after="0"/>
              <w:rPr>
                <w:sz w:val="20"/>
                <w:szCs w:val="20"/>
                <w:color w:val="auto"/>
              </w:rPr>
            </w:pPr>
            <w:r>
              <w:rPr>
                <w:rFonts w:ascii="Arial" w:cs="Arial" w:eastAsia="Arial" w:hAnsi="Arial"/>
                <w:sz w:val="14"/>
                <w:szCs w:val="14"/>
                <w:b w:val="1"/>
                <w:bCs w:val="1"/>
                <w:color w:val="auto"/>
              </w:rPr>
              <w:t>Three months ended June 30, 2020 (Predecessor)</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5"/>
        </w:trPr>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line="176" w:lineRule="exact"/>
              <w:rPr>
                <w:sz w:val="20"/>
                <w:szCs w:val="20"/>
                <w:color w:val="auto"/>
              </w:rPr>
            </w:pPr>
            <w:r>
              <w:rPr>
                <w:rFonts w:ascii="Arial" w:cs="Arial" w:eastAsia="Arial" w:hAnsi="Arial"/>
                <w:sz w:val="14"/>
                <w:szCs w:val="14"/>
                <w:b w:val="1"/>
                <w:bCs w:val="1"/>
                <w:color w:val="auto"/>
                <w:w w:val="97"/>
              </w:rPr>
              <w:t>Interests</w:t>
            </w:r>
            <w:r>
              <w:rPr>
                <w:rFonts w:ascii="Arial" w:cs="Arial" w:eastAsia="Arial" w:hAnsi="Arial"/>
                <w:sz w:val="18"/>
                <w:szCs w:val="18"/>
                <w:b w:val="1"/>
                <w:bCs w:val="1"/>
                <w:color w:val="auto"/>
                <w:w w:val="97"/>
                <w:vertAlign w:val="superscript"/>
              </w:rPr>
              <w:t>(b)</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89"/>
        </w:trPr>
        <w:tc>
          <w:tcPr>
            <w:tcW w:w="1980" w:type="dxa"/>
            <w:vAlign w:val="bottom"/>
          </w:tcPr>
          <w:p>
            <w:pPr>
              <w:ind w:left="120"/>
              <w:spacing w:after="0" w:line="189" w:lineRule="exact"/>
              <w:rPr>
                <w:sz w:val="20"/>
                <w:szCs w:val="20"/>
                <w:color w:val="auto"/>
              </w:rPr>
            </w:pPr>
            <w:r>
              <w:rPr>
                <w:rFonts w:ascii="Arial" w:cs="Arial" w:eastAsia="Arial" w:hAnsi="Arial"/>
                <w:sz w:val="14"/>
                <w:szCs w:val="14"/>
                <w:color w:val="auto"/>
              </w:rPr>
              <w:t>Net (loss) income</w:t>
            </w:r>
            <w:r>
              <w:rPr>
                <w:rFonts w:ascii="Arial" w:cs="Arial" w:eastAsia="Arial" w:hAnsi="Arial"/>
                <w:sz w:val="18"/>
                <w:szCs w:val="18"/>
                <w:color w:val="auto"/>
                <w:vertAlign w:val="superscript"/>
              </w:rPr>
              <w:t>(a)</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Distributions to</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120"/>
              <w:spacing w:after="0" w:line="153" w:lineRule="exact"/>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3"/>
                <w:szCs w:val="13"/>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1980" w:type="dxa"/>
            <w:vAlign w:val="bottom"/>
            <w:vMerge w:val="restart"/>
          </w:tcPr>
          <w:p>
            <w:pPr>
              <w:ind w:left="120"/>
              <w:spacing w:after="0"/>
              <w:rPr>
                <w:sz w:val="20"/>
                <w:szCs w:val="20"/>
                <w:color w:val="auto"/>
              </w:rPr>
            </w:pPr>
            <w:r>
              <w:rPr>
                <w:rFonts w:ascii="Arial" w:cs="Arial" w:eastAsia="Arial" w:hAnsi="Arial"/>
                <w:sz w:val="14"/>
                <w:szCs w:val="14"/>
                <w:color w:val="auto"/>
              </w:rPr>
              <w:t>net</w:t>
            </w:r>
          </w:p>
        </w:tc>
        <w:tc>
          <w:tcPr>
            <w:tcW w:w="1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98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(2,376)</w:t>
            </w: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780"/>
              <w:spacing w:after="0"/>
              <w:rPr>
                <w:sz w:val="20"/>
                <w:szCs w:val="20"/>
                <w:color w:val="auto"/>
              </w:rPr>
            </w:pPr>
            <w:r>
              <w:rPr>
                <w:rFonts w:ascii="Arial" w:cs="Arial" w:eastAsia="Arial" w:hAnsi="Arial"/>
                <w:sz w:val="14"/>
                <w:szCs w:val="14"/>
                <w:b w:val="1"/>
                <w:bCs w:val="1"/>
                <w:color w:val="auto"/>
              </w:rPr>
              <w:t>Six months ended June 30, 2020 (Predecessor)</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Attributable to</w:t>
            </w:r>
          </w:p>
        </w:tc>
        <w:tc>
          <w:tcPr>
            <w:tcW w:w="100" w:type="dxa"/>
            <w:vAlign w:val="bottom"/>
          </w:tcPr>
          <w:p>
            <w:pPr>
              <w:spacing w:after="0"/>
              <w:rPr>
                <w:sz w:val="11"/>
                <w:szCs w:val="11"/>
                <w:color w:val="auto"/>
              </w:rPr>
            </w:pPr>
          </w:p>
        </w:tc>
        <w:tc>
          <w:tcPr>
            <w:tcW w:w="12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75"/>
        </w:trPr>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Interests</w:t>
            </w:r>
            <w:r>
              <w:rPr>
                <w:rFonts w:ascii="Arial" w:cs="Arial" w:eastAsia="Arial" w:hAnsi="Arial"/>
                <w:sz w:val="9"/>
                <w:szCs w:val="9"/>
                <w:b w:val="1"/>
                <w:bCs w:val="1"/>
                <w:color w:val="auto"/>
              </w:rPr>
              <w:t>(b)</w:t>
            </w:r>
          </w:p>
        </w:tc>
        <w:tc>
          <w:tcPr>
            <w:tcW w:w="0" w:type="dxa"/>
            <w:vAlign w:val="bottom"/>
          </w:tcPr>
          <w:p>
            <w:pPr>
              <w:spacing w:after="0"/>
              <w:rPr>
                <w:sz w:val="1"/>
                <w:szCs w:val="1"/>
                <w:color w:val="auto"/>
              </w:rPr>
            </w:pPr>
          </w:p>
        </w:tc>
      </w:tr>
      <w:tr>
        <w:trPr>
          <w:trHeight w:val="183"/>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89"/>
        </w:trPr>
        <w:tc>
          <w:tcPr>
            <w:tcW w:w="1980" w:type="dxa"/>
            <w:vAlign w:val="bottom"/>
          </w:tcPr>
          <w:p>
            <w:pPr>
              <w:ind w:left="120"/>
              <w:spacing w:after="0"/>
              <w:rPr>
                <w:sz w:val="20"/>
                <w:szCs w:val="20"/>
                <w:color w:val="auto"/>
              </w:rPr>
            </w:pPr>
            <w:r>
              <w:rPr>
                <w:rFonts w:ascii="Arial" w:cs="Arial" w:eastAsia="Arial" w:hAnsi="Arial"/>
                <w:sz w:val="14"/>
                <w:szCs w:val="14"/>
                <w:color w:val="auto"/>
              </w:rPr>
              <w:t>Net (loss) income</w:t>
            </w:r>
            <w:r>
              <w:rPr>
                <w:rFonts w:ascii="Arial" w:cs="Arial" w:eastAsia="Arial" w:hAnsi="Arial"/>
                <w:sz w:val="9"/>
                <w:szCs w:val="9"/>
                <w:color w:val="auto"/>
              </w:rPr>
              <w:t>(a)</w:t>
            </w:r>
          </w:p>
        </w:tc>
        <w:tc>
          <w:tcPr>
            <w:tcW w:w="16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(2,052)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Contributions from</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120"/>
              <w:spacing w:after="0" w:line="153" w:lineRule="exact"/>
              <w:rPr>
                <w:sz w:val="20"/>
                <w:szCs w:val="20"/>
                <w:color w:val="auto"/>
              </w:rPr>
            </w:pPr>
            <w:r>
              <w:rPr>
                <w:rFonts w:ascii="Arial" w:cs="Arial" w:eastAsia="Arial" w:hAnsi="Arial"/>
                <w:sz w:val="14"/>
                <w:szCs w:val="14"/>
                <w:color w:val="auto"/>
              </w:rPr>
              <w:t>Distributions to</w:t>
            </w:r>
          </w:p>
        </w:tc>
        <w:tc>
          <w:tcPr>
            <w:tcW w:w="160" w:type="dxa"/>
            <w:vAlign w:val="bottom"/>
          </w:tcPr>
          <w:p>
            <w:pPr>
              <w:spacing w:after="0"/>
              <w:rPr>
                <w:sz w:val="13"/>
                <w:szCs w:val="13"/>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5"/>
        </w:trPr>
        <w:tc>
          <w:tcPr>
            <w:tcW w:w="1980" w:type="dxa"/>
            <w:vAlign w:val="bottom"/>
          </w:tcPr>
          <w:p>
            <w:pPr>
              <w:ind w:left="120"/>
              <w:spacing w:after="0" w:line="135" w:lineRule="exact"/>
              <w:rPr>
                <w:sz w:val="20"/>
                <w:szCs w:val="20"/>
                <w:color w:val="auto"/>
              </w:rPr>
            </w:pPr>
            <w:r>
              <w:rPr>
                <w:rFonts w:ascii="Arial" w:cs="Arial" w:eastAsia="Arial" w:hAnsi="Arial"/>
                <w:sz w:val="14"/>
                <w:szCs w:val="14"/>
                <w:color w:val="auto"/>
              </w:rPr>
              <w:t>noncontrolling interest</w:t>
            </w: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80" w:type="dxa"/>
            <w:vAlign w:val="bottom"/>
          </w:tcPr>
          <w:p>
            <w:pPr>
              <w:ind w:left="120"/>
              <w:spacing w:after="0"/>
              <w:rPr>
                <w:sz w:val="20"/>
                <w:szCs w:val="20"/>
                <w:color w:val="auto"/>
              </w:rPr>
            </w:pPr>
            <w:r>
              <w:rPr>
                <w:rFonts w:ascii="Arial" w:cs="Arial" w:eastAsia="Arial" w:hAnsi="Arial"/>
                <w:sz w:val="14"/>
                <w:szCs w:val="14"/>
                <w:color w:val="auto"/>
              </w:rPr>
              <w:t>holders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center"/>
              <w:ind w:left="76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19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net</w:t>
            </w:r>
          </w:p>
        </w:tc>
        <w:tc>
          <w:tcPr>
            <w:tcW w:w="16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98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Balance, June 30, 2020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(7,437)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center"/>
              <w:ind w:left="8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(2,452)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(2,376)</w:t>
            </w:r>
          </w:p>
        </w:tc>
        <w:tc>
          <w:tcPr>
            <w:tcW w:w="3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hanging="492"/>
        <w:spacing w:after="0" w:line="244"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months ended June 30, 2020, we allocated $24 million of net income to noncontrolling interest holders, of which a $6 million net loss was included in stockholders' equity and $30 million was included in mezzanine equity on our condensed consolidated balance sheet. The remaining net loss of $271 million for the three months ended June 30, 2020 was attributed to holders of our common stock and included in stockholders' equity on our condensed consolidated balance sheet. For the six months ended June 30, 2020, we allocated $75 million of net income to noncontrolling interest holders, of which $15 million was included in stockholders' equity and $60 million was included in mezzanine equity on our condensed consolidated balance sheet. The remaining net loss of $2,067 million for the six months ended June 30, 2020 was attributed to holders of our common stock and included in stockholders' equity on our condensed consolidated balance sheet.</w:t>
      </w:r>
    </w:p>
    <w:p>
      <w:pPr>
        <w:spacing w:after="0" w:line="16" w:lineRule="exact"/>
        <w:rPr>
          <w:rFonts w:ascii="Arial" w:cs="Arial" w:eastAsia="Arial" w:hAnsi="Arial"/>
          <w:sz w:val="14"/>
          <w:szCs w:val="14"/>
          <w:color w:val="auto"/>
        </w:rPr>
      </w:pPr>
    </w:p>
    <w:p>
      <w:pPr>
        <w:ind w:left="500" w:right="200" w:hanging="492"/>
        <w:spacing w:after="0" w:line="260"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Redeemable noncontrolling interests are reported in mezzanine equity on our condensed consolidated balance sheets in Predecessor periods. See </w:t>
      </w:r>
      <w:r>
        <w:rPr>
          <w:rFonts w:ascii="Arial" w:cs="Arial" w:eastAsia="Arial" w:hAnsi="Arial"/>
          <w:sz w:val="14"/>
          <w:szCs w:val="14"/>
          <w:i w:val="1"/>
          <w:iCs w:val="1"/>
          <w:color w:val="auto"/>
        </w:rPr>
        <w:t>Part II, Item 8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Statements and Supplementary Data, Note 7 Joint Ventures </w:t>
      </w:r>
      <w:r>
        <w:rPr>
          <w:rFonts w:ascii="Arial" w:cs="Arial" w:eastAsia="Arial" w:hAnsi="Arial"/>
          <w:sz w:val="14"/>
          <w:szCs w:val="14"/>
          <w:color w:val="auto"/>
        </w:rPr>
        <w:t>in our Annual Report on Form 10-K for the year ended December 31, 2020 for more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about our noncontrolling interests in the Ares and Elk Hills Carbon joint ventures.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Successor</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Predecessor</w:t>
            </w:r>
          </w:p>
        </w:tc>
        <w:tc>
          <w:tcPr>
            <w:tcW w:w="1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Successor</w:t>
            </w:r>
          </w:p>
        </w:tc>
        <w:tc>
          <w:tcPr>
            <w:tcW w:w="10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Predecessor</w:t>
            </w:r>
          </w:p>
        </w:tc>
      </w:tr>
      <w:tr>
        <w:trPr>
          <w:trHeight w:val="158"/>
        </w:trPr>
        <w:tc>
          <w:tcPr>
            <w:tcW w:w="5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rPr>
              <w:t>Three months</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rPr>
              <w:t>Three months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rPr>
              <w:t>Six months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9"/>
              <w:spacing w:after="0" w:line="158" w:lineRule="exact"/>
              <w:rPr>
                <w:sz w:val="20"/>
                <w:szCs w:val="20"/>
                <w:color w:val="auto"/>
              </w:rPr>
            </w:pPr>
            <w:r>
              <w:rPr>
                <w:rFonts w:ascii="Arial" w:cs="Arial" w:eastAsia="Arial" w:hAnsi="Arial"/>
                <w:sz w:val="16"/>
                <w:szCs w:val="16"/>
                <w:b w:val="1"/>
                <w:bCs w:val="1"/>
                <w:color w:val="auto"/>
              </w:rPr>
              <w:t>Six months</w:t>
            </w:r>
          </w:p>
        </w:tc>
      </w:tr>
      <w:tr>
        <w:trPr>
          <w:trHeight w:val="215"/>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ended June 30,</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ended June 30,</w:t>
            </w:r>
          </w:p>
        </w:tc>
        <w:tc>
          <w:tcPr>
            <w:tcW w:w="1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ended June 30,</w:t>
            </w:r>
          </w:p>
        </w:tc>
        <w:tc>
          <w:tcPr>
            <w:tcW w:w="10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b w:val="1"/>
                <w:bCs w:val="1"/>
                <w:color w:val="auto"/>
              </w:rPr>
              <w:t>ended June 30,</w:t>
            </w:r>
          </w:p>
        </w:tc>
      </w:tr>
      <w:tr>
        <w:trPr>
          <w:trHeight w:val="209"/>
        </w:trPr>
        <w:tc>
          <w:tcPr>
            <w:tcW w:w="50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2020</w:t>
            </w:r>
          </w:p>
        </w:tc>
      </w:tr>
      <w:tr>
        <w:trPr>
          <w:trHeight w:val="196"/>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177"/>
        </w:trPr>
        <w:tc>
          <w:tcPr>
            <w:tcW w:w="5060" w:type="dxa"/>
            <w:vAlign w:val="bottom"/>
          </w:tcPr>
          <w:p>
            <w:pPr>
              <w:ind w:left="360"/>
              <w:spacing w:after="0" w:line="178" w:lineRule="exact"/>
              <w:rPr>
                <w:sz w:val="20"/>
                <w:szCs w:val="20"/>
                <w:color w:val="auto"/>
              </w:rPr>
            </w:pPr>
            <w:r>
              <w:rPr>
                <w:rFonts w:ascii="Arial" w:cs="Arial" w:eastAsia="Arial" w:hAnsi="Arial"/>
                <w:sz w:val="16"/>
                <w:szCs w:val="16"/>
                <w:color w:val="auto"/>
              </w:rPr>
              <w:t>Adjustments to reconcile net loss to net cash provided by (used</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5060" w:type="dxa"/>
            <w:vAlign w:val="bottom"/>
          </w:tcPr>
          <w:p>
            <w:pPr>
              <w:ind w:left="360"/>
              <w:spacing w:after="0"/>
              <w:rPr>
                <w:sz w:val="20"/>
                <w:szCs w:val="20"/>
                <w:color w:val="auto"/>
              </w:rPr>
            </w:pPr>
            <w:r>
              <w:rPr>
                <w:rFonts w:ascii="Arial" w:cs="Arial" w:eastAsia="Arial" w:hAnsi="Arial"/>
                <w:sz w:val="16"/>
                <w:szCs w:val="16"/>
                <w:color w:val="auto"/>
              </w:rPr>
              <w:t>in) operating activities: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9"/>
        </w:trPr>
        <w:tc>
          <w:tcPr>
            <w:tcW w:w="5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5060" w:type="dxa"/>
            <w:vAlign w:val="bottom"/>
          </w:tcPr>
          <w:p>
            <w:pPr>
              <w:ind w:left="680"/>
              <w:spacing w:after="0"/>
              <w:rPr>
                <w:sz w:val="20"/>
                <w:szCs w:val="20"/>
                <w:color w:val="auto"/>
              </w:rPr>
            </w:pPr>
            <w:r>
              <w:rPr>
                <w:rFonts w:ascii="Arial" w:cs="Arial" w:eastAsia="Arial" w:hAnsi="Arial"/>
                <w:sz w:val="16"/>
                <w:szCs w:val="16"/>
                <w:color w:val="auto"/>
              </w:rPr>
              <w:t>Asset impairments</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1,736</w:t>
            </w:r>
          </w:p>
        </w:tc>
      </w:tr>
      <w:tr>
        <w:trPr>
          <w:trHeight w:val="219"/>
        </w:trPr>
        <w:tc>
          <w:tcPr>
            <w:tcW w:w="5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derivative loss (gain) from commodity contracts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5060" w:type="dxa"/>
            <w:vAlign w:val="bottom"/>
          </w:tcPr>
          <w:p>
            <w:pPr>
              <w:ind w:left="680"/>
              <w:spacing w:after="0"/>
              <w:rPr>
                <w:sz w:val="20"/>
                <w:szCs w:val="20"/>
                <w:color w:val="auto"/>
              </w:rPr>
            </w:pPr>
            <w:r>
              <w:rPr>
                <w:rFonts w:ascii="Arial" w:cs="Arial" w:eastAsia="Arial" w:hAnsi="Arial"/>
                <w:sz w:val="16"/>
                <w:szCs w:val="16"/>
                <w:color w:val="auto"/>
              </w:rPr>
              <w:t>Net (payments) proceeds from settled commodity derivatives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5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loss (gain) on early extinguishment of debt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5060" w:type="dxa"/>
            <w:vAlign w:val="bottom"/>
          </w:tcPr>
          <w:p>
            <w:pPr>
              <w:ind w:left="680"/>
              <w:spacing w:after="0"/>
              <w:rPr>
                <w:sz w:val="20"/>
                <w:szCs w:val="20"/>
                <w:color w:val="auto"/>
              </w:rPr>
            </w:pPr>
            <w:r>
              <w:rPr>
                <w:rFonts w:ascii="Arial" w:cs="Arial" w:eastAsia="Arial" w:hAnsi="Arial"/>
                <w:sz w:val="16"/>
                <w:szCs w:val="16"/>
                <w:color w:val="auto"/>
              </w:rPr>
              <w:t>Amortization of deferred gain</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5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on asset divestiture</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680"/>
              <w:spacing w:after="0"/>
              <w:rPr>
                <w:sz w:val="20"/>
                <w:szCs w:val="20"/>
                <w:color w:val="auto"/>
              </w:rPr>
            </w:pPr>
            <w:r>
              <w:rPr>
                <w:rFonts w:ascii="Arial" w:cs="Arial" w:eastAsia="Arial" w:hAnsi="Arial"/>
                <w:sz w:val="16"/>
                <w:szCs w:val="16"/>
                <w:color w:val="auto"/>
              </w:rPr>
              <w:t>Other non-cash charges to income, net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7"/>
        </w:trPr>
        <w:tc>
          <w:tcPr>
            <w:tcW w:w="5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199"/>
        </w:trPr>
        <w:tc>
          <w:tcPr>
            <w:tcW w:w="5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investments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Changes in accrued capital investments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asset divestitures</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506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99"/>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Proceeds from Revolving Credit Facility</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Revolving Credit Facility</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Proceeds from 2014 Revolving Credit Facility</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795</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2014 Revolving Credit Facility</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Proceeds from Senior Notes</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Debt repurchases</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Debt issuance costs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Second Lien Term Loan</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Repayment of EHP Notes</w:t>
            </w:r>
          </w:p>
        </w:tc>
        <w:tc>
          <w:tcPr>
            <w:tcW w:w="12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2020 Senior Notes</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Contribution from noncontrolling interest holders</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5060" w:type="dxa"/>
            <w:vAlign w:val="bottom"/>
          </w:tcPr>
          <w:p>
            <w:pPr>
              <w:ind w:left="360"/>
              <w:spacing w:after="0"/>
              <w:rPr>
                <w:sz w:val="20"/>
                <w:szCs w:val="20"/>
                <w:color w:val="auto"/>
              </w:rPr>
            </w:pPr>
            <w:r>
              <w:rPr>
                <w:rFonts w:ascii="Arial" w:cs="Arial" w:eastAsia="Arial" w:hAnsi="Arial"/>
                <w:sz w:val="16"/>
                <w:szCs w:val="16"/>
                <w:color w:val="auto"/>
              </w:rPr>
              <w:t>Distributions paid to noncontrolling interest holders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cancelled for taxes</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5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Increase in cash</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Cash—beginning of period</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28"/>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Cash—end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-6174740</wp:posOffset>
            </wp:positionV>
            <wp:extent cx="7132320" cy="61804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-87630</wp:posOffset>
            </wp:positionV>
            <wp:extent cx="39262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w:t>
      </w:r>
    </w:p>
    <w:p>
      <w:pPr>
        <w:spacing w:after="0" w:line="252"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w:t>
      </w:r>
    </w:p>
    <w:p>
      <w:pPr>
        <w:spacing w:after="0" w:line="22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the opinion of our management, the accompanying unaudited financial statements contain all adjustments (consisting of normal recurring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w:t>
      </w:r>
    </w:p>
    <w:p>
      <w:pPr>
        <w:spacing w:after="0" w:line="23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3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2020 (2020 Annual Report).</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ACCOUNTING AND DISCLOSURE CHANGES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7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On July 15, 2020, we filed voluntary petitions for relief under Chapter 11 of Title 11 of the Bankruptcy Code. On October 13, 2020, the Bankruptcy Court confirmed our joint plan of reorganization (the Plan) and we subsequently emerged from Chapter 11 on October 27, 2020 with a new Board of Directors, new equity owners and a significantly improved financial position.</w:t>
      </w: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We qualified for and adopted fresh start accounting upon emergence from bankruptcy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 See </w:t>
      </w:r>
      <w:r>
        <w:rPr>
          <w:rFonts w:ascii="Arial" w:cs="Arial" w:eastAsia="Arial" w:hAnsi="Arial"/>
          <w:sz w:val="18"/>
          <w:szCs w:val="18"/>
          <w:i w:val="1"/>
          <w:iCs w:val="1"/>
          <w:color w:val="auto"/>
        </w:rPr>
        <w:t>Part II,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 – Financial Statements and Supplementary Data, Note 2 Chapter 11 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3 Fresh Start Accounting </w:t>
      </w:r>
      <w:r>
        <w:rPr>
          <w:rFonts w:ascii="Arial" w:cs="Arial" w:eastAsia="Arial" w:hAnsi="Arial"/>
          <w:sz w:val="18"/>
          <w:szCs w:val="18"/>
          <w:color w:val="auto"/>
        </w:rPr>
        <w:t>in our 2020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for additional information on the terms of the Plan, our emergence from bankruptcy and application of fresh start accounting.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ind w:right="60" w:firstLine="324"/>
        <w:spacing w:after="0" w:line="253" w:lineRule="auto"/>
        <w:rPr>
          <w:sz w:val="20"/>
          <w:szCs w:val="20"/>
          <w:color w:val="auto"/>
        </w:rPr>
      </w:pPr>
      <w:r>
        <w:rPr>
          <w:rFonts w:ascii="Arial" w:cs="Arial" w:eastAsia="Arial" w:hAnsi="Arial"/>
          <w:sz w:val="18"/>
          <w:szCs w:val="18"/>
          <w:color w:val="auto"/>
        </w:rPr>
        <w:t>We adopted new accounting guidance on current expected credit losses on January 1, 2020, using a modified retrospective approach to the first period in which the guidance was effective. The new rules changed the measurement of credit losses for financial assets and certain other instruments, including trade and other receivables with a right to receive cash, and require the use of a new forward-looking expected loss model that results in the earlier recognition of an allowance for losses. The adoption of these new rules did not have a significant impact on our condensed consolidated financial statements.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NOTE 3  OTHER INFORMATION</w:t>
            </w: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360" w:type="dxa"/>
            <w:vAlign w:val="bottom"/>
          </w:tcPr>
          <w:p>
            <w:pPr>
              <w:ind w:left="300"/>
              <w:spacing w:after="0"/>
              <w:rPr>
                <w:sz w:val="20"/>
                <w:szCs w:val="20"/>
                <w:color w:val="auto"/>
              </w:rPr>
            </w:pPr>
            <w:r>
              <w:rPr>
                <w:rFonts w:ascii="Arial" w:cs="Arial" w:eastAsia="Arial" w:hAnsi="Arial"/>
                <w:sz w:val="18"/>
                <w:szCs w:val="18"/>
                <w:i w:val="1"/>
                <w:iCs w:val="1"/>
                <w:color w:val="auto"/>
              </w:rPr>
              <w:t xml:space="preserve">Other current assets </w:t>
            </w:r>
            <w:r>
              <w:rPr>
                <w:rFonts w:ascii="Arial" w:cs="Arial" w:eastAsia="Arial" w:hAnsi="Arial"/>
                <w:sz w:val="18"/>
                <w:szCs w:val="18"/>
                <w:color w:val="auto"/>
              </w:rPr>
              <w:t>— Other current assets includes the following:</w:t>
            </w: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Successor</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joint interest partners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Receivables for premiums on derivative contracts</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 Other assets includes the following:</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Successor</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financing costs - Revolving Credit Facility</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Emission reduction credits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Prepaid power plant maintenance</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 and other</w:t>
            </w: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vMerge w:val="restart"/>
          </w:tcPr>
          <w:p>
            <w:pPr>
              <w:ind w:left="300"/>
              <w:spacing w:after="0"/>
              <w:rPr>
                <w:sz w:val="20"/>
                <w:szCs w:val="20"/>
                <w:color w:val="auto"/>
              </w:rPr>
            </w:pPr>
            <w:r>
              <w:rPr>
                <w:rFonts w:ascii="Arial" w:cs="Arial" w:eastAsia="Arial" w:hAnsi="Arial"/>
                <w:sz w:val="18"/>
                <w:szCs w:val="18"/>
                <w:i w:val="1"/>
                <w:iCs w:val="1"/>
                <w:color w:val="auto"/>
              </w:rPr>
              <w:t xml:space="preserve">Accrued liabilities </w:t>
            </w:r>
            <w:r>
              <w:rPr>
                <w:rFonts w:ascii="Arial" w:cs="Arial" w:eastAsia="Arial" w:hAnsi="Arial"/>
                <w:sz w:val="18"/>
                <w:szCs w:val="18"/>
                <w:color w:val="auto"/>
              </w:rPr>
              <w:t>— Accrued liabilities includes the following:</w:t>
            </w: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4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Successor</w:t>
            </w: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9"/>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3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employee-related costs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taxes other than on income</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Accrued interest</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premiums on derivative contracts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settlement payments due on derivative contracts</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5"/>
        </w:trPr>
        <w:tc>
          <w:tcPr>
            <w:tcW w:w="7380" w:type="dxa"/>
            <w:vAlign w:val="bottom"/>
          </w:tcPr>
          <w:p>
            <w:pPr>
              <w:ind w:left="340"/>
              <w:spacing w:after="0"/>
              <w:rPr>
                <w:sz w:val="20"/>
                <w:szCs w:val="20"/>
                <w:color w:val="auto"/>
              </w:rPr>
            </w:pP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 Other long-term liabilities includes the following:</w:t>
            </w: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99"/>
        </w:trPr>
        <w:tc>
          <w:tcPr>
            <w:tcW w:w="738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Successor</w:t>
            </w:r>
          </w:p>
        </w:tc>
        <w:tc>
          <w:tcPr>
            <w:tcW w:w="1300" w:type="dxa"/>
            <w:vAlign w:val="bottom"/>
            <w:tcBorders>
              <w:bottom w:val="single" w:sz="8" w:color="auto"/>
            </w:tcBorders>
          </w:tcPr>
          <w:p>
            <w:pPr>
              <w:spacing w:after="0"/>
              <w:rPr>
                <w:sz w:val="24"/>
                <w:szCs w:val="24"/>
                <w:color w:val="auto"/>
              </w:rPr>
            </w:pPr>
          </w:p>
        </w:tc>
      </w:tr>
      <w:tr>
        <w:trPr>
          <w:trHeight w:val="214"/>
        </w:trPr>
        <w:tc>
          <w:tcPr>
            <w:tcW w:w="7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380" w:type="dxa"/>
            <w:vAlign w:val="bottom"/>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r>
      <w:tr>
        <w:trPr>
          <w:trHeight w:val="183"/>
        </w:trPr>
        <w:tc>
          <w:tcPr>
            <w:tcW w:w="7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6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15"/>
                <w:szCs w:val="15"/>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Deferred compensation and postretirement</w:t>
            </w:r>
          </w:p>
        </w:tc>
        <w:tc>
          <w:tcPr>
            <w:tcW w:w="1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1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Fair value of derivative contracts</w:t>
            </w:r>
          </w:p>
        </w:tc>
        <w:tc>
          <w:tcPr>
            <w:tcW w:w="1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premiums on derivative contracts</w:t>
            </w:r>
          </w:p>
        </w:tc>
        <w:tc>
          <w:tcPr>
            <w:tcW w:w="1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Disaggregated revenue for sales of oil, natural gas and NGLs to customers includes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Predecessor</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316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Six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Six months ended</w:t>
            </w:r>
          </w:p>
        </w:tc>
      </w:tr>
      <w:tr>
        <w:trPr>
          <w:trHeight w:val="229"/>
        </w:trPr>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3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63"/>
        </w:trPr>
        <w:tc>
          <w:tcPr>
            <w:tcW w:w="3160" w:type="dxa"/>
            <w:vAlign w:val="bottom"/>
          </w:tcPr>
          <w:p>
            <w:pPr>
              <w:ind w:left="140"/>
              <w:spacing w:after="0"/>
              <w:rPr>
                <w:sz w:val="20"/>
                <w:szCs w:val="20"/>
                <w:color w:val="auto"/>
              </w:rPr>
            </w:pPr>
            <w:r>
              <w:rPr>
                <w:rFonts w:ascii="Arial" w:cs="Arial" w:eastAsia="Arial" w:hAnsi="Arial"/>
                <w:sz w:val="18"/>
                <w:szCs w:val="18"/>
                <w:color w:val="auto"/>
              </w:rPr>
              <w:t>Oil, natural gas and NGL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Other expenses, net includes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Predecessor</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3160" w:type="dxa"/>
            <w:vAlign w:val="bottom"/>
          </w:tcPr>
          <w:p>
            <w:pPr>
              <w:spacing w:after="0"/>
              <w:rPr>
                <w:sz w:val="14"/>
                <w:szCs w:val="14"/>
                <w:color w:val="auto"/>
              </w:rPr>
            </w:pPr>
          </w:p>
        </w:tc>
        <w:tc>
          <w:tcPr>
            <w:tcW w:w="18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rPr>
              <w:t>Six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Six months ended</w:t>
            </w:r>
          </w:p>
        </w:tc>
      </w:tr>
      <w:tr>
        <w:trPr>
          <w:trHeight w:val="230"/>
        </w:trPr>
        <w:tc>
          <w:tcPr>
            <w:tcW w:w="3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Pr>
          <w:p>
            <w:pPr>
              <w:spacing w:after="0"/>
              <w:rPr>
                <w:sz w:val="19"/>
                <w:szCs w:val="19"/>
                <w:color w:val="auto"/>
              </w:rPr>
            </w:pPr>
          </w:p>
        </w:tc>
        <w:tc>
          <w:tcPr>
            <w:tcW w:w="18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3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3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Severance and termination costs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3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Deficiency payment on a pipeline</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delivery contract</w:t>
            </w:r>
          </w:p>
        </w:tc>
        <w:tc>
          <w:tcPr>
            <w:tcW w:w="30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did not make U.S. federal and state income tax payments during the three and six months ended June 30, 2021 and 2020. Interest paid, net of capitalized amounts, totaled $2 million and $6 million for the three months ended June 30, 2021 and 2020, respectively. Interest paid, net of capitalized amounts, totaled $4 million and $ 51 million for the six months ended June 30, 2021 and 2020, respectively. Cash paid for reorganization items during the three and six months ended June 30, 2021 was $2 million and $4 million, respectively, for legal, professional and other fees.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6" w:lineRule="exact"/>
        <w:rPr>
          <w:sz w:val="20"/>
          <w:szCs w:val="20"/>
          <w:color w:val="auto"/>
        </w:rPr>
      </w:pPr>
    </w:p>
    <w:p>
      <w:pPr>
        <w:ind w:right="140" w:firstLine="324"/>
        <w:spacing w:after="0" w:line="282" w:lineRule="auto"/>
        <w:rPr>
          <w:sz w:val="20"/>
          <w:szCs w:val="20"/>
          <w:color w:val="auto"/>
        </w:rPr>
      </w:pPr>
      <w:r>
        <w:rPr>
          <w:rFonts w:ascii="Arial" w:cs="Arial" w:eastAsia="Arial" w:hAnsi="Arial"/>
          <w:sz w:val="18"/>
          <w:szCs w:val="18"/>
          <w:color w:val="auto"/>
        </w:rPr>
        <w:t xml:space="preserve">The carrying amounts of cash and on-balance sheet financial instruments, other than debt, approximate fair value. Refer to </w:t>
      </w:r>
      <w:r>
        <w:rPr>
          <w:rFonts w:ascii="Arial" w:cs="Arial" w:eastAsia="Arial" w:hAnsi="Arial"/>
          <w:sz w:val="18"/>
          <w:szCs w:val="18"/>
          <w:i w:val="1"/>
          <w:iCs w:val="1"/>
          <w:color w:val="auto"/>
        </w:rPr>
        <w:t>Note 5 Debt</w:t>
      </w:r>
      <w:r>
        <w:rPr>
          <w:rFonts w:ascii="Arial" w:cs="Arial" w:eastAsia="Arial" w:hAnsi="Arial"/>
          <w:sz w:val="18"/>
          <w:szCs w:val="18"/>
          <w:color w:val="auto"/>
        </w:rPr>
        <w:t xml:space="preserve"> for the fair value of our debt. Refer to </w:t>
      </w:r>
      <w:r>
        <w:rPr>
          <w:rFonts w:ascii="Arial" w:cs="Arial" w:eastAsia="Arial" w:hAnsi="Arial"/>
          <w:sz w:val="18"/>
          <w:szCs w:val="18"/>
          <w:i w:val="1"/>
          <w:iCs w:val="1"/>
          <w:color w:val="auto"/>
        </w:rPr>
        <w:t>Note 12 Asset Impairments</w:t>
      </w:r>
      <w:r>
        <w:rPr>
          <w:rFonts w:ascii="Arial" w:cs="Arial" w:eastAsia="Arial" w:hAnsi="Arial"/>
          <w:sz w:val="18"/>
          <w:szCs w:val="18"/>
          <w:color w:val="auto"/>
        </w:rPr>
        <w:t xml:space="preserve"> for impairment charges related to our long-lived assets.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2" w:name="page13"/>
    <w:bookmarkEnd w:id="12"/>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INVENTORIES</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Materials and supplies, which primarily consist of well equipment and tubular goods used in our oil and natural gas operations, are valued at weighted-average cost and are reviewed periodically for obsolescence. Finished goods predominantly comprise produced oil and NGLs in storage, which are valued at the lower of cost or net realizable value. Inventories, by category, are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Successor</w:t>
            </w:r>
          </w:p>
        </w:tc>
        <w:tc>
          <w:tcPr>
            <w:tcW w:w="320" w:type="dxa"/>
            <w:vAlign w:val="bottom"/>
            <w:tcBorders>
              <w:bottom w:val="single" w:sz="8" w:color="auto"/>
            </w:tcBorders>
          </w:tcPr>
          <w:p>
            <w:pPr>
              <w:spacing w:after="0"/>
              <w:rPr>
                <w:sz w:val="20"/>
                <w:szCs w:val="20"/>
                <w:color w:val="auto"/>
              </w:rPr>
            </w:pPr>
          </w:p>
        </w:tc>
      </w:tr>
      <w:tr>
        <w:trPr>
          <w:trHeight w:val="214"/>
        </w:trPr>
        <w:tc>
          <w:tcPr>
            <w:tcW w:w="7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8"/>
                <w:szCs w:val="18"/>
                <w:color w:val="auto"/>
              </w:rPr>
            </w:pPr>
          </w:p>
        </w:tc>
      </w:tr>
      <w:tr>
        <w:trPr>
          <w:trHeight w:val="239"/>
        </w:trPr>
        <w:tc>
          <w:tcPr>
            <w:tcW w:w="7360" w:type="dxa"/>
            <w:vAlign w:val="bottom"/>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r>
      <w:tr>
        <w:trPr>
          <w:trHeight w:val="183"/>
        </w:trPr>
        <w:tc>
          <w:tcPr>
            <w:tcW w:w="7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40" w:type="dxa"/>
            <w:vAlign w:val="bottom"/>
            <w:gridSpan w:val="3"/>
          </w:tcPr>
          <w:p>
            <w:pPr>
              <w:jc w:val="right"/>
              <w:ind w:right="113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5"/>
                <w:szCs w:val="15"/>
                <w:color w:val="auto"/>
              </w:rPr>
            </w:pP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DEBT</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2021 and December 31, 2020, our long-term debt consisted of the following: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6"/>
                <w:szCs w:val="16"/>
                <w:b w:val="1"/>
                <w:bCs w:val="1"/>
                <w:color w:val="auto"/>
              </w:rPr>
              <w:t>Successor</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8"/>
        </w:trPr>
        <w:tc>
          <w:tcPr>
            <w:tcW w:w="35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35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rPr>
              <w:t>2021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Interest 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185"/>
        </w:trPr>
        <w:tc>
          <w:tcPr>
            <w:tcW w:w="35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color w:val="auto"/>
              </w:rPr>
              <w:t>(in millions)</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r>
      <w:tr>
        <w:trPr>
          <w:trHeight w:val="177"/>
        </w:trPr>
        <w:tc>
          <w:tcPr>
            <w:tcW w:w="3560" w:type="dxa"/>
            <w:vAlign w:val="bottom"/>
            <w:shd w:val="clear" w:color="auto" w:fill="CCEEFF"/>
          </w:tcPr>
          <w:p>
            <w:pPr>
              <w:ind w:left="140"/>
              <w:spacing w:after="0" w:line="178" w:lineRule="exact"/>
              <w:rPr>
                <w:sz w:val="20"/>
                <w:szCs w:val="20"/>
                <w:color w:val="auto"/>
              </w:rPr>
            </w:pPr>
            <w:r>
              <w:rPr>
                <w:rFonts w:ascii="Arial" w:cs="Arial" w:eastAsia="Arial" w:hAnsi="Arial"/>
                <w:sz w:val="16"/>
                <w:szCs w:val="16"/>
                <w:color w:val="auto"/>
              </w:rPr>
              <w:t>Revolving Credit Facility</w:t>
            </w:r>
          </w:p>
        </w:tc>
        <w:tc>
          <w:tcPr>
            <w:tcW w:w="1240" w:type="dxa"/>
            <w:vAlign w:val="bottom"/>
            <w:shd w:val="clear" w:color="auto" w:fill="CCEEFF"/>
          </w:tcPr>
          <w:p>
            <w:pPr>
              <w:jc w:val="right"/>
              <w:ind w:right="1059"/>
              <w:spacing w:after="0" w:line="178" w:lineRule="exact"/>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19"/>
              <w:spacing w:after="0" w:line="178" w:lineRule="exact"/>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center"/>
              <w:ind w:right="100"/>
              <w:spacing w:after="0" w:line="178" w:lineRule="exact"/>
              <w:rPr>
                <w:sz w:val="20"/>
                <w:szCs w:val="20"/>
                <w:color w:val="auto"/>
              </w:rPr>
            </w:pPr>
            <w:r>
              <w:rPr>
                <w:rFonts w:ascii="Arial" w:cs="Arial" w:eastAsia="Arial" w:hAnsi="Arial"/>
                <w:sz w:val="16"/>
                <w:szCs w:val="16"/>
                <w:color w:val="auto"/>
              </w:rPr>
              <w:t>LIBOR plus 3%-4%</w:t>
            </w:r>
          </w:p>
        </w:tc>
        <w:tc>
          <w:tcPr>
            <w:tcW w:w="17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April 29, 2024</w:t>
            </w:r>
          </w:p>
        </w:tc>
      </w:tr>
      <w:tr>
        <w:trPr>
          <w:trHeight w:val="201"/>
        </w:trPr>
        <w:tc>
          <w:tcPr>
            <w:tcW w:w="35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ABR plus 2%-3%</w:t>
            </w:r>
          </w:p>
        </w:tc>
        <w:tc>
          <w:tcPr>
            <w:tcW w:w="1760" w:type="dxa"/>
            <w:vAlign w:val="bottom"/>
            <w:shd w:val="clear" w:color="auto" w:fill="CCEEFF"/>
          </w:tcPr>
          <w:p>
            <w:pPr>
              <w:spacing w:after="0"/>
              <w:rPr>
                <w:sz w:val="17"/>
                <w:szCs w:val="17"/>
                <w:color w:val="auto"/>
              </w:rPr>
            </w:pPr>
          </w:p>
        </w:tc>
      </w:tr>
      <w:tr>
        <w:trPr>
          <w:trHeight w:val="177"/>
        </w:trPr>
        <w:tc>
          <w:tcPr>
            <w:tcW w:w="3560" w:type="dxa"/>
            <w:vAlign w:val="bottom"/>
          </w:tcPr>
          <w:p>
            <w:pPr>
              <w:ind w:left="140"/>
              <w:spacing w:after="0" w:line="178" w:lineRule="exact"/>
              <w:rPr>
                <w:sz w:val="20"/>
                <w:szCs w:val="20"/>
                <w:color w:val="auto"/>
              </w:rPr>
            </w:pPr>
            <w:r>
              <w:rPr>
                <w:rFonts w:ascii="Arial" w:cs="Arial" w:eastAsia="Arial" w:hAnsi="Arial"/>
                <w:sz w:val="16"/>
                <w:szCs w:val="16"/>
                <w:color w:val="auto"/>
              </w:rPr>
              <w:t>Second Lien Term Loan</w:t>
            </w:r>
          </w:p>
        </w:tc>
        <w:tc>
          <w:tcPr>
            <w:tcW w:w="1240" w:type="dxa"/>
            <w:vAlign w:val="bottom"/>
          </w:tcPr>
          <w:p>
            <w:pPr>
              <w:spacing w:after="0"/>
              <w:rPr>
                <w:sz w:val="15"/>
                <w:szCs w:val="15"/>
                <w:color w:val="auto"/>
              </w:rPr>
            </w:pPr>
          </w:p>
        </w:tc>
        <w:tc>
          <w:tcPr>
            <w:tcW w:w="540" w:type="dxa"/>
            <w:vAlign w:val="bottom"/>
            <w:gridSpan w:val="2"/>
          </w:tcPr>
          <w:p>
            <w:pPr>
              <w:jc w:val="right"/>
              <w:ind w:right="160"/>
              <w:spacing w:after="0" w:line="178" w:lineRule="exact"/>
              <w:rPr>
                <w:sz w:val="20"/>
                <w:szCs w:val="20"/>
                <w:color w:val="auto"/>
              </w:rPr>
            </w:pPr>
            <w:r>
              <w:rPr>
                <w:rFonts w:ascii="Arial" w:cs="Arial" w:eastAsia="Arial" w:hAnsi="Arial"/>
                <w:sz w:val="16"/>
                <w:szCs w:val="16"/>
                <w:color w:val="auto"/>
              </w:rPr>
              <w:t>—</w:t>
            </w:r>
          </w:p>
        </w:tc>
        <w:tc>
          <w:tcPr>
            <w:tcW w:w="120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200</w:t>
            </w:r>
          </w:p>
        </w:tc>
        <w:tc>
          <w:tcPr>
            <w:tcW w:w="100" w:type="dxa"/>
            <w:vAlign w:val="bottom"/>
          </w:tcPr>
          <w:p>
            <w:pPr>
              <w:spacing w:after="0"/>
              <w:rPr>
                <w:sz w:val="15"/>
                <w:szCs w:val="15"/>
                <w:color w:val="auto"/>
              </w:rPr>
            </w:pPr>
          </w:p>
        </w:tc>
        <w:tc>
          <w:tcPr>
            <w:tcW w:w="2340" w:type="dxa"/>
            <w:vAlign w:val="bottom"/>
            <w:gridSpan w:val="2"/>
          </w:tcPr>
          <w:p>
            <w:pPr>
              <w:jc w:val="center"/>
              <w:ind w:right="80"/>
              <w:spacing w:after="0" w:line="178" w:lineRule="exact"/>
              <w:rPr>
                <w:sz w:val="20"/>
                <w:szCs w:val="20"/>
                <w:color w:val="auto"/>
              </w:rPr>
            </w:pPr>
            <w:r>
              <w:rPr>
                <w:rFonts w:ascii="Arial" w:cs="Arial" w:eastAsia="Arial" w:hAnsi="Arial"/>
                <w:sz w:val="16"/>
                <w:szCs w:val="16"/>
                <w:color w:val="auto"/>
              </w:rPr>
              <w:t>LIBOR plus 9%-10.5%</w:t>
            </w:r>
          </w:p>
        </w:tc>
        <w:tc>
          <w:tcPr>
            <w:tcW w:w="1760" w:type="dxa"/>
            <w:vAlign w:val="bottom"/>
          </w:tcPr>
          <w:p>
            <w:pPr>
              <w:jc w:val="center"/>
              <w:spacing w:after="0" w:line="178" w:lineRule="exact"/>
              <w:rPr>
                <w:sz w:val="20"/>
                <w:szCs w:val="20"/>
                <w:color w:val="auto"/>
              </w:rPr>
            </w:pPr>
            <w:r>
              <w:rPr>
                <w:rFonts w:ascii="Arial" w:cs="Arial" w:eastAsia="Arial" w:hAnsi="Arial"/>
                <w:sz w:val="16"/>
                <w:szCs w:val="16"/>
                <w:color w:val="auto"/>
              </w:rPr>
              <w:t>October 27, 2025</w:t>
            </w:r>
          </w:p>
        </w:tc>
      </w:tr>
      <w:tr>
        <w:trPr>
          <w:trHeight w:val="198"/>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6"/>
                <w:szCs w:val="16"/>
                <w:color w:val="auto"/>
              </w:rPr>
              <w:t>ABR plus 8%-9.5%</w:t>
            </w:r>
          </w:p>
        </w:tc>
        <w:tc>
          <w:tcPr>
            <w:tcW w:w="1760" w:type="dxa"/>
            <w:vAlign w:val="bottom"/>
          </w:tcPr>
          <w:p>
            <w:pPr>
              <w:spacing w:after="0"/>
              <w:rPr>
                <w:sz w:val="17"/>
                <w:szCs w:val="17"/>
                <w:color w:val="auto"/>
              </w:rPr>
            </w:pPr>
          </w:p>
        </w:tc>
      </w:tr>
      <w:tr>
        <w:trPr>
          <w:trHeight w:val="219"/>
        </w:trPr>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EHP Notes</w:t>
            </w:r>
          </w:p>
        </w:tc>
        <w:tc>
          <w:tcPr>
            <w:tcW w:w="12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34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October 27, 2027</w:t>
            </w:r>
          </w:p>
        </w:tc>
      </w:tr>
      <w:tr>
        <w:trPr>
          <w:trHeight w:val="213"/>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Senior Notes</w:t>
            </w:r>
          </w:p>
        </w:tc>
        <w:tc>
          <w:tcPr>
            <w:tcW w:w="1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CCEEFF"/>
            </w:tcBorders>
            <w:gridSpan w:val="2"/>
          </w:tcPr>
          <w:p>
            <w:pPr>
              <w:jc w:val="right"/>
              <w:ind w:right="759"/>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February 1, 2026</w:t>
            </w:r>
          </w:p>
        </w:tc>
      </w:tr>
      <w:tr>
        <w:trPr>
          <w:trHeight w:val="213"/>
        </w:trPr>
        <w:tc>
          <w:tcPr>
            <w:tcW w:w="35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Principal Amount</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Unamortized debt issuance costs</w:t>
            </w:r>
          </w:p>
        </w:tc>
        <w:tc>
          <w:tcPr>
            <w:tcW w:w="1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8"/>
              </w:rPr>
              <w:t>(11)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r>
      <w:tr>
        <w:trPr>
          <w:trHeight w:val="234"/>
        </w:trPr>
        <w:tc>
          <w:tcPr>
            <w:tcW w:w="3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Long-term debt, net</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7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On October 27, 2020, we entered into a Credit Agreement with Citibank, N.A., as administrative agent, and certain other lenders. This credit agreement consists of a senior revolving loan facility (Revolving Credit Facility) with an aggregate commitment of $492 million, which we are permitted to increase if we obtain additional commitments from new or existing lenders. Our Revolving Credit Facility also includes a sub-limit of $200 million for the issuance of letters of credit. The letters of credit were issued to support ordinary course marketing, insurance, regulatory and other matters.</w:t>
      </w:r>
    </w:p>
    <w:p>
      <w:pPr>
        <w:spacing w:after="0" w:line="232"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The borrowing base is redetermined around April and October of each year and was most recently set at $1.2 billion in May 2021.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 described above.</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7, 2021, we amended the Revolving Credit Facility to:</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borrowing base from $1.167 billion to $1.2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evidence the reduction in the aggregate commitment of lenders from $540 million to $492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capacity to make certain restricted payments, including paying dividends and repurchasing our common stock;</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the minimum amount of hedges that we are required to maintain for a rolling 24 month period on reasonably anticipated forecasted crude oil production from 50% to 33% so long as our total net leverage ratio is less than 2.00:1.00; and</w:t>
      </w:r>
    </w:p>
    <w:p>
      <w:pPr>
        <w:ind w:left="660" w:right="1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our maximum hedging limitation to 85% (and permit purchased puts and floors up to 100%) of reasonably anticipated total forecasted production of crude oil, natural gas and NGLs for a 48-month period.</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type w:val="continuous"/>
        </w:sectPr>
      </w:pPr>
    </w:p>
    <w:bookmarkStart w:id="13" w:name="page14"/>
    <w:bookmarkEnd w:id="13"/>
    <w:p>
      <w:pPr>
        <w:ind w:left="340"/>
        <w:spacing w:after="0"/>
        <w:rPr>
          <w:sz w:val="20"/>
          <w:szCs w:val="20"/>
          <w:color w:val="auto"/>
        </w:rPr>
      </w:pPr>
      <w:r>
        <w:rPr>
          <w:rFonts w:ascii="Arial" w:cs="Arial" w:eastAsia="Arial" w:hAnsi="Arial"/>
          <w:sz w:val="17"/>
          <w:szCs w:val="17"/>
          <w:color w:val="auto"/>
        </w:rPr>
        <w:t>As of June 30, 2021, our availability under the Revolving Credit facility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Borrowing capacity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Availability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360" w:type="dxa"/>
            <w:vAlign w:val="bottom"/>
          </w:tcPr>
          <w:p>
            <w:pPr>
              <w:spacing w:after="0"/>
              <w:rPr>
                <w:sz w:val="18"/>
                <w:szCs w:val="18"/>
                <w:color w:val="auto"/>
              </w:rPr>
            </w:pPr>
          </w:p>
        </w:tc>
        <w:tc>
          <w:tcPr>
            <w:tcW w:w="1760" w:type="dxa"/>
            <w:vAlign w:val="bottom"/>
          </w:tcPr>
          <w:p>
            <w:pPr>
              <w:jc w:val="center"/>
              <w:ind w:right="273"/>
              <w:spacing w:after="0"/>
              <w:rPr>
                <w:sz w:val="20"/>
                <w:szCs w:val="20"/>
                <w:color w:val="auto"/>
              </w:rPr>
            </w:pPr>
            <w:r>
              <w:rPr>
                <w:rFonts w:ascii="Arial" w:cs="Arial" w:eastAsia="Arial" w:hAnsi="Arial"/>
                <w:sz w:val="18"/>
                <w:szCs w:val="18"/>
                <w:b w:val="1"/>
                <w:bCs w:val="1"/>
                <w:color w:val="auto"/>
                <w:w w:val="99"/>
              </w:rPr>
              <w:t>June 30,</w:t>
            </w:r>
          </w:p>
        </w:tc>
      </w:tr>
      <w:tr>
        <w:trPr>
          <w:trHeight w:val="239"/>
        </w:trPr>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b w:val="1"/>
                <w:bCs w:val="1"/>
                <w:color w:val="auto"/>
                <w:w w:val="99"/>
              </w:rPr>
              <w:t>2021</w:t>
            </w:r>
          </w:p>
        </w:tc>
      </w:tr>
      <w:tr>
        <w:trPr>
          <w:trHeight w:val="184"/>
        </w:trPr>
        <w:tc>
          <w:tcPr>
            <w:tcW w:w="360" w:type="dxa"/>
            <w:vAlign w:val="bottom"/>
          </w:tcPr>
          <w:p>
            <w:pPr>
              <w:spacing w:after="0"/>
              <w:rPr>
                <w:sz w:val="16"/>
                <w:szCs w:val="16"/>
                <w:color w:val="auto"/>
              </w:rPr>
            </w:pPr>
          </w:p>
        </w:tc>
        <w:tc>
          <w:tcPr>
            <w:tcW w:w="1760" w:type="dxa"/>
            <w:vAlign w:val="bottom"/>
          </w:tcPr>
          <w:p>
            <w:pPr>
              <w:jc w:val="center"/>
              <w:ind w:right="273"/>
              <w:spacing w:after="0"/>
              <w:rPr>
                <w:sz w:val="20"/>
                <w:szCs w:val="20"/>
                <w:color w:val="auto"/>
              </w:rPr>
            </w:pPr>
            <w:r>
              <w:rPr>
                <w:rFonts w:ascii="Arial" w:cs="Arial" w:eastAsia="Arial" w:hAnsi="Arial"/>
                <w:sz w:val="14"/>
                <w:szCs w:val="14"/>
                <w:color w:val="auto"/>
              </w:rPr>
              <w:t>(in millions)</w:t>
            </w:r>
          </w:p>
        </w:tc>
      </w:tr>
      <w:tr>
        <w:trPr>
          <w:trHeight w:val="228"/>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ind w:left="1213"/>
              <w:spacing w:after="0"/>
              <w:rPr>
                <w:sz w:val="20"/>
                <w:szCs w:val="20"/>
                <w:color w:val="auto"/>
              </w:rPr>
            </w:pPr>
            <w:r>
              <w:rPr>
                <w:rFonts w:ascii="Arial" w:cs="Arial" w:eastAsia="Arial" w:hAnsi="Arial"/>
                <w:sz w:val="18"/>
                <w:szCs w:val="18"/>
                <w:color w:val="auto"/>
                <w:w w:val="99"/>
              </w:rPr>
              <w:t>492</w:t>
            </w:r>
          </w:p>
        </w:tc>
      </w:tr>
      <w:tr>
        <w:trPr>
          <w:trHeight w:val="230"/>
        </w:trPr>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99"/>
              </w:rPr>
              <w:t>(125)</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99"/>
              </w:rPr>
              <w:t>367</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25" w:lineRule="exact"/>
        <w:rPr>
          <w:sz w:val="20"/>
          <w:szCs w:val="20"/>
          <w:color w:val="auto"/>
        </w:rPr>
      </w:pPr>
    </w:p>
    <w:p>
      <w:pPr>
        <w:sectPr>
          <w:pgSz w:w="11900" w:h="16838" w:orient="portrait"/>
          <w:cols w:equalWidth="0" w:num="2">
            <w:col w:w="8400" w:space="720"/>
            <w:col w:w="2120"/>
          </w:cols>
          <w:pgMar w:left="320" w:top="1151" w:right="339" w:bottom="1440" w:gutter="0" w:footer="0" w:header="0"/>
        </w:sectPr>
      </w:pPr>
    </w:p>
    <w:p>
      <w:pPr>
        <w:spacing w:after="0" w:line="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On January 20, 2021, we completed an offering of $600 million in aggregate principal amount of our 7.125% senior unsecured notes due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See </w:t>
      </w:r>
      <w:r>
        <w:rPr>
          <w:rFonts w:ascii="Arial" w:cs="Arial" w:eastAsia="Arial" w:hAnsi="Arial"/>
          <w:sz w:val="18"/>
          <w:szCs w:val="18"/>
          <w:i w:val="1"/>
          <w:iCs w:val="1"/>
          <w:color w:val="auto"/>
        </w:rPr>
        <w:t>Part II, Item 8 – Financial Statements and Supplementary Data, Note 8 Debt</w:t>
      </w:r>
      <w:r>
        <w:rPr>
          <w:rFonts w:ascii="Arial" w:cs="Arial" w:eastAsia="Arial" w:hAnsi="Arial"/>
          <w:sz w:val="18"/>
          <w:szCs w:val="18"/>
          <w:color w:val="auto"/>
        </w:rPr>
        <w:t xml:space="preserve"> in our 2020 Annual Report for a description of our Second Lien Term Loan and EHP Notes. We recognized a $2 million loss on extinguishment of debt, including unamortized debt issuance costs, associated with these repayments.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70"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At June 30, 2021, we were in compliance with all financial and other debt covenants under our Revolving Credit Facility and Senior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Predecessor Note Repurchases</w:t>
      </w:r>
    </w:p>
    <w:p>
      <w:pPr>
        <w:spacing w:after="0" w:line="2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In the first quarter of 2020, we repurchased $7 million in face value of our Second Lien Notes for $3 million in cash resulting in a pre-tax gain of $5 million, including the effect of unamortized deferred gain and issuance costs. Other than repaying in full our EHP Notes in January 2021, we did not repurchase or repay any notes in the second quarter of 2020 or the six months ended June 30, 2021.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8 Debt </w:t>
      </w:r>
      <w:r>
        <w:rPr>
          <w:rFonts w:ascii="Arial" w:cs="Arial" w:eastAsia="Arial" w:hAnsi="Arial"/>
          <w:sz w:val="18"/>
          <w:szCs w:val="18"/>
          <w:color w:val="auto"/>
        </w:rPr>
        <w:t>in our 2020 Annual Report for a description of our Second Lien Notes.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74"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estimate that the fair value of our variable rate debt approximates its carrying value because the interest rate approximates current market rates. As shown in the table below, we estimated the fair value of our fixed rate Senior Notes based on observable inputs (Level 1) and the fair value of our EHP Notes with no observable inputs (Level 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1370"/>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74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39"/>
        </w:trPr>
        <w:tc>
          <w:tcPr>
            <w:tcW w:w="7400" w:type="dxa"/>
            <w:vAlign w:val="bottom"/>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183"/>
        </w:trPr>
        <w:tc>
          <w:tcPr>
            <w:tcW w:w="7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20" w:type="dxa"/>
            <w:vAlign w:val="bottom"/>
          </w:tcPr>
          <w:p>
            <w:pPr>
              <w:spacing w:after="0"/>
              <w:rPr>
                <w:sz w:val="15"/>
                <w:szCs w:val="15"/>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7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Senior Notes</w:t>
            </w:r>
          </w:p>
        </w:tc>
        <w:tc>
          <w:tcPr>
            <w:tcW w:w="13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240"/>
              <w:spacing w:after="0"/>
              <w:rPr>
                <w:sz w:val="20"/>
                <w:szCs w:val="20"/>
                <w:color w:val="auto"/>
              </w:rPr>
            </w:pPr>
            <w:r>
              <w:rPr>
                <w:rFonts w:ascii="Arial" w:cs="Arial" w:eastAsia="Arial" w:hAnsi="Arial"/>
                <w:sz w:val="18"/>
                <w:szCs w:val="18"/>
                <w:color w:val="auto"/>
              </w:rPr>
              <w:t>EHP Notes</w:t>
            </w:r>
          </w:p>
        </w:tc>
        <w:tc>
          <w:tcPr>
            <w:tcW w:w="1380" w:type="dxa"/>
            <w:vAlign w:val="bottom"/>
          </w:tcPr>
          <w:p>
            <w:pPr>
              <w:spacing w:after="0"/>
              <w:rPr>
                <w:sz w:val="19"/>
                <w:szCs w:val="19"/>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7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Fair Value of Long-Term Debt</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4" w:name="page15"/>
    <w:bookmarkEnd w:id="14"/>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ASSETS HELD FOR SALE</w:t>
      </w:r>
    </w:p>
    <w:p>
      <w:pPr>
        <w:spacing w:after="0" w:line="27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second quarter of 2021, we entered into agreements to sell our Ventura basin operations. We expect to receive cash consideration of up to $102 million plus additional earn-out consideration that is linked to future commodity prices. The consideration includes $82 million of cash to be paid at closing and up to $20 million of potential additional consideration if the buyer does not perform certain abandonment obligations with respect to the divested properties. The additional consideration is secured by production payments of $20 million over a five-year period. To the extent the buyer satisfies all of the required abandonment obligations within a five-year period following the close date, none of the $20 million of potential additional consideration will be paid to us. The closing of the transaction is subject to customary closing conditions, including satisfaction of land and environmental due diligence and third-party consents.</w:t>
      </w:r>
    </w:p>
    <w:p>
      <w:pPr>
        <w:spacing w:after="0" w:line="23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sale of our Ventura basin operations met the criteria for assets held for sale and is classified as such on our condensed consolidated balance sheet as of June 30, 2021. The amount reported as assets held for sale primarily consists of property, plant and equipment along with associated asset retirement obligations. These transactions are expected to close in the second half of 2021.</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274"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2021 and December 31, 2020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3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is challenging BSEE's order. Oxy notified us of the claim under the indemnification provisions of the Separation and Distribution Agreement between us and Oxy. We are currently evaluating this claim.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w:t>
      </w:r>
    </w:p>
    <w:p>
      <w:pPr>
        <w:spacing w:after="0" w:line="27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We have a commitment of $12 million for evaluation and development activities at one of our oil and natural gas properties which is not recorded on our condensed consolidated balance sheets. In the second quarter of 2021, we entered into an amendment allowing us to accept certain land use requirements which will relieve us from our remaining obligation on or before May 2022.</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DERIVATIVES</w:t>
      </w:r>
    </w:p>
    <w:p>
      <w:pPr>
        <w:spacing w:after="0" w:line="2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maintain a commodity hedging program primarily focused on crude oil to help protect our cash flows, margins and capital program from the volatility of commodity prices. We did not have any derivative instruments designated as accounting hedges as of and for the three and six months ended June 30, 2021 and 2020. Unless otherwise indicated, we use the term "hedge" to describe derivative instruments that are designed to achieve our hedging program goals, even though they are not accounted for as accounting hedges.</w:t>
      </w:r>
    </w:p>
    <w:p>
      <w:pPr>
        <w:spacing w:after="0" w:line="231"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Our Revolving Credit Facility requires that we hedge a significant amount of crude oil production for a period of 36 months from the effective date of the facility. In addition, the Revolving Credit Facility requires that we maintain hedges on production for not less than two years from each quarter end.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i w:val="1"/>
          <w:iCs w:val="1"/>
          <w:color w:val="auto"/>
        </w:rPr>
        <w:t xml:space="preserve">Summary of open derivative contracts </w:t>
      </w:r>
      <w:r>
        <w:rPr>
          <w:rFonts w:ascii="Arial" w:cs="Arial" w:eastAsia="Arial" w:hAnsi="Arial"/>
          <w:sz w:val="18"/>
          <w:szCs w:val="18"/>
          <w:color w:val="auto"/>
        </w:rPr>
        <w:t>— We held the following Brent-based crude oil contracts as of June 30,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Q4</w:t>
            </w:r>
          </w:p>
        </w:tc>
        <w:tc>
          <w:tcPr>
            <w:tcW w:w="26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Q1</w:t>
            </w:r>
          </w:p>
        </w:tc>
        <w:tc>
          <w:tcPr>
            <w:tcW w:w="24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Q2</w:t>
            </w:r>
          </w:p>
        </w:tc>
        <w:tc>
          <w:tcPr>
            <w:tcW w:w="24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2H</w:t>
            </w:r>
          </w:p>
        </w:tc>
        <w:tc>
          <w:tcPr>
            <w:tcW w:w="26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Arial" w:cs="Arial" w:eastAsia="Arial" w:hAnsi="Arial"/>
                <w:sz w:val="18"/>
                <w:szCs w:val="18"/>
                <w:color w:val="auto"/>
              </w:rPr>
              <w:t>Sold Calls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50.47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59.07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41.13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40.70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Sold Puts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Swaps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51.02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51.31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Sold puts – we make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225" w:lineRule="exact"/>
        <w:rPr>
          <w:sz w:val="20"/>
          <w:szCs w:val="20"/>
          <w:color w:val="auto"/>
        </w:rPr>
      </w:pPr>
    </w:p>
    <w:p>
      <w:pPr>
        <w:ind w:right="460" w:firstLine="324"/>
        <w:spacing w:after="0" w:line="246" w:lineRule="auto"/>
        <w:rPr>
          <w:sz w:val="20"/>
          <w:szCs w:val="20"/>
          <w:color w:val="auto"/>
        </w:rPr>
      </w:pPr>
      <w:r>
        <w:rPr>
          <w:rFonts w:ascii="Arial" w:cs="Arial" w:eastAsia="Arial" w:hAnsi="Arial"/>
          <w:sz w:val="18"/>
          <w:szCs w:val="18"/>
          <w:color w:val="auto"/>
        </w:rPr>
        <w:t>We use combinations of these positions to meet the requirements of our Revolving Credit Facility and to increase the efficacy of our hedging program.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6" w:name="page17"/>
    <w:bookmarkEnd w:id="16"/>
    <w:p>
      <w:pPr>
        <w:ind w:right="720" w:firstLine="324"/>
        <w:spacing w:after="0" w:line="282" w:lineRule="auto"/>
        <w:rPr>
          <w:sz w:val="20"/>
          <w:szCs w:val="20"/>
          <w:color w:val="auto"/>
        </w:rPr>
      </w:pPr>
      <w:r>
        <w:rPr>
          <w:rFonts w:ascii="Arial" w:cs="Arial" w:eastAsia="Arial" w:hAnsi="Arial"/>
          <w:sz w:val="18"/>
          <w:szCs w:val="18"/>
          <w:i w:val="1"/>
          <w:iCs w:val="1"/>
          <w:color w:val="auto"/>
        </w:rPr>
        <w:t xml:space="preserve">Fair value of derivatives </w:t>
      </w:r>
      <w:r>
        <w:rPr>
          <w:rFonts w:ascii="Arial" w:cs="Arial" w:eastAsia="Arial" w:hAnsi="Arial"/>
          <w:sz w:val="18"/>
          <w:szCs w:val="18"/>
          <w:color w:val="auto"/>
        </w:rPr>
        <w:t>— The following tables present the fair values on a recurring basis (at gross and net) of our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derivatives as of June 30, 2021 and December 31, 2020: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2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40"/>
              <w:spacing w:after="0" w:line="169" w:lineRule="exact"/>
              <w:rPr>
                <w:sz w:val="20"/>
                <w:szCs w:val="20"/>
                <w:color w:val="auto"/>
              </w:rPr>
            </w:pPr>
            <w:r>
              <w:rPr>
                <w:rFonts w:ascii="Arial" w:cs="Arial" w:eastAsia="Arial" w:hAnsi="Arial"/>
                <w:sz w:val="18"/>
                <w:szCs w:val="18"/>
                <w:b w:val="1"/>
                <w:bCs w:val="1"/>
                <w:color w:val="auto"/>
              </w:rPr>
              <w:t>Gross Amounts at</w:t>
            </w:r>
          </w:p>
        </w:tc>
        <w:tc>
          <w:tcPr>
            <w:tcW w:w="3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b w:val="1"/>
                <w:bCs w:val="1"/>
                <w:color w:val="auto"/>
              </w:rPr>
              <w:t>Classification</w:t>
            </w: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3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3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4020" w:type="dxa"/>
            <w:vAlign w:val="bottom"/>
            <w:gridSpan w:val="3"/>
            <w:shd w:val="clear" w:color="auto" w:fill="CCEEFF"/>
          </w:tcPr>
          <w:p>
            <w:pPr>
              <w:ind w:left="37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2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3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2220" w:type="dxa"/>
            <w:vAlign w:val="bottom"/>
            <w:shd w:val="clear" w:color="auto" w:fill="CCEEFF"/>
          </w:tcPr>
          <w:p>
            <w:pPr>
              <w:spacing w:after="0"/>
              <w:rPr>
                <w:sz w:val="21"/>
                <w:szCs w:val="21"/>
                <w:color w:val="auto"/>
              </w:rPr>
            </w:pPr>
          </w:p>
        </w:tc>
        <w:tc>
          <w:tcPr>
            <w:tcW w:w="4020" w:type="dxa"/>
            <w:vAlign w:val="bottom"/>
            <w:gridSpan w:val="3"/>
            <w:shd w:val="clear" w:color="auto" w:fill="CCEEFF"/>
          </w:tcPr>
          <w:p>
            <w:pPr>
              <w:ind w:left="37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(Successor)</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240" w:type="dxa"/>
            <w:vAlign w:val="bottom"/>
            <w:tcBorders>
              <w:top w:val="single" w:sz="8" w:color="auto"/>
            </w:tcBorders>
          </w:tcPr>
          <w:p>
            <w:pPr>
              <w:spacing w:after="0"/>
              <w:rPr>
                <w:sz w:val="14"/>
                <w:szCs w:val="14"/>
                <w:color w:val="auto"/>
              </w:rPr>
            </w:pPr>
          </w:p>
        </w:tc>
        <w:tc>
          <w:tcPr>
            <w:tcW w:w="3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2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9"/>
              </w:rPr>
              <w:t>Netting</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4040" w:type="dxa"/>
            <w:vAlign w:val="bottom"/>
            <w:gridSpan w:val="3"/>
          </w:tcPr>
          <w:p>
            <w:pPr>
              <w:jc w:val="right"/>
              <w:ind w:right="2650"/>
              <w:spacing w:after="0"/>
              <w:rPr>
                <w:sz w:val="20"/>
                <w:szCs w:val="20"/>
                <w:color w:val="auto"/>
              </w:rPr>
            </w:pPr>
            <w:r>
              <w:rPr>
                <w:rFonts w:ascii="Arial" w:cs="Arial" w:eastAsia="Arial" w:hAnsi="Arial"/>
                <w:sz w:val="18"/>
                <w:szCs w:val="18"/>
                <w:b w:val="1"/>
                <w:bCs w:val="1"/>
                <w:color w:val="auto"/>
              </w:rPr>
              <w:t>Classification</w:t>
            </w: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Fair Value</w:t>
            </w:r>
          </w:p>
        </w:tc>
        <w:tc>
          <w:tcPr>
            <w:tcW w:w="28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 net</w:t>
            </w:r>
          </w:p>
        </w:tc>
        <w:tc>
          <w:tcPr>
            <w:tcW w:w="40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40" w:type="dxa"/>
            <w:vAlign w:val="bottom"/>
          </w:tcPr>
          <w:p>
            <w:pPr>
              <w:ind w:left="100"/>
              <w:spacing w:after="0"/>
              <w:rPr>
                <w:sz w:val="20"/>
                <w:szCs w:val="20"/>
                <w:color w:val="auto"/>
              </w:rPr>
            </w:pPr>
            <w:r>
              <w:rPr>
                <w:rFonts w:ascii="Arial" w:cs="Arial" w:eastAsia="Arial" w:hAnsi="Arial"/>
                <w:sz w:val="18"/>
                <w:szCs w:val="18"/>
                <w:color w:val="auto"/>
              </w:rPr>
              <w:t>Other assets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left="950"/>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20"/>
                <w:szCs w:val="20"/>
                <w:color w:val="auto"/>
              </w:rPr>
            </w:pPr>
            <w:r>
              <w:rPr>
                <w:rFonts w:ascii="Arial" w:cs="Arial" w:eastAsia="Arial" w:hAnsi="Arial"/>
                <w:sz w:val="18"/>
                <w:szCs w:val="18"/>
                <w:color w:val="auto"/>
              </w:rPr>
              <w:t>Liabilities</w:t>
            </w: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liabilities</w:t>
            </w: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long-term liabilities</w:t>
            </w:r>
          </w:p>
        </w:tc>
        <w:tc>
          <w:tcPr>
            <w:tcW w:w="3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spacing w:after="0"/>
              <w:rPr>
                <w:sz w:val="21"/>
                <w:szCs w:val="21"/>
                <w:color w:val="auto"/>
              </w:rPr>
            </w:pPr>
          </w:p>
        </w:tc>
        <w:tc>
          <w:tcPr>
            <w:tcW w:w="40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(56)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We recognized fair value changes on derivative instruments each reporting period in net derivative (loss) gain from commodity contracts on our condensed consolidated statements of operations for the three and six months ended June 30, 2021 and 2020. The changes in fair value result from the relationship between our existing positions, volatility, time to expiration, contract prices and the associated forward curves.</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EARNINGS PER SHARE</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Basic and diluted earnings per share (EPS) was calculated using the treasury stock method for the three and six months ended June 30, 2021 and the two-class method for the three and six months ended June 30, 2020, which is required for participating securities. Certain of our restricted and performance stock unit awards outstanding during the six months ended June 30, 2020 were considered participating securities because they had non-forfeitable dividend rights at the same rate as our pre-emergence common stock. Our restricted and performance stock unit awards granted during the first half of 2021, as described in </w:t>
      </w:r>
      <w:r>
        <w:rPr>
          <w:rFonts w:ascii="Arial" w:cs="Arial" w:eastAsia="Arial" w:hAnsi="Arial"/>
          <w:sz w:val="18"/>
          <w:szCs w:val="18"/>
          <w:i w:val="1"/>
          <w:iCs w:val="1"/>
          <w:color w:val="auto"/>
        </w:rPr>
        <w:t>Note 13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235"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Under the two-class method, undistributed earnings allocated to participating securities are subtracted from net income attributable to common stock in determining net income available to common stockholders. In loss periods, no allocation is made to participating securities because participating securities do not share in losses. For basic EPS, the weighted-average number of common shares outstanding excludes underlying shares related to unvested equity-settled awards and warrants. For diluted EPS, the basic shares outstanding are adjusted by adding potential common shares, if dilutive.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and six months ended June 30, 2021 and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Predecessor</w:t>
            </w:r>
          </w:p>
        </w:tc>
        <w:tc>
          <w:tcPr>
            <w:tcW w:w="28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35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80" w:type="dxa"/>
            <w:vAlign w:val="bottom"/>
          </w:tcPr>
          <w:p>
            <w:pPr>
              <w:spacing w:after="0"/>
              <w:rPr>
                <w:sz w:val="14"/>
                <w:szCs w:val="14"/>
                <w:color w:val="auto"/>
              </w:rPr>
            </w:pPr>
          </w:p>
        </w:tc>
        <w:tc>
          <w:tcPr>
            <w:tcW w:w="17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Six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Six months ended</w:t>
            </w:r>
          </w:p>
        </w:tc>
      </w:tr>
      <w:tr>
        <w:trPr>
          <w:trHeight w:val="230"/>
        </w:trPr>
        <w:tc>
          <w:tcPr>
            <w:tcW w:w="3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ended June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ended June 30,</w:t>
            </w:r>
          </w:p>
        </w:tc>
        <w:tc>
          <w:tcPr>
            <w:tcW w:w="28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3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r>
      <w:tr>
        <w:trPr>
          <w:trHeight w:val="160"/>
        </w:trPr>
        <w:tc>
          <w:tcPr>
            <w:tcW w:w="3580" w:type="dxa"/>
            <w:vAlign w:val="bottom"/>
          </w:tcPr>
          <w:p>
            <w:pPr>
              <w:ind w:left="20"/>
              <w:spacing w:after="0" w:line="159" w:lineRule="exact"/>
              <w:rPr>
                <w:sz w:val="20"/>
                <w:szCs w:val="20"/>
                <w:color w:val="auto"/>
              </w:rPr>
            </w:pPr>
            <w:r>
              <w:rPr>
                <w:rFonts w:ascii="Arial" w:cs="Arial" w:eastAsia="Arial" w:hAnsi="Arial"/>
                <w:sz w:val="14"/>
                <w:szCs w:val="14"/>
                <w:color w:val="auto"/>
              </w:rPr>
              <w:t>(in millions, except per-share amounts)</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3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0"/>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188"/>
        </w:trPr>
        <w:tc>
          <w:tcPr>
            <w:tcW w:w="3580" w:type="dxa"/>
            <w:vAlign w:val="bottom"/>
          </w:tcPr>
          <w:p>
            <w:pPr>
              <w:ind w:left="140"/>
              <w:spacing w:after="0" w:line="189" w:lineRule="exact"/>
              <w:rPr>
                <w:sz w:val="20"/>
                <w:szCs w:val="20"/>
                <w:color w:val="auto"/>
              </w:rPr>
            </w:pPr>
            <w:r>
              <w:rPr>
                <w:rFonts w:ascii="Arial" w:cs="Arial" w:eastAsia="Arial" w:hAnsi="Arial"/>
                <w:sz w:val="18"/>
                <w:szCs w:val="18"/>
                <w:i w:val="1"/>
                <w:iCs w:val="1"/>
                <w:color w:val="auto"/>
              </w:rPr>
              <w:t>Less</w:t>
            </w:r>
            <w:r>
              <w:rPr>
                <w:rFonts w:ascii="Arial" w:cs="Arial" w:eastAsia="Arial" w:hAnsi="Arial"/>
                <w:sz w:val="18"/>
                <w:szCs w:val="18"/>
                <w:color w:val="auto"/>
              </w:rPr>
              <w:t>: net income attributable to</w:t>
            </w: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7"/>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and Diluted EPS</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r>
      <w:tr>
        <w:trPr>
          <w:trHeight w:val="223"/>
        </w:trPr>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r>
      <w:tr>
        <w:trPr>
          <w:trHeight w:val="196"/>
        </w:trPr>
        <w:tc>
          <w:tcPr>
            <w:tcW w:w="3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r>
      <w:tr>
        <w:trPr>
          <w:trHeight w:val="230"/>
        </w:trPr>
        <w:tc>
          <w:tcPr>
            <w:tcW w:w="358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(41.84)</w:t>
            </w:r>
          </w:p>
        </w:tc>
      </w:tr>
      <w:tr>
        <w:trPr>
          <w:trHeight w:val="257"/>
        </w:trPr>
        <w:tc>
          <w:tcPr>
            <w:tcW w:w="3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6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60" w:type="dxa"/>
            <w:vAlign w:val="bottom"/>
            <w:tcBorders>
              <w:right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29"/>
        </w:trPr>
        <w:tc>
          <w:tcPr>
            <w:tcW w:w="3580" w:type="dxa"/>
            <w:vAlign w:val="bottom"/>
          </w:tcPr>
          <w:p>
            <w:pPr>
              <w:ind w:left="140"/>
              <w:spacing w:after="0"/>
              <w:rPr>
                <w:sz w:val="20"/>
                <w:szCs w:val="20"/>
                <w:color w:val="auto"/>
              </w:rPr>
            </w:pPr>
            <w:r>
              <w:rPr>
                <w:rFonts w:ascii="Arial" w:cs="Arial" w:eastAsia="Arial" w:hAnsi="Arial"/>
                <w:sz w:val="18"/>
                <w:szCs w:val="18"/>
                <w:color w:val="auto"/>
              </w:rPr>
              <w:t>Weighted-average anti-dilutive shares</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31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PENSION AND POSTRETIREMENT BENEFIT PLANS</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and six months ended June 30, 2021 and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810"/>
              <w:spacing w:after="0"/>
              <w:rPr>
                <w:sz w:val="20"/>
                <w:szCs w:val="20"/>
                <w:color w:val="auto"/>
              </w:rPr>
            </w:pPr>
            <w:r>
              <w:rPr>
                <w:rFonts w:ascii="Arial" w:cs="Arial" w:eastAsia="Arial" w:hAnsi="Arial"/>
                <w:sz w:val="18"/>
                <w:szCs w:val="18"/>
                <w:b w:val="1"/>
                <w:bCs w:val="1"/>
                <w:color w:val="auto"/>
              </w:rPr>
              <w:t>Successor</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3220" w:type="dxa"/>
            <w:vAlign w:val="bottom"/>
            <w:tcBorders>
              <w:bottom w:val="single" w:sz="8" w:color="auto"/>
            </w:tcBorders>
            <w:gridSpan w:val="4"/>
          </w:tcPr>
          <w:p>
            <w:pPr>
              <w:jc w:val="center"/>
              <w:ind w:left="310"/>
              <w:spacing w:after="0"/>
              <w:rPr>
                <w:sz w:val="20"/>
                <w:szCs w:val="20"/>
                <w:color w:val="auto"/>
              </w:rPr>
            </w:pPr>
            <w:r>
              <w:rPr>
                <w:rFonts w:ascii="Arial" w:cs="Arial" w:eastAsia="Arial" w:hAnsi="Arial"/>
                <w:sz w:val="18"/>
                <w:szCs w:val="18"/>
                <w:b w:val="1"/>
                <w:bCs w:val="1"/>
                <w:color w:val="auto"/>
                <w:w w:val="99"/>
              </w:rPr>
              <w:t>Three months ended June 30,</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8"/>
                <w:szCs w:val="18"/>
                <w:b w:val="1"/>
                <w:bCs w:val="1"/>
                <w:color w:val="auto"/>
                <w:w w:val="99"/>
              </w:rPr>
              <w:t>Three months ended June 30,</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81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w w:val="99"/>
              </w:rPr>
              <w:t>2020</w:t>
            </w: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28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Postretirement</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440"/>
              <w:spacing w:after="0" w:line="169" w:lineRule="exact"/>
              <w:rPr>
                <w:sz w:val="20"/>
                <w:szCs w:val="20"/>
                <w:color w:val="auto"/>
              </w:rPr>
            </w:pPr>
            <w:r>
              <w:rPr>
                <w:rFonts w:ascii="Arial" w:cs="Arial" w:eastAsia="Arial" w:hAnsi="Arial"/>
                <w:sz w:val="18"/>
                <w:szCs w:val="18"/>
                <w:b w:val="1"/>
                <w:bCs w:val="1"/>
                <w:color w:val="auto"/>
                <w:w w:val="99"/>
              </w:rPr>
              <w:t>Pension</w:t>
            </w:r>
          </w:p>
        </w:tc>
        <w:tc>
          <w:tcPr>
            <w:tcW w:w="200" w:type="dxa"/>
            <w:vAlign w:val="bottom"/>
          </w:tcPr>
          <w:p>
            <w:pPr>
              <w:spacing w:after="0"/>
              <w:rPr>
                <w:sz w:val="14"/>
                <w:szCs w:val="14"/>
                <w:color w:val="auto"/>
              </w:rPr>
            </w:pPr>
          </w:p>
        </w:tc>
        <w:tc>
          <w:tcPr>
            <w:tcW w:w="15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28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left="310"/>
              <w:spacing w:after="0"/>
              <w:rPr>
                <w:sz w:val="20"/>
                <w:szCs w:val="20"/>
                <w:color w:val="auto"/>
              </w:rPr>
            </w:pPr>
            <w:r>
              <w:rPr>
                <w:rFonts w:ascii="Arial" w:cs="Arial" w:eastAsia="Arial" w:hAnsi="Arial"/>
                <w:sz w:val="18"/>
                <w:szCs w:val="18"/>
                <w:b w:val="1"/>
                <w:bCs w:val="1"/>
                <w:color w:val="auto"/>
              </w:rPr>
              <w:t>Benefit</w:t>
            </w: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Benefit</w:t>
            </w:r>
          </w:p>
        </w:tc>
        <w:tc>
          <w:tcPr>
            <w:tcW w:w="200" w:type="dxa"/>
            <w:vAlign w:val="bottom"/>
          </w:tcPr>
          <w:p>
            <w:pPr>
              <w:spacing w:after="0"/>
              <w:rPr>
                <w:sz w:val="19"/>
                <w:szCs w:val="19"/>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740" w:type="dxa"/>
            <w:vAlign w:val="bottom"/>
          </w:tcPr>
          <w:p>
            <w:pPr>
              <w:ind w:left="30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34"/>
        </w:trPr>
        <w:tc>
          <w:tcPr>
            <w:tcW w:w="3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40" w:type="dxa"/>
            <w:vAlign w:val="bottom"/>
            <w:gridSpan w:val="3"/>
            <w:vMerge w:val="restart"/>
          </w:tcPr>
          <w:p>
            <w:pPr>
              <w:jc w:val="center"/>
              <w:ind w:right="810"/>
              <w:spacing w:after="0"/>
              <w:rPr>
                <w:sz w:val="20"/>
                <w:szCs w:val="20"/>
                <w:color w:val="auto"/>
              </w:rPr>
            </w:pPr>
            <w:r>
              <w:rPr>
                <w:rFonts w:ascii="Arial" w:cs="Arial" w:eastAsia="Arial" w:hAnsi="Arial"/>
                <w:sz w:val="18"/>
                <w:szCs w:val="18"/>
                <w:b w:val="1"/>
                <w:bCs w:val="1"/>
                <w:color w:val="auto"/>
              </w:rPr>
              <w:t>Successor</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4"/>
            <w:vMerge w:val="restart"/>
          </w:tcPr>
          <w:p>
            <w:pPr>
              <w:jc w:val="center"/>
              <w:ind w:right="23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322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99"/>
              </w:rPr>
              <w:t>Six months ended June 30,</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center"/>
              <w:ind w:right="81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center"/>
              <w:ind w:left="1170"/>
              <w:spacing w:after="0"/>
              <w:rPr>
                <w:sz w:val="20"/>
                <w:szCs w:val="20"/>
                <w:color w:val="auto"/>
              </w:rPr>
            </w:pPr>
            <w:r>
              <w:rPr>
                <w:rFonts w:ascii="Arial" w:cs="Arial" w:eastAsia="Arial" w:hAnsi="Arial"/>
                <w:sz w:val="18"/>
                <w:szCs w:val="18"/>
                <w:b w:val="1"/>
                <w:bCs w:val="1"/>
                <w:color w:val="auto"/>
                <w:w w:val="99"/>
              </w:rPr>
              <w:t>2020</w:t>
            </w: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28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Postretirement</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440"/>
              <w:spacing w:after="0" w:line="169" w:lineRule="exact"/>
              <w:rPr>
                <w:sz w:val="20"/>
                <w:szCs w:val="20"/>
                <w:color w:val="auto"/>
              </w:rPr>
            </w:pPr>
            <w:r>
              <w:rPr>
                <w:rFonts w:ascii="Arial" w:cs="Arial" w:eastAsia="Arial" w:hAnsi="Arial"/>
                <w:sz w:val="18"/>
                <w:szCs w:val="18"/>
                <w:b w:val="1"/>
                <w:bCs w:val="1"/>
                <w:color w:val="auto"/>
                <w:w w:val="99"/>
              </w:rPr>
              <w:t>Pension</w:t>
            </w:r>
          </w:p>
        </w:tc>
        <w:tc>
          <w:tcPr>
            <w:tcW w:w="200" w:type="dxa"/>
            <w:vAlign w:val="bottom"/>
          </w:tcPr>
          <w:p>
            <w:pPr>
              <w:spacing w:after="0"/>
              <w:rPr>
                <w:sz w:val="14"/>
                <w:szCs w:val="14"/>
                <w:color w:val="auto"/>
              </w:rPr>
            </w:pPr>
          </w:p>
        </w:tc>
        <w:tc>
          <w:tcPr>
            <w:tcW w:w="158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9"/>
              </w:rPr>
              <w:t>Postretirement</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19"/>
                <w:szCs w:val="19"/>
                <w:color w:val="auto"/>
              </w:rPr>
            </w:pPr>
          </w:p>
        </w:tc>
        <w:tc>
          <w:tcPr>
            <w:tcW w:w="128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left="310"/>
              <w:spacing w:after="0"/>
              <w:rPr>
                <w:sz w:val="20"/>
                <w:szCs w:val="20"/>
                <w:color w:val="auto"/>
              </w:rPr>
            </w:pPr>
            <w:r>
              <w:rPr>
                <w:rFonts w:ascii="Arial" w:cs="Arial" w:eastAsia="Arial" w:hAnsi="Arial"/>
                <w:sz w:val="18"/>
                <w:szCs w:val="18"/>
                <w:b w:val="1"/>
                <w:bCs w:val="1"/>
                <w:color w:val="auto"/>
              </w:rPr>
              <w:t>Benefit</w:t>
            </w:r>
          </w:p>
        </w:tc>
        <w:tc>
          <w:tcPr>
            <w:tcW w:w="4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Benefit</w:t>
            </w:r>
          </w:p>
        </w:tc>
        <w:tc>
          <w:tcPr>
            <w:tcW w:w="200" w:type="dxa"/>
            <w:vAlign w:val="bottom"/>
          </w:tcPr>
          <w:p>
            <w:pPr>
              <w:spacing w:after="0"/>
              <w:rPr>
                <w:sz w:val="19"/>
                <w:szCs w:val="19"/>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740" w:type="dxa"/>
            <w:vAlign w:val="bottom"/>
          </w:tcPr>
          <w:p>
            <w:pPr>
              <w:ind w:left="30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858"/>
        </w:trPr>
        <w:tc>
          <w:tcPr>
            <w:tcW w:w="3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gridSpan w:val="2"/>
          </w:tcPr>
          <w:p>
            <w:pPr>
              <w:jc w:val="right"/>
              <w:ind w:right="115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right="340" w:firstLine="324"/>
        <w:spacing w:after="0" w:line="256" w:lineRule="auto"/>
        <w:rPr>
          <w:sz w:val="20"/>
          <w:szCs w:val="20"/>
          <w:color w:val="auto"/>
        </w:rPr>
      </w:pPr>
      <w:r>
        <w:rPr>
          <w:rFonts w:ascii="Arial" w:cs="Arial" w:eastAsia="Arial" w:hAnsi="Arial"/>
          <w:sz w:val="18"/>
          <w:szCs w:val="18"/>
          <w:color w:val="auto"/>
        </w:rPr>
        <w:t>We contributed $1 million to our defined benefit plans during the three and six months ended June 30, 2021. We expect to satisfy our minimum funding requirements with contributions of approximately $3 million to our defined benefit pension plans during the remainder of 2021.</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did not make significant contributions to our defined benefit pension plans for the three and six months ended June 30, 2020. The Coronavirus Aid, Relief, and Economic Security Act was enacted on March 27, 2020 and allowed for the deferral of contributions to a single employer pension plan otherwise due during 2020 to January 1, 2021. During 2020, we deferred contributions to our defined benefit pension plans of approximately $5 million, which we funded in December 2020.</w:t>
      </w: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INCOME TAXES</w:t>
      </w:r>
    </w:p>
    <w:p>
      <w:pPr>
        <w:spacing w:after="0" w:line="27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We estimate our annual effective income tax rate to record our quarterly income tax provision in the jurisdictions in which we operate. Statutory tax rate changes and other significant or unusual items, if any, are not included in our annual effective income tax rate and are instead recognized as discrete items in the quarter in which they occur.</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For the six months ended June 30, 2021 and 2020, we did not provide any current or deferred income tax provision or benefit. The difference between our statutory tax rate and our effective tax rate of zero for all periods presented includes changes to maintain our full valuation allowance against our net deferred tax assets given our recent and anticipated future earnings trends. We believe that there is a reasonable possibility that some or all of this allowance could be released in the foreseeable future. However, the amount of the net deferred tax assets considered realizable depends on the sustained level of profitability that we can achieve.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60" w:type="dxa"/>
            <w:vAlign w:val="bottom"/>
          </w:tcPr>
          <w:p>
            <w:pPr>
              <w:spacing w:after="0"/>
              <w:rPr>
                <w:sz w:val="20"/>
                <w:szCs w:val="20"/>
                <w:color w:val="auto"/>
              </w:rPr>
            </w:pPr>
            <w:r>
              <w:rPr>
                <w:rFonts w:ascii="Arial" w:cs="Arial" w:eastAsia="Arial" w:hAnsi="Arial"/>
                <w:sz w:val="18"/>
                <w:szCs w:val="18"/>
                <w:b w:val="1"/>
                <w:bCs w:val="1"/>
                <w:color w:val="auto"/>
              </w:rPr>
              <w:t>NOTE 12  ASSET IMPAIRMENTS</w:t>
            </w:r>
          </w:p>
        </w:tc>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60" w:type="dxa"/>
            <w:vAlign w:val="bottom"/>
          </w:tcPr>
          <w:p>
            <w:pPr>
              <w:ind w:left="340"/>
              <w:spacing w:after="0"/>
              <w:rPr>
                <w:sz w:val="20"/>
                <w:szCs w:val="20"/>
                <w:color w:val="auto"/>
              </w:rPr>
            </w:pPr>
            <w:r>
              <w:rPr>
                <w:rFonts w:ascii="Arial" w:cs="Arial" w:eastAsia="Arial" w:hAnsi="Arial"/>
                <w:sz w:val="18"/>
                <w:szCs w:val="18"/>
                <w:color w:val="auto"/>
              </w:rPr>
              <w:t>The following table presents a summary of our asset impairments:</w:t>
            </w: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6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rPr>
              <w:t>Successor</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14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22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Six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tcPr>
          <w:p>
            <w:pPr>
              <w:jc w:val="right"/>
              <w:ind w:right="30"/>
              <w:spacing w:after="0" w:line="169" w:lineRule="exact"/>
              <w:rPr>
                <w:sz w:val="20"/>
                <w:szCs w:val="20"/>
                <w:color w:val="auto"/>
              </w:rPr>
            </w:pPr>
            <w:r>
              <w:rPr>
                <w:rFonts w:ascii="Arial" w:cs="Arial" w:eastAsia="Arial" w:hAnsi="Arial"/>
                <w:sz w:val="18"/>
                <w:szCs w:val="18"/>
                <w:b w:val="1"/>
                <w:bCs w:val="1"/>
                <w:color w:val="auto"/>
                <w:w w:val="98"/>
              </w:rPr>
              <w:t>Six months ended June</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Proved oil and natural gas properties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0"/>
        </w:trPr>
        <w:tc>
          <w:tcPr>
            <w:tcW w:w="6560" w:type="dxa"/>
            <w:vAlign w:val="bottom"/>
          </w:tcPr>
          <w:p>
            <w:pPr>
              <w:ind w:left="80"/>
              <w:spacing w:after="0"/>
              <w:rPr>
                <w:sz w:val="20"/>
                <w:szCs w:val="20"/>
                <w:color w:val="auto"/>
              </w:rPr>
            </w:pPr>
            <w:r>
              <w:rPr>
                <w:rFonts w:ascii="Arial" w:cs="Arial" w:eastAsia="Arial" w:hAnsi="Arial"/>
                <w:sz w:val="18"/>
                <w:szCs w:val="18"/>
                <w:color w:val="auto"/>
              </w:rPr>
              <w:t>Unproved properties</w:t>
            </w:r>
          </w:p>
        </w:tc>
        <w:tc>
          <w:tcPr>
            <w:tcW w:w="38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1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80" w:type="dxa"/>
            <w:vAlign w:val="bottom"/>
            <w:tcBorders>
              <w:left w:val="single" w:sz="8" w:color="CCEEFF"/>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656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We recognized a $3 million impairment charge during the six months ended June 30, 2021 which was triggered by the change in our business strategy and capital allocation priorities resulting in the abandonment of certain capital projects.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 xml:space="preserve">During the six months ended June 30, 2020, we recorded a $1.7 billion impairment which was triggered by the sharp drop in commodity prices at the end of the first quarter of 2020. See </w:t>
      </w:r>
      <w:r>
        <w:rPr>
          <w:rFonts w:ascii="Arial" w:cs="Arial" w:eastAsia="Arial" w:hAnsi="Arial"/>
          <w:sz w:val="18"/>
          <w:szCs w:val="18"/>
          <w:i w:val="1"/>
          <w:iCs w:val="1"/>
          <w:color w:val="auto"/>
        </w:rPr>
        <w:t>Part II, Item 8 – Financial Statements and Supplementary Data, Note 13 Asset Impairment</w:t>
      </w:r>
      <w:r>
        <w:rPr>
          <w:rFonts w:ascii="Arial" w:cs="Arial" w:eastAsia="Arial" w:hAnsi="Arial"/>
          <w:sz w:val="18"/>
          <w:szCs w:val="18"/>
          <w:color w:val="auto"/>
        </w:rPr>
        <w:t xml:space="preserve"> in our 2020 Annual Report for a description of our impairment of proved and unproved oil and gas properties and other asset impairments during the six months ended June 30, 2020.</w:t>
      </w:r>
    </w:p>
    <w:p>
      <w:pPr>
        <w:spacing w:after="0" w:line="2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STOCK-BASED COMPENSATION</w:t>
      </w:r>
    </w:p>
    <w:p>
      <w:pPr>
        <w:spacing w:after="0" w:line="27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 California Resources Corporation 2021 Long Term Incentive Plan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 The Long Term Incentive Plan replaces the earlier Amended and Restated California Resources Corporation Long Term Incentive Plan which was cancelled upon our emergence from bankruptcy, along with all outstanding stock-based compensation awards granted thereunder.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ind w:right="360" w:firstLine="324"/>
        <w:spacing w:after="0" w:line="261"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units (RSUs) and performance stock units (PSUs).</w:t>
      </w:r>
    </w:p>
    <w:p>
      <w:pPr>
        <w:spacing w:after="0" w:line="225" w:lineRule="exact"/>
        <w:rPr>
          <w:sz w:val="20"/>
          <w:szCs w:val="20"/>
          <w:color w:val="auto"/>
        </w:rPr>
      </w:pPr>
    </w:p>
    <w:p>
      <w:pPr>
        <w:ind w:right="620" w:firstLine="324"/>
        <w:spacing w:after="0" w:line="256" w:lineRule="auto"/>
        <w:rPr>
          <w:sz w:val="20"/>
          <w:szCs w:val="20"/>
          <w:color w:val="auto"/>
        </w:rPr>
      </w:pPr>
      <w:r>
        <w:rPr>
          <w:rFonts w:ascii="Arial" w:cs="Arial" w:eastAsia="Arial" w:hAnsi="Arial"/>
          <w:sz w:val="18"/>
          <w:szCs w:val="18"/>
          <w:color w:val="auto"/>
        </w:rPr>
        <w:t>Stock-based compensation expense is primarily recorded in general and administrative expenses on our condensed consolidated statements of operations based on job function of the employees receiving the grants as shown in the table below. Stock-based compensation reported as a component of operating costs is not significant for all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Predecessor</w:t>
            </w:r>
          </w:p>
        </w:tc>
        <w:tc>
          <w:tcPr>
            <w:tcW w:w="28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rPr>
              <w:t>Successor</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36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14"/>
                <w:szCs w:val="14"/>
                <w:color w:val="auto"/>
              </w:rPr>
            </w:pPr>
          </w:p>
        </w:tc>
        <w:tc>
          <w:tcPr>
            <w:tcW w:w="17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rPr>
              <w:t>Six months ended</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Six months ended</w:t>
            </w:r>
          </w:p>
        </w:tc>
      </w:tr>
      <w:tr>
        <w:trPr>
          <w:trHeight w:val="230"/>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ended June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ended June 30,</w:t>
            </w:r>
          </w:p>
        </w:tc>
        <w:tc>
          <w:tcPr>
            <w:tcW w:w="28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3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For the three and six months ended June 30, 2021 and 2020, we did not recognize any income tax benefit related to our stock-based compensation. For the three and six months ended June 30, 2020, we made cash payments of $7 million and $15 million, for the cash-settled portion of our pre-emergence awards,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70"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Executives and non-employee directors were granted RSUs during the first half of 2021 which are in the form of, or equivalent in value to, actual shares of our common stock. The awards generally vest ratably over three years, with one third of the granted units vesting on each of the first three anniversaries of the applicable date of grant. RSUs are settled in shares of our common stock at the end of the third year of the three-year vesting period.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40" w:type="dxa"/>
            <w:vAlign w:val="bottom"/>
          </w:tcPr>
          <w:p>
            <w:pPr>
              <w:ind w:left="340"/>
              <w:spacing w:after="0"/>
              <w:rPr>
                <w:sz w:val="20"/>
                <w:szCs w:val="20"/>
                <w:color w:val="auto"/>
              </w:rPr>
            </w:pPr>
            <w:r>
              <w:rPr>
                <w:rFonts w:ascii="Arial" w:cs="Arial" w:eastAsia="Arial" w:hAnsi="Arial"/>
                <w:sz w:val="18"/>
                <w:szCs w:val="18"/>
                <w:color w:val="auto"/>
              </w:rPr>
              <w:t>The following table sets forth RSU activity for the six months ended June 30, 2021:</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76"/>
        </w:trPr>
        <w:tc>
          <w:tcPr>
            <w:tcW w:w="7440" w:type="dxa"/>
            <w:vAlign w:val="bottom"/>
          </w:tcPr>
          <w:p>
            <w:pPr>
              <w:spacing w:after="0"/>
              <w:rPr>
                <w:sz w:val="15"/>
                <w:szCs w:val="15"/>
                <w:color w:val="auto"/>
              </w:rPr>
            </w:pPr>
          </w:p>
        </w:tc>
        <w:tc>
          <w:tcPr>
            <w:tcW w:w="1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9"/>
              </w:rPr>
              <w:t>Grant-Date Fair</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183"/>
        </w:trPr>
        <w:tc>
          <w:tcPr>
            <w:tcW w:w="7440" w:type="dxa"/>
            <w:vAlign w:val="bottom"/>
          </w:tcPr>
          <w:p>
            <w:pPr>
              <w:spacing w:after="0"/>
              <w:rPr>
                <w:sz w:val="15"/>
                <w:szCs w:val="15"/>
                <w:color w:val="auto"/>
              </w:rPr>
            </w:pPr>
          </w:p>
        </w:tc>
        <w:tc>
          <w:tcPr>
            <w:tcW w:w="190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 (Successor)</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1,180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Unvested at June 30, 2021 (Successor)</w:t>
            </w:r>
          </w:p>
        </w:tc>
        <w:tc>
          <w:tcPr>
            <w:tcW w:w="1900" w:type="dxa"/>
            <w:vAlign w:val="bottom"/>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recognized on a straight-line basis over the requisite service periods adjusted for actual forfeitures, if any.</w:t>
      </w:r>
    </w:p>
    <w:p>
      <w:pPr>
        <w:spacing w:after="0" w:line="225"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As of June 30, 2021, the unrecognized compensation expense for all of our unvested RSUs was approximately $25 million and is expected to be recognized over a weighted-average period of approximately three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Executives were granted PSUs during the first half of 2021 which contained a market condition. PSUs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Earned PSUs generally vest on the third anniversary of the grant date and are settled in shares of our common stock at that time.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7"/>
        </w:trPr>
        <w:tc>
          <w:tcPr>
            <w:tcW w:w="7180" w:type="dxa"/>
            <w:vAlign w:val="bottom"/>
          </w:tcPr>
          <w:p>
            <w:pPr>
              <w:ind w:left="340"/>
              <w:spacing w:after="0"/>
              <w:rPr>
                <w:sz w:val="20"/>
                <w:szCs w:val="20"/>
                <w:color w:val="auto"/>
              </w:rPr>
            </w:pPr>
            <w:r>
              <w:rPr>
                <w:rFonts w:ascii="Arial" w:cs="Arial" w:eastAsia="Arial" w:hAnsi="Arial"/>
                <w:sz w:val="18"/>
                <w:szCs w:val="18"/>
                <w:color w:val="auto"/>
              </w:rPr>
              <w:t>The following table sets forth PSU activity for the six months ended June 30, 2021:</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80" w:type="dxa"/>
            <w:vAlign w:val="bottom"/>
          </w:tcPr>
          <w:p>
            <w:pPr>
              <w:spacing w:after="0"/>
              <w:rPr>
                <w:sz w:val="17"/>
                <w:szCs w:val="17"/>
                <w:color w:val="auto"/>
              </w:rPr>
            </w:pPr>
          </w:p>
        </w:tc>
        <w:tc>
          <w:tcPr>
            <w:tcW w:w="196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19"/>
                <w:szCs w:val="19"/>
                <w:color w:val="auto"/>
              </w:rPr>
            </w:pPr>
          </w:p>
        </w:tc>
        <w:tc>
          <w:tcPr>
            <w:tcW w:w="19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183"/>
        </w:trPr>
        <w:tc>
          <w:tcPr>
            <w:tcW w:w="7180" w:type="dxa"/>
            <w:vAlign w:val="bottom"/>
          </w:tcPr>
          <w:p>
            <w:pPr>
              <w:spacing w:after="0"/>
              <w:rPr>
                <w:sz w:val="15"/>
                <w:szCs w:val="15"/>
                <w:color w:val="auto"/>
              </w:rPr>
            </w:pPr>
          </w:p>
        </w:tc>
        <w:tc>
          <w:tcPr>
            <w:tcW w:w="1960" w:type="dxa"/>
            <w:vAlign w:val="bottom"/>
          </w:tcPr>
          <w:p>
            <w:pPr>
              <w:jc w:val="right"/>
              <w:ind w:right="43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2020 (Successor)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969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Cancelled or Forfeited</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Unvested at June 30, 2021 (Successor)</w:t>
            </w:r>
          </w:p>
        </w:tc>
        <w:tc>
          <w:tcPr>
            <w:tcW w:w="196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The grant date fair value and associated equity compensation expense was measured using a Monte Carlo simulation model which runs a probabilistic assessment of the number of units that will be earned based on a projection of our stock price during the three-year service period.</w:t>
      </w:r>
    </w:p>
    <w:p>
      <w:pPr>
        <w:spacing w:after="0" w:line="229"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range of assumptions used in the Monte Carlo simulation model for the PSUs granted during the first and second quarter of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160655</wp:posOffset>
            </wp:positionV>
            <wp:extent cx="25114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p>
      <w:pPr>
        <w:spacing w:after="0" w:line="257" w:lineRule="exact"/>
        <w:rPr>
          <w:sz w:val="20"/>
          <w:szCs w:val="20"/>
          <w:color w:val="auto"/>
        </w:rPr>
      </w:pPr>
    </w:p>
    <w:p>
      <w:pPr>
        <w:jc w:val="center"/>
        <w:ind w:left="7500"/>
        <w:spacing w:after="0"/>
        <w:rPr>
          <w:sz w:val="20"/>
          <w:szCs w:val="20"/>
          <w:color w:val="auto"/>
        </w:rPr>
      </w:pPr>
      <w:r>
        <w:rPr>
          <w:rFonts w:ascii="Arial" w:cs="Arial" w:eastAsia="Arial" w:hAnsi="Arial"/>
          <w:sz w:val="17"/>
          <w:szCs w:val="17"/>
          <w:b w:val="1"/>
          <w:bCs w:val="1"/>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27305</wp:posOffset>
            </wp:positionV>
            <wp:extent cx="1251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8" w:lineRule="exact"/>
        <w:rPr>
          <w:sz w:val="20"/>
          <w:szCs w:val="20"/>
          <w:color w:val="auto"/>
        </w:rPr>
      </w:pPr>
    </w:p>
    <w:p>
      <w:pPr>
        <w:jc w:val="center"/>
        <w:ind w:left="75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27305</wp:posOffset>
            </wp:positionV>
            <wp:extent cx="1200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2021</w:t>
      </w:r>
    </w:p>
    <w:p>
      <w:pPr>
        <w:spacing w:after="0" w:line="32" w:lineRule="exact"/>
        <w:rPr>
          <w:sz w:val="20"/>
          <w:szCs w:val="20"/>
          <w:color w:val="auto"/>
        </w:rPr>
      </w:pPr>
    </w:p>
    <w:p>
      <w:pPr>
        <w:sectPr>
          <w:pgSz w:w="11900" w:h="16838" w:orient="portrait"/>
          <w:cols w:equalWidth="0" w:num="2">
            <w:col w:w="9040" w:space="720"/>
            <w:col w:w="1480"/>
          </w:cols>
          <w:pgMar w:left="320" w:top="90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 - 65.00%</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65.00 %</w:t>
            </w:r>
          </w:p>
        </w:tc>
      </w:tr>
      <w:tr>
        <w:trPr>
          <w:trHeight w:val="230"/>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1980" w:type="dxa"/>
            <w:vAlign w:val="bottom"/>
          </w:tcPr>
          <w:p>
            <w:pPr>
              <w:jc w:val="right"/>
              <w:spacing w:after="0"/>
              <w:rPr>
                <w:sz w:val="20"/>
                <w:szCs w:val="20"/>
                <w:color w:val="auto"/>
              </w:rPr>
            </w:pPr>
            <w:r>
              <w:rPr>
                <w:rFonts w:ascii="Arial" w:cs="Arial" w:eastAsia="Arial" w:hAnsi="Arial"/>
                <w:sz w:val="18"/>
                <w:szCs w:val="18"/>
                <w:color w:val="auto"/>
              </w:rPr>
              <w:t>0.16% - 0.17%</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0.17% - 0.32%</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1980" w:type="dxa"/>
            <w:vAlign w:val="bottom"/>
          </w:tcPr>
          <w:p>
            <w:pPr>
              <w:jc w:val="right"/>
              <w:spacing w:after="0"/>
              <w:rPr>
                <w:sz w:val="20"/>
                <w:szCs w:val="20"/>
                <w:color w:val="auto"/>
              </w:rPr>
            </w:pPr>
            <w:r>
              <w:rPr>
                <w:rFonts w:ascii="Arial" w:cs="Arial" w:eastAsia="Arial" w:hAnsi="Arial"/>
                <w:sz w:val="18"/>
                <w:szCs w:val="18"/>
                <w:color w:val="auto"/>
              </w:rPr>
              <w:t>2 - 3</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8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Expected volatility was calculated using a peer group due to our limited trading history since our emergence from bankruptcy.</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the U.S. Treasury yield for a three-year term at the grant date.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252"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As of June 30, 2021, the unrecognized compensation expense for all of our unvested PSUs was approximately $17 million and is expected to be recognized over a weighted-average period of approximately three years.</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EQUITY</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 xml:space="preserve">In May 2021, our Board of Directors authorized a Share Repurchase Program to acquire up to $150 million of our common stock through March 31, 2022. See </w:t>
      </w:r>
      <w:r>
        <w:rPr>
          <w:rFonts w:ascii="Arial" w:cs="Arial" w:eastAsia="Arial" w:hAnsi="Arial"/>
          <w:sz w:val="18"/>
          <w:szCs w:val="18"/>
          <w:i w:val="1"/>
          <w:iCs w:val="1"/>
          <w:color w:val="auto"/>
        </w:rPr>
        <w:t>Note 15 Subsequent Events</w:t>
      </w:r>
      <w:r>
        <w:rPr>
          <w:rFonts w:ascii="Arial" w:cs="Arial" w:eastAsia="Arial" w:hAnsi="Arial"/>
          <w:sz w:val="18"/>
          <w:szCs w:val="18"/>
          <w:color w:val="auto"/>
        </w:rPr>
        <w:t xml:space="preserve"> for more information on an increase to our Share Repurchase Program.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w:t>
      </w:r>
    </w:p>
    <w:p>
      <w:pPr>
        <w:spacing w:after="0" w:line="235"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As of June 30, 2021, we repurchased 1.4 million shares of our common stock, at an average price of $31.56 per share, through either open market purchases or a Rule 10b5-1 plan at an aggregate cost of $45 million. Shares repurchased were held as treasury stock as of June 30, 2021.</w:t>
      </w:r>
    </w:p>
    <w:p>
      <w:pPr>
        <w:spacing w:after="0" w:line="20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74"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April 2017, we entered into a development joint venture with Macquarie Infrastructure and Real Assets Inc. (MIRA) to develop certain of our oil and natural gas properties in the San Joaquin basin in exchange for a 90% working interest in the related properties. In August 2021, we purchased MIRA’s entire working interest share in the conveyed assets for $ 53 million, before transaction costs. Prior to the acquisition, our consolidated results reflect only our 10% working interest share in the productive wells.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7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In August 2021, our Board of Directors authorized an increase to the Share Repurchase Program of $100 million to $250 million of our common stock through March 31, 2022.</w:t>
      </w:r>
    </w:p>
    <w:p>
      <w:pPr>
        <w:spacing w:after="0" w:line="200" w:lineRule="exact"/>
        <w:rPr>
          <w:sz w:val="20"/>
          <w:szCs w:val="20"/>
          <w:color w:val="auto"/>
        </w:rPr>
      </w:pPr>
    </w:p>
    <w:p>
      <w:pPr>
        <w:spacing w:after="0" w:line="3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86" w:right="57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provide ample, affordable and reliable energy in a safe and responsible manner, to support and enhance the quality of life of Californians and the local communities in which we operate. We do this through the development of our broad portfolio of assets while adhering to our commitment to making value-based capital investments. Except when the context otherwise requires or where otherwise indicated, all references to ‘‘CRC,’’ the ‘‘Company,’’ ‘‘we,’’ ‘‘us’’ and ‘‘our’’ refer to California Resources Corporation and its subsidiaries.</w:t>
      </w:r>
    </w:p>
    <w:p>
      <w:pPr>
        <w:spacing w:after="0" w:line="23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qualified for and adopted fresh start accounting upon emergence from bankruptcy on October 27, 2020, at which point we became a new entity for financial reporting purposes. We adopted an accounting convenience date of October 31, 2020 for the application of fresh start accounting. As a result of the application of fresh start accounting and the effects of the implementation of our joint plan of reorganization (the Plan), the financial statements after October 31, 2020 may not be comparable to the financial statements prior to that date. Accordingly, “black-line” financial statements are presented to distinguish between the Predecessor and Successor companies. References to "Predecessor” refer to the Company for periods ended on or prior to October 31, 2020 and references to “Successor” refer to the Company for periods subsequent to October 31, 2020.</w:t>
      </w:r>
    </w:p>
    <w:p>
      <w:pPr>
        <w:spacing w:after="0" w:line="216" w:lineRule="exact"/>
        <w:rPr>
          <w:sz w:val="20"/>
          <w:szCs w:val="20"/>
          <w:color w:val="auto"/>
        </w:rPr>
      </w:pPr>
    </w:p>
    <w:p>
      <w:pPr>
        <w:ind w:right="10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3 Fresh Start Accounting</w:t>
      </w:r>
      <w:r>
        <w:rPr>
          <w:rFonts w:ascii="Arial" w:cs="Arial" w:eastAsia="Arial" w:hAnsi="Arial"/>
          <w:sz w:val="18"/>
          <w:szCs w:val="18"/>
          <w:color w:val="auto"/>
        </w:rPr>
        <w:t xml:space="preserve"> in our Annual Report on Form 10-K for the year ended December 31, 2020 (2020 Annual Report) for additional information on the terms of the Plan, our emergence from bankruptcy and application of fresh start accounting.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74"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Our operating results and those of the oil and gas industry as a whole are heavily influenced by commodity prices. Oil and natural gas prices and differentials may fluctuate significantly as a result of numerous market-related variables. These and other factors make it impossible to predict realized prices reliably. We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w:t>
      </w:r>
    </w:p>
    <w:p>
      <w:pPr>
        <w:spacing w:after="0" w:line="23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Global oil prices were higher in the three and six months ended June 30, 2021 compared to the same periods in 2020. Benchmark prices for Brent crude oil in the first half of 2021 increased 55% from the same period in 2020 demonstrating a strong recovery from the same prior year period when oil prices were negatively influenced by the Coronavirus Disease 2019 (COVID-19) pandemic and by the actions of foreign producers. Commodity prices have benefited from rising consumption and economic growth due to the lifting of restrictions related to the COVID-19 pandemic. During the first half of 2021, members of Organization of Petroleum Exporting Countries (OPEC) continued to restrain crude oil production attempting to reduce oil supplies built during 2020.</w:t>
      </w:r>
    </w:p>
    <w:p>
      <w:pPr>
        <w:spacing w:after="0" w:line="235"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following table presents the average daily Brent, WTI and NYMEX prices for the three and six months ended June 30, 2021 and 2020:</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3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5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23"/>
        </w:trPr>
        <w:tc>
          <w:tcPr>
            <w:tcW w:w="5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66.07</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27.85</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37.01</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bl>
    <w:p>
      <w:pPr>
        <w:spacing w:after="0" w:line="86"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color w:val="auto"/>
        </w:rPr>
        <w:t>Note:</w:t>
        <w:tab/>
        <w:t>Bbl refers to a barrel; MMBtu refers to one million British Thermal Units.</w:t>
      </w:r>
    </w:p>
    <w:p>
      <w:pPr>
        <w:spacing w:after="0" w:line="220" w:lineRule="exact"/>
        <w:rPr>
          <w:sz w:val="20"/>
          <w:szCs w:val="20"/>
          <w:color w:val="auto"/>
        </w:rPr>
      </w:pPr>
    </w:p>
    <w:p>
      <w:pPr>
        <w:jc w:val="both"/>
        <w:ind w:right="320" w:firstLine="324"/>
        <w:spacing w:after="0" w:line="266"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 Production and Prices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 Item 1A – Risk Factors</w:t>
      </w:r>
      <w:r>
        <w:rPr>
          <w:rFonts w:ascii="Arial" w:cs="Arial" w:eastAsia="Arial" w:hAnsi="Arial"/>
          <w:sz w:val="18"/>
          <w:szCs w:val="18"/>
          <w:color w:val="auto"/>
        </w:rPr>
        <w:t xml:space="preserve"> in our 2020 Annual Report for further discussion regarding the impact of the pandemic and declines in commodity prices.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Production</w:t>
      </w:r>
    </w:p>
    <w:p>
      <w:pPr>
        <w:spacing w:after="0" w:line="274"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sets forth our average net production volumes of oil, natural gas liquids (NGLs) and natural gas per day for the three and six months ended June 30,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Successor</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Successor</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4"/>
                <w:szCs w:val="14"/>
                <w:color w:val="auto"/>
              </w:rPr>
            </w:pPr>
          </w:p>
        </w:tc>
        <w:tc>
          <w:tcPr>
            <w:tcW w:w="1840" w:type="dxa"/>
            <w:vAlign w:val="bottom"/>
            <w:tcBorders>
              <w:right w:val="single" w:sz="8" w:color="auto"/>
            </w:tcBorders>
            <w:gridSpan w:val="2"/>
            <w:vMerge w:val="restart"/>
          </w:tcPr>
          <w:p>
            <w:pPr>
              <w:jc w:val="center"/>
              <w:ind w:right="16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1840" w:type="dxa"/>
            <w:vAlign w:val="bottom"/>
            <w:tcBorders>
              <w:right w:val="single" w:sz="8" w:color="auto"/>
            </w:tcBorders>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80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ended</w:t>
            </w:r>
          </w:p>
        </w:tc>
        <w:tc>
          <w:tcPr>
            <w:tcW w:w="184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8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June 30,</w:t>
            </w:r>
          </w:p>
        </w:tc>
        <w:tc>
          <w:tcPr>
            <w:tcW w:w="18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3"/>
        </w:trPr>
        <w:tc>
          <w:tcPr>
            <w:tcW w:w="3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10"/>
        </w:trPr>
        <w:tc>
          <w:tcPr>
            <w:tcW w:w="384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84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840" w:type="dxa"/>
            <w:vAlign w:val="bottom"/>
          </w:tcPr>
          <w:p>
            <w:pPr>
              <w:ind w:left="520"/>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6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Ventura Basin</w:t>
            </w:r>
          </w:p>
        </w:tc>
        <w:tc>
          <w:tcPr>
            <w:tcW w:w="18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Pr>
          <w:p>
            <w:pPr>
              <w:ind w:left="52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(MMcf/d)</w:t>
            </w:r>
          </w:p>
        </w:tc>
        <w:tc>
          <w:tcPr>
            <w:tcW w:w="16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320"/>
              <w:spacing w:after="0"/>
              <w:rPr>
                <w:sz w:val="20"/>
                <w:szCs w:val="20"/>
                <w:color w:val="auto"/>
              </w:rPr>
            </w:pPr>
            <w:r>
              <w:rPr>
                <w:rFonts w:ascii="Arial" w:cs="Arial" w:eastAsia="Arial" w:hAnsi="Arial"/>
                <w:sz w:val="18"/>
                <w:szCs w:val="18"/>
                <w:color w:val="auto"/>
              </w:rPr>
              <w:t>San Joaquin Basin</w:t>
            </w:r>
          </w:p>
        </w:tc>
        <w:tc>
          <w:tcPr>
            <w:tcW w:w="168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 Angeles Basin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840" w:type="dxa"/>
            <w:vAlign w:val="bottom"/>
          </w:tcPr>
          <w:p>
            <w:pPr>
              <w:ind w:left="320"/>
              <w:spacing w:after="0"/>
              <w:rPr>
                <w:sz w:val="20"/>
                <w:szCs w:val="20"/>
                <w:color w:val="auto"/>
              </w:rPr>
            </w:pPr>
            <w:r>
              <w:rPr>
                <w:rFonts w:ascii="Arial" w:cs="Arial" w:eastAsia="Arial" w:hAnsi="Arial"/>
                <w:sz w:val="18"/>
                <w:szCs w:val="18"/>
                <w:color w:val="auto"/>
              </w:rPr>
              <w:t>Ventura Basin</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3840" w:type="dxa"/>
            <w:vAlign w:val="bottom"/>
          </w:tcPr>
          <w:p>
            <w:pPr>
              <w:ind w:left="520"/>
              <w:spacing w:after="0"/>
              <w:rPr>
                <w:sz w:val="20"/>
                <w:szCs w:val="20"/>
                <w:color w:val="auto"/>
              </w:rPr>
            </w:pPr>
            <w:r>
              <w:rPr>
                <w:rFonts w:ascii="Arial" w:cs="Arial" w:eastAsia="Arial" w:hAnsi="Arial"/>
                <w:sz w:val="18"/>
                <w:szCs w:val="18"/>
                <w:color w:val="auto"/>
              </w:rPr>
              <w:t>Total</w:t>
            </w:r>
          </w:p>
        </w:tc>
        <w:tc>
          <w:tcPr>
            <w:tcW w:w="16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Total Net Production (MBoe/d)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120" w:hanging="485"/>
        <w:spacing w:after="0" w:line="249" w:lineRule="auto"/>
        <w:tabs>
          <w:tab w:leader="none" w:pos="480" w:val="left"/>
        </w:tabs>
        <w:rPr>
          <w:sz w:val="20"/>
          <w:szCs w:val="20"/>
          <w:color w:val="auto"/>
        </w:rPr>
      </w:pPr>
      <w:r>
        <w:rPr>
          <w:rFonts w:ascii="Arial" w:cs="Arial" w:eastAsia="Arial" w:hAnsi="Arial"/>
          <w:sz w:val="14"/>
          <w:szCs w:val="14"/>
          <w:color w:val="auto"/>
        </w:rPr>
        <w:t>Note:</w:t>
        <w:tab/>
        <w:t>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2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Total daily production for the three months ended June 30, 2021, compared to the same period in 2020, decreased by approximately 11 MBoe/d or 10%. The decrease in production largely resulted from limited drilling activity and capital investment during the prior 12 months and natural decline rates. Our production-sharing contracts (PSCs), as described below, negatively impacted our oil production in the second quarter of 2021 by approximately five MBoe/d compared to the same period in 2020. Our total daily production for the three months ended June 30, 2021 decreased by approximately 5% compared to the same period in 2020 after excluding the impact of PSC-type contracts.</w:t>
      </w:r>
    </w:p>
    <w:p>
      <w:pPr>
        <w:spacing w:after="0" w:line="219"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For the six months ended June 30, 2021 compared to the same period in 2020, total daily production decreased by approximately 17 MBoe/d or 15%. The decrease in production largely resulted from limited drilling activity and capital investment during the prior 12 months and natural decline. Production volumes were also negatively impacted by downtime at one of our gas processing plants and our PSC-type contracts. Our total daily production decreased by 12 MBoe/d or 10% compared to the same period in 2020 after excluding the impact of PSC-type contracts and unscheduled downtime.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Production-Sharing Contracts (PSCs)</w:t>
      </w:r>
    </w:p>
    <w:p>
      <w:pPr>
        <w:spacing w:after="0" w:line="27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contracts represented approximately 15% of our net production for the three months ended June 30, 2021.</w:t>
      </w:r>
    </w:p>
    <w:p>
      <w:pPr>
        <w:spacing w:after="0" w:line="23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line with industry practice for reporting PSC-type contracts, we report 100% of operating costs under such contracts in our condensed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PSC-type contracts. This difference in reporting full operating and general and administrative costs but only our net share of production equally inflates our oil, natural gas and NGL sales revenue, general and administrative expenses and operating costs but has no effect on our net results.</w:t>
      </w:r>
    </w:p>
    <w:p>
      <w:pPr>
        <w:spacing w:after="0" w:line="235"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 xml:space="preserve">The reporting of our PSC-type contracts creates a difference between reported operating costs, which are for the full field, and reported volumes, which are only our net share, inflating the per barrel operating costs. See Statements of Operations Analysis, </w:t>
      </w:r>
      <w:r>
        <w:rPr>
          <w:rFonts w:ascii="Arial" w:cs="Arial" w:eastAsia="Arial" w:hAnsi="Arial"/>
          <w:sz w:val="18"/>
          <w:szCs w:val="18"/>
          <w:i w:val="1"/>
          <w:iCs w:val="1"/>
          <w:color w:val="auto"/>
        </w:rPr>
        <w:t>Results of Oil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Gas Operations </w:t>
      </w:r>
      <w:r>
        <w:rPr>
          <w:rFonts w:ascii="Arial" w:cs="Arial" w:eastAsia="Arial" w:hAnsi="Arial"/>
          <w:sz w:val="18"/>
          <w:szCs w:val="18"/>
          <w:color w:val="auto"/>
        </w:rPr>
        <w:t>below for our operating costs and operating costs, excluding the effects of our PSC-type contracts on a per Boe basis.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Prices and Realizations</w:t>
      </w:r>
    </w:p>
    <w:p>
      <w:pPr>
        <w:spacing w:after="0" w:line="274"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The following tables set forth the average realized prices and price realizations as a percentage of average Brent, WTI and NYMEX for our products for the three and six months ended June 30,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7"/>
                <w:szCs w:val="17"/>
                <w:b w:val="1"/>
                <w:bCs w:val="1"/>
                <w:color w:val="auto"/>
                <w:w w:val="99"/>
              </w:rPr>
              <w:t>Successor</w:t>
            </w:r>
          </w:p>
        </w:tc>
        <w:tc>
          <w:tcPr>
            <w:tcW w:w="13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ind w:right="1055"/>
              <w:spacing w:after="0"/>
              <w:rPr>
                <w:sz w:val="20"/>
                <w:szCs w:val="20"/>
                <w:color w:val="auto"/>
              </w:rPr>
            </w:pPr>
            <w:r>
              <w:rPr>
                <w:rFonts w:ascii="Arial" w:cs="Arial" w:eastAsia="Arial" w:hAnsi="Arial"/>
                <w:sz w:val="17"/>
                <w:szCs w:val="17"/>
                <w:b w:val="1"/>
                <w:bCs w:val="1"/>
                <w:color w:val="auto"/>
                <w:w w:val="99"/>
              </w:rPr>
              <w:t>Predecessor</w:t>
            </w:r>
          </w:p>
        </w:tc>
      </w:tr>
      <w:tr>
        <w:trPr>
          <w:trHeight w:val="210"/>
        </w:trPr>
        <w:tc>
          <w:tcPr>
            <w:tcW w:w="4000" w:type="dxa"/>
            <w:vAlign w:val="bottom"/>
          </w:tcPr>
          <w:p>
            <w:pPr>
              <w:spacing w:after="0"/>
              <w:rPr>
                <w:sz w:val="18"/>
                <w:szCs w:val="18"/>
                <w:color w:val="auto"/>
              </w:rPr>
            </w:pPr>
          </w:p>
        </w:tc>
        <w:tc>
          <w:tcPr>
            <w:tcW w:w="34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Three months ended June 30,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Three months ended June 30,</w:t>
            </w:r>
          </w:p>
        </w:tc>
      </w:tr>
      <w:tr>
        <w:trPr>
          <w:trHeight w:val="209"/>
        </w:trPr>
        <w:tc>
          <w:tcPr>
            <w:tcW w:w="4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7"/>
                <w:szCs w:val="17"/>
                <w:b w:val="1"/>
                <w:bCs w:val="1"/>
                <w:color w:val="auto"/>
              </w:rPr>
              <w:t>2021</w:t>
            </w:r>
          </w:p>
        </w:tc>
        <w:tc>
          <w:tcPr>
            <w:tcW w:w="13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7"/>
                <w:szCs w:val="17"/>
                <w:b w:val="1"/>
                <w:bCs w:val="1"/>
                <w:color w:val="auto"/>
              </w:rPr>
              <w:t>2020</w:t>
            </w:r>
          </w:p>
        </w:tc>
        <w:tc>
          <w:tcPr>
            <w:tcW w:w="142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Realization</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Brent</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69.02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33.27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68.94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100%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91%</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78%</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93%</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WTI</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66.07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27.85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68.94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104%</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109%</w:t>
            </w:r>
          </w:p>
        </w:tc>
      </w:tr>
      <w:tr>
        <w:trPr>
          <w:trHeight w:val="218"/>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hedge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75"/>
              <w:spacing w:after="0"/>
              <w:rPr>
                <w:sz w:val="20"/>
                <w:szCs w:val="20"/>
                <w:color w:val="auto"/>
              </w:rPr>
            </w:pPr>
            <w:r>
              <w:rPr>
                <w:rFonts w:ascii="Arial" w:cs="Arial" w:eastAsia="Arial" w:hAnsi="Arial"/>
                <w:sz w:val="17"/>
                <w:szCs w:val="17"/>
                <w:color w:val="auto"/>
                <w:w w:val="99"/>
              </w:rPr>
              <w:t>82%</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111%</w:t>
            </w:r>
          </w:p>
        </w:tc>
      </w:tr>
      <w:tr>
        <w:trPr>
          <w:trHeight w:val="216"/>
        </w:trPr>
        <w:tc>
          <w:tcPr>
            <w:tcW w:w="4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44.90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65%</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21.05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63%</w:t>
            </w:r>
          </w:p>
        </w:tc>
      </w:tr>
      <w:tr>
        <w:trPr>
          <w:trHeight w:val="218"/>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75"/>
              <w:spacing w:after="0"/>
              <w:rPr>
                <w:sz w:val="20"/>
                <w:szCs w:val="20"/>
                <w:color w:val="auto"/>
              </w:rPr>
            </w:pPr>
            <w:r>
              <w:rPr>
                <w:rFonts w:ascii="Arial" w:cs="Arial" w:eastAsia="Arial" w:hAnsi="Arial"/>
                <w:sz w:val="17"/>
                <w:szCs w:val="17"/>
                <w:color w:val="auto"/>
                <w:w w:val="99"/>
              </w:rPr>
              <w:t>68%</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76%</w:t>
            </w:r>
          </w:p>
        </w:tc>
      </w:tr>
      <w:tr>
        <w:trPr>
          <w:trHeight w:val="216"/>
        </w:trPr>
        <w:tc>
          <w:tcPr>
            <w:tcW w:w="4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NYMEX ($/MMBtu)</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 ($/Mcf)</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110%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93%</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51"/>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 hedge ($/Mcf)</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110%</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7"/>
                <w:szCs w:val="17"/>
                <w:b w:val="1"/>
                <w:bCs w:val="1"/>
                <w:color w:val="auto"/>
                <w:w w:val="99"/>
              </w:rPr>
              <w:t>Successor</w:t>
            </w:r>
          </w:p>
        </w:tc>
        <w:tc>
          <w:tcPr>
            <w:tcW w:w="13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center"/>
              <w:ind w:right="1055"/>
              <w:spacing w:after="0"/>
              <w:rPr>
                <w:sz w:val="20"/>
                <w:szCs w:val="20"/>
                <w:color w:val="auto"/>
              </w:rPr>
            </w:pPr>
            <w:r>
              <w:rPr>
                <w:rFonts w:ascii="Arial" w:cs="Arial" w:eastAsia="Arial" w:hAnsi="Arial"/>
                <w:sz w:val="17"/>
                <w:szCs w:val="17"/>
                <w:b w:val="1"/>
                <w:bCs w:val="1"/>
                <w:color w:val="auto"/>
                <w:w w:val="99"/>
              </w:rPr>
              <w:t>Predecessor</w:t>
            </w:r>
          </w:p>
        </w:tc>
      </w:tr>
      <w:tr>
        <w:trPr>
          <w:trHeight w:val="209"/>
        </w:trPr>
        <w:tc>
          <w:tcPr>
            <w:tcW w:w="4000" w:type="dxa"/>
            <w:vAlign w:val="bottom"/>
          </w:tcPr>
          <w:p>
            <w:pPr>
              <w:spacing w:after="0"/>
              <w:rPr>
                <w:sz w:val="18"/>
                <w:szCs w:val="18"/>
                <w:color w:val="auto"/>
              </w:rPr>
            </w:pPr>
          </w:p>
        </w:tc>
        <w:tc>
          <w:tcPr>
            <w:tcW w:w="34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Six months ended June 30,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rPr>
              <w:t>Six months ended June 30,</w:t>
            </w:r>
          </w:p>
        </w:tc>
      </w:tr>
      <w:tr>
        <w:trPr>
          <w:trHeight w:val="210"/>
        </w:trPr>
        <w:tc>
          <w:tcPr>
            <w:tcW w:w="4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center"/>
              <w:ind w:left="155"/>
              <w:spacing w:after="0"/>
              <w:rPr>
                <w:sz w:val="20"/>
                <w:szCs w:val="20"/>
                <w:color w:val="auto"/>
              </w:rPr>
            </w:pPr>
            <w:r>
              <w:rPr>
                <w:rFonts w:ascii="Arial" w:cs="Arial" w:eastAsia="Arial" w:hAnsi="Arial"/>
                <w:sz w:val="17"/>
                <w:szCs w:val="17"/>
                <w:b w:val="1"/>
                <w:bCs w:val="1"/>
                <w:color w:val="auto"/>
              </w:rPr>
              <w:t>2021</w:t>
            </w:r>
          </w:p>
        </w:tc>
        <w:tc>
          <w:tcPr>
            <w:tcW w:w="13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center"/>
              <w:ind w:left="195"/>
              <w:spacing w:after="0"/>
              <w:rPr>
                <w:sz w:val="20"/>
                <w:szCs w:val="20"/>
                <w:color w:val="auto"/>
              </w:rPr>
            </w:pPr>
            <w:r>
              <w:rPr>
                <w:rFonts w:ascii="Arial" w:cs="Arial" w:eastAsia="Arial" w:hAnsi="Arial"/>
                <w:sz w:val="17"/>
                <w:szCs w:val="17"/>
                <w:b w:val="1"/>
                <w:bCs w:val="1"/>
                <w:color w:val="auto"/>
              </w:rPr>
              <w:t>2020</w:t>
            </w:r>
          </w:p>
        </w:tc>
        <w:tc>
          <w:tcPr>
            <w:tcW w:w="1420" w:type="dxa"/>
            <w:vAlign w:val="bottom"/>
            <w:tcBorders>
              <w:bottom w:val="single" w:sz="8" w:color="auto"/>
            </w:tcBorders>
          </w:tcPr>
          <w:p>
            <w:pPr>
              <w:spacing w:after="0"/>
              <w:rPr>
                <w:sz w:val="18"/>
                <w:szCs w:val="18"/>
                <w:color w:val="auto"/>
              </w:rPr>
            </w:pPr>
          </w:p>
        </w:tc>
      </w:tr>
      <w:tr>
        <w:trPr>
          <w:trHeight w:val="209"/>
        </w:trPr>
        <w:tc>
          <w:tcPr>
            <w:tcW w:w="40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Realization</w:t>
            </w:r>
          </w:p>
        </w:tc>
        <w:tc>
          <w:tcPr>
            <w:tcW w:w="14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Price</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Realization</w:t>
            </w:r>
          </w:p>
        </w:tc>
      </w:tr>
      <w:tr>
        <w:trPr>
          <w:trHeight w:val="19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Oil ($ per Bbl)</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Brent</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65.06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42.12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64.89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100%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97%</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1"/>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 hedge</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83%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104%</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WTI</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61.96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37.01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64.89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105%</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111%</w:t>
            </w:r>
          </w:p>
        </w:tc>
      </w:tr>
      <w:tr>
        <w:trPr>
          <w:trHeight w:val="218"/>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hedge</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75"/>
              <w:spacing w:after="0"/>
              <w:rPr>
                <w:sz w:val="20"/>
                <w:szCs w:val="20"/>
                <w:color w:val="auto"/>
              </w:rPr>
            </w:pPr>
            <w:r>
              <w:rPr>
                <w:rFonts w:ascii="Arial" w:cs="Arial" w:eastAsia="Arial" w:hAnsi="Arial"/>
                <w:sz w:val="17"/>
                <w:szCs w:val="17"/>
                <w:color w:val="auto"/>
                <w:w w:val="99"/>
              </w:rPr>
              <w:t>87%</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5"/>
              <w:spacing w:after="0"/>
              <w:rPr>
                <w:sz w:val="20"/>
                <w:szCs w:val="20"/>
                <w:color w:val="auto"/>
              </w:rPr>
            </w:pPr>
            <w:r>
              <w:rPr>
                <w:rFonts w:ascii="Arial" w:cs="Arial" w:eastAsia="Arial" w:hAnsi="Arial"/>
                <w:sz w:val="17"/>
                <w:szCs w:val="17"/>
                <w:color w:val="auto"/>
              </w:rPr>
              <w:t>118%</w:t>
            </w:r>
          </w:p>
        </w:tc>
      </w:tr>
      <w:tr>
        <w:trPr>
          <w:trHeight w:val="216"/>
        </w:trPr>
        <w:tc>
          <w:tcPr>
            <w:tcW w:w="4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 of Brent)</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75"/>
              <w:spacing w:after="0"/>
              <w:rPr>
                <w:sz w:val="20"/>
                <w:szCs w:val="20"/>
                <w:color w:val="auto"/>
              </w:rPr>
            </w:pPr>
            <w:r>
              <w:rPr>
                <w:rFonts w:ascii="Arial" w:cs="Arial" w:eastAsia="Arial" w:hAnsi="Arial"/>
                <w:sz w:val="17"/>
                <w:szCs w:val="17"/>
                <w:color w:val="auto"/>
                <w:w w:val="99"/>
              </w:rPr>
              <w:t>72%</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25.18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95"/>
              <w:spacing w:after="0"/>
              <w:rPr>
                <w:sz w:val="20"/>
                <w:szCs w:val="20"/>
                <w:color w:val="auto"/>
              </w:rPr>
            </w:pPr>
            <w:r>
              <w:rPr>
                <w:rFonts w:ascii="Arial" w:cs="Arial" w:eastAsia="Arial" w:hAnsi="Arial"/>
                <w:sz w:val="17"/>
                <w:szCs w:val="17"/>
                <w:color w:val="auto"/>
                <w:w w:val="99"/>
              </w:rPr>
              <w:t>60%</w:t>
            </w:r>
          </w:p>
        </w:tc>
      </w:tr>
      <w:tr>
        <w:trPr>
          <w:trHeight w:val="218"/>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 of WTI)</w:t>
            </w:r>
          </w:p>
        </w:tc>
        <w:tc>
          <w:tcPr>
            <w:tcW w:w="1080" w:type="dxa"/>
            <w:vAlign w:val="bottom"/>
            <w:shd w:val="clear" w:color="auto" w:fill="CCEEFF"/>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275"/>
              <w:spacing w:after="0"/>
              <w:rPr>
                <w:sz w:val="20"/>
                <w:szCs w:val="20"/>
                <w:color w:val="auto"/>
              </w:rPr>
            </w:pPr>
            <w:r>
              <w:rPr>
                <w:rFonts w:ascii="Arial" w:cs="Arial" w:eastAsia="Arial" w:hAnsi="Arial"/>
                <w:sz w:val="17"/>
                <w:szCs w:val="17"/>
                <w:color w:val="auto"/>
                <w:w w:val="99"/>
              </w:rPr>
              <w:t>75%</w:t>
            </w: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9"/>
              </w:rPr>
              <w:t>68%</w:t>
            </w:r>
          </w:p>
        </w:tc>
      </w:tr>
      <w:tr>
        <w:trPr>
          <w:trHeight w:val="216"/>
        </w:trPr>
        <w:tc>
          <w:tcPr>
            <w:tcW w:w="4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NYMEX ($/MMBtu)</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4"/>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without hedge ($/Mcf)</w:t>
            </w:r>
          </w:p>
        </w:tc>
        <w:tc>
          <w:tcPr>
            <w:tcW w:w="1080" w:type="dxa"/>
            <w:vAlign w:val="bottom"/>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116%</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103%</w:t>
            </w:r>
          </w:p>
        </w:tc>
      </w:tr>
      <w:tr>
        <w:trPr>
          <w:trHeight w:val="216"/>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Settled hedges</w:t>
            </w: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51"/>
        </w:trPr>
        <w:tc>
          <w:tcPr>
            <w:tcW w:w="4000" w:type="dxa"/>
            <w:vAlign w:val="bottom"/>
          </w:tcPr>
          <w:p>
            <w:pPr>
              <w:ind w:left="20"/>
              <w:spacing w:after="0"/>
              <w:rPr>
                <w:sz w:val="20"/>
                <w:szCs w:val="20"/>
                <w:color w:val="auto"/>
              </w:rPr>
            </w:pPr>
            <w:r>
              <w:rPr>
                <w:rFonts w:ascii="Arial" w:cs="Arial" w:eastAsia="Arial" w:hAnsi="Arial"/>
                <w:sz w:val="17"/>
                <w:szCs w:val="17"/>
                <w:color w:val="auto"/>
              </w:rPr>
              <w:t>Realized price with hedge ($/Mcf)</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center"/>
              <w:ind w:right="295"/>
              <w:spacing w:after="0"/>
              <w:rPr>
                <w:sz w:val="20"/>
                <w:szCs w:val="20"/>
                <w:color w:val="auto"/>
              </w:rPr>
            </w:pPr>
            <w:r>
              <w:rPr>
                <w:rFonts w:ascii="Arial" w:cs="Arial" w:eastAsia="Arial" w:hAnsi="Arial"/>
                <w:sz w:val="17"/>
                <w:szCs w:val="17"/>
                <w:color w:val="auto"/>
              </w:rPr>
              <w:t>115%</w:t>
            </w: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75"/>
              <w:spacing w:after="0"/>
              <w:rPr>
                <w:sz w:val="20"/>
                <w:szCs w:val="20"/>
                <w:color w:val="auto"/>
              </w:rPr>
            </w:pPr>
            <w:r>
              <w:rPr>
                <w:rFonts w:ascii="Arial" w:cs="Arial" w:eastAsia="Arial" w:hAnsi="Arial"/>
                <w:sz w:val="17"/>
                <w:szCs w:val="17"/>
                <w:color w:val="auto"/>
              </w:rPr>
              <w:t>107%</w:t>
            </w:r>
          </w:p>
        </w:tc>
      </w:tr>
    </w:tbl>
    <w:p>
      <w:pPr>
        <w:spacing w:after="0" w:line="346"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index and realized prices excluding hedge settlements were higher in the three and six month periods ended June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in 2020 as oil demand recovered from its COVID-19 driven lows. Prices collapsed in March 2020 at the beginning of the pandemic and have since improved as a result of easing mobility restrictions and the delayed effects of pandemic-related production curtailments and reduced capital investments by OPEC members, domestic producers and Russia.</w:t>
      </w:r>
    </w:p>
    <w:p>
      <w:pPr>
        <w:spacing w:after="0" w:line="207" w:lineRule="exact"/>
        <w:rPr>
          <w:sz w:val="20"/>
          <w:szCs w:val="20"/>
          <w:color w:val="auto"/>
        </w:rPr>
      </w:pPr>
    </w:p>
    <w:p>
      <w:pPr>
        <w:ind w:right="120" w:firstLine="324"/>
        <w:spacing w:after="0" w:line="266"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increased for the three and six month periods ended June 30, 2021 compared to the same periods in 2020.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demand declined at the onset of COVID-19 that caused materially lower NGL prices and resulted in production curtailments. Production curtailments continued into 2021 causing tighter supplies and higher benchmark prices in the face of improving demand.</w:t>
      </w:r>
    </w:p>
    <w:p>
      <w:pPr>
        <w:spacing w:after="0" w:line="189" w:lineRule="exact"/>
        <w:rPr>
          <w:sz w:val="20"/>
          <w:szCs w:val="20"/>
          <w:color w:val="auto"/>
        </w:rPr>
      </w:pPr>
    </w:p>
    <w:p>
      <w:pPr>
        <w:ind w:right="240" w:firstLine="324"/>
        <w:spacing w:after="0" w:line="232"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Natural gas index and realized prices were higher in the three and six months ended June 30, 2021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periods in 2020. The pandemic caused natural gas demand to decline which prompted producers to, in response, reduce production and investment. As pandemic-related mobility restrictions have been lifted, production increases have thus far failed to keep pace with prompt demand and seasonal storage requirements.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Oil and Gas Operations</w:t>
      </w:r>
    </w:p>
    <w:p>
      <w:pPr>
        <w:spacing w:after="0" w:line="27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includes key operating data for our oil and gas operations, excluding certain corporate expenses, on a per Boe basis for the three and six months ended June 30, 2021 and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Predecessor</w:t>
            </w:r>
          </w:p>
        </w:tc>
        <w:tc>
          <w:tcPr>
            <w:tcW w:w="20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Predecessor</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Six months</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right w:val="single" w:sz="8" w:color="auto"/>
            </w:tcBorders>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Energy operating costs</w:t>
            </w:r>
            <w:r>
              <w:rPr>
                <w:rFonts w:ascii="Arial" w:cs="Arial" w:eastAsia="Arial" w:hAnsi="Arial"/>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Non-energy operating costs</w:t>
            </w:r>
            <w:r>
              <w:rPr>
                <w:rFonts w:ascii="Arial" w:cs="Arial" w:eastAsia="Arial" w:hAnsi="Arial"/>
                <w:sz w:val="23"/>
                <w:szCs w:val="23"/>
                <w:color w:val="auto"/>
                <w:vertAlign w:val="superscript"/>
              </w:rPr>
              <w:t>(b)</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360" w:type="dxa"/>
            <w:vAlign w:val="bottom"/>
          </w:tcPr>
          <w:p>
            <w:pPr>
              <w:ind w:left="20"/>
              <w:spacing w:after="0" w:line="178" w:lineRule="exact"/>
              <w:rPr>
                <w:sz w:val="20"/>
                <w:szCs w:val="20"/>
                <w:color w:val="auto"/>
              </w:rPr>
            </w:pPr>
            <w:r>
              <w:rPr>
                <w:rFonts w:ascii="Arial" w:cs="Arial" w:eastAsia="Arial" w:hAnsi="Arial"/>
                <w:sz w:val="18"/>
                <w:szCs w:val="18"/>
                <w:color w:val="auto"/>
              </w:rPr>
              <w:t>Operating costs, excluding effects of PSC-type</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20"/>
              <w:spacing w:after="0" w:line="228" w:lineRule="exact"/>
              <w:rPr>
                <w:sz w:val="20"/>
                <w:szCs w:val="20"/>
                <w:color w:val="auto"/>
              </w:rPr>
            </w:pPr>
            <w:r>
              <w:rPr>
                <w:rFonts w:ascii="Arial" w:cs="Arial" w:eastAsia="Arial" w:hAnsi="Arial"/>
                <w:sz w:val="18"/>
                <w:szCs w:val="18"/>
                <w:color w:val="auto"/>
              </w:rPr>
              <w:t>contracts</w:t>
            </w:r>
            <w:r>
              <w:rPr>
                <w:rFonts w:ascii="Arial" w:cs="Arial" w:eastAsia="Arial" w:hAnsi="Arial"/>
                <w:sz w:val="23"/>
                <w:szCs w:val="23"/>
                <w:color w:val="auto"/>
                <w:vertAlign w:val="superscript"/>
              </w:rPr>
              <w:t>(c)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16.75</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(d)(e)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taxes other than on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Energy operating costs consist of purchases of fuel gas used to generate electricity, purchased electricity and internal costs to produce electricity used in our operations.</w:t>
      </w:r>
    </w:p>
    <w:p>
      <w:pPr>
        <w:spacing w:after="0" w:line="1" w:lineRule="exact"/>
        <w:rPr>
          <w:rFonts w:ascii="Arial" w:cs="Arial" w:eastAsia="Arial" w:hAnsi="Arial"/>
          <w:sz w:val="14"/>
          <w:szCs w:val="14"/>
          <w:color w:val="auto"/>
        </w:rPr>
      </w:pPr>
    </w:p>
    <w:p>
      <w:pPr>
        <w:ind w:left="500" w:right="280" w:hanging="330"/>
        <w:spacing w:after="0" w:line="241"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Non-energy operating costs equal total operating costs less energy operating costs and gas processing costs. Purchases of fuel gas to generate steam which is then used in our steamfloods is included in non-energy operating costs.</w:t>
      </w:r>
    </w:p>
    <w:p>
      <w:pPr>
        <w:ind w:left="500" w:right="160" w:hanging="330"/>
        <w:spacing w:after="0" w:line="241"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As described in the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section, the reporting of our PSC-type contracts creates a difference between reported operating costs, which are for the full field, and reported volumes, which are only our net share, inflating the per barrel operating costs. These amounts represent our operating costs after adjusting for this difference.</w:t>
      </w:r>
    </w:p>
    <w:p>
      <w:pPr>
        <w:ind w:left="500" w:right="260" w:hanging="330"/>
        <w:spacing w:after="0" w:line="241"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corporate expenses. Field general and administrative expenses decreased for the three and six months ended June 30, 2021 from the same period in 2020 primarily due to workforce reductions in the second half of 2020 and the first quarter of 2021.</w:t>
      </w:r>
    </w:p>
    <w:p>
      <w:pPr>
        <w:ind w:left="500" w:right="140" w:hanging="330"/>
        <w:spacing w:after="0" w:line="253" w:lineRule="auto"/>
        <w:tabs>
          <w:tab w:leader="none" w:pos="49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Field depreciation, depletion and amortization decreased in the three and six months ended June 30, 2021 from the same period in 2020 primarily due to a decrease in the carrying value of our property, plant and equipment as a result of fair value adjustments recorded as part of fresh start accounting. See </w:t>
      </w:r>
      <w:r>
        <w:rPr>
          <w:rFonts w:ascii="Arial" w:cs="Arial" w:eastAsia="Arial" w:hAnsi="Arial"/>
          <w:sz w:val="14"/>
          <w:szCs w:val="14"/>
          <w:i w:val="1"/>
          <w:iCs w:val="1"/>
          <w:color w:val="auto"/>
        </w:rPr>
        <w:t>Part II, Item 8 –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and Supplementary Data, Note 3 Fresh Start Accounting </w:t>
      </w:r>
      <w:r>
        <w:rPr>
          <w:rFonts w:ascii="Arial" w:cs="Arial" w:eastAsia="Arial" w:hAnsi="Arial"/>
          <w:sz w:val="14"/>
          <w:szCs w:val="14"/>
          <w:color w:val="auto"/>
        </w:rPr>
        <w:t>in our 2020 Annual Report for additional information on the fresh start valuation of our property,</w:t>
      </w:r>
      <w:r>
        <w:rPr>
          <w:rFonts w:ascii="Arial" w:cs="Arial" w:eastAsia="Arial" w:hAnsi="Arial"/>
          <w:sz w:val="14"/>
          <w:szCs w:val="14"/>
          <w:i w:val="1"/>
          <w:iCs w:val="1"/>
          <w:color w:val="auto"/>
        </w:rPr>
        <w:t xml:space="preserve"> </w:t>
      </w:r>
      <w:r>
        <w:rPr>
          <w:rFonts w:ascii="Arial" w:cs="Arial" w:eastAsia="Arial" w:hAnsi="Arial"/>
          <w:sz w:val="14"/>
          <w:szCs w:val="14"/>
          <w:color w:val="auto"/>
        </w:rPr>
        <w:t>plant and equipment.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results of operations for the three and six months ended June 30,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Predecessor</w:t>
            </w:r>
          </w:p>
        </w:tc>
        <w:tc>
          <w:tcPr>
            <w:tcW w:w="18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8"/>
              </w:rPr>
              <w:t>Successor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Predecessor</w:t>
            </w:r>
          </w:p>
        </w:tc>
      </w:tr>
      <w:tr>
        <w:trPr>
          <w:trHeight w:val="169"/>
        </w:trPr>
        <w:tc>
          <w:tcPr>
            <w:tcW w:w="43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rPr>
              <w:t>Six months</w:t>
            </w: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8"/>
              </w:rPr>
              <w:t>Six months</w:t>
            </w:r>
          </w:p>
        </w:tc>
      </w:tr>
      <w:tr>
        <w:trPr>
          <w:trHeight w:val="176"/>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right w:val="single" w:sz="8" w:color="auto"/>
            </w:tcBorders>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ended</w:t>
            </w:r>
          </w:p>
        </w:tc>
        <w:tc>
          <w:tcPr>
            <w:tcW w:w="18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rPr>
              <w:t>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ended</w:t>
            </w:r>
          </w:p>
        </w:tc>
      </w:tr>
      <w:tr>
        <w:trPr>
          <w:trHeight w:val="229"/>
        </w:trPr>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9"/>
                <w:szCs w:val="19"/>
                <w:color w:val="auto"/>
              </w:rPr>
            </w:pPr>
          </w:p>
        </w:tc>
        <w:tc>
          <w:tcPr>
            <w:tcW w:w="14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4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4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derivative (loss) gain from commodity contracts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Trading revenue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Electricity sales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180" w:type="dxa"/>
            <w:vAlign w:val="bottom"/>
            <w:shd w:val="clear" w:color="auto" w:fill="CCEEFF"/>
          </w:tcPr>
          <w:p>
            <w:pPr>
              <w:spacing w:after="0"/>
              <w:rPr>
                <w:sz w:val="19"/>
                <w:szCs w:val="19"/>
                <w:color w:val="auto"/>
              </w:rPr>
            </w:pPr>
          </w:p>
        </w:tc>
        <w:tc>
          <w:tcPr>
            <w:tcW w:w="1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Trading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cost of sales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Reorganization items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debt expense, net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Net gain on early extinguishment of debt</w:t>
            </w:r>
          </w:p>
        </w:tc>
        <w:tc>
          <w:tcPr>
            <w:tcW w:w="18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80" w:type="dxa"/>
            <w:vAlign w:val="bottom"/>
            <w:shd w:val="clear" w:color="auto" w:fill="CCEEFF"/>
          </w:tcPr>
          <w:p>
            <w:pPr>
              <w:spacing w:after="0"/>
              <w:rPr>
                <w:sz w:val="19"/>
                <w:szCs w:val="19"/>
                <w:color w:val="auto"/>
              </w:rPr>
            </w:pPr>
          </w:p>
        </w:tc>
        <w:tc>
          <w:tcPr>
            <w:tcW w:w="16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expenses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Income tax</w:t>
            </w:r>
          </w:p>
        </w:tc>
        <w:tc>
          <w:tcPr>
            <w:tcW w:w="18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attributable to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June 30, 2021 vs. 2020</w:t>
      </w:r>
    </w:p>
    <w:p>
      <w:pPr>
        <w:spacing w:after="0" w:line="252"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impact of settled hedges, were $478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which is an increase of $233 million compared to $245 million for the same period of 2020. The increase was due to higher realized prices, which was partially offset by lower production, as reflected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Oil</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NGLs</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Natural Gas</w:t>
            </w: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20" w:type="dxa"/>
            <w:vAlign w:val="bottom"/>
            <w:gridSpan w:val="3"/>
          </w:tcPr>
          <w:p>
            <w:pPr>
              <w:jc w:val="right"/>
              <w:ind w:right="89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Three months ended June 30, 2021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9" w:name="page30"/>
    <w:bookmarkEnd w:id="29"/>
    <w:p>
      <w:pPr>
        <w:jc w:val="both"/>
        <w:ind w:right="20" w:firstLine="324"/>
        <w:spacing w:after="0" w:line="256" w:lineRule="auto"/>
        <w:rPr>
          <w:sz w:val="20"/>
          <w:szCs w:val="20"/>
          <w:color w:val="auto"/>
        </w:rPr>
      </w:pPr>
      <w:r>
        <w:rPr>
          <w:rFonts w:ascii="Arial" w:cs="Arial" w:eastAsia="Arial" w:hAnsi="Arial"/>
          <w:sz w:val="18"/>
          <w:szCs w:val="18"/>
          <w:color w:val="auto"/>
        </w:rPr>
        <w:t>The effect of settled hedges is not included in the table above. Payments for settled hedges were $82 million for the three months ended June 30, 2021 compared to proceeds of $5 million for the same period of 2020. Including the effect of settled hedges, our oil, natural gas and NGL revenue increased by $146 million or 58% compared to the same prior-year period.</w:t>
      </w:r>
    </w:p>
    <w:p>
      <w:pPr>
        <w:spacing w:after="0" w:line="211"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Net derivative loss from commodity contracts </w:t>
      </w:r>
      <w:r>
        <w:rPr>
          <w:rFonts w:ascii="Arial" w:cs="Arial" w:eastAsia="Arial" w:hAnsi="Arial"/>
          <w:sz w:val="18"/>
          <w:szCs w:val="18"/>
          <w:color w:val="auto"/>
        </w:rPr>
        <w:t>— Net derivative loss from commodity contracts was $265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compared to a net loss of $4 million in the same period of 2020. The non-cash changes in the fair value of our outstanding derivatives resulted from the positions held at the end of each period as well as the relationship between contract prices and the associated forward curves.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rPr>
              <w:t>Three months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rPr>
              <w:t>Three months</w:t>
            </w:r>
          </w:p>
        </w:tc>
      </w:tr>
      <w:tr>
        <w:trPr>
          <w:trHeight w:val="175"/>
        </w:trPr>
        <w:tc>
          <w:tcPr>
            <w:tcW w:w="7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Borders>
              <w:right w:val="single" w:sz="8" w:color="auto"/>
            </w:tcBorders>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8"/>
              </w:rPr>
              <w:t>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8"/>
              </w:rPr>
              <w:t>ended</w:t>
            </w:r>
          </w:p>
        </w:tc>
      </w:tr>
      <w:tr>
        <w:trPr>
          <w:trHeight w:val="230"/>
        </w:trPr>
        <w:tc>
          <w:tcPr>
            <w:tcW w:w="7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7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2020</w:t>
            </w:r>
          </w:p>
        </w:tc>
      </w:tr>
      <w:tr>
        <w:trPr>
          <w:trHeight w:val="169"/>
        </w:trPr>
        <w:tc>
          <w:tcPr>
            <w:tcW w:w="74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derivative loss, excluding noncontrolling interest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Non-cash derivative loss, noncontrolling interest</w:t>
            </w:r>
          </w:p>
        </w:tc>
        <w:tc>
          <w:tcPr>
            <w:tcW w:w="200" w:type="dxa"/>
            <w:vAlign w:val="bottom"/>
          </w:tcPr>
          <w:p>
            <w:pPr>
              <w:spacing w:after="0"/>
              <w:rPr>
                <w:sz w:val="19"/>
                <w:szCs w:val="19"/>
                <w:color w:val="auto"/>
              </w:rPr>
            </w:pPr>
          </w:p>
        </w:tc>
        <w:tc>
          <w:tcPr>
            <w:tcW w:w="1720" w:type="dxa"/>
            <w:vAlign w:val="bottom"/>
            <w:tcBorders>
              <w:right w:val="single" w:sz="8" w:color="auto"/>
            </w:tcBorders>
            <w:gridSpan w:val="2"/>
          </w:tcPr>
          <w:p>
            <w:pPr>
              <w:ind w:left="1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4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non-cash changes</w:t>
            </w: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(payments) proceeds on settled commodity derivatives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derivative loss from commodity contracts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Trading revenue </w:t>
      </w:r>
      <w:r>
        <w:rPr>
          <w:rFonts w:ascii="Arial" w:cs="Arial" w:eastAsia="Arial" w:hAnsi="Arial"/>
          <w:sz w:val="18"/>
          <w:szCs w:val="18"/>
          <w:color w:val="auto"/>
        </w:rPr>
        <w:t>— Trading revenue was $48 million for the three months ended June 30, 2021, an increase of $34 million, or 243% from</w:t>
      </w:r>
      <w:r>
        <w:rPr>
          <w:rFonts w:ascii="Arial" w:cs="Arial" w:eastAsia="Arial" w:hAnsi="Arial"/>
          <w:sz w:val="18"/>
          <w:szCs w:val="18"/>
          <w:i w:val="1"/>
          <w:iCs w:val="1"/>
          <w:color w:val="auto"/>
        </w:rPr>
        <w:t xml:space="preserve"> </w:t>
      </w:r>
      <w:r>
        <w:rPr>
          <w:rFonts w:ascii="Arial" w:cs="Arial" w:eastAsia="Arial" w:hAnsi="Arial"/>
          <w:sz w:val="18"/>
          <w:szCs w:val="18"/>
          <w:color w:val="auto"/>
        </w:rPr>
        <w:t>$14 million during the same period of 2020. The increase was predominantly the result of higher volume and prices related to our natural gas trading activities created by a warmer summer in 2021 as compared to 2020. Our net margin from natural gas trading activities, after deducting the cost of related natural gas purchases, was $18 million for the three months ended June 30, 2021 compared to $6 million for the same period of 2020.</w:t>
      </w:r>
    </w:p>
    <w:p>
      <w:pPr>
        <w:spacing w:after="0" w:line="21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$14 million to $33 million in the second quarter of 2021 compared to $19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2020. The increase was predominantly due to higher electricity prices in 2021 resulting from higher natural gas prices as well as reduced hydroelectric generation in California. Volumes sold in the second quarter of 2020 were lower than the second quarter of 2021 due to planned maintenance at the Elk Hills power plant in the first quarter of 2021 which continued in the early part of April 2020.</w:t>
      </w:r>
    </w:p>
    <w:p>
      <w:pPr>
        <w:spacing w:after="0" w:line="20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Operating costs for the three months ended June 30, 2021 were $169 million, which was an increase of $42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33% from $127 million for the same period of 2020. The increase was primarily attributable to higher downhole maintenance activity in 2021 which was deferred in 2020 as we shut-in wells. Additionally, operating costs increased in 2021 due to higher energy costs and natural gas prices as compared to 2020. Partially offsetting these increases were lower compensation-related costs from streamlining our operations, which included headcount reductions in late 2020 and early 2021 as well as benefit reductions in the second quarter of 2021. Our second quarter 2020 results reflect cost savings for reduced work hours and reduced management salaries in response to the industry downturn resulting from the COVID-19 pandemic. Although higher natural gas and electricity prices in 2021 increased our operating costs, higher prices have a net positive effect on our operating results due to higher revenue from sales of these commodities which we also produce.</w:t>
      </w:r>
    </w:p>
    <w:p>
      <w:pPr>
        <w:spacing w:after="0" w:line="21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were $48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which was a decrease of $21 million from $69 million for the three months ended June 30, 2020. The decrease in G&amp;A expenses reflects lower compensation-related costs primarily due to workforce reductions that occurred in the second half of 2020 and the first quarter of 2021 as well as benefit reductions in the second quarter of 2021. Our second quarter 2020 results include cost savings from reduced work hours and reduced management salaries in response to the industry downturn and the COVID-19 pandemic. The remaining decrease between comparative periods was primarily due to cost saving efforts which resulted in lower spend across a number of cost categories. The decrease was partially offset by stock-based compensation expense related to awards granted to executives and directors in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0" w:name="page31"/>
    <w:bookmarkEnd w:id="30"/>
    <w:p>
      <w:pPr>
        <w:ind w:right="80" w:firstLine="324"/>
        <w:spacing w:after="0" w:line="258"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$34 million to $54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second quarter of 2021 compared to $88 million in the same period of 2020 was primarily due to a decrease in the carrying value of our property, plant and equipment as a result of fair value adjustments recorded as part of fresh start accounting.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3 Fresh Start Accounting </w:t>
      </w:r>
      <w:r>
        <w:rPr>
          <w:rFonts w:ascii="Arial" w:cs="Arial" w:eastAsia="Arial" w:hAnsi="Arial"/>
          <w:sz w:val="18"/>
          <w:szCs w:val="18"/>
          <w:color w:val="auto"/>
        </w:rPr>
        <w:t>in our 2020 Annual Report for additional information on the 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property, plant and equipment.</w:t>
      </w:r>
    </w:p>
    <w:p>
      <w:pPr>
        <w:spacing w:after="0" w:line="210" w:lineRule="exact"/>
        <w:rPr>
          <w:sz w:val="20"/>
          <w:szCs w:val="20"/>
          <w:color w:val="auto"/>
        </w:rPr>
      </w:pPr>
    </w:p>
    <w:p>
      <w:pPr>
        <w:ind w:right="300" w:firstLine="324"/>
        <w:spacing w:after="0" w:line="250" w:lineRule="auto"/>
        <w:rPr>
          <w:sz w:val="20"/>
          <w:szCs w:val="20"/>
          <w:color w:val="auto"/>
        </w:rPr>
      </w:pPr>
      <w:r>
        <w:rPr>
          <w:rFonts w:ascii="Arial" w:cs="Arial" w:eastAsia="Arial" w:hAnsi="Arial"/>
          <w:sz w:val="18"/>
          <w:szCs w:val="18"/>
          <w:i w:val="1"/>
          <w:iCs w:val="1"/>
          <w:color w:val="auto"/>
        </w:rPr>
        <w:t xml:space="preserve">Trading costs </w:t>
      </w:r>
      <w:r>
        <w:rPr>
          <w:rFonts w:ascii="Arial" w:cs="Arial" w:eastAsia="Arial" w:hAnsi="Arial"/>
          <w:sz w:val="18"/>
          <w:szCs w:val="18"/>
          <w:color w:val="auto"/>
        </w:rPr>
        <w:t>— Natural gas purchases related to trading activities were $30 million for the three months ended June 30, 2021, which</w:t>
      </w:r>
      <w:r>
        <w:rPr>
          <w:rFonts w:ascii="Arial" w:cs="Arial" w:eastAsia="Arial" w:hAnsi="Arial"/>
          <w:sz w:val="18"/>
          <w:szCs w:val="18"/>
          <w:i w:val="1"/>
          <w:iCs w:val="1"/>
          <w:color w:val="auto"/>
        </w:rPr>
        <w:t xml:space="preserve"> </w:t>
      </w:r>
      <w:r>
        <w:rPr>
          <w:rFonts w:ascii="Arial" w:cs="Arial" w:eastAsia="Arial" w:hAnsi="Arial"/>
          <w:sz w:val="18"/>
          <w:szCs w:val="18"/>
          <w:color w:val="auto"/>
        </w:rPr>
        <w:t>was an increase of $22 million or 275% from $8 million for the same period in 2020. The change was predominantly the result of higher activity levels and prices.</w:t>
      </w:r>
    </w:p>
    <w:p>
      <w:pPr>
        <w:spacing w:after="0" w:line="204"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i w:val="1"/>
          <w:iCs w:val="1"/>
          <w:color w:val="auto"/>
        </w:rPr>
        <w:t xml:space="preserve">Other expenses, net </w:t>
      </w:r>
      <w:r>
        <w:rPr>
          <w:rFonts w:ascii="Arial" w:cs="Arial" w:eastAsia="Arial" w:hAnsi="Arial"/>
          <w:sz w:val="18"/>
          <w:szCs w:val="18"/>
          <w:color w:val="auto"/>
        </w:rPr>
        <w:t>— Other expenses, net was $23 million for the three months ended June 30, 2021, which was a decrease of $14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$37 million during the same period of 2020. The decrease was largely due to a one-time payment of $20 million made in connection with an expiring pipeline delivery contract partially offset by a $3 million property tax refund.</w:t>
      </w:r>
    </w:p>
    <w:p>
      <w:pPr>
        <w:spacing w:after="0" w:line="203" w:lineRule="exact"/>
        <w:rPr>
          <w:sz w:val="20"/>
          <w:szCs w:val="20"/>
          <w:color w:val="auto"/>
        </w:rPr>
      </w:pPr>
    </w:p>
    <w:p>
      <w:pPr>
        <w:ind w:right="100" w:firstLine="324"/>
        <w:spacing w:after="0" w:line="258"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$ 72 million to $13 million in the second quarter of 2021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compared to $85 million in the same period of 2020 primarily due to a decrease in our overall level of debt following our emergence from bankruptcy. Additionally, we reduced the amount drawn on our Revolving Credit Facility and had no balance drawn during the quarter. See </w:t>
      </w:r>
      <w:r>
        <w:rPr>
          <w:rFonts w:ascii="Arial" w:cs="Arial" w:eastAsia="Arial" w:hAnsi="Arial"/>
          <w:sz w:val="18"/>
          <w:szCs w:val="18"/>
          <w:i w:val="1"/>
          <w:iCs w:val="1"/>
          <w:color w:val="auto"/>
        </w:rPr>
        <w:t xml:space="preserve">Part II, Item 8 – Financial Statements and Supplementary Data, Note 2 Chapter 11 Proceedings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8 Debt </w:t>
      </w:r>
      <w:r>
        <w:rPr>
          <w:rFonts w:ascii="Arial" w:cs="Arial" w:eastAsia="Arial" w:hAnsi="Arial"/>
          <w:sz w:val="18"/>
          <w:szCs w:val="18"/>
          <w:color w:val="auto"/>
        </w:rPr>
        <w:t>in our 2020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for additional information on the terms of the Plan, our emergence from bankruptcy and our long-term debt transactions.</w:t>
      </w:r>
    </w:p>
    <w:p>
      <w:pPr>
        <w:spacing w:after="0" w:line="210"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decreased $45 million to $2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$47 million in the same period for 2020. The decrease primarily due to the significant legal, professional and other fees incurred in preparation for our Chapter 11 filing on July 15, 2020.</w:t>
      </w:r>
    </w:p>
    <w:p>
      <w:pPr>
        <w:spacing w:after="0" w:line="203" w:lineRule="exact"/>
        <w:rPr>
          <w:sz w:val="20"/>
          <w:szCs w:val="20"/>
          <w:color w:val="auto"/>
        </w:rPr>
      </w:pPr>
    </w:p>
    <w:p>
      <w:pPr>
        <w:ind w:right="2480" w:firstLine="324"/>
        <w:spacing w:after="0" w:line="260"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Upon emergence from bankruptcy, we acquired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ECR's member interests in the Ares JV; therefore, the allocation of net income to noncontrolling interest</w:t>
      </w:r>
    </w:p>
    <w:p>
      <w:pPr>
        <w:spacing w:after="0" w:line="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holders in the Successor period for the three months ended June 30, 2021 is lower than the Predecessor period for the three months ended June 30, 2020. 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in our 2020 Annual Report for additional information on the settlement terms of the Ares JV.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Six Months Ended June 30, 2021 vs. 2020</w:t>
      </w:r>
    </w:p>
    <w:p>
      <w:pPr>
        <w:spacing w:after="0" w:line="252"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 xml:space="preserve">Oil, natural gas and NGL sales </w:t>
      </w:r>
      <w:r>
        <w:rPr>
          <w:rFonts w:ascii="Arial" w:cs="Arial" w:eastAsia="Arial" w:hAnsi="Arial"/>
          <w:sz w:val="18"/>
          <w:szCs w:val="18"/>
          <w:color w:val="auto"/>
        </w:rPr>
        <w:t>— Oil, natural gas and NGL sales, excluding the impact of settled hedges, were $910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which is an increase of $235 million compared to $675 million for the same period of 2020. The increase was due to higher realized prices, which was partially offset by lower production, as reflected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Oil</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Natural Gas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w:t>
            </w:r>
          </w:p>
        </w:tc>
      </w:tr>
      <w:tr>
        <w:trPr>
          <w:trHeight w:val="183"/>
        </w:trPr>
        <w:tc>
          <w:tcPr>
            <w:tcW w:w="4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gridSpan w:val="3"/>
          </w:tcPr>
          <w:p>
            <w:pPr>
              <w:jc w:val="right"/>
              <w:ind w:right="370"/>
              <w:spacing w:after="0"/>
              <w:rPr>
                <w:sz w:val="20"/>
                <w:szCs w:val="20"/>
                <w:color w:val="auto"/>
              </w:rPr>
            </w:pPr>
            <w:r>
              <w:rPr>
                <w:rFonts w:ascii="Arial" w:cs="Arial" w:eastAsia="Arial" w:hAnsi="Arial"/>
                <w:sz w:val="14"/>
                <w:szCs w:val="14"/>
                <w:color w:val="auto"/>
              </w:rPr>
              <w:t>(in millions)</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549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9"/>
              </w:rPr>
              <w:t>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675</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00" w:type="dxa"/>
            <w:vAlign w:val="bottom"/>
          </w:tcPr>
          <w:p>
            <w:pPr>
              <w:spacing w:after="0"/>
              <w:rPr>
                <w:sz w:val="19"/>
                <w:szCs w:val="19"/>
                <w:color w:val="auto"/>
              </w:rPr>
            </w:pPr>
          </w:p>
        </w:tc>
        <w:tc>
          <w:tcPr>
            <w:tcW w:w="560" w:type="dxa"/>
            <w:vAlign w:val="bottom"/>
          </w:tcPr>
          <w:p>
            <w:pPr>
              <w:jc w:val="center"/>
              <w:ind w:left="10"/>
              <w:spacing w:after="0"/>
              <w:rPr>
                <w:sz w:val="20"/>
                <w:szCs w:val="20"/>
                <w:color w:val="auto"/>
              </w:rPr>
            </w:pPr>
            <w:r>
              <w:rPr>
                <w:rFonts w:ascii="Arial" w:cs="Arial" w:eastAsia="Arial" w:hAnsi="Arial"/>
                <w:sz w:val="18"/>
                <w:szCs w:val="18"/>
                <w:color w:val="auto"/>
                <w:w w:val="99"/>
              </w:rPr>
              <w:t>319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jc w:val="center"/>
              <w:ind w:left="350"/>
              <w:spacing w:after="0"/>
              <w:rPr>
                <w:sz w:val="20"/>
                <w:szCs w:val="20"/>
                <w:color w:val="auto"/>
              </w:rPr>
            </w:pPr>
            <w:r>
              <w:rPr>
                <w:rFonts w:ascii="Arial" w:cs="Arial" w:eastAsia="Arial" w:hAnsi="Arial"/>
                <w:sz w:val="18"/>
                <w:szCs w:val="18"/>
                <w:color w:val="auto"/>
                <w:w w:val="99"/>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center"/>
              <w:ind w:left="670"/>
              <w:spacing w:after="0"/>
              <w:rPr>
                <w:sz w:val="20"/>
                <w:szCs w:val="20"/>
                <w:color w:val="auto"/>
              </w:rPr>
            </w:pPr>
            <w:r>
              <w:rPr>
                <w:rFonts w:ascii="Arial" w:cs="Arial" w:eastAsia="Arial" w:hAnsi="Arial"/>
                <w:sz w:val="18"/>
                <w:szCs w:val="18"/>
                <w:color w:val="auto"/>
                <w:w w:val="99"/>
              </w:rPr>
              <w:t>411</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(157)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9"/>
              </w:rPr>
              <w:t>(176)</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Six months ended June 30, 2021</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711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9"/>
              </w:rPr>
              <w:t>92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910</w:t>
            </w:r>
          </w:p>
        </w:tc>
      </w:tr>
      <w:tr>
        <w:trPr>
          <w:trHeight w:val="21"/>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52" w:lineRule="exact"/>
        <w:rPr>
          <w:sz w:val="20"/>
          <w:szCs w:val="20"/>
          <w:color w:val="auto"/>
        </w:rPr>
      </w:pPr>
    </w:p>
    <w:p>
      <w:pPr>
        <w:jc w:val="both"/>
        <w:ind w:right="40" w:firstLine="324"/>
        <w:spacing w:after="0" w:line="254" w:lineRule="auto"/>
        <w:rPr>
          <w:sz w:val="20"/>
          <w:szCs w:val="20"/>
          <w:color w:val="auto"/>
        </w:rPr>
      </w:pPr>
      <w:r>
        <w:rPr>
          <w:rFonts w:ascii="Arial" w:cs="Arial" w:eastAsia="Arial" w:hAnsi="Arial"/>
          <w:sz w:val="18"/>
          <w:szCs w:val="18"/>
          <w:color w:val="auto"/>
        </w:rPr>
        <w:t>The effect of settled hedges is not included in the table above. Payments for settled hedges were $121 million for the six months ended June 30, 2021 compared to proceeds of $103 million, including $63 million of proceeds from derivative contracts sold prior to maturity, in the first quarter of 2020. Including the effect of settled hedges, our oil, natural gas and NGL revenue increased by $11 million or 1% compared to the same prior-year period.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Net derivative loss from commodity contracts </w:t>
      </w:r>
      <w:r>
        <w:rPr>
          <w:rFonts w:ascii="Arial" w:cs="Arial" w:eastAsia="Arial" w:hAnsi="Arial"/>
          <w:sz w:val="18"/>
          <w:szCs w:val="18"/>
          <w:color w:val="auto"/>
        </w:rPr>
        <w:t>— Net derivative loss from commodity contracts was $ 478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compared to a net gain of $75 million in the same period of 2020. The non-cash changes in the fair value of our outstanding derivatives resulted from the positions held at the end of each period as well as the relationship between contract prices and the associated forward curves.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 w:lineRule="exact"/>
        <w:rPr>
          <w:sz w:val="20"/>
          <w:szCs w:val="20"/>
          <w:color w:val="auto"/>
        </w:rPr>
      </w:pPr>
    </w:p>
    <w:p>
      <w:pPr>
        <w:ind w:left="40" w:right="2020"/>
        <w:spacing w:after="0" w:line="273" w:lineRule="auto"/>
        <w:rPr>
          <w:sz w:val="20"/>
          <w:szCs w:val="20"/>
          <w:color w:val="auto"/>
        </w:rPr>
      </w:pPr>
      <w:r>
        <w:rPr>
          <w:rFonts w:ascii="Arial" w:cs="Arial" w:eastAsia="Arial" w:hAnsi="Arial"/>
          <w:sz w:val="18"/>
          <w:szCs w:val="18"/>
          <w:color w:val="auto"/>
        </w:rPr>
        <w:t>Non-cash derivative loss, excluding noncontrolling interest Non-cash derivative gain,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non-cash changes</w:t>
      </w:r>
    </w:p>
    <w:p>
      <w:pPr>
        <w:spacing w:after="0" w:line="23" w:lineRule="exact"/>
        <w:rPr>
          <w:sz w:val="20"/>
          <w:szCs w:val="20"/>
          <w:color w:val="auto"/>
        </w:rPr>
      </w:pPr>
    </w:p>
    <w:p>
      <w:pPr>
        <w:ind w:left="280" w:right="1740"/>
        <w:spacing w:after="0" w:line="306" w:lineRule="auto"/>
        <w:rPr>
          <w:sz w:val="20"/>
          <w:szCs w:val="20"/>
          <w:color w:val="auto"/>
        </w:rPr>
      </w:pPr>
      <w:r>
        <w:rPr>
          <w:rFonts w:ascii="Arial" w:cs="Arial" w:eastAsia="Arial" w:hAnsi="Arial"/>
          <w:sz w:val="17"/>
          <w:szCs w:val="17"/>
          <w:color w:val="auto"/>
        </w:rPr>
        <w:t>Net (payments) proceeds on settled commodity derivatives Net proceeds on derivative contracts sold prior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-178435</wp:posOffset>
            </wp:positionV>
            <wp:extent cx="7115175"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Net derivative (loss) gain from commodity contracts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17"/>
                <w:szCs w:val="17"/>
                <w:color w:val="auto"/>
              </w:rPr>
            </w:pP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rPr>
              <w:t>Six months ended</w:t>
            </w:r>
          </w:p>
        </w:tc>
      </w:tr>
      <w:tr>
        <w:trPr>
          <w:trHeight w:val="230"/>
        </w:trPr>
        <w:tc>
          <w:tcPr>
            <w:tcW w:w="320" w:type="dxa"/>
            <w:vAlign w:val="bottom"/>
          </w:tcPr>
          <w:p>
            <w:pPr>
              <w:spacing w:after="0"/>
              <w:rPr>
                <w:sz w:val="19"/>
                <w:szCs w:val="19"/>
                <w:color w:val="auto"/>
              </w:rPr>
            </w:pPr>
          </w:p>
        </w:tc>
        <w:tc>
          <w:tcPr>
            <w:tcW w:w="160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2020</w:t>
            </w:r>
          </w:p>
        </w:tc>
      </w:tr>
      <w:tr>
        <w:trPr>
          <w:trHeight w:val="399"/>
        </w:trPr>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320" w:type="dxa"/>
            <w:vAlign w:val="bottom"/>
          </w:tcPr>
          <w:p>
            <w:pPr>
              <w:spacing w:after="0"/>
              <w:rPr>
                <w:sz w:val="19"/>
                <w:szCs w:val="19"/>
                <w:color w:val="auto"/>
              </w:rPr>
            </w:pPr>
          </w:p>
        </w:tc>
        <w:tc>
          <w:tcPr>
            <w:tcW w:w="1600" w:type="dxa"/>
            <w:vAlign w:val="bottom"/>
            <w:tcBorders>
              <w:right w:val="single" w:sz="8" w:color="auto"/>
            </w:tcBorders>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20" w:type="dxa"/>
            <w:vAlign w:val="bottom"/>
          </w:tcPr>
          <w:p>
            <w:pPr>
              <w:spacing w:after="0"/>
              <w:rPr>
                <w:sz w:val="19"/>
                <w:szCs w:val="19"/>
                <w:color w:val="auto"/>
              </w:rPr>
            </w:pPr>
          </w:p>
        </w:tc>
        <w:tc>
          <w:tcPr>
            <w:tcW w:w="1600" w:type="dxa"/>
            <w:vAlign w:val="bottom"/>
            <w:tcBorders>
              <w:right w:val="single" w:sz="8" w:color="auto"/>
            </w:tcBorders>
            <w:gridSpan w:val="2"/>
          </w:tcPr>
          <w:p>
            <w:pPr>
              <w:ind w:left="1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63"/>
        </w:trPr>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ectPr>
          <w:pgSz w:w="11900" w:h="16838" w:orient="portrait"/>
          <w:cols w:equalWidth="0" w:num="2">
            <w:col w:w="6700" w:space="720"/>
            <w:col w:w="3800"/>
          </w:cols>
          <w:pgMar w:left="320" w:top="890" w:right="359" w:bottom="1440" w:gutter="0" w:footer="0" w:header="0"/>
          <w:type w:val="continuous"/>
        </w:sectPr>
      </w:pPr>
    </w:p>
    <w:p>
      <w:pPr>
        <w:spacing w:after="0" w:line="10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i w:val="1"/>
          <w:iCs w:val="1"/>
          <w:color w:val="auto"/>
        </w:rPr>
        <w:t xml:space="preserve">Trading revenue </w:t>
      </w:r>
      <w:r>
        <w:rPr>
          <w:rFonts w:ascii="Arial" w:cs="Arial" w:eastAsia="Arial" w:hAnsi="Arial"/>
          <w:sz w:val="18"/>
          <w:szCs w:val="18"/>
          <w:color w:val="auto"/>
        </w:rPr>
        <w:t>— Trading revenue was $146 million for the six months ended June 30, 2021, an increase of $ 87 million, or 147% from</w:t>
      </w:r>
      <w:r>
        <w:rPr>
          <w:rFonts w:ascii="Arial" w:cs="Arial" w:eastAsia="Arial" w:hAnsi="Arial"/>
          <w:sz w:val="18"/>
          <w:szCs w:val="18"/>
          <w:i w:val="1"/>
          <w:iCs w:val="1"/>
          <w:color w:val="auto"/>
        </w:rPr>
        <w:t xml:space="preserve"> </w:t>
      </w:r>
      <w:r>
        <w:rPr>
          <w:rFonts w:ascii="Arial" w:cs="Arial" w:eastAsia="Arial" w:hAnsi="Arial"/>
          <w:sz w:val="18"/>
          <w:szCs w:val="18"/>
          <w:color w:val="auto"/>
        </w:rPr>
        <w:t>$59 million during the same period of 2020. The increase was predominantly the result of higher volume and prices related to our natural gas trading activities created by colder winter temperatures and a warmer summer in 2021 as compared to 2020. Our net margin from natural gas trading activities, after deducting the cost of related natural gas purchases, was $55 million for the six months ended June 30, 2021 compared to $27 million for the same period of 2020.</w:t>
      </w:r>
    </w:p>
    <w:p>
      <w:pPr>
        <w:spacing w:after="0" w:line="210"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Electricity sales </w:t>
      </w:r>
      <w:r>
        <w:rPr>
          <w:rFonts w:ascii="Arial" w:cs="Arial" w:eastAsia="Arial" w:hAnsi="Arial"/>
          <w:sz w:val="18"/>
          <w:szCs w:val="18"/>
          <w:color w:val="auto"/>
        </w:rPr>
        <w:t>— Electricity sales increased $34 million to $ 66 million in the first half of 2021 compared to $32 million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2020. Electricity sales increased in the first half of 2021 from the prior year period as a result of higher pricing resulting from reduced hydroelectric generation in California as well as increased natural gas prices. In the first half of 2020, sales volumes were also lower from planned maintenance and an outage at the Elk Hills power plant.</w:t>
      </w:r>
    </w:p>
    <w:p>
      <w:pPr>
        <w:spacing w:after="0" w:line="20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Operating costs for the six months ended June 30, 2021 were $333 million, which was an increase of $14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4% from $319 million for the same period of 2020. The increase was primarily attributable to higher downhole maintenance activity in 2021 which was deferred in 2020 as we shut-in wells. Additionally, operating costs increased in 2021 due to higher energy costs and natural gas prices as compared to 2020. These increases were partially offset by lower compensation-related costs from streamlining our operations, including headcount reductions in the second half of 2020 and in the first quarter of 2021 as well as benefit reductions in the second quarter of 2021. Although higher natural gas and electricity prices increase our operating costs, higher prices have a net positive effect on our operating results due to higher revenue from sales of these commodities which we also produce.</w:t>
      </w:r>
    </w:p>
    <w:p>
      <w:pPr>
        <w:spacing w:after="0" w:line="216"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 Our general and administrative (G&amp;A) expenses were $96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which was a decrease of $33 million from $129 million for the six months ended June 30, 2020. The decrease in G&amp;A expenses were primarily attributable to lower compensation-related costs as a result of workforce reductions that occurred in the second half of 2020 and the first quarter of 2021 as well as benefit reductions in the second quarter of 2021. The remaining decrease was primarily due to cost savings efforts which resulted in lower spend across a number of cost categories. The decrease was partially offset by stock-based compensation expense related to awards granted to executives and directors in 2021.</w:t>
      </w:r>
    </w:p>
    <w:p>
      <w:pPr>
        <w:spacing w:after="0" w:line="214"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 The decrease in depreciation, depletion, and amortization of $101 million to $106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first half of 2021 compared to $ 207 million in the same period of 2020 was primarily due to a decrease in the carrying value of our property, plant and equipment as a result of fair value adjustments recorded as part of fresh start accounting.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3 Fresh Start Accounting </w:t>
      </w:r>
      <w:r>
        <w:rPr>
          <w:rFonts w:ascii="Arial" w:cs="Arial" w:eastAsia="Arial" w:hAnsi="Arial"/>
          <w:sz w:val="18"/>
          <w:szCs w:val="18"/>
          <w:color w:val="auto"/>
        </w:rPr>
        <w:t>in our 2020 Annual Report for additional information on the valuation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32" w:name="page33"/>
    <w:bookmarkEnd w:id="32"/>
    <w:p>
      <w:pPr>
        <w:ind w:firstLine="324"/>
        <w:spacing w:after="0" w:line="258" w:lineRule="auto"/>
        <w:rPr>
          <w:sz w:val="20"/>
          <w:szCs w:val="20"/>
          <w:color w:val="auto"/>
        </w:rPr>
      </w:pPr>
      <w:r>
        <w:rPr>
          <w:rFonts w:ascii="Arial" w:cs="Arial" w:eastAsia="Arial" w:hAnsi="Arial"/>
          <w:sz w:val="18"/>
          <w:szCs w:val="18"/>
          <w:i w:val="1"/>
          <w:iCs w:val="1"/>
          <w:color w:val="auto"/>
        </w:rPr>
        <w:t xml:space="preserve">Asset impairments </w:t>
      </w:r>
      <w:r>
        <w:rPr>
          <w:rFonts w:ascii="Arial" w:cs="Arial" w:eastAsia="Arial" w:hAnsi="Arial"/>
          <w:sz w:val="18"/>
          <w:szCs w:val="18"/>
          <w:color w:val="auto"/>
        </w:rPr>
        <w:t>— Asset impairment charges for the six months ended June 30, 2021 were $3 million for the impairment of capitalized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related to projects which were abandoned. For the same period in 2020, we recorded an impairment charge of $1.7 billion due to the sharp drop in commodity prices in March 2020, which included $1.5 billion related to certain of our proved properties and approximately $228 million related to unproved acreage that was no longer included in our development plans at that time.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12 Asset Impairments </w:t>
      </w:r>
      <w:r>
        <w:rPr>
          <w:rFonts w:ascii="Arial" w:cs="Arial" w:eastAsia="Arial" w:hAnsi="Arial"/>
          <w:sz w:val="18"/>
          <w:szCs w:val="18"/>
          <w:color w:val="auto"/>
        </w:rPr>
        <w:t>for additional information.</w:t>
      </w:r>
    </w:p>
    <w:p>
      <w:pPr>
        <w:spacing w:after="0" w:line="210" w:lineRule="exact"/>
        <w:rPr>
          <w:sz w:val="20"/>
          <w:szCs w:val="20"/>
          <w:color w:val="auto"/>
        </w:rPr>
      </w:pPr>
    </w:p>
    <w:p>
      <w:pPr>
        <w:jc w:val="both"/>
        <w:ind w:right="140" w:firstLine="324"/>
        <w:spacing w:after="0" w:line="266" w:lineRule="auto"/>
        <w:rPr>
          <w:sz w:val="20"/>
          <w:szCs w:val="20"/>
          <w:color w:val="auto"/>
        </w:rPr>
      </w:pPr>
      <w:r>
        <w:rPr>
          <w:rFonts w:ascii="Arial" w:cs="Arial" w:eastAsia="Arial" w:hAnsi="Arial"/>
          <w:sz w:val="18"/>
          <w:szCs w:val="18"/>
          <w:i w:val="1"/>
          <w:iCs w:val="1"/>
          <w:color w:val="auto"/>
        </w:rPr>
        <w:t xml:space="preserve">Trading costs </w:t>
      </w:r>
      <w:r>
        <w:rPr>
          <w:rFonts w:ascii="Arial" w:cs="Arial" w:eastAsia="Arial" w:hAnsi="Arial"/>
          <w:sz w:val="18"/>
          <w:szCs w:val="18"/>
          <w:color w:val="auto"/>
        </w:rPr>
        <w:t>— Natural gas purchases related to trading activities were $91 million for the six months ended June 30,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$59 million or 184% from $32 million for the same period in 2020. The change was predominantly the result of higher activity levels and prices related to natural gas trading activities.</w:t>
      </w:r>
    </w:p>
    <w:p>
      <w:pPr>
        <w:spacing w:after="0" w:line="203"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i w:val="1"/>
          <w:iCs w:val="1"/>
          <w:color w:val="auto"/>
        </w:rPr>
        <w:t xml:space="preserve">Electricity cost of sales </w:t>
      </w:r>
      <w:r>
        <w:rPr>
          <w:rFonts w:ascii="Arial" w:cs="Arial" w:eastAsia="Arial" w:hAnsi="Arial"/>
          <w:sz w:val="18"/>
          <w:szCs w:val="18"/>
          <w:color w:val="auto"/>
        </w:rPr>
        <w:t>— Electricity cost of sales increased from $30 million in the first half of 2020 to $41 million in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increase was primarily a result of higher pricing on natural gas purchases.</w:t>
      </w:r>
    </w:p>
    <w:p>
      <w:pPr>
        <w:spacing w:after="0" w:line="189" w:lineRule="exact"/>
        <w:rPr>
          <w:sz w:val="20"/>
          <w:szCs w:val="20"/>
          <w:color w:val="auto"/>
        </w:rPr>
      </w:pPr>
    </w:p>
    <w:p>
      <w:pPr>
        <w:ind w:right="60" w:firstLine="324"/>
        <w:spacing w:after="0" w:line="242" w:lineRule="auto"/>
        <w:rPr>
          <w:sz w:val="20"/>
          <w:szCs w:val="20"/>
          <w:color w:val="auto"/>
        </w:rPr>
      </w:pPr>
      <w:r>
        <w:rPr>
          <w:rFonts w:ascii="Arial" w:cs="Arial" w:eastAsia="Arial" w:hAnsi="Arial"/>
          <w:sz w:val="18"/>
          <w:szCs w:val="18"/>
          <w:i w:val="1"/>
          <w:iCs w:val="1"/>
          <w:color w:val="auto"/>
        </w:rPr>
        <w:t xml:space="preserve">Interest and debt expense, net </w:t>
      </w:r>
      <w:r>
        <w:rPr>
          <w:rFonts w:ascii="Arial" w:cs="Arial" w:eastAsia="Arial" w:hAnsi="Arial"/>
          <w:sz w:val="18"/>
          <w:szCs w:val="18"/>
          <w:color w:val="auto"/>
        </w:rPr>
        <w:t>— Interest and debt expense, net decreased $146 million to $26 million in the first half of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$172 million in the same period of 2020 primarily due to a decrease in our overall level of debt upon our emergence from bankruptcy. Additionally, in the first quarter of 2021, we reduced the amount drawn on our Revolving Credit Facility and had no balance drawn in the second quarter. See </w:t>
      </w:r>
      <w:r>
        <w:rPr>
          <w:rFonts w:ascii="Arial" w:cs="Arial" w:eastAsia="Arial" w:hAnsi="Arial"/>
          <w:sz w:val="18"/>
          <w:szCs w:val="18"/>
          <w:i w:val="1"/>
          <w:iCs w:val="1"/>
          <w:color w:val="auto"/>
        </w:rPr>
        <w:t>Part II, Item 8 – Financial Statements and Supplementary Data, Note 2 Chapter 11 Proceedings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 Debt</w:t>
      </w:r>
      <w:r>
        <w:rPr>
          <w:rFonts w:ascii="Arial" w:cs="Arial" w:eastAsia="Arial" w:hAnsi="Arial"/>
          <w:sz w:val="18"/>
          <w:szCs w:val="18"/>
          <w:color w:val="auto"/>
        </w:rPr>
        <w:t xml:space="preserve"> in our 2020 Annual Report for additional information on the terms of the Plan, our emergence from bankruptcy and our long-term debt transactions.</w:t>
      </w:r>
    </w:p>
    <w:p>
      <w:pPr>
        <w:spacing w:after="0" w:line="212" w:lineRule="exact"/>
        <w:rPr>
          <w:sz w:val="20"/>
          <w:szCs w:val="20"/>
          <w:color w:val="auto"/>
        </w:rPr>
      </w:pPr>
    </w:p>
    <w:p>
      <w:pPr>
        <w:ind w:right="380" w:firstLine="324"/>
        <w:spacing w:after="0" w:line="266" w:lineRule="auto"/>
        <w:rPr>
          <w:sz w:val="20"/>
          <w:szCs w:val="20"/>
          <w:color w:val="auto"/>
        </w:rPr>
      </w:pPr>
      <w:r>
        <w:rPr>
          <w:rFonts w:ascii="Arial" w:cs="Arial" w:eastAsia="Arial" w:hAnsi="Arial"/>
          <w:sz w:val="18"/>
          <w:szCs w:val="18"/>
          <w:i w:val="1"/>
          <w:iCs w:val="1"/>
          <w:color w:val="auto"/>
        </w:rPr>
        <w:t xml:space="preserve">Other non-operating expense </w:t>
      </w:r>
      <w:r>
        <w:rPr>
          <w:rFonts w:ascii="Arial" w:cs="Arial" w:eastAsia="Arial" w:hAnsi="Arial"/>
          <w:sz w:val="18"/>
          <w:szCs w:val="18"/>
          <w:color w:val="auto"/>
        </w:rPr>
        <w:t>— Other non-operating expense decreased $ 60 million to $1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$61 million in the same period for 2020. The higher expense in the first half of 2020 was primarily a result of legal, professional and other fees related to our bankruptcy filing and an abandoned financing transaction.</w:t>
      </w:r>
    </w:p>
    <w:p>
      <w:pPr>
        <w:spacing w:after="0" w:line="203" w:lineRule="exact"/>
        <w:rPr>
          <w:sz w:val="20"/>
          <w:szCs w:val="20"/>
          <w:color w:val="auto"/>
        </w:rPr>
      </w:pPr>
    </w:p>
    <w:p>
      <w:pPr>
        <w:ind w:right="2480" w:firstLine="324"/>
        <w:spacing w:after="0" w:line="260" w:lineRule="auto"/>
        <w:rPr>
          <w:sz w:val="20"/>
          <w:szCs w:val="20"/>
          <w:color w:val="auto"/>
        </w:rPr>
      </w:pPr>
      <w:r>
        <w:rPr>
          <w:rFonts w:ascii="Arial" w:cs="Arial" w:eastAsia="Arial" w:hAnsi="Arial"/>
          <w:sz w:val="18"/>
          <w:szCs w:val="18"/>
          <w:i w:val="1"/>
          <w:iCs w:val="1"/>
          <w:color w:val="auto"/>
        </w:rPr>
        <w:t xml:space="preserve">Net income attributable to noncontrolling interests </w:t>
      </w:r>
      <w:r>
        <w:rPr>
          <w:rFonts w:ascii="Arial" w:cs="Arial" w:eastAsia="Arial" w:hAnsi="Arial"/>
          <w:sz w:val="18"/>
          <w:szCs w:val="18"/>
          <w:color w:val="auto"/>
        </w:rPr>
        <w:t>— Upon emergence from bankruptcy, we acquired all of</w:t>
      </w:r>
      <w:r>
        <w:rPr>
          <w:rFonts w:ascii="Arial" w:cs="Arial" w:eastAsia="Arial" w:hAnsi="Arial"/>
          <w:sz w:val="18"/>
          <w:szCs w:val="18"/>
          <w:i w:val="1"/>
          <w:iCs w:val="1"/>
          <w:color w:val="auto"/>
        </w:rPr>
        <w:t xml:space="preserve"> </w:t>
      </w:r>
      <w:r>
        <w:rPr>
          <w:rFonts w:ascii="Arial" w:cs="Arial" w:eastAsia="Arial" w:hAnsi="Arial"/>
          <w:sz w:val="18"/>
          <w:szCs w:val="18"/>
          <w:color w:val="auto"/>
        </w:rPr>
        <w:t>ECR's member interests in the Ares JV; therefore, the allocation of net income to noncontrolling interest</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holders in the Successor period for the six months ended June 30, 2021 is lower than the Predecessor period for the six months ended June 30, 2020. 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in our 2020 Annual Report for additional information on the settlement terms of the Ares JV.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67"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(used in) operating activities is sensitive to many variables,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commodity prices. Commodity price movements may also lead to changes in other variables in our business, including adjustments to our capital program. For the three months ended June 30, 2021, our operating cash flow increased 194%, or $262 million, to $127 million from $(135) million in the same prior period of 2020. For the six months ended June 30, 2021, our operating cash flow increased 195%, or $181 million, to $274 million from $93 million in the same period of 2020.</w:t>
      </w:r>
    </w:p>
    <w:p>
      <w:pPr>
        <w:spacing w:after="0" w:line="22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increase in operating cash flow primarily relates to higher average realized prices with hedge settlements in 2021 compared to the same prior-year period which is primarily due to the economic recovery in 2021 as COVID-19 driven mobility restrictions were lifted and demand increased. This increase was partially offset by lower production volumes in 2021 as compared to the same periods in 2020. Changes in operating assets and liabilities in the three months ended June 30, 2021 decreased our operating cash flow by $25 million compared to an increase of $17 million in the comparable period of 2020. Changes in operating assets and liabilities in the six months ended June 30, 2021 decreased our operating cash flow by $25 million compared to an increase of $130 million in the comparable six months of 2020. These working capital changes were largely a result of higher trade accounts receivable balances as well as higher payables related to derivatives and increased activity.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ind w:right="40" w:firstLine="324"/>
        <w:spacing w:after="0" w:line="261"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 Our net cash used in investing activities increased $28 million, or 187% from $15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2020 to $43 million for the same period in 2021. Our net cash used in investing activities increased $36 million, or 133% from $27 million for the six months ended June 30, 2020 to $63 million for the same period in 2021. The table below summarizes net cash used in investing activities for the three and six months ended June 30, 2021 and 2020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14"/>
                <w:szCs w:val="14"/>
                <w:color w:val="auto"/>
              </w:rPr>
            </w:pPr>
          </w:p>
        </w:tc>
        <w:tc>
          <w:tcPr>
            <w:tcW w:w="17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right w:val="single" w:sz="8" w:color="auto"/>
            </w:tcBorders>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Ended</w:t>
            </w:r>
          </w:p>
        </w:tc>
        <w:tc>
          <w:tcPr>
            <w:tcW w:w="176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June 30, 2021</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2020</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June 30, 2021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Changes in capital investment accruals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160" w:type="dxa"/>
            <w:vAlign w:val="bottom"/>
            <w:shd w:val="clear" w:color="auto" w:fill="CCEEFF"/>
          </w:tcPr>
          <w:p>
            <w:pPr>
              <w:spacing w:after="0"/>
              <w:rPr>
                <w:sz w:val="19"/>
                <w:szCs w:val="19"/>
                <w:color w:val="auto"/>
              </w:rPr>
            </w:pPr>
          </w:p>
        </w:tc>
        <w:tc>
          <w:tcPr>
            <w:tcW w:w="15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 Our net cash used in financing activities was $63 million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net cash provided by financing activities of $199 million or the same period of 2020. Our net cash used in financing activities was $ 88 million for the six months ended June 30, 2021 compared to net cash provided by financing activities of $43 million for the same period of 2020. Financing activities for the three months ended June 30, 2021 included repurchases of 1.4 million shares of common stock at an aggregate cost of $ 45 million under our Share Repurchase Program. Financing activities for the three and six months ended June 30, 2020 primarily included net borrowings under our revolving credit facility in place at that time. The table below summarizes net cash used by financing activities for the three and six months ended June 30, 2021 and 2020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Predecessor</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rPr>
              <w:t>Three months</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9"/>
              </w:rPr>
              <w:t>Three Months</w:t>
            </w:r>
          </w:p>
        </w:tc>
        <w:tc>
          <w:tcPr>
            <w:tcW w:w="120" w:type="dxa"/>
            <w:vAlign w:val="bottom"/>
          </w:tcPr>
          <w:p>
            <w:pPr>
              <w:spacing w:after="0"/>
              <w:rPr>
                <w:sz w:val="14"/>
                <w:szCs w:val="14"/>
                <w:color w:val="auto"/>
              </w:rPr>
            </w:pPr>
          </w:p>
        </w:tc>
        <w:tc>
          <w:tcPr>
            <w:tcW w:w="1760" w:type="dxa"/>
            <w:vAlign w:val="bottom"/>
            <w:tcBorders>
              <w:right w:val="single" w:sz="8" w:color="auto"/>
            </w:tcBorders>
            <w:gridSpan w:val="3"/>
            <w:vMerge w:val="restart"/>
          </w:tcPr>
          <w:p>
            <w:pPr>
              <w:jc w:val="center"/>
              <w:ind w:right="120"/>
              <w:spacing w:after="0"/>
              <w:rPr>
                <w:sz w:val="20"/>
                <w:szCs w:val="20"/>
                <w:color w:val="auto"/>
              </w:rPr>
            </w:pPr>
            <w:r>
              <w:rPr>
                <w:rFonts w:ascii="Arial" w:cs="Arial" w:eastAsia="Arial" w:hAnsi="Arial"/>
                <w:sz w:val="18"/>
                <w:szCs w:val="18"/>
                <w:b w:val="1"/>
                <w:bCs w:val="1"/>
                <w:color w:val="auto"/>
              </w:rPr>
              <w:t>Six months ended</w:t>
            </w:r>
          </w:p>
        </w:tc>
        <w:tc>
          <w:tcPr>
            <w:tcW w:w="80" w:type="dxa"/>
            <w:vAlign w:val="bottom"/>
          </w:tcPr>
          <w:p>
            <w:pPr>
              <w:spacing w:after="0"/>
              <w:rPr>
                <w:sz w:val="14"/>
                <w:szCs w:val="14"/>
                <w:color w:val="auto"/>
              </w:rPr>
            </w:pPr>
          </w:p>
        </w:tc>
        <w:tc>
          <w:tcPr>
            <w:tcW w:w="16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81"/>
        </w:trPr>
        <w:tc>
          <w:tcPr>
            <w:tcW w:w="4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right w:val="single" w:sz="8" w:color="auto"/>
            </w:tcBorders>
            <w:gridSpan w:val="2"/>
            <w:vMerge w:val="restart"/>
          </w:tcPr>
          <w:p>
            <w:pPr>
              <w:jc w:val="center"/>
              <w:ind w:right="260"/>
              <w:spacing w:after="0" w:line="176" w:lineRule="exact"/>
              <w:rPr>
                <w:sz w:val="20"/>
                <w:szCs w:val="20"/>
                <w:color w:val="auto"/>
              </w:rPr>
            </w:pPr>
            <w:r>
              <w:rPr>
                <w:rFonts w:ascii="Arial" w:cs="Arial" w:eastAsia="Arial" w:hAnsi="Arial"/>
                <w:sz w:val="18"/>
                <w:szCs w:val="18"/>
                <w:b w:val="1"/>
                <w:bCs w:val="1"/>
                <w:color w:val="auto"/>
                <w:w w:val="98"/>
              </w:rPr>
              <w:t>ended</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8"/>
                <w:szCs w:val="18"/>
                <w:b w:val="1"/>
                <w:bCs w:val="1"/>
                <w:color w:val="auto"/>
                <w:w w:val="98"/>
              </w:rPr>
              <w:t>Ended</w:t>
            </w:r>
          </w:p>
        </w:tc>
        <w:tc>
          <w:tcPr>
            <w:tcW w:w="176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tcBorders>
              <w:right w:val="single" w:sz="8" w:color="auto"/>
            </w:tcBorders>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June 30, 2021</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June 30, 2020</w:t>
            </w:r>
          </w:p>
        </w:tc>
        <w:tc>
          <w:tcPr>
            <w:tcW w:w="0" w:type="dxa"/>
            <w:vAlign w:val="bottom"/>
          </w:tcPr>
          <w:p>
            <w:pPr>
              <w:spacing w:after="0"/>
              <w:rPr>
                <w:sz w:val="1"/>
                <w:szCs w:val="1"/>
                <w:color w:val="auto"/>
              </w:rPr>
            </w:pPr>
          </w:p>
        </w:tc>
      </w:tr>
      <w:tr>
        <w:trPr>
          <w:trHeight w:val="144"/>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June 30, 2021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41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transactions,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(12)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Debt repurchases</w:t>
            </w:r>
          </w:p>
        </w:tc>
        <w:tc>
          <w:tcPr>
            <w:tcW w:w="160" w:type="dxa"/>
            <w:vAlign w:val="bottom"/>
          </w:tcPr>
          <w:p>
            <w:pPr>
              <w:spacing w:after="0"/>
              <w:rPr>
                <w:sz w:val="19"/>
                <w:szCs w:val="19"/>
                <w:color w:val="auto"/>
              </w:rPr>
            </w:pPr>
          </w:p>
        </w:tc>
        <w:tc>
          <w:tcPr>
            <w:tcW w:w="1580" w:type="dxa"/>
            <w:vAlign w:val="bottom"/>
            <w:tcBorders>
              <w:right w:val="single" w:sz="8" w:color="auto"/>
            </w:tcBorders>
            <w:gridSpan w:val="2"/>
          </w:tcPr>
          <w:p>
            <w:pPr>
              <w:ind w:left="1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Borders>
              <w:right w:val="single" w:sz="8" w:color="auto"/>
            </w:tcBorders>
            <w:gridSpan w:val="2"/>
          </w:tcPr>
          <w:p>
            <w:pPr>
              <w:jc w:val="center"/>
              <w:ind w:left="91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 holders,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60" w:type="dxa"/>
            <w:vAlign w:val="bottom"/>
          </w:tcPr>
          <w:p>
            <w:pPr>
              <w:jc w:val="center"/>
              <w:ind w:left="1010"/>
              <w:spacing w:after="0"/>
              <w:rPr>
                <w:sz w:val="20"/>
                <w:szCs w:val="20"/>
                <w:color w:val="auto"/>
              </w:rPr>
            </w:pPr>
            <w:r>
              <w:rPr>
                <w:rFonts w:ascii="Arial" w:cs="Arial" w:eastAsia="Arial" w:hAnsi="Arial"/>
                <w:sz w:val="18"/>
                <w:szCs w:val="18"/>
                <w:color w:val="auto"/>
                <w:w w:val="99"/>
              </w:rPr>
              <w:t>(45)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9"/>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340" w:type="dxa"/>
            <w:vAlign w:val="bottom"/>
            <w:gridSpan w:val="2"/>
          </w:tcPr>
          <w:p>
            <w:pPr>
              <w:jc w:val="right"/>
              <w:spacing w:after="0"/>
              <w:rPr>
                <w:sz w:val="20"/>
                <w:szCs w:val="20"/>
                <w:color w:val="auto"/>
              </w:rPr>
            </w:pPr>
            <w:r>
              <w:rPr>
                <w:rFonts w:ascii="Arial" w:cs="Arial" w:eastAsia="Arial" w:hAnsi="Arial"/>
                <w:sz w:val="18"/>
                <w:szCs w:val="18"/>
                <w:color w:val="auto"/>
              </w:rPr>
              <w:t>Net cash (used in) provided by financing activities $</w:t>
            </w:r>
          </w:p>
        </w:tc>
        <w:tc>
          <w:tcPr>
            <w:tcW w:w="14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ind w:left="1010"/>
              <w:spacing w:after="0"/>
              <w:rPr>
                <w:sz w:val="20"/>
                <w:szCs w:val="20"/>
                <w:color w:val="auto"/>
              </w:rPr>
            </w:pPr>
            <w:r>
              <w:rPr>
                <w:rFonts w:ascii="Arial" w:cs="Arial" w:eastAsia="Arial" w:hAnsi="Arial"/>
                <w:sz w:val="18"/>
                <w:szCs w:val="18"/>
                <w:color w:val="auto"/>
                <w:w w:val="99"/>
              </w:rPr>
              <w:t>(88)</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7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primary sources of liquidity and capital resources are cash flows from operations, cash on hand and available borrowing capacity under our Revolving Credit Facility. We consider our low leverage and ability to control costs to be a core strength and strategic advantage, which we are focused on maintaining. Our primary uses of operating cash flow for the first half of 2021 was for capital investment, distributions to a noncontrolling interest holder and repurchases of our common stock.</w:t>
      </w:r>
    </w:p>
    <w:p>
      <w:pPr>
        <w:spacing w:after="0" w:line="2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At current commodity prices and our planned 2021 capital program described below, we expect to generate positive free cash flow, which we may use (i) to increase investments in our drilling program to accelerate value, (ii) to pay dividends or buy back stock to the extent permitted under our Revolving Credit Facility and Senior Notes indenture, (iii) to maintain cash on our balance sheet, or (iv) for other corporate purposes. We may begin paying income taxes in early 2022 if Brent prices remain at current levels for a sustained period. Our tax paying status depends on a number of factors, including but not limited to, the amount and type of our capital spend, cost structure and activity levels. Potential legislation could also limit tax incentives for fossil fuels. We believe we have sufficient sources of cash to meet our obligations for the next twelve months.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The following table summarizes our liquidity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b w:val="1"/>
                <w:bCs w:val="1"/>
                <w:color w:val="auto"/>
              </w:rPr>
              <w:t>Successor</w:t>
            </w:r>
          </w:p>
        </w:tc>
      </w:tr>
      <w:tr>
        <w:trPr>
          <w:trHeight w:val="214"/>
        </w:trPr>
        <w:tc>
          <w:tcPr>
            <w:tcW w:w="8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80" w:type="dxa"/>
            <w:vAlign w:val="bottom"/>
          </w:tcPr>
          <w:p>
            <w:pPr>
              <w:jc w:val="center"/>
              <w:ind w:right="492"/>
              <w:spacing w:after="0"/>
              <w:rPr>
                <w:sz w:val="20"/>
                <w:szCs w:val="20"/>
                <w:color w:val="auto"/>
              </w:rPr>
            </w:pPr>
            <w:r>
              <w:rPr>
                <w:rFonts w:ascii="Arial" w:cs="Arial" w:eastAsia="Arial" w:hAnsi="Arial"/>
                <w:sz w:val="18"/>
                <w:szCs w:val="18"/>
                <w:b w:val="1"/>
                <w:bCs w:val="1"/>
                <w:color w:val="auto"/>
                <w:w w:val="99"/>
              </w:rPr>
              <w:t>June 30,</w:t>
            </w:r>
          </w:p>
        </w:tc>
      </w:tr>
      <w:tr>
        <w:trPr>
          <w:trHeight w:val="239"/>
        </w:trPr>
        <w:tc>
          <w:tcPr>
            <w:tcW w:w="8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center"/>
              <w:ind w:right="492"/>
              <w:spacing w:after="0"/>
              <w:rPr>
                <w:sz w:val="20"/>
                <w:szCs w:val="20"/>
                <w:color w:val="auto"/>
              </w:rPr>
            </w:pPr>
            <w:r>
              <w:rPr>
                <w:rFonts w:ascii="Arial" w:cs="Arial" w:eastAsia="Arial" w:hAnsi="Arial"/>
                <w:sz w:val="18"/>
                <w:szCs w:val="18"/>
                <w:b w:val="1"/>
                <w:bCs w:val="1"/>
                <w:color w:val="auto"/>
                <w:w w:val="99"/>
              </w:rPr>
              <w:t>2021</w:t>
            </w:r>
          </w:p>
        </w:tc>
      </w:tr>
      <w:tr>
        <w:trPr>
          <w:trHeight w:val="183"/>
        </w:trPr>
        <w:tc>
          <w:tcPr>
            <w:tcW w:w="8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80" w:type="dxa"/>
            <w:vAlign w:val="bottom"/>
          </w:tcPr>
          <w:p>
            <w:pPr>
              <w:jc w:val="center"/>
              <w:ind w:right="492"/>
              <w:spacing w:after="0"/>
              <w:rPr>
                <w:sz w:val="20"/>
                <w:szCs w:val="20"/>
                <w:color w:val="auto"/>
              </w:rPr>
            </w:pPr>
            <w:r>
              <w:rPr>
                <w:rFonts w:ascii="Arial" w:cs="Arial" w:eastAsia="Arial" w:hAnsi="Arial"/>
                <w:sz w:val="14"/>
                <w:szCs w:val="14"/>
                <w:color w:val="auto"/>
              </w:rPr>
              <w:t>(in millions)</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99"/>
              </w:rPr>
              <w:t>151</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Borrowing capacity</w:t>
            </w:r>
            <w:r>
              <w:rPr>
                <w:rFonts w:ascii="Arial" w:cs="Arial" w:eastAsia="Arial" w:hAnsi="Arial"/>
                <w:sz w:val="23"/>
                <w:szCs w:val="23"/>
                <w:color w:val="auto"/>
                <w:vertAlign w:val="superscript"/>
              </w:rPr>
              <w:t>(a)</w:t>
            </w:r>
          </w:p>
        </w:tc>
        <w:tc>
          <w:tcPr>
            <w:tcW w:w="5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99"/>
              </w:rPr>
              <w:t>492</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5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center"/>
              <w:ind w:left="1832"/>
              <w:spacing w:after="0"/>
              <w:rPr>
                <w:sz w:val="20"/>
                <w:szCs w:val="20"/>
                <w:color w:val="auto"/>
              </w:rPr>
            </w:pPr>
            <w:r>
              <w:rPr>
                <w:rFonts w:ascii="Arial" w:cs="Arial" w:eastAsia="Arial" w:hAnsi="Arial"/>
                <w:sz w:val="18"/>
                <w:szCs w:val="18"/>
                <w:color w:val="auto"/>
                <w:w w:val="99"/>
              </w:rPr>
              <w:t>(125)</w:t>
            </w: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center"/>
              <w:ind w:left="1832"/>
              <w:spacing w:after="0"/>
              <w:rPr>
                <w:sz w:val="20"/>
                <w:szCs w:val="20"/>
                <w:color w:val="auto"/>
              </w:rPr>
            </w:pPr>
            <w:r>
              <w:rPr>
                <w:rFonts w:ascii="Arial" w:cs="Arial" w:eastAsia="Arial" w:hAnsi="Arial"/>
                <w:sz w:val="18"/>
                <w:szCs w:val="18"/>
                <w:color w:val="auto"/>
                <w:w w:val="99"/>
              </w:rPr>
              <w:t>367</w:t>
            </w:r>
          </w:p>
        </w:tc>
      </w:tr>
      <w:tr>
        <w:trPr>
          <w:trHeight w:val="216"/>
        </w:trPr>
        <w:tc>
          <w:tcPr>
            <w:tcW w:w="82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center"/>
              <w:ind w:left="1832"/>
              <w:spacing w:after="0"/>
              <w:rPr>
                <w:sz w:val="20"/>
                <w:szCs w:val="20"/>
                <w:color w:val="auto"/>
              </w:rPr>
            </w:pPr>
            <w:r>
              <w:rPr>
                <w:rFonts w:ascii="Arial" w:cs="Arial" w:eastAsia="Arial" w:hAnsi="Arial"/>
                <w:sz w:val="18"/>
                <w:szCs w:val="18"/>
                <w:color w:val="auto"/>
                <w:w w:val="99"/>
              </w:rPr>
              <w:t>518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right="60" w:hanging="328"/>
        <w:spacing w:after="0" w:line="279" w:lineRule="auto"/>
        <w:tabs>
          <w:tab w:leader="none" w:pos="647"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April 2021, the aggregate commitment of our lenders was reduced to $492 million based on the terms of our Revolving Credit Facility. See </w:t>
      </w:r>
      <w:r>
        <w:rPr>
          <w:rFonts w:ascii="Arial" w:cs="Arial" w:eastAsia="Arial" w:hAnsi="Arial"/>
          <w:sz w:val="14"/>
          <w:szCs w:val="14"/>
          <w:i w:val="1"/>
          <w:iCs w:val="1"/>
          <w:color w:val="auto"/>
        </w:rPr>
        <w:t>Part I, Item 1 –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Note 5 Debt </w:t>
      </w:r>
      <w:r>
        <w:rPr>
          <w:rFonts w:ascii="Arial" w:cs="Arial" w:eastAsia="Arial" w:hAnsi="Arial"/>
          <w:sz w:val="14"/>
          <w:szCs w:val="14"/>
          <w:color w:val="auto"/>
        </w:rPr>
        <w:t>for more information on our Revolving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Revolving Credit Facility</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2021, we amended the Revolving Credit Facility to:</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borrowing base from $1.167 billion to $1.2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evidence the reduction in the aggregate commitment of lenders from $540 million to $492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capacity to make certain restricted payments, including paying dividends and repurchasing our common stock;</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minimum amount of hedges that we are required to maintain for a rolling 24 month period on reasonably anticipated forecasted crude oil production from 50% to 33% so long as our total net leverage ratio is less than 2.00:1.00; and</w:t>
      </w:r>
    </w:p>
    <w:p>
      <w:pPr>
        <w:ind w:left="660" w:right="1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maximum hedging limitation to 85% (and permit purchased puts and floors up to 100%) of reasonably anticipated total forecasted production of crude oil, natural gas and NGLs for a 48-month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7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To mitigate some of the risk inherent in the downward movement in oil prices, we may enter into various derivative instruments to hedge commodity price risk.</w:t>
      </w:r>
    </w:p>
    <w:p>
      <w:pPr>
        <w:spacing w:after="0" w:line="22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Revolving Credit Facility requires us to maintain hedges on a minimum amount of crude oil production, determined semi-annually, of no less than (i) 75% of our reasonably anticipated oil production from our proved reserves for the first 24 months after the closing of the Revolving Credit Facility on October 27, 2020, and (ii) 50% of our reasonably anticipated oil production from our proved reserves for a period from the 25th month through the 36th month after the same date. The Revolving Credit Facility specifies the forms of hedges and prices (which can be prevailing prices) that must be used for a portion of those hedges.</w:t>
      </w:r>
    </w:p>
    <w:p>
      <w:pPr>
        <w:spacing w:after="0" w:line="23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Our Revolving Credit Facility also requires us to maintain acceptable commodity hedges for no less than 50% of the reasonably anticipated oil production from our proved reserves for at least 24 months following the date of delivery of each reserve report if our leverage ratio is greater than 2.00:1.00. If our leverage ratio is less than 2.00:1.00, then the minimum amount of hedges that we are required to maintain is reduced from 50% to 33%. Currently, we may not hedge more than 85% of reasonably anticipated total forecasted production of crude oil, natural gas and NGLs from our oil and gas properties for a 48-month period, except that we may purchase puts and floors up to 100% of such production.</w:t>
      </w:r>
    </w:p>
    <w:p>
      <w:pPr>
        <w:spacing w:after="0" w:line="235"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program goals, even though they are not accounted for as cash-flow or fair-value hedges. We did not have any commodity derivatives designated as accounting hedges as of and during the three or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5" w:name="page36"/>
    <w:bookmarkEnd w:id="35"/>
    <w:p>
      <w:pPr>
        <w:ind w:right="560" w:firstLine="324"/>
        <w:spacing w:after="0" w:line="26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8 Derivatives</w:t>
      </w:r>
      <w:r>
        <w:rPr>
          <w:rFonts w:ascii="Arial" w:cs="Arial" w:eastAsia="Arial" w:hAnsi="Arial"/>
          <w:sz w:val="18"/>
          <w:szCs w:val="18"/>
          <w:color w:val="auto"/>
        </w:rPr>
        <w:t xml:space="preserve"> for further information on our derivatives and a summary of our open derivative contracts as of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Capital Program</w:t>
      </w:r>
    </w:p>
    <w:p>
      <w:pPr>
        <w:spacing w:after="0" w:line="274"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Our capital program will be dynamic in response to oil market volatility while focusing on maintaining our oil production and strong liquidity and maximizing our free cash flow. We entered 2021 with an internally funded capital program of $200 million to $225 million. We have since reduced the full year 2021 capital program to $170 million to $ 190 million reflecting a reallocation of drilling capital to downhole maintenance activities which provide efficiencies and faster payouts. The current capital program anticipates that we will maintain a consistent level of investment throughout the remainder of the year. If commodity prices decline significantly from current levels, we may need to decrease the size of our capital program in response to market conditions.</w:t>
      </w:r>
    </w:p>
    <w:p>
      <w:pPr>
        <w:spacing w:after="0" w:line="235"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Any curtailment of the development of our properties will lead to a decline in our production and may lower our reserves. A continued decline in our production and reserves would negatively impact our cash flow from operations and the value of our assets.</w:t>
      </w:r>
    </w:p>
    <w:p>
      <w:pPr>
        <w:spacing w:after="0" w:line="225" w:lineRule="exact"/>
        <w:rPr>
          <w:sz w:val="20"/>
          <w:szCs w:val="20"/>
          <w:color w:val="auto"/>
        </w:rPr>
      </w:pPr>
    </w:p>
    <w:p>
      <w:pPr>
        <w:ind w:right="520" w:firstLine="324"/>
        <w:spacing w:after="0" w:line="261" w:lineRule="auto"/>
        <w:rPr>
          <w:sz w:val="20"/>
          <w:szCs w:val="20"/>
          <w:color w:val="auto"/>
        </w:rPr>
      </w:pPr>
      <w:r>
        <w:rPr>
          <w:rFonts w:ascii="Arial" w:cs="Arial" w:eastAsia="Arial" w:hAnsi="Arial"/>
          <w:sz w:val="18"/>
          <w:szCs w:val="18"/>
          <w:color w:val="auto"/>
        </w:rPr>
        <w:t>The amounts in the table below reflect components of our capital investment for the periods indicated, excluding changes in capital investment accruals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2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Successor</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23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2021 Full Year Estimate</w:t>
            </w:r>
          </w:p>
        </w:tc>
        <w:tc>
          <w:tcPr>
            <w:tcW w:w="21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Six months ended June</w:t>
            </w:r>
          </w:p>
        </w:tc>
        <w:tc>
          <w:tcPr>
            <w:tcW w:w="0" w:type="dxa"/>
            <w:vAlign w:val="bottom"/>
          </w:tcPr>
          <w:p>
            <w:pPr>
              <w:spacing w:after="0"/>
              <w:rPr>
                <w:sz w:val="1"/>
                <w:szCs w:val="1"/>
                <w:color w:val="auto"/>
              </w:rPr>
            </w:pPr>
          </w:p>
        </w:tc>
      </w:tr>
      <w:tr>
        <w:trPr>
          <w:trHeight w:val="135"/>
        </w:trPr>
        <w:tc>
          <w:tcPr>
            <w:tcW w:w="682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30, 2021</w:t>
            </w:r>
          </w:p>
        </w:tc>
        <w:tc>
          <w:tcPr>
            <w:tcW w:w="0" w:type="dxa"/>
            <w:vAlign w:val="bottom"/>
          </w:tcPr>
          <w:p>
            <w:pPr>
              <w:spacing w:after="0"/>
              <w:rPr>
                <w:sz w:val="1"/>
                <w:szCs w:val="1"/>
                <w:color w:val="auto"/>
              </w:rPr>
            </w:pPr>
          </w:p>
        </w:tc>
      </w:tr>
      <w:tr>
        <w:trPr>
          <w:trHeight w:val="94"/>
        </w:trPr>
        <w:tc>
          <w:tcPr>
            <w:tcW w:w="68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color w:val="auto"/>
              </w:rPr>
              <w:t>(in millions)</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Drilling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ind w:left="1150"/>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Capital workovers</w:t>
            </w:r>
          </w:p>
        </w:tc>
        <w:tc>
          <w:tcPr>
            <w:tcW w:w="1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35 - 40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jc w:val="center"/>
              <w:ind w:left="113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Infrastructure, corporate and other</w:t>
            </w:r>
          </w:p>
        </w:tc>
        <w:tc>
          <w:tcPr>
            <w:tcW w:w="16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45 - 50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113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23"/>
        </w:trPr>
        <w:tc>
          <w:tcPr>
            <w:tcW w:w="682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$190</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9"/>
              </w:rPr>
              <w:t>$77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27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April 2021, Governor Gavin Newsom signed an executive order directing the California Department of Conservation’s Geologic Energy Management Division to initiate a rulemaking to end the issuance of new permits for well stimulation treatments by January 1, 2024 and instructed the California Air Resources Board to evaluate methods of phasing out oil extraction across the state by 2045. In May 2021, the Division published the proposed rule to end the issuance of new permits for well stimulation treatments. We expect little to no impact on future development activities because we are not dependent on well stimulation treatments. Less than 1% of our proved reserves require well stimulation and our current long-term development plans do not include well stimulation.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7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In August 2021, our Board of Directors authorized an increase to the Share Repurchase Program by $100 million to $250 million through March 31, 2022.</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Divestitures</w:t>
      </w:r>
    </w:p>
    <w:p>
      <w:pPr>
        <w:spacing w:after="0" w:line="27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the second quarter of 2021, we entered into agreements to sell our Ventura basin operations. We expect to receive cash consideration of up to $102 million plus additional earn -out consideration that is linked to future commodity prices. The consideration includes $82 million of cash to be paid at closing and up to $20 million of potential additional consideration if the buyer does not perform certain abandonment obligations with respect to the divested properties. The additional consideration is secured by production payments of $20 million over a five-year period. To the extent the buyer satisfies all of the required abandonment obligations within a five-year period following the close date, none of the $20 million of potential additional consideration will be paid to us. The amount of the earn-out consideration actually received is not yet certain, but assuming an average oil price of approximately $80 per barrel during the twelve months following closing, would approximate $8 million and would generally be received in quarterly installments. The closing of the transaction is subject to customary closing considerations, including satisfaction of land and environmental due diligence and third-party consents.</w:t>
      </w:r>
    </w:p>
    <w:p>
      <w:pPr>
        <w:spacing w:after="0" w:line="23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sale of our Ventura basin operations met the criteria for assets held for sale and is classified as such on our condensed consolidated balance sheet as of June 30, 2021. The amount reported as assets held for sale primarily consists of property, plant and equipment along with associated asset retirement obligations. These transactions are expected to close in the second half of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Joint Ventures</w:t>
      </w:r>
    </w:p>
    <w:p>
      <w:pPr>
        <w:spacing w:after="0" w:line="27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April 2017, we entered into a development joint venture with Macquarie Infrastructure and Real Assets Inc. (MIRA) to develop certain of our oil and natural gas properties in the San Joaquin basin in exchange for a 90% working interest in the related properties. In August 2021, we purchased MIRA’s entire working interest share in the conveyed assets for $ 53 million, before transaction costs. Prior to the acquisition, our consolidated results reflect only our 10% working interest share in the productive wells. The acquisition of MIRA's working interest would have added oil production of approximately 2 MBoe/d to our consolidated results for the first half of 2021.</w:t>
      </w:r>
    </w:p>
    <w:p>
      <w:pPr>
        <w:spacing w:after="0" w:line="232"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 xml:space="preserve">In February 2017, we entered into a development joint venture (JV) with Benefit Street Partners (BSP) to develop certain oil and natural gas assets in exchange for a preferred interest in the BSP JV. BSP invested $200 million and is entitled to preferred distributions and, if it receives cash distributions equal to a predetermined threshold, the preferred interest is automatically redeemed in full with no additional payment. For the first half of 2021, we distributed $ 31 million to BSP. We anticipate our remaining distributions to BSP in the second half of 2021 will approximate $20 million. See </w:t>
      </w:r>
      <w:r>
        <w:rPr>
          <w:rFonts w:ascii="Arial" w:cs="Arial" w:eastAsia="Arial" w:hAnsi="Arial"/>
          <w:sz w:val="18"/>
          <w:szCs w:val="18"/>
          <w:i w:val="1"/>
          <w:iCs w:val="1"/>
          <w:color w:val="auto"/>
        </w:rPr>
        <w:t>Part II, Item 8 – Financial Statements and Supplementary Data, Note 7 Joint Ventures</w:t>
      </w:r>
      <w:r>
        <w:rPr>
          <w:rFonts w:ascii="Arial" w:cs="Arial" w:eastAsia="Arial" w:hAnsi="Arial"/>
          <w:sz w:val="18"/>
          <w:szCs w:val="18"/>
          <w:color w:val="auto"/>
        </w:rPr>
        <w:t xml:space="preserve"> in our 2020 Annual Report for additional information on our BSP JV.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While certain aspects of our operations are affected by seasonal factors, such as energy costs, seasonality has not been a material driver of changes in our quarterly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and Variable Costs</w:t>
      </w:r>
    </w:p>
    <w:p>
      <w:pPr>
        <w:spacing w:after="0" w:line="2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The measures taken to address the industry downturn in the prior year demonstrate that we can significantly reduce our operating costs in response to prevailing market conditions. We further believe that a significant portion of our operating costs are variable over the lifecycle of our fields. We actively manage our fields to optimize production and minimize costs in a safe and responsible manner throughout their lifecycles.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June 30, 2021 and December 31, 2020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7 Lawsuits, Claims, Commitments and Contingencies</w:t>
      </w:r>
      <w:r>
        <w:rPr>
          <w:rFonts w:ascii="Arial" w:cs="Arial" w:eastAsia="Arial" w:hAnsi="Arial"/>
          <w:sz w:val="18"/>
          <w:szCs w:val="18"/>
          <w:color w:val="auto"/>
        </w:rPr>
        <w:t xml:space="preserve">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and Disclosure Changes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2 Accounting and Disclosure Changes</w:t>
      </w:r>
      <w:r>
        <w:rPr>
          <w:rFonts w:ascii="Arial" w:cs="Arial" w:eastAsia="Arial" w:hAnsi="Arial"/>
          <w:sz w:val="18"/>
          <w:szCs w:val="18"/>
          <w:color w:val="auto"/>
        </w:rPr>
        <w:t xml:space="preserve"> for a discussion of new accounting matters.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   financial position, liquidity, cash flows and results of</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budgets and maintenance capital requirements</w:t>
            </w:r>
          </w:p>
        </w:tc>
      </w:tr>
      <w:tr>
        <w:trPr>
          <w:trHeight w:val="216"/>
        </w:trPr>
        <w:tc>
          <w:tcPr>
            <w:tcW w:w="18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reserves and reservoir characteristics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business prospects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type curves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transactions and projects</w:t>
            </w:r>
          </w:p>
        </w:tc>
        <w:tc>
          <w:tcPr>
            <w:tcW w:w="5480" w:type="dxa"/>
            <w:vAlign w:val="bottom"/>
            <w:gridSpan w:val="2"/>
          </w:tcPr>
          <w:p>
            <w:pPr>
              <w:ind w:left="740"/>
              <w:spacing w:after="0"/>
              <w:rPr>
                <w:sz w:val="20"/>
                <w:szCs w:val="20"/>
                <w:color w:val="auto"/>
              </w:rPr>
            </w:pPr>
            <w:r>
              <w:rPr>
                <w:rFonts w:ascii="Arial" w:cs="Arial" w:eastAsia="Arial" w:hAnsi="Arial"/>
                <w:sz w:val="18"/>
                <w:szCs w:val="18"/>
                <w:color w:val="auto"/>
              </w:rPr>
              <w:t>•   expected synergies from acquisitions and joint ventures</w:t>
            </w:r>
          </w:p>
        </w:tc>
      </w:t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tcPr>
          <w:p>
            <w:pPr>
              <w:ind w:left="140"/>
              <w:spacing w:after="0"/>
              <w:rPr>
                <w:sz w:val="20"/>
                <w:szCs w:val="20"/>
                <w:color w:val="auto"/>
              </w:rPr>
            </w:pPr>
            <w:r>
              <w:rPr>
                <w:rFonts w:ascii="Arial" w:cs="Arial" w:eastAsia="Arial" w:hAnsi="Arial"/>
                <w:sz w:val="18"/>
                <w:szCs w:val="18"/>
                <w:color w:val="auto"/>
              </w:rPr>
              <w:t>operating costs</w:t>
            </w:r>
          </w:p>
        </w:tc>
        <w:tc>
          <w:tcPr>
            <w:tcW w:w="940" w:type="dxa"/>
            <w:vAlign w:val="bottom"/>
          </w:tcPr>
          <w:p>
            <w:pPr>
              <w:ind w:left="740"/>
              <w:spacing w:after="0"/>
              <w:rPr>
                <w:sz w:val="20"/>
                <w:szCs w:val="20"/>
                <w:color w:val="auto"/>
              </w:rPr>
            </w:pPr>
            <w:r>
              <w:rPr>
                <w:rFonts w:ascii="Arial" w:cs="Arial" w:eastAsia="Arial" w:hAnsi="Arial"/>
                <w:sz w:val="18"/>
                <w:szCs w:val="18"/>
                <w:color w:val="auto"/>
              </w:rPr>
              <w:t>•</w:t>
            </w:r>
          </w:p>
        </w:tc>
        <w:tc>
          <w:tcPr>
            <w:tcW w:w="4540" w:type="dxa"/>
            <w:vAlign w:val="bottom"/>
          </w:tcPr>
          <w:p>
            <w:pPr>
              <w:ind w:left="120"/>
              <w:spacing w:after="0"/>
              <w:rPr>
                <w:sz w:val="20"/>
                <w:szCs w:val="20"/>
                <w:color w:val="auto"/>
              </w:rPr>
            </w:pPr>
            <w:r>
              <w:rPr>
                <w:rFonts w:ascii="Arial" w:cs="Arial" w:eastAsia="Arial" w:hAnsi="Arial"/>
                <w:sz w:val="18"/>
                <w:szCs w:val="18"/>
                <w:color w:val="auto"/>
              </w:rPr>
              <w:t>energy transition initiatives</w:t>
            </w:r>
          </w:p>
        </w:tc>
      </w:tr>
    </w:tbl>
    <w:p>
      <w:pPr>
        <w:ind w:left="660" w:right="608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40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140"/>
          </w:cols>
          <w:pgMar w:left="320" w:top="1035" w:right="439" w:bottom="1440" w:gutter="0" w:footer="0" w:header="0"/>
        </w:sectPr>
      </w:pPr>
    </w:p>
    <w:p>
      <w:pPr>
        <w:spacing w:after="0" w:line="13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execute our business plan post-emergence;</w:t>
      </w:r>
    </w:p>
    <w:p>
      <w:pPr>
        <w:spacing w:after="0" w:line="20" w:lineRule="exact"/>
        <w:rPr>
          <w:rFonts w:ascii="Arial" w:cs="Arial" w:eastAsia="Arial" w:hAnsi="Arial"/>
          <w:sz w:val="17"/>
          <w:szCs w:val="17"/>
          <w:color w:val="auto"/>
        </w:rPr>
      </w:pPr>
    </w:p>
    <w:p>
      <w:pPr>
        <w:jc w:val="both"/>
        <w:ind w:left="660" w:right="62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commodity prices and the potential for sustained low oil, natural gas and natural gas liquids prices;</w:t>
      </w:r>
    </w:p>
    <w:p>
      <w:pPr>
        <w:spacing w:after="0" w:line="2" w:lineRule="exact"/>
        <w:rPr>
          <w:rFonts w:ascii="Arial" w:cs="Arial" w:eastAsia="Arial" w:hAnsi="Arial"/>
          <w:sz w:val="18"/>
          <w:szCs w:val="18"/>
          <w:color w:val="auto"/>
        </w:rPr>
      </w:pPr>
    </w:p>
    <w:p>
      <w:pPr>
        <w:ind w:left="660" w:right="40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our recent emergence from bankruptcy on our business and relationships;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ind w:left="660" w:right="76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interest payments on our debt, debt repurchases or changes to our capital plan;</w:t>
      </w:r>
    </w:p>
    <w:p>
      <w:pPr>
        <w:spacing w:after="0" w:line="2" w:lineRule="exact"/>
        <w:rPr>
          <w:rFonts w:ascii="Arial" w:cs="Arial" w:eastAsia="Arial" w:hAnsi="Arial"/>
          <w:sz w:val="18"/>
          <w:szCs w:val="18"/>
          <w:color w:val="auto"/>
        </w:rPr>
      </w:pPr>
    </w:p>
    <w:p>
      <w:pPr>
        <w:ind w:left="660" w:right="62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insufficient capital or liquidity, including as a result of lender restrictions, unavailability of capital markets or inability to attract potential investors;</w:t>
      </w:r>
    </w:p>
    <w:p>
      <w:pPr>
        <w:spacing w:after="0" w:line="2" w:lineRule="exact"/>
        <w:rPr>
          <w:rFonts w:ascii="Arial" w:cs="Arial" w:eastAsia="Arial" w:hAnsi="Arial"/>
          <w:sz w:val="18"/>
          <w:szCs w:val="18"/>
          <w:color w:val="auto"/>
        </w:rPr>
      </w:pPr>
    </w:p>
    <w:p>
      <w:pPr>
        <w:ind w:left="660" w:right="42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1" w:lineRule="exact"/>
        <w:rPr>
          <w:rFonts w:ascii="Arial" w:cs="Arial" w:eastAsia="Arial" w:hAnsi="Arial"/>
          <w:sz w:val="18"/>
          <w:szCs w:val="18"/>
          <w:color w:val="auto"/>
        </w:rPr>
      </w:pPr>
    </w:p>
    <w:p>
      <w:pPr>
        <w:ind w:left="660" w:right="649" w:hanging="328"/>
        <w:spacing w:after="0" w:line="248"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acquisitions, asset sales and joint ventures;</w:t>
      </w:r>
    </w:p>
    <w:p>
      <w:pPr>
        <w:spacing w:after="0" w:line="1" w:lineRule="exact"/>
        <w:rPr>
          <w:rFonts w:ascii="Arial" w:cs="Arial" w:eastAsia="Arial" w:hAnsi="Arial"/>
          <w:sz w:val="17"/>
          <w:szCs w:val="17"/>
          <w:color w:val="auto"/>
        </w:rPr>
      </w:pPr>
    </w:p>
    <w:p>
      <w:pPr>
        <w:ind w:left="660" w:right="449"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spacing w:after="0" w:line="1" w:lineRule="exact"/>
        <w:rPr>
          <w:rFonts w:ascii="Arial" w:cs="Arial" w:eastAsia="Arial" w:hAnsi="Arial"/>
          <w:sz w:val="18"/>
          <w:szCs w:val="18"/>
          <w:color w:val="auto"/>
        </w:rPr>
      </w:pPr>
    </w:p>
    <w:p>
      <w:pPr>
        <w:ind w:left="660" w:right="369" w:hanging="328"/>
        <w:spacing w:after="0" w:line="23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(i) drilling, completion, well stimulation, operation, maintenance or abandonment of wells or facilities, (ii) managing energy, water, land, greenhouse gases (GHGs) or other emissions, (iii) protection of health, safety and the environment, (iv) tax credits or other incentives, or (v) transportation, marketing and sale of our products;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1"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1" w:lineRule="exact"/>
        <w:rPr>
          <w:rFonts w:ascii="Arial" w:cs="Arial" w:eastAsia="Arial" w:hAnsi="Arial"/>
          <w:sz w:val="18"/>
          <w:szCs w:val="18"/>
          <w:color w:val="auto"/>
        </w:rPr>
      </w:pPr>
    </w:p>
    <w:p>
      <w:pPr>
        <w:ind w:left="331" w:right="26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business strategy;</w:t>
      </w:r>
    </w:p>
    <w:p>
      <w:pPr>
        <w:ind w:left="331" w:right="22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operating costs;</w:t>
      </w:r>
    </w:p>
    <w:p>
      <w:pPr>
        <w:spacing w:after="0" w:line="1" w:lineRule="exact"/>
        <w:rPr>
          <w:rFonts w:ascii="Arial" w:cs="Arial" w:eastAsia="Arial" w:hAnsi="Arial"/>
          <w:sz w:val="18"/>
          <w:szCs w:val="18"/>
          <w:color w:val="auto"/>
        </w:rPr>
      </w:pPr>
    </w:p>
    <w:p>
      <w:pPr>
        <w:ind w:left="331" w:right="4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18"/>
          <w:szCs w:val="18"/>
          <w:color w:val="auto"/>
        </w:rPr>
      </w:pPr>
    </w:p>
    <w:p>
      <w:pPr>
        <w:ind w:left="311" w:hanging="311"/>
        <w:spacing w:after="0" w:line="234" w:lineRule="auto"/>
        <w:tabs>
          <w:tab w:leader="none" w:pos="3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effects of hedging transactions;</w:t>
      </w:r>
    </w:p>
    <w:p>
      <w:pPr>
        <w:ind w:left="331" w:right="110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1" w:lineRule="exact"/>
        <w:rPr>
          <w:rFonts w:ascii="Arial" w:cs="Arial" w:eastAsia="Arial" w:hAnsi="Arial"/>
          <w:sz w:val="18"/>
          <w:szCs w:val="18"/>
          <w:color w:val="auto"/>
        </w:rPr>
      </w:pPr>
    </w:p>
    <w:p>
      <w:pPr>
        <w:ind w:left="331" w:right="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2"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2" w:lineRule="exact"/>
        <w:rPr>
          <w:rFonts w:ascii="Arial" w:cs="Arial" w:eastAsia="Arial" w:hAnsi="Arial"/>
          <w:sz w:val="18"/>
          <w:szCs w:val="18"/>
          <w:color w:val="auto"/>
        </w:rPr>
      </w:pPr>
    </w:p>
    <w:p>
      <w:pPr>
        <w:ind w:left="331" w:right="14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and</w:t>
      </w:r>
    </w:p>
    <w:p>
      <w:pPr>
        <w:spacing w:after="0" w:line="1" w:lineRule="exact"/>
        <w:rPr>
          <w:rFonts w:ascii="Arial" w:cs="Arial" w:eastAsia="Arial" w:hAnsi="Arial"/>
          <w:sz w:val="18"/>
          <w:szCs w:val="18"/>
          <w:color w:val="auto"/>
        </w:rPr>
      </w:pPr>
    </w:p>
    <w:p>
      <w:pPr>
        <w:ind w:left="331" w:right="280" w:hanging="331"/>
        <w:spacing w:after="0" w:line="234"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realize the benefits of business strategies and initiatives related to energy transition, including carbon capture and sequestration projects and other renewable energy efforts;</w:t>
      </w:r>
    </w:p>
    <w:p>
      <w:pPr>
        <w:spacing w:after="0" w:line="2" w:lineRule="exact"/>
        <w:rPr>
          <w:rFonts w:ascii="Arial" w:cs="Arial" w:eastAsia="Arial" w:hAnsi="Arial"/>
          <w:sz w:val="18"/>
          <w:szCs w:val="18"/>
          <w:color w:val="auto"/>
        </w:rPr>
      </w:pPr>
    </w:p>
    <w:p>
      <w:pPr>
        <w:ind w:left="331" w:right="140" w:hanging="331"/>
        <w:spacing w:after="0" w:line="261"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available at www.crc.com.</w:t>
      </w:r>
    </w:p>
    <w:p>
      <w:pPr>
        <w:spacing w:after="0" w:line="200" w:lineRule="exact"/>
        <w:rPr>
          <w:sz w:val="20"/>
          <w:szCs w:val="20"/>
          <w:color w:val="auto"/>
        </w:rPr>
      </w:pPr>
    </w:p>
    <w:p>
      <w:pPr>
        <w:sectPr>
          <w:pgSz w:w="11900" w:h="16838" w:orient="portrait"/>
          <w:cols w:equalWidth="0" w:num="2">
            <w:col w:w="5509" w:space="720"/>
            <w:col w:w="4911"/>
          </w:cols>
          <w:pgMar w:left="320" w:top="1035" w:right="4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5" w:right="439" w:bottom="1440" w:gutter="0" w:footer="0" w:header="0"/>
          <w:type w:val="continuous"/>
        </w:sectPr>
      </w:pPr>
    </w:p>
    <w:bookmarkStart w:id="39" w:name="page40"/>
    <w:bookmarkEnd w:id="39"/>
    <w:p>
      <w:pPr>
        <w:ind w:firstLine="324"/>
        <w:spacing w:after="0" w:line="251"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03" w:right="43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4"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For the three and six months ended June 30, 2021,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2020 Annual Report, except as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To mitigate some of the risk inherent in the downward movement in oil prices, we may enter into various derivative instruments to hedge commodity price risk. The primary market risk relating to our derivative contracts relates to fluctuations in market prices as compared to the fixed contract price for a notional amount of our production. As of June 30, 2021, we had net liabilities of $421 million for our derivative commodity positions which are carried at fair value, using industry-standard models with various inputs, including the forward curve for the relevant price index. For more information on our derivative positions as of June 30, 2021, refer to </w:t>
      </w:r>
      <w:r>
        <w:rPr>
          <w:rFonts w:ascii="Arial" w:cs="Arial" w:eastAsia="Arial" w:hAnsi="Arial"/>
          <w:sz w:val="18"/>
          <w:szCs w:val="18"/>
          <w:i w:val="1"/>
          <w:iCs w:val="1"/>
          <w:color w:val="auto"/>
        </w:rPr>
        <w:t>Part I, Item 1 – Financial Statements, Note 8 Derivatives.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7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2018, we entered into derivative contracts that limit our interest-rate exposure with respect to a notional amount of $ 1.3 billion of variable-rate indebtedness. The interest-rate contracts reset monthly and require the counterparties to pay any excess interest owed on such amount in the event the one-month LIBOR exceeds 2.75% for any monthly period prior to May 4, 2021. The contracts expired on May 4, 2021. We did not report any gains or losses on these contracts for the three months ended June 30, 2021 or the three months ended June 30, 2020. No settlement payments were received in either 2021 or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7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For derivative instruments entered into as part of our hedging program, we are subject to counterparty credit risk to the extent the counterparty is unable to meet its settlement commitments. We actively manage this credit risk by selecting counterparties that we believe to be financially strong and continuously monitor their financial health. Concentration of credit risk is regularly reviewed to ensure that counterparty credit risk is adequately diversified.</w:t>
      </w:r>
    </w:p>
    <w:p>
      <w:pPr>
        <w:spacing w:after="0" w:line="23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As of June 30, 2021, the majority of the credit exposures related to our business was with investment-grade counterparties. We believe exposure to counterparty credit-related losses related to our business at June 30, 2021 was not material and losses associated with counterparty credit risk have been insignificant for all periods presented.</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274"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Our Chief Executive Officer and our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June 30, 2021.</w:t>
      </w:r>
    </w:p>
    <w:p>
      <w:pPr>
        <w:spacing w:after="0" w:line="16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There were no changes in our internal controls over financial reporting (as defined in Rules 13a-15(f) and 15d-15(f) under the Securities Exchange Act of 1934) during the three months ended June 30, 2021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41" w:name="page42"/>
    <w:bookmarkEnd w:id="41"/>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7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2020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4" w:lineRule="exact"/>
        <w:rPr>
          <w:sz w:val="20"/>
          <w:szCs w:val="20"/>
          <w:color w:val="auto"/>
        </w:rPr>
      </w:pPr>
    </w:p>
    <w:p>
      <w:pPr>
        <w:jc w:val="both"/>
        <w:ind w:right="480" w:firstLine="324"/>
        <w:spacing w:after="0" w:line="256"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2020 Annual Report. There were no material changes to those risk factors during the three months ended March 31, 2021.</w:t>
      </w:r>
    </w:p>
    <w:p>
      <w:pPr>
        <w:spacing w:after="0" w:line="2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May 2021, our Board of Directors authorized a Share Repurchase Program to acquire up to $150 million of our common stock through March 31, 2022. In August 2021, our Board of Directors increased the Share Repurchase Program by $100 million to $250 million.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June 30,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8"/>
              </w:rPr>
              <w:t>Total Number of</w:t>
            </w:r>
          </w:p>
        </w:tc>
        <w:tc>
          <w:tcPr>
            <w:tcW w:w="140" w:type="dxa"/>
            <w:vAlign w:val="bottom"/>
          </w:tcPr>
          <w:p>
            <w:pPr>
              <w:spacing w:after="0"/>
              <w:rPr>
                <w:sz w:val="18"/>
                <w:szCs w:val="1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Average</w:t>
            </w:r>
          </w:p>
        </w:tc>
        <w:tc>
          <w:tcPr>
            <w:tcW w:w="2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 of Shares</w:t>
            </w:r>
          </w:p>
        </w:tc>
        <w:tc>
          <w:tcPr>
            <w:tcW w:w="200" w:type="dxa"/>
            <w:vAlign w:val="bottom"/>
          </w:tcPr>
          <w:p>
            <w:pPr>
              <w:spacing w:after="0"/>
              <w:rPr>
                <w:sz w:val="18"/>
                <w:szCs w:val="18"/>
                <w:color w:val="auto"/>
              </w:rPr>
            </w:pPr>
          </w:p>
        </w:tc>
        <w:tc>
          <w:tcPr>
            <w:tcW w:w="2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7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Purchased as Part of Publicly</w:t>
            </w:r>
          </w:p>
        </w:tc>
        <w:tc>
          <w:tcPr>
            <w:tcW w:w="200" w:type="dxa"/>
            <w:vAlign w:val="bottom"/>
          </w:tcPr>
          <w:p>
            <w:pPr>
              <w:spacing w:after="0"/>
              <w:rPr>
                <w:sz w:val="15"/>
                <w:szCs w:val="15"/>
                <w:color w:val="auto"/>
              </w:rPr>
            </w:pPr>
          </w:p>
        </w:tc>
        <w:tc>
          <w:tcPr>
            <w:tcW w:w="248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96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Period</w:t>
            </w:r>
          </w:p>
        </w:tc>
        <w:tc>
          <w:tcPr>
            <w:tcW w:w="16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Shares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98"/>
              </w:rPr>
              <w:t>Price Paid</w:t>
            </w:r>
          </w:p>
        </w:tc>
        <w:tc>
          <w:tcPr>
            <w:tcW w:w="27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rPr>
              <w:t>Announced Plans or</w:t>
            </w:r>
          </w:p>
        </w:tc>
        <w:tc>
          <w:tcPr>
            <w:tcW w:w="26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Purchased Under the Plans or</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auto"/>
            </w:tcBorders>
            <w:vMerge w:val="continue"/>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per Share</w:t>
            </w:r>
          </w:p>
        </w:tc>
        <w:tc>
          <w:tcPr>
            <w:tcW w:w="100" w:type="dxa"/>
            <w:vAlign w:val="bottom"/>
            <w:tcBorders>
              <w:bottom w:val="single" w:sz="8" w:color="CCEEFF"/>
            </w:tcBorders>
          </w:tcPr>
          <w:p>
            <w:pPr>
              <w:spacing w:after="0"/>
              <w:rPr>
                <w:sz w:val="19"/>
                <w:szCs w:val="19"/>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center"/>
              <w:ind w:right="90"/>
              <w:spacing w:after="0" w:line="230" w:lineRule="exact"/>
              <w:rPr>
                <w:sz w:val="20"/>
                <w:szCs w:val="20"/>
                <w:color w:val="auto"/>
              </w:rPr>
            </w:pPr>
            <w:r>
              <w:rPr>
                <w:rFonts w:ascii="Arial" w:cs="Arial" w:eastAsia="Arial" w:hAnsi="Arial"/>
                <w:sz w:val="18"/>
                <w:szCs w:val="18"/>
                <w:b w:val="1"/>
                <w:bCs w:val="1"/>
                <w:color w:val="auto"/>
                <w:w w:val="95"/>
              </w:rPr>
              <w:t>Programs</w:t>
            </w:r>
            <w:r>
              <w:rPr>
                <w:rFonts w:ascii="Arial" w:cs="Arial" w:eastAsia="Arial" w:hAnsi="Arial"/>
                <w:sz w:val="23"/>
                <w:szCs w:val="23"/>
                <w:b w:val="1"/>
                <w:bCs w:val="1"/>
                <w:color w:val="auto"/>
                <w:w w:val="95"/>
                <w:vertAlign w:val="superscript"/>
              </w:rPr>
              <w:t>(a)</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2021 - April 30, 2021</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ind w:left="2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May 1, 2021 - May 31,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161,017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161,017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ind w:left="2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2021 - June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19"/>
                <w:szCs w:val="19"/>
                <w:color w:val="auto"/>
              </w:rPr>
            </w:pP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1,279,186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960" w:type="dxa"/>
            <w:vAlign w:val="bottom"/>
          </w:tcPr>
          <w:p>
            <w:pPr>
              <w:ind w:left="1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1,440,203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1,440,203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dollar value of shares that may yet be purchased under the Share Repurchase Program totaled $105 million as of June 30, 2021 and is currently $205 million.</w:t>
      </w:r>
    </w:p>
    <w:p>
      <w:pPr>
        <w:spacing w:after="0" w:line="21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9"/>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8"/>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900" w:type="dxa"/>
            <w:vAlign w:val="bottom"/>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FF"/>
              </w:rPr>
            </w:pPr>
            <w:hyperlink r:id="rId64">
              <w:r>
                <w:rPr>
                  <w:rFonts w:ascii="Arial" w:cs="Arial" w:eastAsia="Arial" w:hAnsi="Arial"/>
                  <w:sz w:val="18"/>
                  <w:szCs w:val="18"/>
                  <w:color w:val="0000FF"/>
                </w:rPr>
                <w:t>Amended and Restated Certificate of Incorporation of California Resources Corporation (filed as Exhibit 3.1 to Registrant’s</w:t>
              </w:r>
            </w:hyperlink>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Registration Statement on Form 8-A filed October 27, 2020 and incorporated herein by reference).</w:t>
              </w:r>
            </w:hyperlink>
          </w:p>
        </w:tc>
        <w:tc>
          <w:tcPr>
            <w:tcW w:w="1900" w:type="dxa"/>
            <w:vAlign w:val="bottom"/>
            <w:tcBorders>
              <w:top w:val="single" w:sz="8" w:color="0000FF"/>
            </w:tcBorders>
            <w:gridSpan w:val="6"/>
          </w:tcPr>
          <w:p>
            <w:pPr>
              <w:spacing w:after="0"/>
              <w:rPr>
                <w:sz w:val="15"/>
                <w:szCs w:val="15"/>
                <w:color w:val="auto"/>
              </w:rPr>
            </w:pPr>
          </w:p>
        </w:tc>
        <w:tc>
          <w:tcPr>
            <w:tcW w:w="380" w:type="dxa"/>
            <w:vAlign w:val="bottom"/>
            <w:gridSpan w:val="5"/>
          </w:tcPr>
          <w:p>
            <w:pPr>
              <w:spacing w:after="0"/>
              <w:rPr>
                <w:sz w:val="15"/>
                <w:szCs w:val="15"/>
                <w:color w:val="auto"/>
              </w:rPr>
            </w:pPr>
          </w:p>
        </w:tc>
      </w:tr>
      <w:tr>
        <w:trPr>
          <w:trHeight w:val="291"/>
        </w:trPr>
        <w:tc>
          <w:tcPr>
            <w:tcW w:w="90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9500" w:type="dxa"/>
            <w:vAlign w:val="bottom"/>
            <w:tcBorders>
              <w:bottom w:val="single" w:sz="8" w:color="0000FF"/>
            </w:tcBorders>
            <w:gridSpan w:val="10"/>
          </w:tcPr>
          <w:p>
            <w:pPr>
              <w:spacing w:after="0"/>
              <w:rPr>
                <w:rFonts w:ascii="Arial" w:cs="Arial" w:eastAsia="Arial" w:hAnsi="Arial"/>
                <w:sz w:val="18"/>
                <w:szCs w:val="18"/>
                <w:color w:val="0000FF"/>
                <w:w w:val="99"/>
              </w:rPr>
            </w:pPr>
            <w:hyperlink r:id="rId65">
              <w:r>
                <w:rPr>
                  <w:rFonts w:ascii="Arial" w:cs="Arial" w:eastAsia="Arial" w:hAnsi="Arial"/>
                  <w:sz w:val="18"/>
                  <w:szCs w:val="18"/>
                  <w:color w:val="0000FF"/>
                  <w:w w:val="99"/>
                </w:rPr>
                <w:t>Amended and Restated Bylaws of California Resources Corporation (filed as Exhibit 3.2 to the Registrant’s Registration</w:t>
              </w:r>
            </w:hyperlink>
          </w:p>
        </w:tc>
        <w:tc>
          <w:tcPr>
            <w:tcW w:w="600" w:type="dxa"/>
            <w:vAlign w:val="bottom"/>
            <w:gridSpan w:val="7"/>
          </w:tcPr>
          <w:p>
            <w:pPr>
              <w:spacing w:after="0"/>
              <w:rPr>
                <w:sz w:val="24"/>
                <w:szCs w:val="24"/>
                <w:color w:val="auto"/>
              </w:rPr>
            </w:pPr>
          </w:p>
        </w:tc>
      </w:tr>
      <w:tr>
        <w:trPr>
          <w:trHeight w:val="183"/>
        </w:trPr>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00" w:type="dxa"/>
            <w:vAlign w:val="bottom"/>
            <w:gridSpan w:val="17"/>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Statement on Form 8-A filed October 27, 2020 and incorporated herein by reference).</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0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100" w:type="dxa"/>
            <w:vAlign w:val="bottom"/>
            <w:gridSpan w:val="17"/>
          </w:tcPr>
          <w:p>
            <w:pPr>
              <w:spacing w:after="0"/>
              <w:rPr>
                <w:rFonts w:ascii="Arial" w:cs="Arial" w:eastAsia="Arial" w:hAnsi="Arial"/>
                <w:sz w:val="18"/>
                <w:szCs w:val="18"/>
                <w:color w:val="0000FF"/>
              </w:rPr>
            </w:pPr>
            <w:hyperlink r:id="rId66">
              <w:r>
                <w:rPr>
                  <w:rFonts w:ascii="Arial" w:cs="Arial" w:eastAsia="Arial" w:hAnsi="Arial"/>
                  <w:sz w:val="18"/>
                  <w:szCs w:val="18"/>
                  <w:color w:val="0000FF"/>
                </w:rPr>
                <w:t>First Amendment to the Credit Agreement, dated as of May 7, 2021, by and among California Resources Corporation, as the</w:t>
              </w:r>
            </w:hyperlink>
          </w:p>
        </w:tc>
      </w:tr>
      <w:tr>
        <w:trPr>
          <w:trHeight w:val="155"/>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9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Borrower, the several lenders from time to time parties thereto and Citibank, N.A., as Administrative Agent, Collateral Agent</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7"/>
              </w:rPr>
            </w:pPr>
            <w:hyperlink r:id="rId66">
              <w:r>
                <w:rPr>
                  <w:rFonts w:ascii="Arial" w:cs="Arial" w:eastAsia="Arial" w:hAnsi="Arial"/>
                  <w:sz w:val="18"/>
                  <w:szCs w:val="18"/>
                  <w:color w:val="0000FF"/>
                  <w:w w:val="97"/>
                </w:rPr>
                <w:t>and an Issuing Bank (filed as Exhibit 10.1 to the Registrant's Current Report on Form 8-K filed May 10, 2021 and incorporated</w:t>
              </w:r>
            </w:hyperlink>
          </w:p>
        </w:tc>
        <w:tc>
          <w:tcPr>
            <w:tcW w:w="20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20" w:type="dxa"/>
            <w:vAlign w:val="bottom"/>
            <w:gridSpan w:val="16"/>
          </w:tcPr>
          <w:p>
            <w:pPr>
              <w:spacing w:after="0" w:line="156" w:lineRule="exact"/>
              <w:rPr>
                <w:rFonts w:ascii="Arial" w:cs="Arial" w:eastAsia="Arial" w:hAnsi="Arial"/>
                <w:sz w:val="18"/>
                <w:szCs w:val="18"/>
                <w:color w:val="0000FF"/>
              </w:rPr>
            </w:pPr>
            <w:hyperlink r:id="rId66">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2"/>
                <w:szCs w:val="22"/>
                <w:color w:val="auto"/>
              </w:rPr>
            </w:pPr>
          </w:p>
        </w:tc>
        <w:tc>
          <w:tcPr>
            <w:tcW w:w="10100" w:type="dxa"/>
            <w:vAlign w:val="bottom"/>
            <w:gridSpan w:val="17"/>
          </w:tcPr>
          <w:p>
            <w:pPr>
              <w:spacing w:after="0"/>
              <w:rPr>
                <w:rFonts w:ascii="Arial" w:cs="Arial" w:eastAsia="Arial" w:hAnsi="Arial"/>
                <w:sz w:val="18"/>
                <w:szCs w:val="18"/>
                <w:color w:val="0000FF"/>
              </w:rPr>
            </w:pPr>
            <w:hyperlink r:id="rId67">
              <w:r>
                <w:rPr>
                  <w:rFonts w:ascii="Arial" w:cs="Arial" w:eastAsia="Arial" w:hAnsi="Arial"/>
                  <w:sz w:val="18"/>
                  <w:szCs w:val="18"/>
                  <w:color w:val="0000FF"/>
                </w:rPr>
                <w:t>Employment Agreement by and between Shawn M. Kerns and California Resources Corporation, dated June 8, 2021 (filed as</w:t>
              </w:r>
            </w:hyperlink>
          </w:p>
        </w:tc>
      </w:tr>
      <w:tr>
        <w:trPr>
          <w:trHeight w:val="155"/>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67">
              <w:r>
                <w:rPr>
                  <w:rFonts w:ascii="Arial" w:cs="Arial" w:eastAsia="Arial" w:hAnsi="Arial"/>
                  <w:sz w:val="18"/>
                  <w:szCs w:val="18"/>
                  <w:color w:val="0000FF"/>
                </w:rPr>
                <w:t>Exhibit 10.1 to the Registrant's Current Report on Form 8-K filed June 11, 2021 and incorporated herein by reference).</w:t>
              </w:r>
            </w:hyperlink>
          </w:p>
        </w:tc>
        <w:tc>
          <w:tcPr>
            <w:tcW w:w="100" w:type="dxa"/>
            <w:vAlign w:val="bottom"/>
            <w:gridSpan w:val="2"/>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2"/>
                <w:szCs w:val="22"/>
                <w:color w:val="auto"/>
              </w:rPr>
            </w:pPr>
          </w:p>
        </w:tc>
        <w:tc>
          <w:tcPr>
            <w:tcW w:w="10100" w:type="dxa"/>
            <w:vAlign w:val="bottom"/>
            <w:tcBorders>
              <w:bottom w:val="single" w:sz="8" w:color="0000FF"/>
            </w:tcBorders>
            <w:gridSpan w:val="17"/>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Employment Agreement by and between Francisco J. Leon and California Resources Corporation, dated June 8, 2021 (filed as</w:t>
              </w:r>
            </w:hyperlink>
          </w:p>
        </w:tc>
      </w:tr>
      <w:tr>
        <w:trPr>
          <w:trHeight w:val="156"/>
        </w:trPr>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00" w:type="dxa"/>
            <w:vAlign w:val="bottom"/>
            <w:gridSpan w:val="17"/>
          </w:tcPr>
          <w:p>
            <w:pPr>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Exhibit 10.2 to the Registrant's Current Report on Form 8-K filed June 11, 2021 and incorporated herein by reference).</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2"/>
                <w:szCs w:val="22"/>
                <w:color w:val="auto"/>
              </w:rPr>
            </w:pPr>
          </w:p>
        </w:tc>
        <w:tc>
          <w:tcPr>
            <w:tcW w:w="10100" w:type="dxa"/>
            <w:vAlign w:val="bottom"/>
            <w:gridSpan w:val="1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Employment Agreement by and between Michael L. Preston and California Resources Corporation, dated June 8, 2021.</w:t>
              </w:r>
            </w:hyperlink>
          </w:p>
        </w:tc>
      </w:tr>
      <w:tr>
        <w:trPr>
          <w:trHeight w:val="264"/>
        </w:trPr>
        <w:tc>
          <w:tcPr>
            <w:tcW w:w="900" w:type="dxa"/>
            <w:vAlign w:val="bottom"/>
          </w:tcPr>
          <w:p>
            <w:pPr>
              <w:ind w:left="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9540" w:type="dxa"/>
            <w:vAlign w:val="bottom"/>
            <w:tcBorders>
              <w:top w:val="single" w:sz="8" w:color="0000FF"/>
            </w:tcBorders>
            <w:gridSpan w:val="11"/>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Employment Agreement by and between Jay A. Bys and California Resources Corporation, dated June 8, 2021.</w:t>
              </w:r>
            </w:hyperlink>
          </w:p>
        </w:tc>
        <w:tc>
          <w:tcPr>
            <w:tcW w:w="560" w:type="dxa"/>
            <w:vAlign w:val="bottom"/>
            <w:gridSpan w:val="6"/>
          </w:tcPr>
          <w:p>
            <w:pPr>
              <w:spacing w:after="0"/>
              <w:rPr>
                <w:sz w:val="22"/>
                <w:szCs w:val="22"/>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9"/>
          </w:tcPr>
          <w:p>
            <w:pPr>
              <w:spacing w:after="0" w:line="20" w:lineRule="exact"/>
              <w:rPr>
                <w:sz w:val="1"/>
                <w:szCs w:val="1"/>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10100" w:type="dxa"/>
            <w:vAlign w:val="bottom"/>
            <w:gridSpan w:val="17"/>
          </w:tcPr>
          <w:p>
            <w:pPr>
              <w:spacing w:after="0"/>
              <w:rPr>
                <w:rFonts w:ascii="Arial" w:cs="Arial" w:eastAsia="Arial" w:hAnsi="Arial"/>
                <w:sz w:val="18"/>
                <w:szCs w:val="18"/>
                <w:color w:val="0000FF"/>
              </w:rPr>
            </w:pPr>
            <w:hyperlink w:anchor="page89">
              <w:r>
                <w:rPr>
                  <w:rFonts w:ascii="Arial" w:cs="Arial" w:eastAsia="Arial" w:hAnsi="Arial"/>
                  <w:sz w:val="18"/>
                  <w:szCs w:val="18"/>
                  <w:color w:val="0000FF"/>
                </w:rPr>
                <w:t xml:space="preserve">Employment Agreement by and between Chris Gould and California Resources Corporation, dated June </w:t>
              </w:r>
            </w:hyperlink>
            <w:r>
              <w:rPr>
                <w:rFonts w:ascii="Arial" w:cs="Arial" w:eastAsia="Arial" w:hAnsi="Arial"/>
                <w:sz w:val="18"/>
                <w:szCs w:val="18"/>
                <w:color w:val="0000FF"/>
              </w:rPr>
              <w:t xml:space="preserve">14, </w:t>
            </w:r>
            <w:hyperlink w:anchor="page89">
              <w:r>
                <w:rPr>
                  <w:rFonts w:ascii="Arial" w:cs="Arial" w:eastAsia="Arial" w:hAnsi="Arial"/>
                  <w:sz w:val="18"/>
                  <w:szCs w:val="18"/>
                  <w:color w:val="0000FF"/>
                </w:rPr>
                <w:t>2021.</w:t>
              </w:r>
            </w:hyperlink>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2"/>
                <w:szCs w:val="22"/>
                <w:color w:val="auto"/>
              </w:rPr>
            </w:pPr>
          </w:p>
        </w:tc>
        <w:tc>
          <w:tcPr>
            <w:tcW w:w="64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9"/>
              </w:rPr>
            </w:pPr>
            <w:hyperlink w:anchor="page111">
              <w:r>
                <w:rPr>
                  <w:rFonts w:ascii="Arial" w:cs="Arial" w:eastAsia="Arial" w:hAnsi="Arial"/>
                  <w:sz w:val="18"/>
                  <w:szCs w:val="18"/>
                  <w:color w:val="0000FF"/>
                  <w:w w:val="99"/>
                </w:rPr>
                <w:t>Certification of CEO Pursuant to Section 302 of the Sarbanes-Oxley Act of 2002.</w:t>
              </w:r>
            </w:hyperlink>
          </w:p>
        </w:tc>
        <w:tc>
          <w:tcPr>
            <w:tcW w:w="2680" w:type="dxa"/>
            <w:vAlign w:val="bottom"/>
            <w:tcBorders>
              <w:top w:val="single" w:sz="8" w:color="0000FF"/>
            </w:tcBorders>
            <w:gridSpan w:val="5"/>
          </w:tcPr>
          <w:p>
            <w:pPr>
              <w:spacing w:after="0"/>
              <w:rPr>
                <w:sz w:val="22"/>
                <w:szCs w:val="22"/>
                <w:color w:val="auto"/>
              </w:rPr>
            </w:pPr>
          </w:p>
        </w:tc>
        <w:tc>
          <w:tcPr>
            <w:tcW w:w="1000" w:type="dxa"/>
            <w:vAlign w:val="bottom"/>
            <w:gridSpan w:val="9"/>
          </w:tcPr>
          <w:p>
            <w:pPr>
              <w:spacing w:after="0"/>
              <w:rPr>
                <w:sz w:val="22"/>
                <w:szCs w:val="22"/>
                <w:color w:val="auto"/>
              </w:rPr>
            </w:pPr>
          </w:p>
        </w:tc>
      </w:tr>
      <w:tr>
        <w:trPr>
          <w:trHeight w:val="264"/>
        </w:trPr>
        <w:tc>
          <w:tcPr>
            <w:tcW w:w="90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2"/>
                <w:szCs w:val="22"/>
                <w:color w:val="auto"/>
              </w:rPr>
            </w:pPr>
          </w:p>
        </w:tc>
        <w:tc>
          <w:tcPr>
            <w:tcW w:w="10100" w:type="dxa"/>
            <w:vAlign w:val="bottom"/>
            <w:gridSpan w:val="1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Certification of CFO Pursuant to Section 302 of the Sarbanes-Oxley Act of 2002.</w:t>
              </w:r>
            </w:hyperlink>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20" w:type="dxa"/>
            <w:vAlign w:val="bottom"/>
            <w:gridSpan w:val="12"/>
          </w:tcPr>
          <w:p>
            <w:pPr>
              <w:spacing w:after="0" w:line="20" w:lineRule="exact"/>
              <w:rPr>
                <w:sz w:val="1"/>
                <w:szCs w:val="1"/>
                <w:color w:val="auto"/>
              </w:rPr>
            </w:pPr>
          </w:p>
        </w:tc>
      </w:tr>
      <w:tr>
        <w:trPr>
          <w:trHeight w:val="263"/>
        </w:trPr>
        <w:tc>
          <w:tcPr>
            <w:tcW w:w="90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2"/>
                <w:szCs w:val="22"/>
                <w:color w:val="auto"/>
              </w:rPr>
            </w:pPr>
          </w:p>
        </w:tc>
        <w:tc>
          <w:tcPr>
            <w:tcW w:w="10100" w:type="dxa"/>
            <w:vAlign w:val="bottom"/>
            <w:gridSpan w:val="17"/>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Certifications of CEO and CFO Pursuant to Section 906 of the Sarbanes-Oxley Act of 2002.</w:t>
              </w:r>
            </w:hyperlink>
          </w:p>
        </w:tc>
      </w:tr>
      <w:tr>
        <w:trPr>
          <w:trHeight w:val="304"/>
        </w:trPr>
        <w:tc>
          <w:tcPr>
            <w:tcW w:w="900" w:type="dxa"/>
            <w:vAlign w:val="bottom"/>
          </w:tcPr>
          <w:p>
            <w:pPr>
              <w:ind w:left="20"/>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72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2820" w:type="dxa"/>
            <w:vAlign w:val="bottom"/>
            <w:gridSpan w:val="12"/>
          </w:tcPr>
          <w:p>
            <w:pPr>
              <w:spacing w:after="0"/>
              <w:rPr>
                <w:sz w:val="24"/>
                <w:szCs w:val="24"/>
                <w:color w:val="auto"/>
              </w:rPr>
            </w:pP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900" w:type="dxa"/>
            <w:vAlign w:val="bottom"/>
          </w:tcPr>
          <w:p>
            <w:pPr>
              <w:ind w:left="20"/>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900" w:type="dxa"/>
            <w:vAlign w:val="bottom"/>
          </w:tcPr>
          <w:p>
            <w:pPr>
              <w:ind w:left="20"/>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3"/>
        </w:trPr>
        <w:tc>
          <w:tcPr>
            <w:tcW w:w="900" w:type="dxa"/>
            <w:vAlign w:val="bottom"/>
          </w:tcPr>
          <w:p>
            <w:pPr>
              <w:ind w:left="20"/>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10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67" w:lineRule="exact"/>
        <w:rPr>
          <w:sz w:val="20"/>
          <w:szCs w:val="20"/>
          <w:color w:val="auto"/>
        </w:rPr>
      </w:pPr>
    </w:p>
    <w:p>
      <w:pPr>
        <w:ind w:left="1120" w:hanging="1094"/>
        <w:spacing w:after="0"/>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herewith</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220" w:type="dxa"/>
            <w:vAlign w:val="bottom"/>
            <w:gridSpan w:val="2"/>
          </w:tcPr>
          <w:p>
            <w:pPr>
              <w:ind w:left="960"/>
              <w:spacing w:after="0"/>
              <w:rPr>
                <w:sz w:val="20"/>
                <w:szCs w:val="20"/>
                <w:color w:val="auto"/>
              </w:rPr>
            </w:pPr>
            <w:r>
              <w:rPr>
                <w:rFonts w:ascii="Arial" w:cs="Arial" w:eastAsia="Arial" w:hAnsi="Arial"/>
                <w:sz w:val="18"/>
                <w:szCs w:val="18"/>
                <w:color w:val="auto"/>
              </w:rPr>
              <w:t>CALIFORNIA RESOURCES CORPORATION</w:t>
            </w:r>
          </w:p>
        </w:tc>
      </w:tr>
      <w:tr>
        <w:trPr>
          <w:trHeight w:val="594"/>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400" w:type="dxa"/>
            <w:vAlign w:val="bottom"/>
          </w:tcPr>
          <w:p>
            <w:pPr>
              <w:ind w:left="240"/>
              <w:spacing w:after="0"/>
              <w:rPr>
                <w:sz w:val="20"/>
                <w:szCs w:val="20"/>
                <w:color w:val="auto"/>
              </w:rPr>
            </w:pPr>
            <w:r>
              <w:rPr>
                <w:rFonts w:ascii="Arial" w:cs="Arial" w:eastAsia="Arial" w:hAnsi="Arial"/>
                <w:sz w:val="18"/>
                <w:szCs w:val="18"/>
                <w:color w:val="auto"/>
              </w:rPr>
              <w:t>August 5, 2021</w:t>
            </w:r>
          </w:p>
        </w:tc>
        <w:tc>
          <w:tcPr>
            <w:tcW w:w="9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23"/>
        </w:trPr>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886" w:right="339" w:bottom="1440" w:gutter="0" w:footer="0" w:header="0"/>
        </w:sectPr>
      </w:pPr>
    </w:p>
    <w:bookmarkStart w:id="44" w:name="page45"/>
    <w:bookmarkEnd w:id="44"/>
    <w:p>
      <w:pPr>
        <w:ind w:left="10140"/>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Certain information in this exhibit (indicated by “[*****]”), which is not material and is the type of information that the Registrant treats as private or confidential, has been omitted pursuant to Item 601(b)(10)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made and entered into by and between California Resources Corporation,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Michael L. Preston (“</w:t>
      </w:r>
      <w:r>
        <w:rPr>
          <w:rFonts w:ascii="Arial" w:cs="Arial" w:eastAsia="Arial" w:hAnsi="Arial"/>
          <w:sz w:val="22"/>
          <w:szCs w:val="22"/>
          <w:b w:val="1"/>
          <w:bCs w:val="1"/>
          <w:u w:val="single" w:color="auto"/>
          <w:color w:val="auto"/>
        </w:rPr>
        <w:t>Employee</w:t>
      </w:r>
      <w:r>
        <w:rPr>
          <w:rFonts w:ascii="Arial" w:cs="Arial" w:eastAsia="Arial" w:hAnsi="Arial"/>
          <w:sz w:val="22"/>
          <w:szCs w:val="22"/>
          <w:color w:val="auto"/>
        </w:rPr>
        <w:t>”) effective as of June 8, 2021 (the “</w:t>
      </w:r>
      <w:r>
        <w:rPr>
          <w:rFonts w:ascii="Arial" w:cs="Arial" w:eastAsia="Arial" w:hAnsi="Arial"/>
          <w:sz w:val="22"/>
          <w:szCs w:val="22"/>
          <w:b w:val="1"/>
          <w:bCs w:val="1"/>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Date</w:t>
      </w:r>
      <w:r>
        <w:rPr>
          <w:rFonts w:ascii="Arial" w:cs="Arial" w:eastAsia="Arial" w:hAnsi="Arial"/>
          <w:sz w:val="22"/>
          <w:szCs w:val="22"/>
          <w:color w:val="auto"/>
        </w:rPr>
        <w:t>”).</w:t>
      </w:r>
    </w:p>
    <w:p>
      <w:pPr>
        <w:spacing w:after="0" w:line="187" w:lineRule="exact"/>
        <w:rPr>
          <w:sz w:val="20"/>
          <w:szCs w:val="20"/>
          <w:color w:val="auto"/>
        </w:rPr>
      </w:pPr>
    </w:p>
    <w:p>
      <w:pPr>
        <w:jc w:val="both"/>
        <w:ind w:firstLine="656"/>
        <w:spacing w:after="0" w:line="252" w:lineRule="auto"/>
        <w:tabs>
          <w:tab w:leader="none" w:pos="1296"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employ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serve, as Executive Vice President, Chief Administrative Officer and General Counsel of the Company and in such other position or positions as may be assigned from time to time by the board of directors of the Company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u w:val="single" w:color="auto"/>
          <w:color w:val="auto"/>
        </w:rPr>
        <w:t>CEO</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225" w:lineRule="exact"/>
        <w:rPr>
          <w:rFonts w:ascii="Arial" w:cs="Arial" w:eastAsia="Arial" w:hAnsi="Arial"/>
          <w:sz w:val="22"/>
          <w:szCs w:val="22"/>
          <w:color w:val="auto"/>
        </w:rPr>
      </w:pPr>
    </w:p>
    <w:p>
      <w:pPr>
        <w:jc w:val="both"/>
        <w:ind w:firstLine="1304"/>
        <w:spacing w:after="0" w:line="257" w:lineRule="auto"/>
        <w:tabs>
          <w:tab w:leader="none" w:pos="1941" w:val="left"/>
        </w:tabs>
        <w:numPr>
          <w:ilvl w:val="1"/>
          <w:numId w:val="16"/>
        </w:numPr>
        <w:rPr>
          <w:rFonts w:ascii="Arial" w:cs="Arial" w:eastAsia="Arial" w:hAnsi="Arial"/>
          <w:sz w:val="21"/>
          <w:szCs w:val="21"/>
          <w:color w:val="auto"/>
        </w:rPr>
      </w:pPr>
      <w:r>
        <w:rPr>
          <w:rFonts w:ascii="Arial" w:cs="Arial" w:eastAsia="Arial" w:hAnsi="Arial"/>
          <w:sz w:val="21"/>
          <w:szCs w:val="21"/>
          <w:color w:val="auto"/>
        </w:rPr>
        <w:t>During the Employment Period, Employee shall actively engage in the business and affairs of the Company (together with its direct and indirect subsidiaries, the “</w:t>
      </w:r>
      <w:r>
        <w:rPr>
          <w:rFonts w:ascii="Arial" w:cs="Arial" w:eastAsia="Arial" w:hAnsi="Arial"/>
          <w:sz w:val="21"/>
          <w:szCs w:val="21"/>
          <w:b w:val="1"/>
          <w:bCs w:val="1"/>
          <w:u w:val="single" w:color="auto"/>
          <w:color w:val="auto"/>
        </w:rPr>
        <w:t>Company Group</w:t>
      </w:r>
      <w:r>
        <w:rPr>
          <w:rFonts w:ascii="Arial" w:cs="Arial" w:eastAsia="Arial" w:hAnsi="Arial"/>
          <w:sz w:val="21"/>
          <w:szCs w:val="21"/>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Arial" w:cs="Arial" w:eastAsia="Arial" w:hAnsi="Arial"/>
          <w:sz w:val="21"/>
          <w:szCs w:val="21"/>
          <w:u w:val="single" w:color="auto"/>
          <w:color w:val="auto"/>
        </w:rPr>
        <w:t>Section 2(a)</w:t>
      </w:r>
      <w:r>
        <w:rPr>
          <w:rFonts w:ascii="Arial" w:cs="Arial" w:eastAsia="Arial" w:hAnsi="Arial"/>
          <w:sz w:val="21"/>
          <w:szCs w:val="21"/>
          <w:color w:val="auto"/>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up to two for-profit corporations (collectively, the “</w:t>
      </w:r>
      <w:r>
        <w:rPr>
          <w:rFonts w:ascii="Arial" w:cs="Arial" w:eastAsia="Arial" w:hAnsi="Arial"/>
          <w:sz w:val="21"/>
          <w:szCs w:val="21"/>
          <w:b w:val="1"/>
          <w:bCs w:val="1"/>
          <w:u w:val="single" w:color="auto"/>
          <w:color w:val="auto"/>
        </w:rPr>
        <w:t>Permitted Activities</w:t>
      </w:r>
      <w:r>
        <w:rPr>
          <w:rFonts w:ascii="Arial" w:cs="Arial" w:eastAsia="Arial" w:hAnsi="Arial"/>
          <w:sz w:val="21"/>
          <w:szCs w:val="21"/>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71" w:lineRule="exact"/>
        <w:rPr>
          <w:rFonts w:ascii="Arial" w:cs="Arial" w:eastAsia="Arial" w:hAnsi="Arial"/>
          <w:sz w:val="21"/>
          <w:szCs w:val="21"/>
          <w:color w:val="auto"/>
        </w:rPr>
      </w:pPr>
    </w:p>
    <w:p>
      <w:pPr>
        <w:jc w:val="both"/>
        <w:ind w:firstLine="1304"/>
        <w:spacing w:after="0" w:line="262" w:lineRule="auto"/>
        <w:tabs>
          <w:tab w:leader="none" w:pos="1939" w:val="left"/>
        </w:tabs>
        <w:numPr>
          <w:ilvl w:val="1"/>
          <w:numId w:val="16"/>
        </w:numPr>
        <w:rPr>
          <w:rFonts w:ascii="Arial" w:cs="Arial" w:eastAsia="Arial" w:hAnsi="Arial"/>
          <w:sz w:val="19"/>
          <w:szCs w:val="19"/>
          <w:color w:val="auto"/>
        </w:rPr>
      </w:pPr>
      <w:r>
        <w:rPr>
          <w:rFonts w:ascii="Arial" w:cs="Arial" w:eastAsia="Arial" w:hAnsi="Arial"/>
          <w:sz w:val="19"/>
          <w:szCs w:val="19"/>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w:t>
      </w:r>
    </w:p>
    <w:p>
      <w:pPr>
        <w:sectPr>
          <w:pgSz w:w="11900" w:h="16838" w:orient="portrait"/>
          <w:cols w:equalWidth="0" w:num="1">
            <w:col w:w="11240"/>
          </w:cols>
          <w:pgMar w:left="320" w:top="118" w:right="339" w:bottom="1440" w:gutter="0" w:footer="0" w:header="0"/>
        </w:sectPr>
      </w:pPr>
    </w:p>
    <w:bookmarkStart w:id="45" w:name="page46"/>
    <w:bookmarkEnd w:id="45"/>
    <w:p>
      <w:pPr>
        <w:ind w:right="20"/>
        <w:spacing w:after="0" w:line="313" w:lineRule="auto"/>
        <w:rPr>
          <w:sz w:val="20"/>
          <w:szCs w:val="20"/>
          <w:color w:val="auto"/>
        </w:rPr>
      </w:pPr>
      <w:r>
        <w:rPr>
          <w:rFonts w:ascii="Arial" w:cs="Arial" w:eastAsia="Arial" w:hAnsi="Arial"/>
          <w:sz w:val="19"/>
          <w:szCs w:val="19"/>
          <w:color w:val="auto"/>
        </w:rPr>
        <w:t>not do so. Employee shall not introduce documents or other materials containing confidential information of any prior employer to the premises or property (including computers and computer systems) of any member of the Company Group.</w:t>
      </w:r>
    </w:p>
    <w:p>
      <w:pPr>
        <w:spacing w:after="0" w:line="119" w:lineRule="exact"/>
        <w:rPr>
          <w:sz w:val="20"/>
          <w:szCs w:val="20"/>
          <w:color w:val="auto"/>
        </w:rPr>
      </w:pPr>
    </w:p>
    <w:p>
      <w:pPr>
        <w:jc w:val="both"/>
        <w:ind w:firstLine="1304"/>
        <w:spacing w:after="0" w:line="302" w:lineRule="auto"/>
        <w:tabs>
          <w:tab w:leader="none" w:pos="1941" w:val="left"/>
        </w:tabs>
        <w:numPr>
          <w:ilvl w:val="2"/>
          <w:numId w:val="17"/>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6" w:lineRule="exact"/>
        <w:rPr>
          <w:rFonts w:ascii="Arial" w:cs="Arial" w:eastAsia="Arial" w:hAnsi="Arial"/>
          <w:sz w:val="19"/>
          <w:szCs w:val="19"/>
          <w:color w:val="auto"/>
        </w:rPr>
      </w:pPr>
    </w:p>
    <w:p>
      <w:pPr>
        <w:ind w:left="1300" w:hanging="644"/>
        <w:spacing w:after="0"/>
        <w:tabs>
          <w:tab w:leader="none" w:pos="1300" w:val="left"/>
        </w:tabs>
        <w:numPr>
          <w:ilvl w:val="1"/>
          <w:numId w:val="18"/>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94" w:lineRule="auto"/>
        <w:tabs>
          <w:tab w:leader="none" w:pos="1941" w:val="left"/>
        </w:tabs>
        <w:numPr>
          <w:ilvl w:val="2"/>
          <w:numId w:val="18"/>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$500,000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49" w:lineRule="exact"/>
        <w:rPr>
          <w:rFonts w:ascii="Arial" w:cs="Arial" w:eastAsia="Arial" w:hAnsi="Arial"/>
          <w:sz w:val="19"/>
          <w:szCs w:val="19"/>
          <w:color w:val="auto"/>
        </w:rPr>
      </w:pPr>
    </w:p>
    <w:p>
      <w:pPr>
        <w:jc w:val="both"/>
        <w:ind w:firstLine="1304"/>
        <w:spacing w:after="0" w:line="284" w:lineRule="auto"/>
        <w:tabs>
          <w:tab w:leader="none" w:pos="1939" w:val="left"/>
        </w:tabs>
        <w:numPr>
          <w:ilvl w:val="2"/>
          <w:numId w:val="18"/>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2021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100% of Employee’s Base Salary in effect as of the first day of the Bonus Year (or, with respect to calendar year 2021,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1" w:lineRule="exact"/>
        <w:rPr>
          <w:rFonts w:ascii="Arial" w:cs="Arial" w:eastAsia="Arial" w:hAnsi="Arial"/>
          <w:sz w:val="19"/>
          <w:szCs w:val="19"/>
          <w:color w:val="auto"/>
        </w:rPr>
      </w:pPr>
    </w:p>
    <w:p>
      <w:pPr>
        <w:jc w:val="both"/>
        <w:ind w:firstLine="8"/>
        <w:spacing w:after="0" w:line="290" w:lineRule="auto"/>
        <w:tabs>
          <w:tab w:leader="none" w:pos="526"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days of the applicable Bonus Year. The Annual Bonus that Employee shall be eligible to receive for the 2021 calendar year shall not be prorated.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to the contrary, but subject to </w:t>
      </w:r>
      <w:r>
        <w:rPr>
          <w:rFonts w:ascii="Arial" w:cs="Arial" w:eastAsia="Arial" w:hAnsi="Arial"/>
          <w:sz w:val="19"/>
          <w:szCs w:val="19"/>
          <w:u w:val="single" w:color="auto"/>
          <w:color w:val="auto"/>
        </w:rPr>
        <w:t>Section 7</w:t>
      </w:r>
      <w:r>
        <w:rPr>
          <w:rFonts w:ascii="Arial" w:cs="Arial" w:eastAsia="Arial" w:hAnsi="Arial"/>
          <w:sz w:val="19"/>
          <w:szCs w:val="19"/>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47" w:lineRule="exact"/>
        <w:rPr>
          <w:rFonts w:ascii="Arial" w:cs="Arial" w:eastAsia="Arial" w:hAnsi="Arial"/>
          <w:sz w:val="19"/>
          <w:szCs w:val="19"/>
          <w:color w:val="auto"/>
        </w:rPr>
      </w:pPr>
    </w:p>
    <w:p>
      <w:pPr>
        <w:jc w:val="both"/>
        <w:ind w:right="20" w:firstLine="1304"/>
        <w:spacing w:after="0" w:line="315" w:lineRule="auto"/>
        <w:tabs>
          <w:tab w:leader="none" w:pos="1941" w:val="left"/>
        </w:tabs>
        <w:numPr>
          <w:ilvl w:val="2"/>
          <w:numId w:val="19"/>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On January 25, 2021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the Compensation Committee granted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Initial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46" w:name="page47"/>
    <w:bookmarkEnd w:id="46"/>
    <w:p>
      <w:pPr>
        <w:jc w:val="both"/>
        <w:spacing w:after="0" w:line="258" w:lineRule="auto"/>
        <w:rPr>
          <w:sz w:val="20"/>
          <w:szCs w:val="20"/>
          <w:color w:val="auto"/>
        </w:rPr>
      </w:pPr>
      <w:r>
        <w:rPr>
          <w:rFonts w:ascii="Arial" w:cs="Arial" w:eastAsia="Arial" w:hAnsi="Arial"/>
          <w:sz w:val="21"/>
          <w:szCs w:val="21"/>
          <w:b w:val="1"/>
          <w:bCs w:val="1"/>
          <w:u w:val="single" w:color="auto"/>
          <w:color w:val="auto"/>
        </w:rPr>
        <w:t>PSUs</w:t>
      </w:r>
      <w:r>
        <w:rPr>
          <w:rFonts w:ascii="Arial" w:cs="Arial" w:eastAsia="Arial" w:hAnsi="Arial"/>
          <w:sz w:val="21"/>
          <w:szCs w:val="21"/>
          <w:color w:val="auto"/>
        </w:rPr>
        <w:t>”). Provided that Employee is employed by the Company on the applicable date of grant, Employee shall be eligible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annual long-term incentive awards under the LTIP commencing in calendar year 2023 with a grant date target value not less than 220%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(30% of the annual award, and vesting in one-third increments on each of the first three anniversaries of the date of grant) and performance stock units (70%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182" w:lineRule="exact"/>
        <w:rPr>
          <w:sz w:val="20"/>
          <w:szCs w:val="20"/>
          <w:color w:val="auto"/>
        </w:rPr>
      </w:pPr>
    </w:p>
    <w:p>
      <w:pPr>
        <w:jc w:val="both"/>
        <w:ind w:firstLine="656"/>
        <w:spacing w:after="0" w:line="258" w:lineRule="auto"/>
        <w:tabs>
          <w:tab w:leader="none" w:pos="1296" w:val="left"/>
        </w:tabs>
        <w:numPr>
          <w:ilvl w:val="0"/>
          <w:numId w:val="20"/>
        </w:numPr>
        <w:rPr>
          <w:rFonts w:ascii="Arial" w:cs="Arial" w:eastAsia="Arial" w:hAnsi="Arial"/>
          <w:sz w:val="21"/>
          <w:szCs w:val="2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The term of Employee’s employment under this Agreement shall be for the period</w:t>
      </w:r>
      <w:r>
        <w:rPr>
          <w:rFonts w:ascii="Arial" w:cs="Arial" w:eastAsia="Arial" w:hAnsi="Arial"/>
          <w:sz w:val="21"/>
          <w:szCs w:val="21"/>
          <w:b w:val="1"/>
          <w:bCs w:val="1"/>
          <w:color w:val="auto"/>
        </w:rPr>
        <w:t xml:space="preserve"> </w:t>
      </w:r>
      <w:r>
        <w:rPr>
          <w:rFonts w:ascii="Arial" w:cs="Arial" w:eastAsia="Arial" w:hAnsi="Arial"/>
          <w:sz w:val="21"/>
          <w:szCs w:val="21"/>
          <w:color w:val="auto"/>
        </w:rPr>
        <w:t>beginning on the Effective Date and ending on the first (1st) anniversary of the Effective Date (the “</w:t>
      </w:r>
      <w:r>
        <w:rPr>
          <w:rFonts w:ascii="Arial" w:cs="Arial" w:eastAsia="Arial" w:hAnsi="Arial"/>
          <w:sz w:val="21"/>
          <w:szCs w:val="21"/>
          <w:b w:val="1"/>
          <w:bCs w:val="1"/>
          <w:u w:val="single" w:color="auto"/>
          <w:color w:val="auto"/>
        </w:rPr>
        <w:t>Initial Expiration Date</w:t>
      </w:r>
      <w:r>
        <w:rPr>
          <w:rFonts w:ascii="Arial" w:cs="Arial" w:eastAsia="Arial" w:hAnsi="Arial"/>
          <w:sz w:val="21"/>
          <w:szCs w:val="21"/>
          <w:color w:val="auto"/>
        </w:rPr>
        <w:t xml:space="preserve">”); provided, however, that beginning on the Initial Expiration Date, and on each anniversary of the Initial Expiration Date thereafter, if Employee’s employment under this Agreement has not been terminated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Arial" w:cs="Arial" w:eastAsia="Arial" w:hAnsi="Arial"/>
          <w:sz w:val="21"/>
          <w:szCs w:val="21"/>
          <w:u w:val="single" w:color="auto"/>
          <w:color w:val="auto"/>
        </w:rPr>
        <w:t>Section 7</w:t>
      </w:r>
      <w:r>
        <w:rPr>
          <w:rFonts w:ascii="Arial" w:cs="Arial" w:eastAsia="Arial" w:hAnsi="Arial"/>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21"/>
          <w:szCs w:val="21"/>
          <w:b w:val="1"/>
          <w:bCs w:val="1"/>
          <w:u w:val="single" w:color="auto"/>
          <w:color w:val="auto"/>
        </w:rPr>
        <w:t>Employment Period</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656"/>
        <w:spacing w:after="0" w:line="293" w:lineRule="auto"/>
        <w:tabs>
          <w:tab w:leader="none" w:pos="1296" w:val="left"/>
        </w:tabs>
        <w:numPr>
          <w:ilvl w:val="0"/>
          <w:numId w:val="20"/>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47" w:name="page48"/>
    <w:bookmarkEnd w:id="47"/>
    <w:p>
      <w:pPr>
        <w:jc w:val="both"/>
        <w:ind w:firstLine="1304"/>
        <w:spacing w:after="0" w:line="247" w:lineRule="auto"/>
        <w:tabs>
          <w:tab w:leader="none" w:pos="1941" w:val="left"/>
        </w:tabs>
        <w:numPr>
          <w:ilvl w:val="1"/>
          <w:numId w:val="21"/>
        </w:numPr>
        <w:rPr>
          <w:rFonts w:ascii="Arial" w:cs="Arial" w:eastAsia="Arial" w:hAnsi="Arial"/>
          <w:sz w:val="22"/>
          <w:szCs w:val="22"/>
          <w:color w:val="auto"/>
        </w:rPr>
      </w:pPr>
      <w:r>
        <w:rPr>
          <w:rFonts w:ascii="Arial" w:cs="Arial" w:eastAsia="Arial" w:hAnsi="Arial"/>
          <w:sz w:val="22"/>
          <w:szCs w:val="22"/>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Arial" w:cs="Arial" w:eastAsia="Arial" w:hAnsi="Arial"/>
          <w:sz w:val="22"/>
          <w:szCs w:val="22"/>
          <w:u w:val="single" w:color="auto"/>
          <w:color w:val="auto"/>
        </w:rPr>
        <w:t>Section 6</w:t>
      </w:r>
      <w:r>
        <w:rPr>
          <w:rFonts w:ascii="Arial" w:cs="Arial" w:eastAsia="Arial" w:hAnsi="Arial"/>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Company shall reimburse Employee up to $5,000 for legal fees incurred in connection with the review</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21"/>
        </w:numPr>
        <w:rPr>
          <w:rFonts w:ascii="Arial" w:cs="Arial" w:eastAsia="Arial" w:hAnsi="Arial"/>
          <w:sz w:val="22"/>
          <w:szCs w:val="22"/>
          <w:color w:val="auto"/>
        </w:rPr>
      </w:pPr>
      <w:r>
        <w:rPr>
          <w:rFonts w:ascii="Arial" w:cs="Arial" w:eastAsia="Arial" w:hAnsi="Arial"/>
          <w:sz w:val="22"/>
          <w:szCs w:val="22"/>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85" w:lineRule="exact"/>
        <w:rPr>
          <w:rFonts w:ascii="Arial" w:cs="Arial" w:eastAsia="Arial" w:hAnsi="Arial"/>
          <w:sz w:val="22"/>
          <w:szCs w:val="22"/>
          <w:color w:val="auto"/>
        </w:rPr>
      </w:pPr>
    </w:p>
    <w:p>
      <w:pPr>
        <w:jc w:val="both"/>
        <w:ind w:firstLine="1304"/>
        <w:spacing w:after="0" w:line="288" w:lineRule="auto"/>
        <w:tabs>
          <w:tab w:leader="none" w:pos="1939" w:val="left"/>
        </w:tabs>
        <w:numPr>
          <w:ilvl w:val="1"/>
          <w:numId w:val="21"/>
        </w:numPr>
        <w:rPr>
          <w:rFonts w:ascii="Arial" w:cs="Arial" w:eastAsia="Arial" w:hAnsi="Arial"/>
          <w:sz w:val="19"/>
          <w:szCs w:val="19"/>
          <w:color w:val="auto"/>
        </w:rPr>
      </w:pPr>
      <w:r>
        <w:rPr>
          <w:rFonts w:ascii="Arial" w:cs="Arial" w:eastAsia="Arial" w:hAnsi="Arial"/>
          <w:sz w:val="19"/>
          <w:szCs w:val="19"/>
          <w:color w:val="auto"/>
        </w:rPr>
        <w:t>Subject to Section 21, in the event the Company relocates its principal corporate offices from Santa Clarita, California and Employee chooses to relocate from Employee’s current residence to a location mutually agreeable to Employee and the Company within twelve (12) months of the relocation of the principal corporate offices, then the Company shall reimburse Employee for reasonable relocation expenses in accordance with the California Resources Corporation Domestic Relocation Program, so long as Employee submits all documentation for such reimbursement within thirty (30) days following the date the applicable expense is incurred by Employee, as required by Company policy in effect from time to time. Any reimbursement of expenses described in the first sentence of this subparagraph shall be made by the Company upon or as soon as practicable following receipt of supporting documentation (but in any event not later than March 15 following the calendar year in which the related expense is incurred by Employee); provided, however, that in no event shall any reimbursement be made to Employee for any expenses incurred after the date of Employee’s termination of employment with the Company.</w:t>
      </w:r>
    </w:p>
    <w:p>
      <w:pPr>
        <w:spacing w:after="0" w:line="153" w:lineRule="exact"/>
        <w:rPr>
          <w:rFonts w:ascii="Arial" w:cs="Arial" w:eastAsia="Arial" w:hAnsi="Arial"/>
          <w:sz w:val="19"/>
          <w:szCs w:val="19"/>
          <w:color w:val="auto"/>
        </w:rPr>
      </w:pPr>
    </w:p>
    <w:p>
      <w:pPr>
        <w:ind w:left="1300" w:hanging="644"/>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2"/>
          <w:numId w:val="22"/>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219" w:lineRule="exact"/>
        <w:rPr>
          <w:rFonts w:ascii="Arial" w:cs="Arial" w:eastAsia="Arial" w:hAnsi="Arial"/>
          <w:sz w:val="22"/>
          <w:szCs w:val="22"/>
          <w:color w:val="auto"/>
        </w:rPr>
      </w:pPr>
    </w:p>
    <w:p>
      <w:pPr>
        <w:jc w:val="both"/>
        <w:ind w:left="660" w:right="20" w:firstLine="1292"/>
        <w:spacing w:after="0" w:line="253" w:lineRule="auto"/>
        <w:tabs>
          <w:tab w:leader="none" w:pos="2598" w:val="left"/>
        </w:tabs>
        <w:numPr>
          <w:ilvl w:val="2"/>
          <w:numId w:val="22"/>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8" w:name="page49"/>
    <w:bookmarkEnd w:id="48"/>
    <w:p>
      <w:pPr>
        <w:jc w:val="both"/>
        <w:ind w:left="660" w:firstLine="1292"/>
        <w:spacing w:after="0" w:line="253" w:lineRule="auto"/>
        <w:tabs>
          <w:tab w:leader="none" w:pos="2604" w:val="left"/>
        </w:tabs>
        <w:numPr>
          <w:ilvl w:val="0"/>
          <w:numId w:val="23"/>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85" w:lineRule="exact"/>
        <w:rPr>
          <w:rFonts w:ascii="Arial" w:cs="Arial" w:eastAsia="Arial" w:hAnsi="Arial"/>
          <w:sz w:val="22"/>
          <w:szCs w:val="22"/>
          <w:color w:val="auto"/>
        </w:rPr>
      </w:pPr>
    </w:p>
    <w:p>
      <w:pPr>
        <w:jc w:val="both"/>
        <w:ind w:left="660" w:firstLine="1292"/>
        <w:spacing w:after="0" w:line="271" w:lineRule="auto"/>
        <w:tabs>
          <w:tab w:leader="none" w:pos="2592" w:val="left"/>
        </w:tabs>
        <w:numPr>
          <w:ilvl w:val="0"/>
          <w:numId w:val="23"/>
        </w:numPr>
        <w:rPr>
          <w:rFonts w:ascii="Arial" w:cs="Arial" w:eastAsia="Arial" w:hAnsi="Arial"/>
          <w:sz w:val="21"/>
          <w:szCs w:val="21"/>
          <w:color w:val="auto"/>
        </w:rPr>
      </w:pPr>
      <w:r>
        <w:rPr>
          <w:rFonts w:ascii="Arial" w:cs="Arial" w:eastAsia="Arial" w:hAnsi="Arial"/>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67" w:lineRule="exact"/>
        <w:rPr>
          <w:rFonts w:ascii="Arial" w:cs="Arial" w:eastAsia="Arial" w:hAnsi="Arial"/>
          <w:sz w:val="21"/>
          <w:szCs w:val="21"/>
          <w:color w:val="auto"/>
        </w:rPr>
      </w:pPr>
    </w:p>
    <w:p>
      <w:pPr>
        <w:jc w:val="both"/>
        <w:ind w:left="660" w:firstLine="1292"/>
        <w:spacing w:after="0" w:line="253" w:lineRule="auto"/>
        <w:tabs>
          <w:tab w:leader="none" w:pos="2599" w:val="left"/>
        </w:tabs>
        <w:numPr>
          <w:ilvl w:val="0"/>
          <w:numId w:val="23"/>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(collectively, the “</w:t>
      </w:r>
      <w:r>
        <w:rPr>
          <w:rFonts w:ascii="Arial" w:cs="Arial" w:eastAsia="Arial" w:hAnsi="Arial"/>
          <w:sz w:val="19"/>
          <w:szCs w:val="19"/>
          <w:b w:val="1"/>
          <w:bCs w:val="1"/>
          <w:u w:val="single" w:color="auto"/>
          <w:color w:val="auto"/>
        </w:rPr>
        <w:t>Accrued Benefits</w:t>
      </w:r>
      <w:r>
        <w:rPr>
          <w:rFonts w:ascii="Arial" w:cs="Arial" w:eastAsia="Arial" w:hAnsi="Arial"/>
          <w:sz w:val="19"/>
          <w:szCs w:val="19"/>
          <w:color w:val="auto"/>
        </w:rPr>
        <w:t xml:space="preserve">”). In addition, subject to any limitation under applicable law, previously paid compensation pursuant to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of a termination of Employee’s employment for Cause.</w:t>
      </w:r>
    </w:p>
    <w:p>
      <w:pPr>
        <w:spacing w:after="0" w:line="163" w:lineRule="exact"/>
        <w:rPr>
          <w:sz w:val="20"/>
          <w:szCs w:val="20"/>
          <w:color w:val="auto"/>
        </w:rPr>
      </w:pPr>
    </w:p>
    <w:p>
      <w:pPr>
        <w:jc w:val="both"/>
        <w:ind w:firstLine="1304"/>
        <w:spacing w:after="0" w:line="253" w:lineRule="auto"/>
        <w:tabs>
          <w:tab w:leader="none" w:pos="1939"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1"/>
          <w:numId w:val="24"/>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201" w:lineRule="exact"/>
        <w:rPr>
          <w:rFonts w:ascii="Arial" w:cs="Arial" w:eastAsia="Arial" w:hAnsi="Arial"/>
          <w:sz w:val="21"/>
          <w:szCs w:val="21"/>
          <w:color w:val="auto"/>
        </w:rPr>
      </w:pPr>
    </w:p>
    <w:p>
      <w:pPr>
        <w:ind w:left="2600" w:hanging="648"/>
        <w:spacing w:after="0"/>
        <w:tabs>
          <w:tab w:leader="none" w:pos="2600"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49" w:name="page50"/>
    <w:bookmarkEnd w:id="49"/>
    <w:p>
      <w:pPr>
        <w:jc w:val="both"/>
        <w:ind w:left="660" w:firstLine="1292"/>
        <w:spacing w:after="0" w:line="250" w:lineRule="auto"/>
        <w:tabs>
          <w:tab w:leader="none" w:pos="2604"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(excluding, however, any relocation of Employee’s primary work location to a city in Los Angeles County, California where the Company maintains its principal corporate offices or within 25 miles of any such city); or</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142" w:lineRule="exact"/>
        <w:rPr>
          <w:sz w:val="20"/>
          <w:szCs w:val="20"/>
          <w:color w:val="auto"/>
        </w:rPr>
      </w:pPr>
    </w:p>
    <w:p>
      <w:pPr>
        <w:jc w:val="both"/>
        <w:ind w:firstLine="1304"/>
        <w:spacing w:after="0" w:line="286" w:lineRule="auto"/>
        <w:tabs>
          <w:tab w:leader="none" w:pos="193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58" w:lineRule="exact"/>
        <w:rPr>
          <w:rFonts w:ascii="Arial" w:cs="Arial" w:eastAsia="Arial" w:hAnsi="Arial"/>
          <w:sz w:val="19"/>
          <w:szCs w:val="19"/>
          <w:color w:val="auto"/>
        </w:rPr>
      </w:pPr>
    </w:p>
    <w:p>
      <w:pPr>
        <w:jc w:val="both"/>
        <w:ind w:firstLine="1304"/>
        <w:spacing w:after="0" w:line="294" w:lineRule="auto"/>
        <w:tabs>
          <w:tab w:leader="none" w:pos="1941"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Employee’s Right to Terminate for Convenience</w:t>
      </w:r>
      <w:r>
        <w:rPr>
          <w:rFonts w:ascii="Arial" w:cs="Arial" w:eastAsia="Arial" w:hAnsi="Arial"/>
          <w:sz w:val="19"/>
          <w:szCs w:val="19"/>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22"/>
          <w:szCs w:val="22"/>
          <w:color w:val="auto"/>
        </w:rPr>
        <w:t xml:space="preserve">Employee’s termination of employment nor be construed or interpreted as a termination of employment pursuant to </w:t>
      </w:r>
      <w:r>
        <w:rPr>
          <w:rFonts w:ascii="Arial" w:cs="Arial" w:eastAsia="Arial" w:hAnsi="Arial"/>
          <w:sz w:val="22"/>
          <w:szCs w:val="22"/>
          <w:u w:val="single" w:color="auto"/>
          <w:color w:val="auto"/>
        </w:rPr>
        <w:t>Section 7(b)</w:t>
      </w:r>
      <w:r>
        <w:rPr>
          <w:rFonts w:ascii="Arial" w:cs="Arial" w:eastAsia="Arial" w:hAnsi="Arial"/>
          <w:sz w:val="22"/>
          <w:szCs w:val="22"/>
          <w:color w:val="auto"/>
        </w:rPr>
        <w:t xml:space="preserve">). Upon the termination of Employee’s employment pursuant to this </w:t>
      </w:r>
      <w:r>
        <w:rPr>
          <w:rFonts w:ascii="Arial" w:cs="Arial" w:eastAsia="Arial" w:hAnsi="Arial"/>
          <w:sz w:val="22"/>
          <w:szCs w:val="22"/>
          <w:u w:val="single" w:color="auto"/>
          <w:color w:val="auto"/>
        </w:rPr>
        <w:t>Section 7(e)</w:t>
      </w:r>
      <w:r>
        <w:rPr>
          <w:rFonts w:ascii="Arial" w:cs="Arial" w:eastAsia="Arial" w:hAnsi="Arial"/>
          <w:sz w:val="22"/>
          <w:szCs w:val="22"/>
          <w:color w:val="auto"/>
        </w:rPr>
        <w:t xml:space="preserve"> or at the expiration of the term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w:t>
      </w:r>
      <w:r>
        <w:rPr>
          <w:rFonts w:ascii="Arial" w:cs="Arial" w:eastAsia="Arial" w:hAnsi="Arial"/>
          <w:sz w:val="22"/>
          <w:szCs w:val="22"/>
          <w:color w:val="auto"/>
        </w:rPr>
        <w:t xml:space="preserve"> because Employee provided written notice of non-renewal to the Company, then the Company shall pay to Employee the Accrued Benefits.</w:t>
      </w:r>
    </w:p>
    <w:p>
      <w:pPr>
        <w:spacing w:after="0" w:line="188"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1"/>
          <w:szCs w:val="21"/>
          <w:color w:val="auto"/>
        </w:rPr>
        <w:t>(f)</w:t>
      </w:r>
      <w:r>
        <w:rPr>
          <w:sz w:val="20"/>
          <w:szCs w:val="20"/>
          <w:color w:val="auto"/>
        </w:rPr>
        <w:tab/>
      </w:r>
      <w:r>
        <w:rPr>
          <w:rFonts w:ascii="Arial" w:cs="Arial" w:eastAsia="Arial" w:hAnsi="Arial"/>
          <w:sz w:val="21"/>
          <w:szCs w:val="21"/>
          <w:u w:val="single" w:color="auto"/>
          <w:color w:val="auto"/>
        </w:rPr>
        <w:t>Effect of Termination of Employment without Cause, for Good Reason or for Non-Renewal by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2" w:lineRule="exact"/>
        <w:rPr>
          <w:sz w:val="20"/>
          <w:szCs w:val="20"/>
          <w:color w:val="auto"/>
        </w:rPr>
      </w:pPr>
    </w:p>
    <w:p>
      <w:pPr>
        <w:jc w:val="both"/>
        <w:ind w:left="660" w:firstLine="1292"/>
        <w:spacing w:after="0" w:line="286" w:lineRule="auto"/>
        <w:tabs>
          <w:tab w:leader="none" w:pos="25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If Employee’s employment is terminated at the expiration of the term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because the Company provided written notice of non-renewal to Employee, or prior to the expiration of such term by the Company without Cause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or by Employee for Good Reason pursuant to </w:t>
      </w:r>
      <w:r>
        <w:rPr>
          <w:rFonts w:ascii="Arial" w:cs="Arial" w:eastAsia="Arial" w:hAnsi="Arial"/>
          <w:sz w:val="19"/>
          <w:szCs w:val="19"/>
          <w:u w:val="single" w:color="auto"/>
          <w:color w:val="auto"/>
        </w:rPr>
        <w:t>Section 7(c)</w:t>
      </w:r>
      <w:r>
        <w:rPr>
          <w:rFonts w:ascii="Arial" w:cs="Arial" w:eastAsia="Arial" w:hAnsi="Arial"/>
          <w:sz w:val="19"/>
          <w:szCs w:val="19"/>
          <w:color w:val="auto"/>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and (y) abides by the terms of each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then:</w:t>
      </w:r>
    </w:p>
    <w:p>
      <w:pPr>
        <w:spacing w:after="0" w:line="158" w:lineRule="exact"/>
        <w:rPr>
          <w:rFonts w:ascii="Arial" w:cs="Arial" w:eastAsia="Arial" w:hAnsi="Arial"/>
          <w:sz w:val="19"/>
          <w:szCs w:val="19"/>
          <w:color w:val="auto"/>
        </w:rPr>
      </w:pPr>
    </w:p>
    <w:p>
      <w:pPr>
        <w:jc w:val="both"/>
        <w:ind w:left="1300" w:firstLine="1300"/>
        <w:spacing w:after="0" w:line="288" w:lineRule="auto"/>
        <w:tabs>
          <w:tab w:leader="none" w:pos="3326"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The Company shall make severance payments to Employee in a total amount equal to eighteen (18) months’ worth of Employee’s Base Salary for the year in which such termination occurs (such total severance payments being referred to as the “</w:t>
      </w:r>
      <w:r>
        <w:rPr>
          <w:rFonts w:ascii="Arial" w:cs="Arial" w:eastAsia="Arial" w:hAnsi="Arial"/>
          <w:sz w:val="19"/>
          <w:szCs w:val="19"/>
          <w:b w:val="1"/>
          <w:bCs w:val="1"/>
          <w:u w:val="single" w:color="auto"/>
          <w:color w:val="auto"/>
        </w:rPr>
        <w:t>Severance Payment</w:t>
      </w:r>
      <w:r>
        <w:rPr>
          <w:rFonts w:ascii="Arial" w:cs="Arial" w:eastAsia="Arial" w:hAnsi="Arial"/>
          <w:sz w:val="19"/>
          <w:szCs w:val="19"/>
          <w:color w:val="auto"/>
        </w:rPr>
        <w:t>”). The Severance Payment will be divided into substantially equal installments paid over the eighteen (18)-month period following the date on which Employee’s employment terminates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1" w:name="page52"/>
    <w:bookmarkEnd w:id="51"/>
    <w:p>
      <w:pPr>
        <w:jc w:val="both"/>
        <w:ind w:left="180"/>
        <w:spacing w:after="0" w:line="287" w:lineRule="auto"/>
        <w:rPr>
          <w:sz w:val="20"/>
          <w:szCs w:val="20"/>
          <w:color w:val="auto"/>
        </w:rPr>
      </w:pPr>
      <w:r>
        <w:rPr>
          <w:rFonts w:ascii="Arial" w:cs="Arial" w:eastAsia="Arial" w:hAnsi="Arial"/>
          <w:sz w:val="19"/>
          <w:szCs w:val="19"/>
          <w:color w:val="auto"/>
        </w:rPr>
        <w:t xml:space="preserve">Company’s regularly scheduled pay dates during the remainder of such eighteen (18)-month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to the extent, if any, that the aggregate amount of the installments of the Severance Payment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except a Saturday, Sunday or other day on which commercial banks in San Francisco, California, are authorized or required by law to be closed.</w:t>
      </w:r>
    </w:p>
    <w:p>
      <w:pPr>
        <w:spacing w:after="0" w:line="163" w:lineRule="exact"/>
        <w:rPr>
          <w:sz w:val="20"/>
          <w:szCs w:val="20"/>
          <w:color w:val="auto"/>
        </w:rPr>
      </w:pPr>
    </w:p>
    <w:p>
      <w:pPr>
        <w:jc w:val="both"/>
        <w:ind w:left="180" w:firstLine="1300"/>
        <w:spacing w:after="0" w:line="291" w:lineRule="auto"/>
        <w:tabs>
          <w:tab w:leader="none" w:pos="2115"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Company shall pay Employee an amount equal to one (1) times Employee’s target Annual Bonus for the Bonus Year (one and one-half (1.5) times, if such termination occurs upon or within the one</w:t>
      </w:r>
    </w:p>
    <w:p>
      <w:pPr>
        <w:spacing w:after="0" w:line="1" w:lineRule="exact"/>
        <w:rPr>
          <w:rFonts w:ascii="Arial" w:cs="Arial" w:eastAsia="Arial" w:hAnsi="Arial"/>
          <w:sz w:val="19"/>
          <w:szCs w:val="19"/>
          <w:color w:val="auto"/>
        </w:rPr>
      </w:pPr>
    </w:p>
    <w:p>
      <w:pPr>
        <w:jc w:val="both"/>
        <w:ind w:left="180"/>
        <w:spacing w:after="0" w:line="288" w:lineRule="auto"/>
        <w:rPr>
          <w:rFonts w:ascii="Arial" w:cs="Arial" w:eastAsia="Arial" w:hAnsi="Arial"/>
          <w:sz w:val="19"/>
          <w:szCs w:val="19"/>
          <w:color w:val="auto"/>
        </w:rPr>
      </w:pPr>
      <w:r>
        <w:rPr>
          <w:rFonts w:ascii="Arial" w:cs="Arial" w:eastAsia="Arial" w:hAnsi="Arial"/>
          <w:sz w:val="19"/>
          <w:szCs w:val="19"/>
          <w:color w:val="auto"/>
        </w:rPr>
        <w:t>(1)-year period following a Change in Control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 in which the Termination Date occurs, which amount shall be paid on the First Payment Date, but in no event later than March 15 of the calendar year following the calendar year in which the Termination Date occurs.</w:t>
      </w:r>
    </w:p>
    <w:p>
      <w:pPr>
        <w:spacing w:after="0" w:line="158" w:lineRule="exact"/>
        <w:rPr>
          <w:rFonts w:ascii="Arial" w:cs="Arial" w:eastAsia="Arial" w:hAnsi="Arial"/>
          <w:sz w:val="19"/>
          <w:szCs w:val="19"/>
          <w:color w:val="auto"/>
        </w:rPr>
      </w:pPr>
    </w:p>
    <w:p>
      <w:pPr>
        <w:jc w:val="both"/>
        <w:ind w:left="180" w:firstLine="1300"/>
        <w:spacing w:after="0" w:line="288" w:lineRule="auto"/>
        <w:tabs>
          <w:tab w:leader="none" w:pos="2115" w:val="left"/>
        </w:tabs>
        <w:numPr>
          <w:ilvl w:val="0"/>
          <w:numId w:val="28"/>
        </w:numPr>
        <w:rPr>
          <w:rFonts w:ascii="Arial" w:cs="Arial" w:eastAsia="Arial" w:hAnsi="Arial"/>
          <w:sz w:val="19"/>
          <w:szCs w:val="19"/>
          <w:color w:val="auto"/>
        </w:rPr>
      </w:pPr>
      <w:r>
        <w:rPr>
          <w:rFonts w:ascii="Arial" w:cs="Arial" w:eastAsia="Arial" w:hAnsi="Arial"/>
          <w:sz w:val="19"/>
          <w:szCs w:val="19"/>
          <w:color w:val="auto"/>
        </w:rPr>
        <w:t>During the portion, if any, of the eighteen (18)-month period following the Termination Date (the “</w:t>
      </w:r>
      <w:r>
        <w:rPr>
          <w:rFonts w:ascii="Arial" w:cs="Arial" w:eastAsia="Arial" w:hAnsi="Arial"/>
          <w:sz w:val="19"/>
          <w:szCs w:val="19"/>
          <w:b w:val="1"/>
          <w:bCs w:val="1"/>
          <w:u w:val="single" w:color="auto"/>
          <w:color w:val="auto"/>
        </w:rPr>
        <w:t>Reimbursement Period</w:t>
      </w:r>
      <w:r>
        <w:rPr>
          <w:rFonts w:ascii="Arial" w:cs="Arial" w:eastAsia="Arial" w:hAnsi="Arial"/>
          <w:sz w:val="19"/>
          <w:szCs w:val="19"/>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19"/>
          <w:szCs w:val="19"/>
          <w:b w:val="1"/>
          <w:bCs w:val="1"/>
          <w:u w:val="single" w:color="auto"/>
          <w:color w:val="auto"/>
        </w:rPr>
        <w:t>COBRA</w:t>
      </w:r>
      <w:r>
        <w:rPr>
          <w:rFonts w:ascii="Arial" w:cs="Arial" w:eastAsia="Arial" w:hAnsi="Arial"/>
          <w:sz w:val="19"/>
          <w:szCs w:val="19"/>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Arial" w:cs="Arial" w:eastAsia="Arial" w:hAnsi="Arial"/>
          <w:sz w:val="19"/>
          <w:szCs w:val="19"/>
          <w:b w:val="1"/>
          <w:bCs w:val="1"/>
          <w:u w:val="single" w:color="auto"/>
          <w:color w:val="auto"/>
        </w:rPr>
        <w:t>COBRA Benefit</w:t>
      </w:r>
      <w:r>
        <w:rPr>
          <w:rFonts w:ascii="Arial" w:cs="Arial" w:eastAsia="Arial" w:hAnsi="Arial"/>
          <w:sz w:val="19"/>
          <w:szCs w:val="19"/>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8" w:right="339" w:bottom="1440" w:gutter="0" w:footer="0" w:header="0"/>
        </w:sectPr>
      </w:pPr>
    </w:p>
    <w:bookmarkStart w:id="52" w:name="page53"/>
    <w:bookmarkEnd w:id="52"/>
    <w:p>
      <w:pPr>
        <w:jc w:val="both"/>
        <w:ind w:left="640"/>
        <w:spacing w:after="0" w:line="286" w:lineRule="auto"/>
        <w:rPr>
          <w:sz w:val="20"/>
          <w:szCs w:val="20"/>
          <w:color w:val="auto"/>
        </w:rPr>
      </w:pPr>
      <w:r>
        <w:rPr>
          <w:rFonts w:ascii="Arial" w:cs="Arial" w:eastAsia="Arial" w:hAnsi="Arial"/>
          <w:sz w:val="19"/>
          <w:szCs w:val="19"/>
          <w:color w:val="auto"/>
        </w:rPr>
        <w:t>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166" w:lineRule="exact"/>
        <w:rPr>
          <w:sz w:val="20"/>
          <w:szCs w:val="20"/>
          <w:color w:val="auto"/>
        </w:rPr>
      </w:pPr>
    </w:p>
    <w:p>
      <w:pPr>
        <w:jc w:val="both"/>
        <w:ind w:left="640" w:firstLine="1300"/>
        <w:spacing w:after="0" w:line="246" w:lineRule="auto"/>
        <w:tabs>
          <w:tab w:leader="none" w:pos="2573" w:val="left"/>
        </w:tabs>
        <w:numPr>
          <w:ilvl w:val="0"/>
          <w:numId w:val="29"/>
        </w:numPr>
        <w:rPr>
          <w:rFonts w:ascii="Arial" w:cs="Arial" w:eastAsia="Arial" w:hAnsi="Arial"/>
          <w:sz w:val="22"/>
          <w:szCs w:val="22"/>
          <w:color w:val="auto"/>
        </w:rPr>
      </w:pPr>
      <w:r>
        <w:rPr>
          <w:rFonts w:ascii="Arial" w:cs="Arial" w:eastAsia="Arial" w:hAnsi="Arial"/>
          <w:sz w:val="22"/>
          <w:szCs w:val="22"/>
          <w:color w:val="auto"/>
        </w:rPr>
        <w:t>One-hundred percent (100%) of the Initial RSUs shall immediately become nonforfeitable, and, notwithstanding anything to the contrary in the award agreement evidencing the grant of the Initial PSUs, one-hundred percent (100%) of the Initial PSUs shall become “Vested PS Units” (as such term is defined in the award agreement evidencing the grant of the Initial PSUs), shall remain outstanding only until the earlier of the date that is six months after the Termination Date or the last day of the applicable performance period, and shall be eligible to become earned based on the level of achievement of the applicable performance goal only through such earlier date.</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payments and benefits described in clauses (A), (B), (C) and (D)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175" w:lineRule="exact"/>
        <w:rPr>
          <w:sz w:val="20"/>
          <w:szCs w:val="20"/>
          <w:color w:val="auto"/>
        </w:rPr>
      </w:pPr>
    </w:p>
    <w:p>
      <w:pPr>
        <w:jc w:val="both"/>
        <w:ind w:firstLine="1292"/>
        <w:spacing w:after="0" w:line="246" w:lineRule="auto"/>
        <w:tabs>
          <w:tab w:leader="none" w:pos="1938"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22"/>
          <w:szCs w:val="22"/>
          <w:b w:val="1"/>
          <w:bCs w:val="1"/>
          <w:u w:val="single" w:color="auto"/>
          <w:color w:val="auto"/>
        </w:rPr>
        <w:t>Release Expiration Date</w:t>
      </w:r>
      <w:r>
        <w:rPr>
          <w:rFonts w:ascii="Arial" w:cs="Arial" w:eastAsia="Arial" w:hAnsi="Arial"/>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28" w:right="339" w:bottom="1440" w:gutter="0" w:footer="0" w:header="0"/>
        </w:sectPr>
      </w:pPr>
    </w:p>
    <w:bookmarkStart w:id="53" w:name="page54"/>
    <w:bookmarkEnd w:id="53"/>
    <w:p>
      <w:pPr>
        <w:jc w:val="both"/>
        <w:ind w:firstLine="1304"/>
        <w:spacing w:after="0" w:line="287" w:lineRule="auto"/>
        <w:tabs>
          <w:tab w:leader="none" w:pos="1939"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656"/>
        <w:spacing w:after="0" w:line="262"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Disclosures</w:t>
      </w:r>
      <w:r>
        <w:rPr>
          <w:rFonts w:ascii="Arial" w:cs="Arial" w:eastAsia="Arial" w:hAnsi="Arial"/>
          <w:sz w:val="21"/>
          <w:szCs w:val="21"/>
          <w:color w:val="auto"/>
        </w:rPr>
        <w:t>. Promptly (and in any event, within three (3) Business Days) upon becoming aware of (a) any actual</w:t>
      </w:r>
      <w:r>
        <w:rPr>
          <w:rFonts w:ascii="Arial" w:cs="Arial" w:eastAsia="Arial" w:hAnsi="Arial"/>
          <w:sz w:val="21"/>
          <w:szCs w:val="21"/>
          <w:b w:val="1"/>
          <w:bCs w:val="1"/>
          <w:color w:val="auto"/>
        </w:rPr>
        <w:t xml:space="preserve"> </w:t>
      </w:r>
      <w:r>
        <w:rPr>
          <w:rFonts w:ascii="Arial" w:cs="Arial" w:eastAsia="Arial" w:hAnsi="Arial"/>
          <w:sz w:val="21"/>
          <w:szCs w:val="21"/>
          <w:color w:val="auto"/>
        </w:rPr>
        <w:t>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1"/>
          <w:szCs w:val="21"/>
          <w:b w:val="1"/>
          <w:bCs w:val="1"/>
          <w:u w:val="single" w:color="auto"/>
          <w:color w:val="auto"/>
        </w:rPr>
        <w:t>Conflict of Interest</w:t>
      </w:r>
      <w:r>
        <w:rPr>
          <w:rFonts w:ascii="Arial" w:cs="Arial" w:eastAsia="Arial" w:hAnsi="Arial"/>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3"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941"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50" w:lineRule="exact"/>
        <w:rPr>
          <w:rFonts w:ascii="Arial" w:cs="Arial" w:eastAsia="Arial" w:hAnsi="Arial"/>
          <w:sz w:val="19"/>
          <w:szCs w:val="19"/>
          <w:color w:val="auto"/>
        </w:rPr>
      </w:pPr>
    </w:p>
    <w:p>
      <w:pPr>
        <w:ind w:right="20" w:firstLine="1304"/>
        <w:spacing w:after="0" w:line="263" w:lineRule="auto"/>
        <w:tabs>
          <w:tab w:leader="none" w:pos="1939"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54" w:name="page55"/>
    <w:bookmarkEnd w:id="54"/>
    <w:p>
      <w:pPr>
        <w:ind w:left="660" w:firstLine="1292"/>
        <w:spacing w:after="0" w:line="263" w:lineRule="auto"/>
        <w:tabs>
          <w:tab w:leader="none" w:pos="2592" w:val="left"/>
        </w:tabs>
        <w:numPr>
          <w:ilvl w:val="1"/>
          <w:numId w:val="33"/>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74" w:lineRule="exact"/>
        <w:rPr>
          <w:rFonts w:ascii="Arial" w:cs="Arial" w:eastAsia="Arial" w:hAnsi="Arial"/>
          <w:sz w:val="22"/>
          <w:szCs w:val="22"/>
          <w:color w:val="auto"/>
        </w:rPr>
      </w:pPr>
    </w:p>
    <w:p>
      <w:pPr>
        <w:jc w:val="both"/>
        <w:ind w:left="660" w:firstLine="1292"/>
        <w:spacing w:after="0" w:line="253" w:lineRule="auto"/>
        <w:tabs>
          <w:tab w:leader="none" w:pos="2598" w:val="left"/>
        </w:tabs>
        <w:numPr>
          <w:ilvl w:val="1"/>
          <w:numId w:val="33"/>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1"/>
          <w:numId w:val="33"/>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1"/>
          <w:numId w:val="33"/>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941" w:val="left"/>
        </w:tabs>
        <w:numPr>
          <w:ilvl w:val="0"/>
          <w:numId w:val="34"/>
        </w:numPr>
        <w:rPr>
          <w:rFonts w:ascii="Arial" w:cs="Arial" w:eastAsia="Arial" w:hAnsi="Arial"/>
          <w:sz w:val="21"/>
          <w:szCs w:val="21"/>
          <w:color w:val="auto"/>
        </w:rPr>
      </w:pPr>
      <w:r>
        <w:rPr>
          <w:rFonts w:ascii="Arial" w:cs="Arial" w:eastAsia="Arial" w:hAnsi="Arial"/>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Arial" w:cs="Arial" w:eastAsia="Arial" w:hAnsi="Arial"/>
          <w:sz w:val="21"/>
          <w:szCs w:val="21"/>
          <w:color w:val="auto"/>
        </w:rPr>
      </w:pPr>
    </w:p>
    <w:p>
      <w:pPr>
        <w:jc w:val="both"/>
        <w:ind w:firstLine="1304"/>
        <w:spacing w:after="0" w:line="286" w:lineRule="auto"/>
        <w:tabs>
          <w:tab w:leader="none" w:pos="1939" w:val="left"/>
        </w:tabs>
        <w:numPr>
          <w:ilvl w:val="0"/>
          <w:numId w:val="34"/>
        </w:numPr>
        <w:rPr>
          <w:rFonts w:ascii="Arial" w:cs="Arial" w:eastAsia="Arial" w:hAnsi="Arial"/>
          <w:sz w:val="19"/>
          <w:szCs w:val="19"/>
          <w:color w:val="auto"/>
        </w:rPr>
      </w:pPr>
      <w:r>
        <w:rPr>
          <w:rFonts w:ascii="Arial" w:cs="Arial" w:eastAsia="Arial" w:hAnsi="Arial"/>
          <w:sz w:val="19"/>
          <w:szCs w:val="19"/>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55" w:name="page56"/>
    <w:bookmarkEnd w:id="55"/>
    <w:p>
      <w:pPr>
        <w:jc w:val="both"/>
        <w:spacing w:after="0" w:line="297" w:lineRule="auto"/>
        <w:rPr>
          <w:sz w:val="20"/>
          <w:szCs w:val="20"/>
          <w:color w:val="auto"/>
        </w:rPr>
      </w:pPr>
      <w:r>
        <w:rPr>
          <w:rFonts w:ascii="Arial" w:cs="Arial" w:eastAsia="Arial" w:hAnsi="Arial"/>
          <w:sz w:val="19"/>
          <w:szCs w:val="19"/>
          <w:color w:val="auto"/>
        </w:rPr>
        <w:t xml:space="preserve">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source is not bound by a confidentiality agreement with, or other obligation with respect to confidentiality to, a member of the Company Group.</w:t>
      </w:r>
    </w:p>
    <w:p>
      <w:pPr>
        <w:spacing w:after="0" w:line="147" w:lineRule="exact"/>
        <w:rPr>
          <w:sz w:val="20"/>
          <w:szCs w:val="20"/>
          <w:color w:val="auto"/>
        </w:rPr>
      </w:pPr>
    </w:p>
    <w:p>
      <w:pPr>
        <w:jc w:val="both"/>
        <w:ind w:firstLine="1304"/>
        <w:spacing w:after="0" w:line="288" w:lineRule="auto"/>
        <w:tabs>
          <w:tab w:leader="none" w:pos="1941" w:val="left"/>
        </w:tabs>
        <w:numPr>
          <w:ilvl w:val="2"/>
          <w:numId w:val="35"/>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w:t>
      </w:r>
    </w:p>
    <w:p>
      <w:pPr>
        <w:jc w:val="both"/>
        <w:ind w:firstLine="8"/>
        <w:spacing w:after="0" w:line="286" w:lineRule="auto"/>
        <w:tabs>
          <w:tab w:leader="none" w:pos="356"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39" w:lineRule="exact"/>
        <w:rPr>
          <w:rFonts w:ascii="Arial" w:cs="Arial" w:eastAsia="Arial" w:hAnsi="Arial"/>
          <w:sz w:val="19"/>
          <w:szCs w:val="19"/>
          <w:color w:val="auto"/>
        </w:rPr>
      </w:pPr>
    </w:p>
    <w:p>
      <w:pPr>
        <w:ind w:left="1300" w:hanging="644"/>
        <w:spacing w:after="0"/>
        <w:tabs>
          <w:tab w:leader="none" w:pos="1300" w:val="left"/>
        </w:tabs>
        <w:numPr>
          <w:ilvl w:val="1"/>
          <w:numId w:val="36"/>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225" w:lineRule="exact"/>
        <w:rPr>
          <w:rFonts w:ascii="Arial" w:cs="Arial" w:eastAsia="Arial" w:hAnsi="Arial"/>
          <w:sz w:val="22"/>
          <w:szCs w:val="22"/>
          <w:color w:val="auto"/>
        </w:rPr>
      </w:pPr>
    </w:p>
    <w:p>
      <w:pPr>
        <w:jc w:val="both"/>
        <w:ind w:firstLine="1304"/>
        <w:spacing w:after="0" w:line="287" w:lineRule="auto"/>
        <w:tabs>
          <w:tab w:leader="none" w:pos="1941" w:val="left"/>
        </w:tabs>
        <w:numPr>
          <w:ilvl w:val="2"/>
          <w:numId w:val="36"/>
        </w:numPr>
        <w:rPr>
          <w:rFonts w:ascii="Arial" w:cs="Arial" w:eastAsia="Arial" w:hAnsi="Arial"/>
          <w:sz w:val="19"/>
          <w:szCs w:val="19"/>
          <w:color w:val="auto"/>
        </w:rPr>
      </w:pPr>
      <w:r>
        <w:rPr>
          <w:rFonts w:ascii="Arial" w:cs="Arial" w:eastAsia="Arial" w:hAnsi="Arial"/>
          <w:sz w:val="19"/>
          <w:szCs w:val="19"/>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Arial" w:cs="Arial" w:eastAsia="Arial" w:hAnsi="Arial"/>
          <w:sz w:val="19"/>
          <w:szCs w:val="19"/>
          <w:b w:val="1"/>
          <w:bCs w:val="1"/>
          <w:u w:val="single" w:color="auto"/>
          <w:color w:val="auto"/>
        </w:rPr>
        <w:t>Company Intellectual Property</w:t>
      </w:r>
      <w:r>
        <w:rPr>
          <w:rFonts w:ascii="Arial" w:cs="Arial" w:eastAsia="Arial" w:hAnsi="Arial"/>
          <w:sz w:val="19"/>
          <w:szCs w:val="19"/>
          <w:color w:val="auto"/>
        </w:rPr>
        <w:t>”), and Employee shall promptly disclose all Company Intellectual Property to the Company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56" w:name="page57"/>
    <w:bookmarkEnd w:id="56"/>
    <w:p>
      <w:pPr>
        <w:jc w:val="both"/>
        <w:spacing w:after="0" w:line="248" w:lineRule="auto"/>
        <w:rPr>
          <w:sz w:val="20"/>
          <w:szCs w:val="20"/>
          <w:color w:val="auto"/>
        </w:rPr>
      </w:pPr>
      <w:r>
        <w:rPr>
          <w:rFonts w:ascii="Arial" w:cs="Arial" w:eastAsia="Arial" w:hAnsi="Arial"/>
          <w:sz w:val="22"/>
          <w:szCs w:val="22"/>
          <w:color w:val="auto"/>
        </w:rPr>
        <w:t>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92" w:lineRule="exact"/>
        <w:rPr>
          <w:sz w:val="20"/>
          <w:szCs w:val="20"/>
          <w:color w:val="auto"/>
        </w:rPr>
      </w:pPr>
    </w:p>
    <w:p>
      <w:pPr>
        <w:jc w:val="both"/>
        <w:ind w:firstLine="1304"/>
        <w:spacing w:after="0" w:line="292" w:lineRule="auto"/>
        <w:tabs>
          <w:tab w:leader="none" w:pos="19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0" w:lineRule="exact"/>
        <w:rPr>
          <w:rFonts w:ascii="Arial" w:cs="Arial" w:eastAsia="Arial" w:hAnsi="Arial"/>
          <w:sz w:val="19"/>
          <w:szCs w:val="19"/>
          <w:color w:val="auto"/>
        </w:rPr>
      </w:pPr>
    </w:p>
    <w:p>
      <w:pPr>
        <w:jc w:val="both"/>
        <w:ind w:firstLine="1304"/>
        <w:spacing w:after="0" w:line="248" w:lineRule="auto"/>
        <w:tabs>
          <w:tab w:leader="none" w:pos="1941" w:val="left"/>
        </w:tabs>
        <w:numPr>
          <w:ilvl w:val="0"/>
          <w:numId w:val="37"/>
        </w:numPr>
        <w:rPr>
          <w:rFonts w:ascii="Arial" w:cs="Arial" w:eastAsia="Arial" w:hAnsi="Arial"/>
          <w:sz w:val="22"/>
          <w:szCs w:val="22"/>
          <w:color w:val="auto"/>
        </w:rPr>
      </w:pPr>
      <w:r>
        <w:rPr>
          <w:rFonts w:ascii="Arial" w:cs="Arial" w:eastAsia="Arial" w:hAnsi="Arial"/>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91" w:lineRule="exact"/>
        <w:rPr>
          <w:rFonts w:ascii="Arial" w:cs="Arial" w:eastAsia="Arial" w:hAnsi="Arial"/>
          <w:sz w:val="22"/>
          <w:szCs w:val="22"/>
          <w:color w:val="auto"/>
        </w:rPr>
      </w:pPr>
    </w:p>
    <w:p>
      <w:pPr>
        <w:jc w:val="both"/>
        <w:ind w:firstLine="1304"/>
        <w:spacing w:after="0" w:line="246" w:lineRule="auto"/>
        <w:tabs>
          <w:tab w:leader="none" w:pos="1939" w:val="left"/>
        </w:tabs>
        <w:numPr>
          <w:ilvl w:val="0"/>
          <w:numId w:val="37"/>
        </w:numPr>
        <w:rPr>
          <w:rFonts w:ascii="Arial" w:cs="Arial" w:eastAsia="Arial" w:hAnsi="Arial"/>
          <w:sz w:val="22"/>
          <w:szCs w:val="22"/>
          <w:color w:val="auto"/>
        </w:rPr>
      </w:pPr>
      <w:r>
        <w:rPr>
          <w:rFonts w:ascii="Arial" w:cs="Arial" w:eastAsia="Arial" w:hAnsi="Arial"/>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2"/>
          <w:szCs w:val="22"/>
          <w:b w:val="1"/>
          <w:bCs w:val="1"/>
          <w:u w:val="single" w:color="auto"/>
          <w:color w:val="auto"/>
        </w:rPr>
        <w:t>Moral Rights</w:t>
      </w:r>
      <w:r>
        <w:rPr>
          <w:rFonts w:ascii="Arial" w:cs="Arial" w:eastAsia="Arial" w:hAnsi="Arial"/>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96" w:lineRule="exact"/>
        <w:rPr>
          <w:rFonts w:ascii="Arial" w:cs="Arial" w:eastAsia="Arial" w:hAnsi="Arial"/>
          <w:sz w:val="22"/>
          <w:szCs w:val="22"/>
          <w:color w:val="auto"/>
        </w:rPr>
      </w:pPr>
    </w:p>
    <w:p>
      <w:pPr>
        <w:jc w:val="both"/>
        <w:ind w:firstLine="1304"/>
        <w:spacing w:after="0" w:line="290" w:lineRule="auto"/>
        <w:tabs>
          <w:tab w:leader="none" w:pos="1941"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Employee represents that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21"/>
          <w:szCs w:val="21"/>
          <w:color w:val="auto"/>
        </w:rPr>
        <w:t>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75" w:lineRule="exact"/>
        <w:rPr>
          <w:sz w:val="20"/>
          <w:szCs w:val="20"/>
          <w:color w:val="auto"/>
        </w:rPr>
      </w:pPr>
    </w:p>
    <w:p>
      <w:pPr>
        <w:jc w:val="both"/>
        <w:ind w:firstLine="1304"/>
        <w:spacing w:after="0" w:line="259" w:lineRule="auto"/>
        <w:tabs>
          <w:tab w:leader="none" w:pos="1944" w:val="left"/>
        </w:tabs>
        <w:numPr>
          <w:ilvl w:val="0"/>
          <w:numId w:val="38"/>
        </w:numPr>
        <w:rPr>
          <w:rFonts w:ascii="Arial" w:cs="Arial" w:eastAsia="Arial" w:hAnsi="Arial"/>
          <w:sz w:val="21"/>
          <w:szCs w:val="21"/>
          <w:color w:val="auto"/>
        </w:rPr>
      </w:pPr>
      <w:r>
        <w:rPr>
          <w:rFonts w:ascii="Arial" w:cs="Arial" w:eastAsia="Arial" w:hAnsi="Arial"/>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9" w:lineRule="exact"/>
        <w:rPr>
          <w:rFonts w:ascii="Arial" w:cs="Arial" w:eastAsia="Arial" w:hAnsi="Arial"/>
          <w:sz w:val="21"/>
          <w:szCs w:val="21"/>
          <w:color w:val="auto"/>
        </w:rPr>
      </w:pPr>
    </w:p>
    <w:p>
      <w:pPr>
        <w:jc w:val="both"/>
        <w:ind w:firstLine="1304"/>
        <w:spacing w:after="0" w:line="287" w:lineRule="auto"/>
        <w:tabs>
          <w:tab w:leader="none" w:pos="19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58" w:lineRule="exact"/>
        <w:rPr>
          <w:rFonts w:ascii="Arial" w:cs="Arial" w:eastAsia="Arial" w:hAnsi="Arial"/>
          <w:sz w:val="19"/>
          <w:szCs w:val="19"/>
          <w:color w:val="auto"/>
        </w:rPr>
      </w:pPr>
    </w:p>
    <w:p>
      <w:pPr>
        <w:jc w:val="both"/>
        <w:ind w:firstLine="1304"/>
        <w:spacing w:after="0" w:line="294" w:lineRule="auto"/>
        <w:tabs>
          <w:tab w:leader="none" w:pos="1939"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58" w:name="page59"/>
    <w:bookmarkEnd w:id="58"/>
    <w:p>
      <w:pPr>
        <w:jc w:val="both"/>
        <w:spacing w:after="0" w:line="250" w:lineRule="auto"/>
        <w:rPr>
          <w:sz w:val="20"/>
          <w:szCs w:val="20"/>
          <w:color w:val="auto"/>
        </w:rPr>
      </w:pPr>
      <w:r>
        <w:rPr>
          <w:rFonts w:ascii="Arial" w:cs="Arial" w:eastAsia="Arial" w:hAnsi="Arial"/>
          <w:sz w:val="22"/>
          <w:szCs w:val="22"/>
          <w:color w:val="auto"/>
        </w:rPr>
        <w:t>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88" w:lineRule="exact"/>
        <w:rPr>
          <w:sz w:val="20"/>
          <w:szCs w:val="20"/>
          <w:color w:val="auto"/>
        </w:rPr>
      </w:pPr>
    </w:p>
    <w:p>
      <w:pPr>
        <w:jc w:val="both"/>
        <w:ind w:firstLine="1304"/>
        <w:spacing w:after="0" w:line="286" w:lineRule="auto"/>
        <w:tabs>
          <w:tab w:leader="none" w:pos="1932"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Arial" w:cs="Arial" w:eastAsia="Arial" w:hAnsi="Arial"/>
          <w:sz w:val="19"/>
          <w:szCs w:val="19"/>
          <w:b w:val="1"/>
          <w:bCs w:val="1"/>
          <w:u w:val="single" w:color="auto"/>
          <w:color w:val="auto"/>
        </w:rPr>
        <w:t>Other Invention</w:t>
      </w:r>
      <w:r>
        <w:rPr>
          <w:rFonts w:ascii="Arial" w:cs="Arial" w:eastAsia="Arial" w:hAnsi="Arial"/>
          <w:sz w:val="19"/>
          <w:szCs w:val="19"/>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398" w:lineRule="exact"/>
        <w:rPr>
          <w:rFonts w:ascii="Arial" w:cs="Arial" w:eastAsia="Arial" w:hAnsi="Arial"/>
          <w:sz w:val="19"/>
          <w:szCs w:val="19"/>
          <w:color w:val="auto"/>
        </w:rPr>
      </w:pPr>
    </w:p>
    <w:p>
      <w:pPr>
        <w:jc w:val="both"/>
        <w:ind w:firstLine="656"/>
        <w:spacing w:after="0" w:line="243" w:lineRule="auto"/>
        <w:tabs>
          <w:tab w:leader="none" w:pos="1288" w:val="left"/>
        </w:tabs>
        <w:numPr>
          <w:ilvl w:val="0"/>
          <w:numId w:val="40"/>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cooperate with the Company Group in the defense of any claims or actions that may be made by or against any member of the Company Group that relate to Employee’s actual or prior areas of responsibility.</w:t>
      </w:r>
    </w:p>
    <w:p>
      <w:pPr>
        <w:spacing w:after="0" w:line="176"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40"/>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 Deductions</w:t>
      </w:r>
      <w:r>
        <w:rPr>
          <w:rFonts w:ascii="Arial" w:cs="Arial" w:eastAsia="Arial" w:hAnsi="Arial"/>
          <w:sz w:val="21"/>
          <w:szCs w:val="21"/>
          <w:color w:val="auto"/>
        </w:rPr>
        <w:t>. The Company may withhold and deduct from any benefits and payments made or to</w:t>
      </w:r>
      <w:r>
        <w:rPr>
          <w:rFonts w:ascii="Arial" w:cs="Arial" w:eastAsia="Arial" w:hAnsi="Arial"/>
          <w:sz w:val="21"/>
          <w:szCs w:val="21"/>
          <w:b w:val="1"/>
          <w:bCs w:val="1"/>
          <w:color w:val="auto"/>
        </w:rPr>
        <w:t xml:space="preserve"> </w:t>
      </w:r>
      <w:r>
        <w:rPr>
          <w:rFonts w:ascii="Arial" w:cs="Arial" w:eastAsia="Arial" w:hAnsi="Arial"/>
          <w:sz w:val="21"/>
          <w:szCs w:val="21"/>
          <w:color w:val="auto"/>
        </w:rPr>
        <w:t>be made pursuant to this Agreement (a) all federal, state, local and other taxes as may be required pursuant to any law or governmental regulation or ruling and (b) any deductions consented to in writing by Employee.</w:t>
      </w:r>
    </w:p>
    <w:p>
      <w:pPr>
        <w:spacing w:after="0" w:line="160" w:lineRule="exact"/>
        <w:rPr>
          <w:rFonts w:ascii="Arial" w:cs="Arial" w:eastAsia="Arial" w:hAnsi="Arial"/>
          <w:sz w:val="21"/>
          <w:szCs w:val="21"/>
          <w:color w:val="auto"/>
        </w:rPr>
      </w:pPr>
    </w:p>
    <w:p>
      <w:pPr>
        <w:jc w:val="both"/>
        <w:ind w:firstLine="656"/>
        <w:spacing w:after="0" w:line="278" w:lineRule="auto"/>
        <w:tabs>
          <w:tab w:leader="none" w:pos="1296" w:val="left"/>
        </w:tabs>
        <w:numPr>
          <w:ilvl w:val="0"/>
          <w:numId w:val="40"/>
        </w:numPr>
        <w:rPr>
          <w:rFonts w:ascii="Arial" w:cs="Arial" w:eastAsia="Arial" w:hAnsi="Arial"/>
          <w:sz w:val="19"/>
          <w:szCs w:val="19"/>
          <w:color w:val="auto"/>
        </w:rPr>
      </w:pPr>
      <w:r>
        <w:rPr>
          <w:rFonts w:ascii="Arial" w:cs="Arial" w:eastAsia="Arial" w:hAnsi="Arial"/>
          <w:sz w:val="19"/>
          <w:szCs w:val="19"/>
          <w:b w:val="1"/>
          <w:bCs w:val="1"/>
          <w:u w:val="single" w:color="auto"/>
          <w:color w:val="auto"/>
        </w:rPr>
        <w:t>Title and Headings; Construction</w:t>
      </w:r>
      <w:r>
        <w:rPr>
          <w:rFonts w:ascii="Arial" w:cs="Arial" w:eastAsia="Arial" w:hAnsi="Arial"/>
          <w:sz w:val="19"/>
          <w:szCs w:val="19"/>
          <w:color w:val="auto"/>
        </w:rPr>
        <w:t>. Titles and headings to Sections hereof are for the purpose of reference only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59" w:name="page60"/>
    <w:bookmarkEnd w:id="59"/>
    <w:p>
      <w:pPr>
        <w:jc w:val="both"/>
        <w:spacing w:after="0" w:line="234" w:lineRule="auto"/>
        <w:rPr>
          <w:sz w:val="20"/>
          <w:szCs w:val="20"/>
          <w:color w:val="auto"/>
        </w:rPr>
      </w:pPr>
      <w:r>
        <w:rPr>
          <w:rFonts w:ascii="Arial" w:cs="Arial" w:eastAsia="Arial" w:hAnsi="Arial"/>
          <w:sz w:val="22"/>
          <w:szCs w:val="22"/>
          <w:color w:val="auto"/>
        </w:rPr>
        <w:t>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81" w:lineRule="exact"/>
        <w:rPr>
          <w:sz w:val="20"/>
          <w:szCs w:val="20"/>
          <w:color w:val="auto"/>
        </w:rPr>
      </w:pPr>
    </w:p>
    <w:p>
      <w:pPr>
        <w:jc w:val="both"/>
        <w:ind w:firstLine="656"/>
        <w:spacing w:after="0" w:line="289" w:lineRule="auto"/>
        <w:tabs>
          <w:tab w:leader="none" w:pos="1296" w:val="left"/>
        </w:tabs>
        <w:numPr>
          <w:ilvl w:val="0"/>
          <w:numId w:val="41"/>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5" w:lineRule="exact"/>
        <w:rPr>
          <w:rFonts w:ascii="Arial" w:cs="Arial" w:eastAsia="Arial" w:hAnsi="Arial"/>
          <w:sz w:val="19"/>
          <w:szCs w:val="19"/>
          <w:color w:val="auto"/>
        </w:rPr>
      </w:pPr>
    </w:p>
    <w:p>
      <w:pPr>
        <w:jc w:val="both"/>
        <w:ind w:firstLine="656"/>
        <w:spacing w:after="0" w:line="251" w:lineRule="auto"/>
        <w:tabs>
          <w:tab w:leader="none" w:pos="1296"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8" w:lineRule="exact"/>
        <w:rPr>
          <w:rFonts w:ascii="Arial" w:cs="Arial" w:eastAsia="Arial" w:hAnsi="Arial"/>
          <w:sz w:val="21"/>
          <w:szCs w:val="21"/>
          <w:color w:val="auto"/>
        </w:rPr>
      </w:pPr>
    </w:p>
    <w:p>
      <w:pPr>
        <w:jc w:val="both"/>
        <w:ind w:firstLine="656"/>
        <w:spacing w:after="0" w:line="236"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 Any waiver of this Agreement must be executed by the party to be bound by such waiver. No</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81"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41"/>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is personal to Employee, and neither this Agreement nor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5" w:lineRule="exact"/>
        <w:rPr>
          <w:rFonts w:ascii="Arial" w:cs="Arial" w:eastAsia="Arial" w:hAnsi="Arial"/>
          <w:sz w:val="21"/>
          <w:szCs w:val="21"/>
          <w:color w:val="auto"/>
        </w:rPr>
      </w:pPr>
    </w:p>
    <w:p>
      <w:pPr>
        <w:jc w:val="both"/>
        <w:ind w:firstLine="656"/>
        <w:spacing w:after="0" w:line="239" w:lineRule="auto"/>
        <w:tabs>
          <w:tab w:leader="none" w:pos="1296" w:val="left"/>
        </w:tabs>
        <w:numPr>
          <w:ilvl w:val="0"/>
          <w:numId w:val="41"/>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Notices provided for in this Agreement shall be in writing and shall be deemed to have been duly</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60" w:name="page61"/>
    <w:bookmarkEnd w:id="60"/>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38" w:lineRule="auto"/>
        <w:rPr>
          <w:sz w:val="20"/>
          <w:szCs w:val="20"/>
          <w:color w:val="auto"/>
        </w:rPr>
      </w:pPr>
      <w:r>
        <w:rPr>
          <w:rFonts w:ascii="Arial" w:cs="Arial" w:eastAsia="Arial" w:hAnsi="Arial"/>
          <w:sz w:val="22"/>
          <w:szCs w:val="22"/>
          <w:color w:val="auto"/>
        </w:rPr>
        <w:t>27200 Tourney Road</w:t>
      </w:r>
    </w:p>
    <w:p>
      <w:pPr>
        <w:ind w:left="1960"/>
        <w:spacing w:after="0" w:line="230" w:lineRule="auto"/>
        <w:rPr>
          <w:sz w:val="20"/>
          <w:szCs w:val="20"/>
          <w:color w:val="auto"/>
        </w:rPr>
      </w:pPr>
      <w:r>
        <w:rPr>
          <w:rFonts w:ascii="Arial" w:cs="Arial" w:eastAsia="Arial" w:hAnsi="Arial"/>
          <w:sz w:val="22"/>
          <w:szCs w:val="22"/>
          <w:color w:val="auto"/>
        </w:rPr>
        <w:t>Suite 200</w:t>
      </w:r>
    </w:p>
    <w:p>
      <w:pPr>
        <w:ind w:left="1960"/>
        <w:spacing w:after="0" w:line="231" w:lineRule="auto"/>
        <w:rPr>
          <w:sz w:val="20"/>
          <w:szCs w:val="20"/>
          <w:color w:val="auto"/>
        </w:rPr>
      </w:pPr>
      <w:r>
        <w:rPr>
          <w:rFonts w:ascii="Arial" w:cs="Arial" w:eastAsia="Arial" w:hAnsi="Arial"/>
          <w:sz w:val="22"/>
          <w:szCs w:val="22"/>
          <w:color w:val="auto"/>
        </w:rPr>
        <w:t>Santa Clarita, California 91355</w:t>
      </w:r>
    </w:p>
    <w:p>
      <w:pPr>
        <w:ind w:left="1960"/>
        <w:spacing w:after="0"/>
        <w:rPr>
          <w:sz w:val="20"/>
          <w:szCs w:val="20"/>
          <w:color w:val="auto"/>
        </w:rPr>
      </w:pPr>
      <w:r>
        <w:rPr>
          <w:rFonts w:ascii="Arial" w:cs="Arial" w:eastAsia="Arial" w:hAnsi="Arial"/>
          <w:sz w:val="22"/>
          <w:szCs w:val="22"/>
          <w:color w:val="auto"/>
        </w:rPr>
        <w:t>Attention: General Counsel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Michael L. Preston</w:t>
      </w:r>
    </w:p>
    <w:p>
      <w:pPr>
        <w:ind w:left="1960"/>
        <w:spacing w:after="0" w:line="238" w:lineRule="auto"/>
        <w:rPr>
          <w:sz w:val="20"/>
          <w:szCs w:val="20"/>
          <w:color w:val="auto"/>
        </w:rPr>
      </w:pPr>
      <w:r>
        <w:rPr>
          <w:rFonts w:ascii="Arial" w:cs="Arial" w:eastAsia="Arial" w:hAnsi="Arial"/>
          <w:sz w:val="22"/>
          <w:szCs w:val="22"/>
          <w:color w:val="auto"/>
        </w:rPr>
        <w:t>[*****]</w:t>
      </w:r>
    </w:p>
    <w:p>
      <w:pPr>
        <w:ind w:left="196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82" w:lineRule="exact"/>
        <w:rPr>
          <w:sz w:val="20"/>
          <w:szCs w:val="20"/>
          <w:color w:val="auto"/>
        </w:rPr>
      </w:pPr>
    </w:p>
    <w:p>
      <w:pPr>
        <w:jc w:val="both"/>
        <w:ind w:firstLine="656"/>
        <w:spacing w:after="0" w:line="239" w:lineRule="auto"/>
        <w:tabs>
          <w:tab w:leader="none" w:pos="1296"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80"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firstLine="1304"/>
        <w:spacing w:after="0" w:line="245" w:lineRule="auto"/>
        <w:tabs>
          <w:tab w:leader="none" w:pos="1941" w:val="left"/>
        </w:tabs>
        <w:numPr>
          <w:ilvl w:val="1"/>
          <w:numId w:val="42"/>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all provisions of this Agreement are intended to comply with Section 409A of the Internal Revenue Code of 1986, as amended (the “</w:t>
      </w:r>
      <w:r>
        <w:rPr>
          <w:rFonts w:ascii="Arial" w:cs="Arial" w:eastAsia="Arial" w:hAnsi="Arial"/>
          <w:sz w:val="21"/>
          <w:szCs w:val="21"/>
          <w:b w:val="1"/>
          <w:bCs w:val="1"/>
          <w:u w:val="single" w:color="auto"/>
          <w:color w:val="auto"/>
        </w:rPr>
        <w:t>Code</w:t>
      </w:r>
      <w:r>
        <w:rPr>
          <w:rFonts w:ascii="Arial" w:cs="Arial" w:eastAsia="Arial" w:hAnsi="Arial"/>
          <w:sz w:val="21"/>
          <w:szCs w:val="21"/>
          <w:color w:val="auto"/>
        </w:rPr>
        <w:t>”) and the applicable Treasury regulations and administrative guidance issued thereunder (collectively, “</w:t>
      </w: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61" w:name="page62"/>
    <w:bookmarkEnd w:id="61"/>
    <w:p>
      <w:pPr>
        <w:jc w:val="both"/>
        <w:ind w:firstLine="1304"/>
        <w:spacing w:after="0" w:line="245" w:lineRule="auto"/>
        <w:tabs>
          <w:tab w:leader="none" w:pos="1939" w:val="left"/>
        </w:tabs>
        <w:numPr>
          <w:ilvl w:val="1"/>
          <w:numId w:val="43"/>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84" w:lineRule="exact"/>
        <w:rPr>
          <w:rFonts w:ascii="Arial" w:cs="Arial" w:eastAsia="Arial" w:hAnsi="Arial"/>
          <w:sz w:val="21"/>
          <w:szCs w:val="21"/>
          <w:color w:val="auto"/>
        </w:rPr>
      </w:pPr>
    </w:p>
    <w:p>
      <w:pPr>
        <w:jc w:val="both"/>
        <w:ind w:firstLine="1304"/>
        <w:spacing w:after="0" w:line="275" w:lineRule="auto"/>
        <w:tabs>
          <w:tab w:leader="none" w:pos="1941" w:val="left"/>
        </w:tabs>
        <w:numPr>
          <w:ilvl w:val="1"/>
          <w:numId w:val="43"/>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1"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w:t>
      </w:r>
      <w:r>
        <w:rPr>
          <w:rFonts w:ascii="Arial" w:cs="Arial" w:eastAsia="Arial" w:hAnsi="Arial"/>
          <w:sz w:val="22"/>
          <w:szCs w:val="22"/>
          <w:b w:val="1"/>
          <w:bCs w:val="1"/>
          <w:color w:val="auto"/>
        </w:rPr>
        <w:t xml:space="preserve"> </w:t>
      </w:r>
      <w:r>
        <w:rPr>
          <w:rFonts w:ascii="Arial" w:cs="Arial" w:eastAsia="Arial" w:hAnsi="Arial"/>
          <w:sz w:val="22"/>
          <w:szCs w:val="22"/>
          <w:color w:val="auto"/>
        </w:rPr>
        <w:t>and enforce them, shall survive any termination of this Agreement and any termination of the employment relationship between Employee and the Company.</w:t>
      </w:r>
    </w:p>
    <w:p>
      <w:pPr>
        <w:spacing w:after="0" w:line="17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76"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44"/>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Excise Taxes</w:t>
      </w:r>
      <w:r>
        <w:rPr>
          <w:rFonts w:ascii="Arial" w:cs="Arial" w:eastAsia="Arial" w:hAnsi="Arial"/>
          <w:sz w:val="21"/>
          <w:szCs w:val="21"/>
          <w:color w:val="auto"/>
        </w:rPr>
        <w:t>. Notwithstanding anything to the contrary in this Agreement, if Employee is a “disqualified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4" w:right="339" w:bottom="1440" w:gutter="0" w:footer="0" w:header="0"/>
        </w:sectPr>
      </w:pPr>
    </w:p>
    <w:bookmarkStart w:id="62" w:name="page63"/>
    <w:bookmarkEnd w:id="62"/>
    <w:p>
      <w:pPr>
        <w:jc w:val="both"/>
        <w:spacing w:after="0" w:line="235" w:lineRule="auto"/>
        <w:rPr>
          <w:sz w:val="20"/>
          <w:szCs w:val="20"/>
          <w:color w:val="auto"/>
        </w:rPr>
      </w:pPr>
      <w:r>
        <w:rPr>
          <w:rFonts w:ascii="Arial" w:cs="Arial" w:eastAsia="Arial" w:hAnsi="Arial"/>
          <w:sz w:val="22"/>
          <w:szCs w:val="22"/>
          <w:color w:val="auto"/>
        </w:rPr>
        <w:t xml:space="preserve">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shall require the Company to be responsible for, or have any liability or obligation with respect to, Employee’s excise tax liabilities under Section 4999 of the Code.</w:t>
      </w:r>
    </w:p>
    <w:p>
      <w:pPr>
        <w:spacing w:after="0" w:line="182" w:lineRule="exact"/>
        <w:rPr>
          <w:sz w:val="20"/>
          <w:szCs w:val="20"/>
          <w:color w:val="auto"/>
        </w:rPr>
      </w:pPr>
    </w:p>
    <w:p>
      <w:pPr>
        <w:jc w:val="both"/>
        <w:ind w:firstLine="656"/>
        <w:spacing w:after="0" w:line="239"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63" w:name="page64"/>
    <w:bookmarkEnd w:id="63"/>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456565</wp:posOffset>
            </wp:positionV>
            <wp:extent cx="4114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Michael L. Preston</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274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A. (Mac) McFarland</w:t>
      </w:r>
    </w:p>
    <w:p>
      <w:pPr>
        <w:spacing w:after="0" w:line="4" w:lineRule="exact"/>
        <w:rPr>
          <w:sz w:val="20"/>
          <w:szCs w:val="20"/>
          <w:color w:val="auto"/>
        </w:rPr>
      </w:pPr>
    </w:p>
    <w:p>
      <w:pPr>
        <w:ind w:left="4380"/>
        <w:spacing w:after="0"/>
        <w:tabs>
          <w:tab w:leader="none" w:pos="5040" w:val="left"/>
        </w:tabs>
        <w:rPr>
          <w:sz w:val="20"/>
          <w:szCs w:val="20"/>
          <w:color w:val="auto"/>
        </w:rPr>
      </w:pPr>
      <w:r>
        <w:rPr>
          <w:rFonts w:ascii="Arial" w:cs="Arial" w:eastAsia="Arial" w:hAnsi="Arial"/>
          <w:sz w:val="22"/>
          <w:szCs w:val="22"/>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ectPr>
          <w:pgSz w:w="11900" w:h="16838" w:orient="portrait"/>
          <w:cols w:equalWidth="0" w:num="1">
            <w:col w:w="11240"/>
          </w:cols>
          <w:pgMar w:left="320" w:top="142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307" w:lineRule="exact"/>
        <w:rPr>
          <w:sz w:val="20"/>
          <w:szCs w:val="20"/>
          <w:color w:val="auto"/>
        </w:rPr>
      </w:pPr>
    </w:p>
    <w:p>
      <w:pPr>
        <w:jc w:val="both"/>
        <w:ind w:firstLine="656"/>
        <w:spacing w:after="0" w:line="312" w:lineRule="auto"/>
        <w:tabs>
          <w:tab w:leader="none" w:pos="1064"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469900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right="520" w:hanging="863"/>
        <w:spacing w:after="0" w:line="263"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47" w:lineRule="exact"/>
        <w:rPr>
          <w:sz w:val="20"/>
          <w:szCs w:val="20"/>
          <w:color w:val="auto"/>
        </w:rPr>
      </w:pPr>
    </w:p>
    <w:p>
      <w:pPr>
        <w:jc w:val="both"/>
        <w:ind w:firstLine="656"/>
        <w:spacing w:after="0" w:line="265" w:lineRule="auto"/>
        <w:tabs>
          <w:tab w:leader="none" w:pos="1046" w:val="left"/>
        </w:tabs>
        <w:numPr>
          <w:ilvl w:val="0"/>
          <w:numId w:val="47"/>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240"/>
          </w:cols>
          <w:pgMar w:left="320" w:top="1422" w:right="339" w:bottom="1440" w:gutter="0" w:footer="0" w:header="0"/>
        </w:sectPr>
      </w:pPr>
    </w:p>
    <w:bookmarkStart w:id="65" w:name="page66"/>
    <w:bookmarkEnd w:id="65"/>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226" w:lineRule="exact"/>
        <w:rPr>
          <w:sz w:val="20"/>
          <w:szCs w:val="20"/>
          <w:color w:val="auto"/>
        </w:rPr>
      </w:pPr>
    </w:p>
    <w:p>
      <w:pPr>
        <w:ind w:left="652" w:right="40" w:hanging="652"/>
        <w:spacing w:after="0" w:line="250" w:lineRule="auto"/>
        <w:tabs>
          <w:tab w:leader="none" w:pos="44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4" w:lineRule="exact"/>
        <w:rPr>
          <w:rFonts w:ascii="Arial" w:cs="Arial" w:eastAsia="Arial" w:hAnsi="Arial"/>
          <w:sz w:val="22"/>
          <w:szCs w:val="22"/>
          <w:color w:val="auto"/>
        </w:rPr>
      </w:pPr>
    </w:p>
    <w:p>
      <w:pPr>
        <w:ind w:left="1292" w:right="180" w:hanging="644"/>
        <w:spacing w:after="0" w:line="263" w:lineRule="auto"/>
        <w:tabs>
          <w:tab w:leader="none" w:pos="1166"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01" w:lineRule="exact"/>
        <w:rPr>
          <w:rFonts w:ascii="Arial" w:cs="Arial" w:eastAsia="Arial" w:hAnsi="Arial"/>
          <w:sz w:val="22"/>
          <w:szCs w:val="22"/>
          <w:color w:val="auto"/>
        </w:rPr>
      </w:pPr>
    </w:p>
    <w:p>
      <w:pPr>
        <w:ind w:left="1172" w:hanging="524"/>
        <w:spacing w:after="0"/>
        <w:tabs>
          <w:tab w:leader="none" w:pos="11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46" w:lineRule="exact"/>
        <w:rPr>
          <w:rFonts w:ascii="Arial" w:cs="Arial" w:eastAsia="Arial" w:hAnsi="Arial"/>
          <w:sz w:val="22"/>
          <w:szCs w:val="22"/>
          <w:color w:val="auto"/>
        </w:rPr>
      </w:pPr>
    </w:p>
    <w:p>
      <w:pPr>
        <w:ind w:left="652" w:hanging="652"/>
        <w:spacing w:after="0" w:line="253" w:lineRule="auto"/>
        <w:tabs>
          <w:tab w:leader="none" w:pos="46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032"/>
          </w:cols>
          <w:pgMar w:left="328" w:top="1422" w:right="539" w:bottom="1440" w:gutter="0" w:footer="0" w:header="0"/>
        </w:sectPr>
      </w:pPr>
    </w:p>
    <w:bookmarkStart w:id="66" w:name="page67"/>
    <w:bookmarkEnd w:id="66"/>
    <w:p>
      <w:pPr>
        <w:ind w:left="10140"/>
        <w:spacing w:after="0"/>
        <w:rPr>
          <w:sz w:val="20"/>
          <w:szCs w:val="20"/>
          <w:color w:val="auto"/>
        </w:rPr>
      </w:pPr>
      <w:r>
        <w:rPr>
          <w:rFonts w:ascii="Arial" w:cs="Arial" w:eastAsia="Arial" w:hAnsi="Arial"/>
          <w:sz w:val="17"/>
          <w:szCs w:val="17"/>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Certain information in this exhibit (indicated by “[*****]”), which is not material and is the type of information that the Registrant treats as private or confidential, has been omitted pursuant to Item 601(b)(10)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7" w:lineRule="exact"/>
        <w:rPr>
          <w:sz w:val="20"/>
          <w:szCs w:val="20"/>
          <w:color w:val="auto"/>
        </w:rPr>
      </w:pPr>
    </w:p>
    <w:p>
      <w:pPr>
        <w:ind w:firstLine="648"/>
        <w:spacing w:after="0" w:line="323" w:lineRule="auto"/>
        <w:rPr>
          <w:sz w:val="20"/>
          <w:szCs w:val="20"/>
          <w:color w:val="auto"/>
        </w:rPr>
      </w:pPr>
      <w:r>
        <w:rPr>
          <w:rFonts w:ascii="Arial" w:cs="Arial" w:eastAsia="Arial" w:hAnsi="Arial"/>
          <w:sz w:val="19"/>
          <w:szCs w:val="19"/>
          <w:color w:val="auto"/>
        </w:rPr>
        <w:t>This Employment Agreement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and entered into by and between California Resources Corporation,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Jay A. Bys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 effective as of June 8, 2021 (the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w:t>
      </w:r>
    </w:p>
    <w:p>
      <w:pPr>
        <w:spacing w:after="0" w:line="117" w:lineRule="exact"/>
        <w:rPr>
          <w:sz w:val="20"/>
          <w:szCs w:val="20"/>
          <w:color w:val="auto"/>
        </w:rPr>
      </w:pPr>
    </w:p>
    <w:p>
      <w:pPr>
        <w:jc w:val="both"/>
        <w:ind w:firstLine="656"/>
        <w:spacing w:after="0" w:line="252" w:lineRule="auto"/>
        <w:tabs>
          <w:tab w:leader="none" w:pos="1296"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employ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serve, as Executive Vice President and Chief Commercial Officer of the Company and in such other position or positions as may be assigned from time to time by the board of directors of the Company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u w:val="single" w:color="auto"/>
          <w:color w:val="auto"/>
        </w:rPr>
        <w:t>CEO</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225" w:lineRule="exact"/>
        <w:rPr>
          <w:rFonts w:ascii="Arial" w:cs="Arial" w:eastAsia="Arial" w:hAnsi="Arial"/>
          <w:sz w:val="22"/>
          <w:szCs w:val="22"/>
          <w:color w:val="auto"/>
        </w:rPr>
      </w:pPr>
    </w:p>
    <w:p>
      <w:pPr>
        <w:jc w:val="both"/>
        <w:ind w:firstLine="1304"/>
        <w:spacing w:after="0" w:line="257" w:lineRule="auto"/>
        <w:tabs>
          <w:tab w:leader="none" w:pos="1941" w:val="left"/>
        </w:tabs>
        <w:numPr>
          <w:ilvl w:val="1"/>
          <w:numId w:val="49"/>
        </w:numPr>
        <w:rPr>
          <w:rFonts w:ascii="Arial" w:cs="Arial" w:eastAsia="Arial" w:hAnsi="Arial"/>
          <w:sz w:val="21"/>
          <w:szCs w:val="21"/>
          <w:color w:val="auto"/>
        </w:rPr>
      </w:pPr>
      <w:r>
        <w:rPr>
          <w:rFonts w:ascii="Arial" w:cs="Arial" w:eastAsia="Arial" w:hAnsi="Arial"/>
          <w:sz w:val="21"/>
          <w:szCs w:val="21"/>
          <w:color w:val="auto"/>
        </w:rPr>
        <w:t>During the Employment Period, Employee shall actively engage in the business and affairs of the Company (together with its direct and indirect subsidiaries, the “</w:t>
      </w:r>
      <w:r>
        <w:rPr>
          <w:rFonts w:ascii="Arial" w:cs="Arial" w:eastAsia="Arial" w:hAnsi="Arial"/>
          <w:sz w:val="21"/>
          <w:szCs w:val="21"/>
          <w:b w:val="1"/>
          <w:bCs w:val="1"/>
          <w:u w:val="single" w:color="auto"/>
          <w:color w:val="auto"/>
        </w:rPr>
        <w:t>Company Group</w:t>
      </w:r>
      <w:r>
        <w:rPr>
          <w:rFonts w:ascii="Arial" w:cs="Arial" w:eastAsia="Arial" w:hAnsi="Arial"/>
          <w:sz w:val="21"/>
          <w:szCs w:val="21"/>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21"/>
          <w:szCs w:val="21"/>
          <w:u w:val="single" w:color="auto"/>
          <w:color w:val="auto"/>
        </w:rPr>
        <w:t>Section 1</w:t>
      </w:r>
      <w:r>
        <w:rPr>
          <w:rFonts w:ascii="Arial" w:cs="Arial" w:eastAsia="Arial" w:hAnsi="Arial"/>
          <w:sz w:val="21"/>
          <w:szCs w:val="21"/>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Arial" w:cs="Arial" w:eastAsia="Arial" w:hAnsi="Arial"/>
          <w:sz w:val="21"/>
          <w:szCs w:val="21"/>
          <w:u w:val="single" w:color="auto"/>
          <w:color w:val="auto"/>
        </w:rPr>
        <w:t>Section 2(a)</w:t>
      </w:r>
      <w:r>
        <w:rPr>
          <w:rFonts w:ascii="Arial" w:cs="Arial" w:eastAsia="Arial" w:hAnsi="Arial"/>
          <w:sz w:val="21"/>
          <w:szCs w:val="21"/>
          <w:color w:val="auto"/>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 and (iv) with the prior written consent of the Board, serve on the board of directors of up to two for-profit corporations (collectively, the “</w:t>
      </w:r>
      <w:r>
        <w:rPr>
          <w:rFonts w:ascii="Arial" w:cs="Arial" w:eastAsia="Arial" w:hAnsi="Arial"/>
          <w:sz w:val="21"/>
          <w:szCs w:val="21"/>
          <w:b w:val="1"/>
          <w:bCs w:val="1"/>
          <w:u w:val="single" w:color="auto"/>
          <w:color w:val="auto"/>
        </w:rPr>
        <w:t>Permitted Activities</w:t>
      </w:r>
      <w:r>
        <w:rPr>
          <w:rFonts w:ascii="Arial" w:cs="Arial" w:eastAsia="Arial" w:hAnsi="Arial"/>
          <w:sz w:val="21"/>
          <w:szCs w:val="21"/>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71" w:lineRule="exact"/>
        <w:rPr>
          <w:rFonts w:ascii="Arial" w:cs="Arial" w:eastAsia="Arial" w:hAnsi="Arial"/>
          <w:sz w:val="21"/>
          <w:szCs w:val="21"/>
          <w:color w:val="auto"/>
        </w:rPr>
      </w:pPr>
    </w:p>
    <w:p>
      <w:pPr>
        <w:jc w:val="both"/>
        <w:ind w:firstLine="1304"/>
        <w:spacing w:after="0" w:line="262" w:lineRule="auto"/>
        <w:tabs>
          <w:tab w:leader="none" w:pos="1939" w:val="left"/>
        </w:tabs>
        <w:numPr>
          <w:ilvl w:val="1"/>
          <w:numId w:val="49"/>
        </w:numPr>
        <w:rPr>
          <w:rFonts w:ascii="Arial" w:cs="Arial" w:eastAsia="Arial" w:hAnsi="Arial"/>
          <w:sz w:val="19"/>
          <w:szCs w:val="19"/>
          <w:color w:val="auto"/>
        </w:rPr>
      </w:pPr>
      <w:r>
        <w:rPr>
          <w:rFonts w:ascii="Arial" w:cs="Arial" w:eastAsia="Arial" w:hAnsi="Arial"/>
          <w:sz w:val="19"/>
          <w:szCs w:val="19"/>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w:t>
      </w:r>
    </w:p>
    <w:p>
      <w:pPr>
        <w:sectPr>
          <w:pgSz w:w="11900" w:h="16838" w:orient="portrait"/>
          <w:cols w:equalWidth="0" w:num="1">
            <w:col w:w="11240"/>
          </w:cols>
          <w:pgMar w:left="320" w:top="118" w:right="339" w:bottom="1440" w:gutter="0" w:footer="0" w:header="0"/>
        </w:sectPr>
      </w:pPr>
    </w:p>
    <w:bookmarkStart w:id="67" w:name="page68"/>
    <w:bookmarkEnd w:id="67"/>
    <w:p>
      <w:pPr>
        <w:ind w:right="20"/>
        <w:spacing w:after="0" w:line="313" w:lineRule="auto"/>
        <w:rPr>
          <w:sz w:val="20"/>
          <w:szCs w:val="20"/>
          <w:color w:val="auto"/>
        </w:rPr>
      </w:pPr>
      <w:r>
        <w:rPr>
          <w:rFonts w:ascii="Arial" w:cs="Arial" w:eastAsia="Arial" w:hAnsi="Arial"/>
          <w:sz w:val="19"/>
          <w:szCs w:val="19"/>
          <w:color w:val="auto"/>
        </w:rPr>
        <w:t>not do so. Employee shall not introduce documents or other materials containing confidential information of any prior employer to the premises or property (including computers and computer systems) of any member of the Company Group.</w:t>
      </w:r>
    </w:p>
    <w:p>
      <w:pPr>
        <w:spacing w:after="0" w:line="119" w:lineRule="exact"/>
        <w:rPr>
          <w:sz w:val="20"/>
          <w:szCs w:val="20"/>
          <w:color w:val="auto"/>
        </w:rPr>
      </w:pPr>
    </w:p>
    <w:p>
      <w:pPr>
        <w:jc w:val="both"/>
        <w:ind w:firstLine="1304"/>
        <w:spacing w:after="0" w:line="302" w:lineRule="auto"/>
        <w:tabs>
          <w:tab w:leader="none" w:pos="1941" w:val="left"/>
        </w:tabs>
        <w:numPr>
          <w:ilvl w:val="2"/>
          <w:numId w:val="50"/>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6" w:lineRule="exact"/>
        <w:rPr>
          <w:rFonts w:ascii="Arial" w:cs="Arial" w:eastAsia="Arial" w:hAnsi="Arial"/>
          <w:sz w:val="19"/>
          <w:szCs w:val="19"/>
          <w:color w:val="auto"/>
        </w:rPr>
      </w:pPr>
    </w:p>
    <w:p>
      <w:pPr>
        <w:ind w:left="1300" w:hanging="644"/>
        <w:spacing w:after="0"/>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94" w:lineRule="auto"/>
        <w:tabs>
          <w:tab w:leader="none" w:pos="1941"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$500,000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49" w:lineRule="exact"/>
        <w:rPr>
          <w:rFonts w:ascii="Arial" w:cs="Arial" w:eastAsia="Arial" w:hAnsi="Arial"/>
          <w:sz w:val="19"/>
          <w:szCs w:val="19"/>
          <w:color w:val="auto"/>
        </w:rPr>
      </w:pPr>
    </w:p>
    <w:p>
      <w:pPr>
        <w:jc w:val="both"/>
        <w:ind w:firstLine="1304"/>
        <w:spacing w:after="0" w:line="284" w:lineRule="auto"/>
        <w:tabs>
          <w:tab w:leader="none" w:pos="1939" w:val="left"/>
        </w:tabs>
        <w:numPr>
          <w:ilvl w:val="2"/>
          <w:numId w:val="51"/>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2021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100% of Employee’s Base Salary in effect as of the first day of the Bonus Year (or, with respect to calendar year 2021,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1" w:lineRule="exact"/>
        <w:rPr>
          <w:rFonts w:ascii="Arial" w:cs="Arial" w:eastAsia="Arial" w:hAnsi="Arial"/>
          <w:sz w:val="19"/>
          <w:szCs w:val="19"/>
          <w:color w:val="auto"/>
        </w:rPr>
      </w:pPr>
    </w:p>
    <w:p>
      <w:pPr>
        <w:jc w:val="both"/>
        <w:ind w:firstLine="8"/>
        <w:spacing w:after="0" w:line="290" w:lineRule="auto"/>
        <w:tabs>
          <w:tab w:leader="none" w:pos="526"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days of the applicable Bonus Year. The Annual Bonus that Employee shall be eligible to receive for the 2021 calendar year shall not be prorated.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to the contrary, but subject to </w:t>
      </w:r>
      <w:r>
        <w:rPr>
          <w:rFonts w:ascii="Arial" w:cs="Arial" w:eastAsia="Arial" w:hAnsi="Arial"/>
          <w:sz w:val="19"/>
          <w:szCs w:val="19"/>
          <w:u w:val="single" w:color="auto"/>
          <w:color w:val="auto"/>
        </w:rPr>
        <w:t>Section 7</w:t>
      </w:r>
      <w:r>
        <w:rPr>
          <w:rFonts w:ascii="Arial" w:cs="Arial" w:eastAsia="Arial" w:hAnsi="Arial"/>
          <w:sz w:val="19"/>
          <w:szCs w:val="19"/>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47" w:lineRule="exact"/>
        <w:rPr>
          <w:rFonts w:ascii="Arial" w:cs="Arial" w:eastAsia="Arial" w:hAnsi="Arial"/>
          <w:sz w:val="19"/>
          <w:szCs w:val="19"/>
          <w:color w:val="auto"/>
        </w:rPr>
      </w:pPr>
    </w:p>
    <w:p>
      <w:pPr>
        <w:jc w:val="both"/>
        <w:ind w:firstLine="1304"/>
        <w:spacing w:after="0" w:line="315" w:lineRule="auto"/>
        <w:tabs>
          <w:tab w:leader="none" w:pos="1941" w:val="left"/>
        </w:tabs>
        <w:numPr>
          <w:ilvl w:val="2"/>
          <w:numId w:val="52"/>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On May 12, 2021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the Compensation Committee granted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Initial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Initial PSUs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68" w:name="page69"/>
    <w:bookmarkEnd w:id="68"/>
    <w:p>
      <w:pPr>
        <w:jc w:val="both"/>
        <w:spacing w:after="0" w:line="288" w:lineRule="auto"/>
        <w:rPr>
          <w:sz w:val="20"/>
          <w:szCs w:val="20"/>
          <w:color w:val="auto"/>
        </w:rPr>
      </w:pPr>
      <w:r>
        <w:rPr>
          <w:rFonts w:ascii="Arial" w:cs="Arial" w:eastAsia="Arial" w:hAnsi="Arial"/>
          <w:sz w:val="19"/>
          <w:szCs w:val="19"/>
          <w:color w:val="auto"/>
        </w:rPr>
        <w:t>Provided that Employee is employed by the Company on the applicable date of grant, Employee shall be eligible to receive annual long-term incentive awards under the LTIP commencing in calendar year 2023 with a grant date target value not less than 220% of 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(30% of the annual award, and vesting in one-third increments on each of the first three anniversaries of the date of grant) and performance stock units (70%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153" w:lineRule="exact"/>
        <w:rPr>
          <w:sz w:val="20"/>
          <w:szCs w:val="20"/>
          <w:color w:val="auto"/>
        </w:rPr>
      </w:pPr>
    </w:p>
    <w:p>
      <w:pPr>
        <w:jc w:val="both"/>
        <w:ind w:firstLine="656"/>
        <w:spacing w:after="0" w:line="258" w:lineRule="auto"/>
        <w:tabs>
          <w:tab w:leader="none" w:pos="1296" w:val="left"/>
        </w:tabs>
        <w:numPr>
          <w:ilvl w:val="0"/>
          <w:numId w:val="53"/>
        </w:numPr>
        <w:rPr>
          <w:rFonts w:ascii="Arial" w:cs="Arial" w:eastAsia="Arial" w:hAnsi="Arial"/>
          <w:sz w:val="21"/>
          <w:szCs w:val="2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The term of Employee’s employment under this Agreement shall be for the period</w:t>
      </w:r>
      <w:r>
        <w:rPr>
          <w:rFonts w:ascii="Arial" w:cs="Arial" w:eastAsia="Arial" w:hAnsi="Arial"/>
          <w:sz w:val="21"/>
          <w:szCs w:val="21"/>
          <w:b w:val="1"/>
          <w:bCs w:val="1"/>
          <w:color w:val="auto"/>
        </w:rPr>
        <w:t xml:space="preserve"> </w:t>
      </w:r>
      <w:r>
        <w:rPr>
          <w:rFonts w:ascii="Arial" w:cs="Arial" w:eastAsia="Arial" w:hAnsi="Arial"/>
          <w:sz w:val="21"/>
          <w:szCs w:val="21"/>
          <w:color w:val="auto"/>
        </w:rPr>
        <w:t>beginning on the Effective Date and ending on the first (1st) anniversary of the Effective Date (the “</w:t>
      </w:r>
      <w:r>
        <w:rPr>
          <w:rFonts w:ascii="Arial" w:cs="Arial" w:eastAsia="Arial" w:hAnsi="Arial"/>
          <w:sz w:val="21"/>
          <w:szCs w:val="21"/>
          <w:b w:val="1"/>
          <w:bCs w:val="1"/>
          <w:u w:val="single" w:color="auto"/>
          <w:color w:val="auto"/>
        </w:rPr>
        <w:t>Initial Expiration Date</w:t>
      </w:r>
      <w:r>
        <w:rPr>
          <w:rFonts w:ascii="Arial" w:cs="Arial" w:eastAsia="Arial" w:hAnsi="Arial"/>
          <w:sz w:val="21"/>
          <w:szCs w:val="21"/>
          <w:color w:val="auto"/>
        </w:rPr>
        <w:t xml:space="preserve">”); provided, however, that beginning on the Initial Expiration Date, and on each anniversary of the Initial Expiration Date thereafter, if Employee’s employment under this Agreement has not been terminated pursuant to </w:t>
      </w:r>
      <w:r>
        <w:rPr>
          <w:rFonts w:ascii="Arial" w:cs="Arial" w:eastAsia="Arial" w:hAnsi="Arial"/>
          <w:sz w:val="21"/>
          <w:szCs w:val="21"/>
          <w:u w:val="single" w:color="auto"/>
          <w:color w:val="auto"/>
        </w:rPr>
        <w:t>Section 7</w:t>
      </w:r>
      <w:r>
        <w:rPr>
          <w:rFonts w:ascii="Arial" w:cs="Arial" w:eastAsia="Arial" w:hAnsi="Arial"/>
          <w:sz w:val="21"/>
          <w:szCs w:val="21"/>
          <w:color w:val="auto"/>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Arial" w:cs="Arial" w:eastAsia="Arial" w:hAnsi="Arial"/>
          <w:sz w:val="21"/>
          <w:szCs w:val="21"/>
          <w:u w:val="single" w:color="auto"/>
          <w:color w:val="auto"/>
        </w:rPr>
        <w:t>Section 7</w:t>
      </w:r>
      <w:r>
        <w:rPr>
          <w:rFonts w:ascii="Arial" w:cs="Arial" w:eastAsia="Arial" w:hAnsi="Arial"/>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21"/>
          <w:szCs w:val="21"/>
          <w:b w:val="1"/>
          <w:bCs w:val="1"/>
          <w:u w:val="single" w:color="auto"/>
          <w:color w:val="auto"/>
        </w:rPr>
        <w:t>Employment Period</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656"/>
        <w:spacing w:after="0" w:line="293" w:lineRule="auto"/>
        <w:tabs>
          <w:tab w:leader="none" w:pos="1296" w:val="left"/>
        </w:tabs>
        <w:numPr>
          <w:ilvl w:val="0"/>
          <w:numId w:val="53"/>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9" w:name="page70"/>
    <w:bookmarkEnd w:id="69"/>
    <w:p>
      <w:pPr>
        <w:jc w:val="both"/>
        <w:ind w:firstLine="1304"/>
        <w:spacing w:after="0" w:line="247" w:lineRule="auto"/>
        <w:tabs>
          <w:tab w:leader="none" w:pos="1941" w:val="left"/>
        </w:tabs>
        <w:numPr>
          <w:ilvl w:val="1"/>
          <w:numId w:val="54"/>
        </w:numPr>
        <w:rPr>
          <w:rFonts w:ascii="Arial" w:cs="Arial" w:eastAsia="Arial" w:hAnsi="Arial"/>
          <w:sz w:val="22"/>
          <w:szCs w:val="22"/>
          <w:color w:val="auto"/>
        </w:rPr>
      </w:pPr>
      <w:r>
        <w:rPr>
          <w:rFonts w:ascii="Arial" w:cs="Arial" w:eastAsia="Arial" w:hAnsi="Arial"/>
          <w:sz w:val="22"/>
          <w:szCs w:val="22"/>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Arial" w:cs="Arial" w:eastAsia="Arial" w:hAnsi="Arial"/>
          <w:sz w:val="22"/>
          <w:szCs w:val="22"/>
          <w:u w:val="single" w:color="auto"/>
          <w:color w:val="auto"/>
        </w:rPr>
        <w:t>Section 6</w:t>
      </w:r>
      <w:r>
        <w:rPr>
          <w:rFonts w:ascii="Arial" w:cs="Arial" w:eastAsia="Arial" w:hAnsi="Arial"/>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1"/>
          <w:numId w:val="54"/>
        </w:numPr>
        <w:rPr>
          <w:rFonts w:ascii="Arial" w:cs="Arial" w:eastAsia="Arial" w:hAnsi="Arial"/>
          <w:sz w:val="19"/>
          <w:szCs w:val="19"/>
          <w:color w:val="auto"/>
        </w:rPr>
      </w:pPr>
      <w:r>
        <w:rPr>
          <w:rFonts w:ascii="Arial" w:cs="Arial" w:eastAsia="Arial" w:hAnsi="Arial"/>
          <w:sz w:val="19"/>
          <w:szCs w:val="19"/>
          <w:color w:val="auto"/>
        </w:rPr>
        <w:t>The Company shall reimburse Employee up to $5,000 for legal fees incurred in connection with the review</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19"/>
          <w:szCs w:val="19"/>
          <w:color w:val="auto"/>
        </w:rPr>
      </w:pPr>
    </w:p>
    <w:p>
      <w:pPr>
        <w:jc w:val="both"/>
        <w:ind w:firstLine="1304"/>
        <w:spacing w:after="0" w:line="253" w:lineRule="auto"/>
        <w:tabs>
          <w:tab w:leader="none" w:pos="1941"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85" w:lineRule="exact"/>
        <w:rPr>
          <w:rFonts w:ascii="Arial" w:cs="Arial" w:eastAsia="Arial" w:hAnsi="Arial"/>
          <w:sz w:val="22"/>
          <w:szCs w:val="22"/>
          <w:color w:val="auto"/>
        </w:rPr>
      </w:pPr>
    </w:p>
    <w:p>
      <w:pPr>
        <w:jc w:val="both"/>
        <w:ind w:firstLine="1304"/>
        <w:spacing w:after="0" w:line="287" w:lineRule="auto"/>
        <w:tabs>
          <w:tab w:leader="none" w:pos="1939" w:val="left"/>
        </w:tabs>
        <w:numPr>
          <w:ilvl w:val="1"/>
          <w:numId w:val="54"/>
        </w:numPr>
        <w:rPr>
          <w:rFonts w:ascii="Arial" w:cs="Arial" w:eastAsia="Arial" w:hAnsi="Arial"/>
          <w:sz w:val="19"/>
          <w:szCs w:val="19"/>
          <w:color w:val="auto"/>
        </w:rPr>
      </w:pPr>
      <w:r>
        <w:rPr>
          <w:rFonts w:ascii="Arial" w:cs="Arial" w:eastAsia="Arial" w:hAnsi="Arial"/>
          <w:sz w:val="19"/>
          <w:szCs w:val="19"/>
          <w:color w:val="auto"/>
        </w:rPr>
        <w:t>Subject to Section 21, in the event Employee relocates from Dallas, Texas to a location in California mutually agreeable to Employee and the Company (the “</w:t>
      </w:r>
      <w:r>
        <w:rPr>
          <w:rFonts w:ascii="Arial" w:cs="Arial" w:eastAsia="Arial" w:hAnsi="Arial"/>
          <w:sz w:val="19"/>
          <w:szCs w:val="19"/>
          <w:i w:val="1"/>
          <w:iCs w:val="1"/>
          <w:color w:val="auto"/>
        </w:rPr>
        <w:t>California Location</w:t>
      </w:r>
      <w:r>
        <w:rPr>
          <w:rFonts w:ascii="Arial" w:cs="Arial" w:eastAsia="Arial" w:hAnsi="Arial"/>
          <w:sz w:val="19"/>
          <w:szCs w:val="19"/>
          <w:color w:val="auto"/>
        </w:rPr>
        <w:t>”) within his first twelve (12) months of employment, then the Company shall reimburse Employee for reasonable relocation expenses in accordance with the California Resources Corporation Domestic Relocation Program, so long as Employee submits all documentation for such reimbursement within thirty (30) days following the date the applicable expense is incurred by Employee, as required by Company policy in effect from time to time. For purposes of clarity, Employee shall not be required to relocate to the California Location, and may continue to perform services for the Company from Dallas, Texas. Any reimbursement of expenses described in the first sentence of this subparagraph shall be made by the Company upon or as soon as practicable following receipt of supporting documentation (but in any event not later than March 15 following the calendar year in which the related expense is incurred by Employee); provided, however, that in no event shall any reimbursement be made to Employee for any expenses incurred after the date of Employee’s termination of employment with the Company.</w:t>
      </w:r>
    </w:p>
    <w:p>
      <w:pPr>
        <w:spacing w:after="0" w:line="157" w:lineRule="exact"/>
        <w:rPr>
          <w:rFonts w:ascii="Arial" w:cs="Arial" w:eastAsia="Arial" w:hAnsi="Arial"/>
          <w:sz w:val="19"/>
          <w:szCs w:val="19"/>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2"/>
          <w:numId w:val="55"/>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219" w:lineRule="exact"/>
        <w:rPr>
          <w:rFonts w:ascii="Arial" w:cs="Arial" w:eastAsia="Arial" w:hAnsi="Arial"/>
          <w:sz w:val="22"/>
          <w:szCs w:val="22"/>
          <w:color w:val="auto"/>
        </w:rPr>
      </w:pPr>
    </w:p>
    <w:p>
      <w:pPr>
        <w:ind w:left="660" w:right="20" w:firstLine="1292"/>
        <w:spacing w:after="0" w:line="263" w:lineRule="auto"/>
        <w:tabs>
          <w:tab w:leader="none" w:pos="2598" w:val="left"/>
        </w:tabs>
        <w:numPr>
          <w:ilvl w:val="2"/>
          <w:numId w:val="55"/>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70" w:name="page71"/>
    <w:bookmarkEnd w:id="70"/>
    <w:p>
      <w:pPr>
        <w:ind w:left="660"/>
        <w:spacing w:after="0" w:line="263" w:lineRule="auto"/>
        <w:rPr>
          <w:sz w:val="20"/>
          <w:szCs w:val="20"/>
          <w:color w:val="auto"/>
        </w:rPr>
      </w:pPr>
      <w:r>
        <w:rPr>
          <w:rFonts w:ascii="Arial" w:cs="Arial" w:eastAsia="Arial" w:hAnsi="Arial"/>
          <w:sz w:val="22"/>
          <w:szCs w:val="22"/>
          <w:color w:val="auto"/>
        </w:rPr>
        <w:t>Company Group that results in (or could reasonably be expected to result in) material injury to the Company or any other member of the Company Group;</w:t>
      </w:r>
    </w:p>
    <w:p>
      <w:pPr>
        <w:spacing w:after="0" w:line="175" w:lineRule="exact"/>
        <w:rPr>
          <w:sz w:val="20"/>
          <w:szCs w:val="20"/>
          <w:color w:val="auto"/>
        </w:rPr>
      </w:pPr>
    </w:p>
    <w:p>
      <w:pPr>
        <w:jc w:val="both"/>
        <w:ind w:left="660" w:firstLine="1292"/>
        <w:spacing w:after="0" w:line="253" w:lineRule="auto"/>
        <w:tabs>
          <w:tab w:leader="none" w:pos="2604" w:val="left"/>
        </w:tabs>
        <w:numPr>
          <w:ilvl w:val="0"/>
          <w:numId w:val="56"/>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85" w:lineRule="exact"/>
        <w:rPr>
          <w:rFonts w:ascii="Arial" w:cs="Arial" w:eastAsia="Arial" w:hAnsi="Arial"/>
          <w:sz w:val="22"/>
          <w:szCs w:val="22"/>
          <w:color w:val="auto"/>
        </w:rPr>
      </w:pPr>
    </w:p>
    <w:p>
      <w:pPr>
        <w:jc w:val="both"/>
        <w:ind w:left="660" w:firstLine="1292"/>
        <w:spacing w:after="0" w:line="271" w:lineRule="auto"/>
        <w:tabs>
          <w:tab w:leader="none" w:pos="2592" w:val="left"/>
        </w:tabs>
        <w:numPr>
          <w:ilvl w:val="0"/>
          <w:numId w:val="56"/>
        </w:numPr>
        <w:rPr>
          <w:rFonts w:ascii="Arial" w:cs="Arial" w:eastAsia="Arial" w:hAnsi="Arial"/>
          <w:sz w:val="21"/>
          <w:szCs w:val="21"/>
          <w:color w:val="auto"/>
        </w:rPr>
      </w:pPr>
      <w:r>
        <w:rPr>
          <w:rFonts w:ascii="Arial" w:cs="Arial" w:eastAsia="Arial" w:hAnsi="Arial"/>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67" w:lineRule="exact"/>
        <w:rPr>
          <w:rFonts w:ascii="Arial" w:cs="Arial" w:eastAsia="Arial" w:hAnsi="Arial"/>
          <w:sz w:val="21"/>
          <w:szCs w:val="21"/>
          <w:color w:val="auto"/>
        </w:rPr>
      </w:pPr>
    </w:p>
    <w:p>
      <w:pPr>
        <w:jc w:val="both"/>
        <w:ind w:left="660" w:firstLine="1292"/>
        <w:spacing w:after="0" w:line="253" w:lineRule="auto"/>
        <w:tabs>
          <w:tab w:leader="none" w:pos="2599" w:val="left"/>
        </w:tabs>
        <w:numPr>
          <w:ilvl w:val="0"/>
          <w:numId w:val="56"/>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(collectively, the “</w:t>
      </w:r>
      <w:r>
        <w:rPr>
          <w:rFonts w:ascii="Arial" w:cs="Arial" w:eastAsia="Arial" w:hAnsi="Arial"/>
          <w:sz w:val="19"/>
          <w:szCs w:val="19"/>
          <w:b w:val="1"/>
          <w:bCs w:val="1"/>
          <w:u w:val="single" w:color="auto"/>
          <w:color w:val="auto"/>
        </w:rPr>
        <w:t>Accrued Benefits</w:t>
      </w:r>
      <w:r>
        <w:rPr>
          <w:rFonts w:ascii="Arial" w:cs="Arial" w:eastAsia="Arial" w:hAnsi="Arial"/>
          <w:sz w:val="19"/>
          <w:szCs w:val="19"/>
          <w:color w:val="auto"/>
        </w:rPr>
        <w:t xml:space="preserve">”). In addition, subject to any limitation under applicable law, previously paid compensation pursuant to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of a termination of Employee’s employment for Cause.</w:t>
      </w:r>
    </w:p>
    <w:p>
      <w:pPr>
        <w:spacing w:after="0" w:line="163" w:lineRule="exact"/>
        <w:rPr>
          <w:sz w:val="20"/>
          <w:szCs w:val="20"/>
          <w:color w:val="auto"/>
        </w:rPr>
      </w:pPr>
    </w:p>
    <w:p>
      <w:pPr>
        <w:jc w:val="both"/>
        <w:ind w:firstLine="1304"/>
        <w:spacing w:after="0" w:line="253" w:lineRule="auto"/>
        <w:tabs>
          <w:tab w:leader="none" w:pos="193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71" w:name="page72"/>
    <w:bookmarkEnd w:id="71"/>
    <w:p>
      <w:pPr>
        <w:ind w:left="2580" w:hanging="628"/>
        <w:spacing w:after="0"/>
        <w:tabs>
          <w:tab w:leader="none" w:pos="25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201" w:lineRule="exact"/>
        <w:rPr>
          <w:rFonts w:ascii="Arial" w:cs="Arial" w:eastAsia="Arial" w:hAnsi="Arial"/>
          <w:sz w:val="21"/>
          <w:szCs w:val="21"/>
          <w:color w:val="auto"/>
        </w:rPr>
      </w:pPr>
    </w:p>
    <w:p>
      <w:pPr>
        <w:ind w:left="2600" w:hanging="648"/>
        <w:spacing w:after="0"/>
        <w:tabs>
          <w:tab w:leader="none" w:pos="26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219" w:lineRule="exact"/>
        <w:rPr>
          <w:rFonts w:ascii="Arial" w:cs="Arial" w:eastAsia="Arial" w:hAnsi="Arial"/>
          <w:sz w:val="22"/>
          <w:szCs w:val="22"/>
          <w:color w:val="auto"/>
        </w:rPr>
      </w:pPr>
    </w:p>
    <w:p>
      <w:pPr>
        <w:jc w:val="both"/>
        <w:ind w:left="660" w:firstLine="1292"/>
        <w:spacing w:after="0" w:line="250" w:lineRule="auto"/>
        <w:tabs>
          <w:tab w:leader="none" w:pos="2604"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(excluding, however, any relocation of Employee’s primary work location to a city in Los Angeles County, California where the Company maintains its principal corporate offices or within 25 miles of any such city); or</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142" w:lineRule="exact"/>
        <w:rPr>
          <w:sz w:val="20"/>
          <w:szCs w:val="20"/>
          <w:color w:val="auto"/>
        </w:rPr>
      </w:pPr>
    </w:p>
    <w:p>
      <w:pPr>
        <w:jc w:val="both"/>
        <w:ind w:firstLine="1304"/>
        <w:spacing w:after="0" w:line="286" w:lineRule="auto"/>
        <w:tabs>
          <w:tab w:leader="none" w:pos="193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58" w:lineRule="exact"/>
        <w:rPr>
          <w:rFonts w:ascii="Arial" w:cs="Arial" w:eastAsia="Arial" w:hAnsi="Arial"/>
          <w:sz w:val="19"/>
          <w:szCs w:val="19"/>
          <w:color w:val="auto"/>
        </w:rPr>
      </w:pPr>
    </w:p>
    <w:p>
      <w:pPr>
        <w:jc w:val="both"/>
        <w:ind w:firstLine="1304"/>
        <w:spacing w:after="0" w:line="312" w:lineRule="auto"/>
        <w:tabs>
          <w:tab w:leader="none" w:pos="1941"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Employee’s Right to Terminate for Convenience</w:t>
      </w:r>
      <w:r>
        <w:rPr>
          <w:rFonts w:ascii="Arial" w:cs="Arial" w:eastAsia="Arial" w:hAnsi="Arial"/>
          <w:sz w:val="19"/>
          <w:szCs w:val="19"/>
          <w:color w:val="auto"/>
        </w:rPr>
        <w:t>.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22"/>
          <w:szCs w:val="22"/>
          <w:color w:val="auto"/>
        </w:rPr>
        <w:t xml:space="preserve">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Arial" w:cs="Arial" w:eastAsia="Arial" w:hAnsi="Arial"/>
          <w:sz w:val="22"/>
          <w:szCs w:val="22"/>
          <w:u w:val="single" w:color="auto"/>
          <w:color w:val="auto"/>
        </w:rPr>
        <w:t>Section 7(b)</w:t>
      </w:r>
      <w:r>
        <w:rPr>
          <w:rFonts w:ascii="Arial" w:cs="Arial" w:eastAsia="Arial" w:hAnsi="Arial"/>
          <w:sz w:val="22"/>
          <w:szCs w:val="22"/>
          <w:color w:val="auto"/>
        </w:rPr>
        <w:t xml:space="preserve">). Upon the termination of Employee’s employment pursuant to this </w:t>
      </w:r>
      <w:r>
        <w:rPr>
          <w:rFonts w:ascii="Arial" w:cs="Arial" w:eastAsia="Arial" w:hAnsi="Arial"/>
          <w:sz w:val="22"/>
          <w:szCs w:val="22"/>
          <w:u w:val="single" w:color="auto"/>
          <w:color w:val="auto"/>
        </w:rPr>
        <w:t>Section 7(e)</w:t>
      </w:r>
      <w:r>
        <w:rPr>
          <w:rFonts w:ascii="Arial" w:cs="Arial" w:eastAsia="Arial" w:hAnsi="Arial"/>
          <w:sz w:val="22"/>
          <w:szCs w:val="22"/>
          <w:color w:val="auto"/>
        </w:rPr>
        <w:t xml:space="preserve"> or at the expiration of the term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because Employee provided written notice of non-renewal to the Company, then the Company shall pay to Employee the Accrued Benefits.</w:t>
      </w:r>
    </w:p>
    <w:p>
      <w:pPr>
        <w:spacing w:after="0" w:line="19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1"/>
          <w:szCs w:val="21"/>
          <w:color w:val="auto"/>
        </w:rPr>
        <w:t>(f)</w:t>
      </w:r>
      <w:r>
        <w:rPr>
          <w:sz w:val="20"/>
          <w:szCs w:val="20"/>
          <w:color w:val="auto"/>
        </w:rPr>
        <w:tab/>
      </w:r>
      <w:r>
        <w:rPr>
          <w:rFonts w:ascii="Arial" w:cs="Arial" w:eastAsia="Arial" w:hAnsi="Arial"/>
          <w:sz w:val="21"/>
          <w:szCs w:val="21"/>
          <w:u w:val="single" w:color="auto"/>
          <w:color w:val="auto"/>
        </w:rPr>
        <w:t>Effect of Termination of Employment without Cause, for Good Reason or for Non-Renewal by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02" w:lineRule="exact"/>
        <w:rPr>
          <w:sz w:val="20"/>
          <w:szCs w:val="20"/>
          <w:color w:val="auto"/>
        </w:rPr>
      </w:pPr>
    </w:p>
    <w:p>
      <w:pPr>
        <w:jc w:val="both"/>
        <w:ind w:left="660" w:firstLine="1292"/>
        <w:spacing w:after="0" w:line="286" w:lineRule="auto"/>
        <w:tabs>
          <w:tab w:leader="none" w:pos="2592"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Employee’s employment is terminated at the expiration of the term provided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because the Company provided written notice of non-renewal to Employee, or prior to the expiration of such term by the Company without Cause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or by Employee for Good Reason pursuant to </w:t>
      </w:r>
      <w:r>
        <w:rPr>
          <w:rFonts w:ascii="Arial" w:cs="Arial" w:eastAsia="Arial" w:hAnsi="Arial"/>
          <w:sz w:val="19"/>
          <w:szCs w:val="19"/>
          <w:u w:val="single" w:color="auto"/>
          <w:color w:val="auto"/>
        </w:rPr>
        <w:t>Section 7(c)</w:t>
      </w:r>
      <w:r>
        <w:rPr>
          <w:rFonts w:ascii="Arial" w:cs="Arial" w:eastAsia="Arial" w:hAnsi="Arial"/>
          <w:sz w:val="19"/>
          <w:szCs w:val="19"/>
          <w:color w:val="auto"/>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and (y) abides by the terms of each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then:</w:t>
      </w:r>
    </w:p>
    <w:p>
      <w:pPr>
        <w:spacing w:after="0" w:line="158" w:lineRule="exact"/>
        <w:rPr>
          <w:rFonts w:ascii="Arial" w:cs="Arial" w:eastAsia="Arial" w:hAnsi="Arial"/>
          <w:sz w:val="19"/>
          <w:szCs w:val="19"/>
          <w:color w:val="auto"/>
        </w:rPr>
      </w:pPr>
    </w:p>
    <w:p>
      <w:pPr>
        <w:jc w:val="both"/>
        <w:ind w:left="1300" w:firstLine="1300"/>
        <w:spacing w:after="0" w:line="292" w:lineRule="auto"/>
        <w:tabs>
          <w:tab w:leader="none" w:pos="3326"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Company shall make severance payments to Employee in a total amount equal to eighteen (18) months’ worth of Employee’s Base Salary for the year in which such termination occurs (such total severance payments being referred to as the “</w:t>
      </w:r>
      <w:r>
        <w:rPr>
          <w:rFonts w:ascii="Arial" w:cs="Arial" w:eastAsia="Arial" w:hAnsi="Arial"/>
          <w:sz w:val="19"/>
          <w:szCs w:val="19"/>
          <w:b w:val="1"/>
          <w:bCs w:val="1"/>
          <w:u w:val="single" w:color="auto"/>
          <w:color w:val="auto"/>
        </w:rPr>
        <w:t>Severance Payment</w:t>
      </w:r>
      <w:r>
        <w:rPr>
          <w:rFonts w:ascii="Arial" w:cs="Arial" w:eastAsia="Arial" w:hAnsi="Arial"/>
          <w:sz w:val="19"/>
          <w:szCs w:val="19"/>
          <w:color w:val="auto"/>
        </w:rPr>
        <w:t>”). The Severance Payment will be divided into substantially equal installments paid over the eighteen (18)-month period following the date on which Employee’s employment terminates (the “</w:t>
      </w: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the Company shall pay to Employee, without interest, a number of such installments equal to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73" w:name="page74"/>
    <w:bookmarkEnd w:id="73"/>
    <w:p>
      <w:pPr>
        <w:jc w:val="both"/>
        <w:ind w:left="180"/>
        <w:spacing w:after="0" w:line="286" w:lineRule="auto"/>
        <w:rPr>
          <w:sz w:val="20"/>
          <w:szCs w:val="20"/>
          <w:color w:val="auto"/>
        </w:rPr>
      </w:pPr>
      <w:r>
        <w:rPr>
          <w:rFonts w:ascii="Arial" w:cs="Arial" w:eastAsia="Arial" w:hAnsi="Arial"/>
          <w:sz w:val="19"/>
          <w:szCs w:val="19"/>
          <w:color w:val="auto"/>
        </w:rPr>
        <w:t xml:space="preserve">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such eighteen (18)-month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if any, that the aggregate amount of the installments of the Severance Payment that 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except a Saturday, Sunday or other day on which commercial banks in San Francisco, California, are authorized or required by law to be closed.</w:t>
      </w:r>
    </w:p>
    <w:p>
      <w:pPr>
        <w:spacing w:after="0" w:line="162" w:lineRule="exact"/>
        <w:rPr>
          <w:sz w:val="20"/>
          <w:szCs w:val="20"/>
          <w:color w:val="auto"/>
        </w:rPr>
      </w:pPr>
    </w:p>
    <w:p>
      <w:pPr>
        <w:jc w:val="both"/>
        <w:ind w:left="180" w:firstLine="1300"/>
        <w:spacing w:after="0" w:line="291" w:lineRule="auto"/>
        <w:tabs>
          <w:tab w:leader="none" w:pos="2115"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Company shall pay Employee an amount equal to one (1) times Employee’s target Annual Bonus for the Bonus Year (one and one-half (1.5) times, if such termination occurs upon or within the one</w:t>
      </w:r>
    </w:p>
    <w:p>
      <w:pPr>
        <w:spacing w:after="0" w:line="1" w:lineRule="exact"/>
        <w:rPr>
          <w:rFonts w:ascii="Arial" w:cs="Arial" w:eastAsia="Arial" w:hAnsi="Arial"/>
          <w:sz w:val="19"/>
          <w:szCs w:val="19"/>
          <w:color w:val="auto"/>
        </w:rPr>
      </w:pPr>
    </w:p>
    <w:p>
      <w:pPr>
        <w:jc w:val="both"/>
        <w:ind w:left="180"/>
        <w:spacing w:after="0" w:line="288" w:lineRule="auto"/>
        <w:rPr>
          <w:rFonts w:ascii="Arial" w:cs="Arial" w:eastAsia="Arial" w:hAnsi="Arial"/>
          <w:sz w:val="19"/>
          <w:szCs w:val="19"/>
          <w:color w:val="auto"/>
        </w:rPr>
      </w:pPr>
      <w:r>
        <w:rPr>
          <w:rFonts w:ascii="Arial" w:cs="Arial" w:eastAsia="Arial" w:hAnsi="Arial"/>
          <w:sz w:val="19"/>
          <w:szCs w:val="19"/>
          <w:color w:val="auto"/>
        </w:rPr>
        <w:t>(1)-year period following a Change in Control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 in which the Termination Date occurs, which amount shall be paid on the First Payment Date, but in no event later than March 15 of the calendar year following the calendar year in which the Termination Date occurs.</w:t>
      </w:r>
    </w:p>
    <w:p>
      <w:pPr>
        <w:spacing w:after="0" w:line="158" w:lineRule="exact"/>
        <w:rPr>
          <w:rFonts w:ascii="Arial" w:cs="Arial" w:eastAsia="Arial" w:hAnsi="Arial"/>
          <w:sz w:val="19"/>
          <w:szCs w:val="19"/>
          <w:color w:val="auto"/>
        </w:rPr>
      </w:pPr>
    </w:p>
    <w:p>
      <w:pPr>
        <w:jc w:val="both"/>
        <w:ind w:left="180" w:firstLine="1300"/>
        <w:spacing w:after="0" w:line="259" w:lineRule="auto"/>
        <w:tabs>
          <w:tab w:leader="none" w:pos="2115" w:val="left"/>
        </w:tabs>
        <w:numPr>
          <w:ilvl w:val="0"/>
          <w:numId w:val="61"/>
        </w:numPr>
        <w:rPr>
          <w:rFonts w:ascii="Arial" w:cs="Arial" w:eastAsia="Arial" w:hAnsi="Arial"/>
          <w:sz w:val="21"/>
          <w:szCs w:val="21"/>
          <w:color w:val="auto"/>
        </w:rPr>
      </w:pPr>
      <w:r>
        <w:rPr>
          <w:rFonts w:ascii="Arial" w:cs="Arial" w:eastAsia="Arial" w:hAnsi="Arial"/>
          <w:sz w:val="21"/>
          <w:szCs w:val="21"/>
          <w:color w:val="auto"/>
        </w:rPr>
        <w:t>During the portion, if any, of the eighteen (18)-month period following the Termination Date (the “</w:t>
      </w:r>
      <w:r>
        <w:rPr>
          <w:rFonts w:ascii="Arial" w:cs="Arial" w:eastAsia="Arial" w:hAnsi="Arial"/>
          <w:sz w:val="21"/>
          <w:szCs w:val="21"/>
          <w:b w:val="1"/>
          <w:bCs w:val="1"/>
          <w:u w:val="single" w:color="auto"/>
          <w:color w:val="auto"/>
        </w:rPr>
        <w:t>Reimbursement Period</w:t>
      </w:r>
      <w:r>
        <w:rPr>
          <w:rFonts w:ascii="Arial" w:cs="Arial" w:eastAsia="Arial" w:hAnsi="Arial"/>
          <w:sz w:val="21"/>
          <w:szCs w:val="21"/>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21"/>
          <w:szCs w:val="21"/>
          <w:b w:val="1"/>
          <w:bCs w:val="1"/>
          <w:u w:val="single" w:color="auto"/>
          <w:color w:val="auto"/>
        </w:rPr>
        <w:t>COBRA</w:t>
      </w:r>
      <w:r>
        <w:rPr>
          <w:rFonts w:ascii="Arial" w:cs="Arial" w:eastAsia="Arial" w:hAnsi="Arial"/>
          <w:sz w:val="21"/>
          <w:szCs w:val="21"/>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Arial" w:cs="Arial" w:eastAsia="Arial" w:hAnsi="Arial"/>
          <w:sz w:val="21"/>
          <w:szCs w:val="21"/>
          <w:b w:val="1"/>
          <w:bCs w:val="1"/>
          <w:u w:val="single" w:color="auto"/>
          <w:color w:val="auto"/>
        </w:rPr>
        <w:t>COBRA Benefit</w:t>
      </w:r>
      <w:r>
        <w:rPr>
          <w:rFonts w:ascii="Arial" w:cs="Arial" w:eastAsia="Arial" w:hAnsi="Arial"/>
          <w:sz w:val="21"/>
          <w:szCs w:val="21"/>
          <w:color w:val="auto"/>
        </w:rPr>
        <w:t>”). Each payment of the COBRA Benefit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8" w:right="339" w:bottom="1440" w:gutter="0" w:footer="0" w:header="0"/>
        </w:sectPr>
      </w:pPr>
    </w:p>
    <w:bookmarkStart w:id="74" w:name="page75"/>
    <w:bookmarkEnd w:id="74"/>
    <w:p>
      <w:pPr>
        <w:jc w:val="both"/>
        <w:ind w:left="640"/>
        <w:spacing w:after="0" w:line="285" w:lineRule="auto"/>
        <w:rPr>
          <w:sz w:val="20"/>
          <w:szCs w:val="20"/>
          <w:color w:val="auto"/>
        </w:rPr>
      </w:pPr>
      <w:r>
        <w:rPr>
          <w:rFonts w:ascii="Arial" w:cs="Arial" w:eastAsia="Arial" w:hAnsi="Arial"/>
          <w:sz w:val="19"/>
          <w:szCs w:val="19"/>
          <w:color w:val="auto"/>
        </w:rPr>
        <w:t>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w:t>
      </w:r>
    </w:p>
    <w:p>
      <w:pPr>
        <w:jc w:val="both"/>
        <w:ind w:left="640" w:firstLine="4"/>
        <w:spacing w:after="0" w:line="286" w:lineRule="auto"/>
        <w:tabs>
          <w:tab w:leader="none" w:pos="962"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159" w:lineRule="exact"/>
        <w:rPr>
          <w:rFonts w:ascii="Arial" w:cs="Arial" w:eastAsia="Arial" w:hAnsi="Arial"/>
          <w:sz w:val="19"/>
          <w:szCs w:val="19"/>
          <w:color w:val="auto"/>
        </w:rPr>
      </w:pPr>
    </w:p>
    <w:p>
      <w:pPr>
        <w:jc w:val="both"/>
        <w:ind w:left="640" w:firstLine="1300"/>
        <w:spacing w:after="0" w:line="246" w:lineRule="auto"/>
        <w:tabs>
          <w:tab w:leader="none" w:pos="2573" w:val="left"/>
        </w:tabs>
        <w:numPr>
          <w:ilvl w:val="1"/>
          <w:numId w:val="62"/>
        </w:numPr>
        <w:rPr>
          <w:rFonts w:ascii="Arial" w:cs="Arial" w:eastAsia="Arial" w:hAnsi="Arial"/>
          <w:sz w:val="22"/>
          <w:szCs w:val="22"/>
          <w:color w:val="auto"/>
        </w:rPr>
      </w:pPr>
      <w:r>
        <w:rPr>
          <w:rFonts w:ascii="Arial" w:cs="Arial" w:eastAsia="Arial" w:hAnsi="Arial"/>
          <w:sz w:val="22"/>
          <w:szCs w:val="22"/>
          <w:color w:val="auto"/>
        </w:rPr>
        <w:t>One-hundred percent (100%) of the Initial RSUs shall immediately become nonforfeitable, and, notwithstanding anything to the contrary in the award agreement evidencing the grant of the Initial PSUs, one-hundred percent (100%) of the Initial PSUs shall become “Vested PS Units” (as such term is defined in the award agreement evidencing the grant of the Initial PSUs), shall remain outstanding only until the earlier of the date that is six months after the Termination Date or the last day of the applicable performance period, and shall be eligible to become earned based on the level of achievement of the applicable performance goal only through such earlier date.</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payments and benefits described in clauses (A), (B), (C) and (D)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175" w:lineRule="exact"/>
        <w:rPr>
          <w:sz w:val="20"/>
          <w:szCs w:val="20"/>
          <w:color w:val="auto"/>
        </w:rPr>
      </w:pPr>
    </w:p>
    <w:p>
      <w:pPr>
        <w:jc w:val="both"/>
        <w:ind w:firstLine="1292"/>
        <w:spacing w:after="0" w:line="294" w:lineRule="auto"/>
        <w:tabs>
          <w:tab w:leader="none" w:pos="1938" w:val="left"/>
        </w:tabs>
        <w:numPr>
          <w:ilvl w:val="0"/>
          <w:numId w:val="63"/>
        </w:numPr>
        <w:rPr>
          <w:rFonts w:ascii="Arial" w:cs="Arial" w:eastAsia="Arial" w:hAnsi="Arial"/>
          <w:sz w:val="19"/>
          <w:szCs w:val="19"/>
          <w:color w:val="auto"/>
        </w:rPr>
      </w:pPr>
      <w:r>
        <w:rPr>
          <w:rFonts w:ascii="Arial" w:cs="Arial" w:eastAsia="Arial" w:hAnsi="Arial"/>
          <w:sz w:val="19"/>
          <w:szCs w:val="19"/>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19"/>
          <w:szCs w:val="19"/>
          <w:b w:val="1"/>
          <w:bCs w:val="1"/>
          <w:u w:val="single" w:color="auto"/>
          <w:color w:val="auto"/>
        </w:rPr>
        <w:t>Release Expiration Date</w:t>
      </w:r>
      <w:r>
        <w:rPr>
          <w:rFonts w:ascii="Arial" w:cs="Arial" w:eastAsia="Arial" w:hAnsi="Arial"/>
          <w:sz w:val="19"/>
          <w:szCs w:val="19"/>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28" w:right="339" w:bottom="1440" w:gutter="0" w:footer="0" w:header="0"/>
        </w:sectPr>
      </w:pPr>
    </w:p>
    <w:bookmarkStart w:id="75" w:name="page76"/>
    <w:bookmarkEnd w:id="75"/>
    <w:p>
      <w:pPr>
        <w:ind w:left="660"/>
        <w:spacing w:after="0" w:line="263" w:lineRule="auto"/>
        <w:rPr>
          <w:sz w:val="20"/>
          <w:szCs w:val="20"/>
          <w:color w:val="auto"/>
        </w:rPr>
      </w:pPr>
      <w:r>
        <w:rPr>
          <w:rFonts w:ascii="Arial" w:cs="Arial" w:eastAsia="Arial" w:hAnsi="Arial"/>
          <w:sz w:val="22"/>
          <w:szCs w:val="22"/>
          <w:color w:val="auto"/>
        </w:rPr>
        <w:t>phrase is defined in the Age Discrimination in Employment Act of 1967), the date that is forty-five (45) days following such delivery date.</w:t>
      </w:r>
    </w:p>
    <w:p>
      <w:pPr>
        <w:spacing w:after="0" w:line="175" w:lineRule="exact"/>
        <w:rPr>
          <w:sz w:val="20"/>
          <w:szCs w:val="20"/>
          <w:color w:val="auto"/>
        </w:rPr>
      </w:pPr>
    </w:p>
    <w:p>
      <w:pPr>
        <w:jc w:val="both"/>
        <w:ind w:firstLine="1304"/>
        <w:spacing w:after="0" w:line="287" w:lineRule="auto"/>
        <w:tabs>
          <w:tab w:leader="none" w:pos="1939"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656"/>
        <w:spacing w:after="0" w:line="262" w:lineRule="auto"/>
        <w:tabs>
          <w:tab w:leader="none" w:pos="1296" w:val="left"/>
        </w:tabs>
        <w:numPr>
          <w:ilvl w:val="0"/>
          <w:numId w:val="65"/>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Disclosures</w:t>
      </w:r>
      <w:r>
        <w:rPr>
          <w:rFonts w:ascii="Arial" w:cs="Arial" w:eastAsia="Arial" w:hAnsi="Arial"/>
          <w:sz w:val="21"/>
          <w:szCs w:val="21"/>
          <w:color w:val="auto"/>
        </w:rPr>
        <w:t>. Promptly (and in any event, within three (3) Business Days) upon becoming aware of (a) any actual</w:t>
      </w:r>
      <w:r>
        <w:rPr>
          <w:rFonts w:ascii="Arial" w:cs="Arial" w:eastAsia="Arial" w:hAnsi="Arial"/>
          <w:sz w:val="21"/>
          <w:szCs w:val="21"/>
          <w:b w:val="1"/>
          <w:bCs w:val="1"/>
          <w:color w:val="auto"/>
        </w:rPr>
        <w:t xml:space="preserve"> </w:t>
      </w:r>
      <w:r>
        <w:rPr>
          <w:rFonts w:ascii="Arial" w:cs="Arial" w:eastAsia="Arial" w:hAnsi="Arial"/>
          <w:sz w:val="21"/>
          <w:szCs w:val="21"/>
          <w:color w:val="auto"/>
        </w:rPr>
        <w:t>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1"/>
          <w:szCs w:val="21"/>
          <w:b w:val="1"/>
          <w:bCs w:val="1"/>
          <w:u w:val="single" w:color="auto"/>
          <w:color w:val="auto"/>
        </w:rPr>
        <w:t>Conflict of Interest</w:t>
      </w:r>
      <w:r>
        <w:rPr>
          <w:rFonts w:ascii="Arial" w:cs="Arial" w:eastAsia="Arial" w:hAnsi="Arial"/>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3"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1304"/>
        <w:spacing w:after="0" w:line="292" w:lineRule="auto"/>
        <w:tabs>
          <w:tab w:leader="none" w:pos="1941"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Arial" w:cs="Arial" w:eastAsia="Arial" w:hAnsi="Arial"/>
          <w:sz w:val="19"/>
          <w:szCs w:val="19"/>
          <w:u w:val="single" w:color="auto"/>
          <w:color w:val="auto"/>
        </w:rPr>
        <w:t>Section 9(a)</w:t>
      </w:r>
      <w:r>
        <w:rPr>
          <w:rFonts w:ascii="Arial" w:cs="Arial" w:eastAsia="Arial" w:hAnsi="Arial"/>
          <w:sz w:val="19"/>
          <w:szCs w:val="19"/>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76" w:name="page77"/>
    <w:bookmarkEnd w:id="76"/>
    <w:p>
      <w:pPr>
        <w:ind w:right="20" w:firstLine="1304"/>
        <w:spacing w:after="0" w:line="263" w:lineRule="auto"/>
        <w:tabs>
          <w:tab w:leader="none" w:pos="1939"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174" w:lineRule="exact"/>
        <w:rPr>
          <w:rFonts w:ascii="Arial" w:cs="Arial" w:eastAsia="Arial" w:hAnsi="Arial"/>
          <w:sz w:val="22"/>
          <w:szCs w:val="22"/>
          <w:color w:val="auto"/>
        </w:rPr>
      </w:pPr>
    </w:p>
    <w:p>
      <w:pPr>
        <w:ind w:left="660" w:firstLine="1292"/>
        <w:spacing w:after="0" w:line="263" w:lineRule="auto"/>
        <w:tabs>
          <w:tab w:leader="none" w:pos="25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74" w:lineRule="exact"/>
        <w:rPr>
          <w:rFonts w:ascii="Arial" w:cs="Arial" w:eastAsia="Arial" w:hAnsi="Arial"/>
          <w:sz w:val="22"/>
          <w:szCs w:val="22"/>
          <w:color w:val="auto"/>
        </w:rPr>
      </w:pPr>
    </w:p>
    <w:p>
      <w:pPr>
        <w:jc w:val="both"/>
        <w:ind w:left="660" w:firstLine="1292"/>
        <w:spacing w:after="0" w:line="253" w:lineRule="auto"/>
        <w:tabs>
          <w:tab w:leader="none" w:pos="2598" w:val="left"/>
        </w:tabs>
        <w:numPr>
          <w:ilvl w:val="1"/>
          <w:numId w:val="66"/>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1"/>
          <w:numId w:val="66"/>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941" w:val="left"/>
        </w:tabs>
        <w:numPr>
          <w:ilvl w:val="0"/>
          <w:numId w:val="66"/>
        </w:numPr>
        <w:rPr>
          <w:rFonts w:ascii="Arial" w:cs="Arial" w:eastAsia="Arial" w:hAnsi="Arial"/>
          <w:sz w:val="21"/>
          <w:szCs w:val="21"/>
          <w:color w:val="auto"/>
        </w:rPr>
      </w:pPr>
      <w:r>
        <w:rPr>
          <w:rFonts w:ascii="Arial" w:cs="Arial" w:eastAsia="Arial" w:hAnsi="Arial"/>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Arial" w:cs="Arial" w:eastAsia="Arial" w:hAnsi="Arial"/>
          <w:sz w:val="21"/>
          <w:szCs w:val="21"/>
          <w:color w:val="auto"/>
        </w:rPr>
      </w:pPr>
    </w:p>
    <w:p>
      <w:pPr>
        <w:jc w:val="both"/>
        <w:ind w:firstLine="1304"/>
        <w:spacing w:after="0" w:line="286" w:lineRule="auto"/>
        <w:tabs>
          <w:tab w:leader="none" w:pos="1939"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 Information</w:t>
      </w:r>
      <w:r>
        <w:rPr>
          <w:rFonts w:ascii="Arial" w:cs="Arial" w:eastAsia="Arial" w:hAnsi="Arial"/>
          <w:sz w:val="19"/>
          <w:szCs w:val="19"/>
          <w:color w:val="auto"/>
        </w:rPr>
        <w:t>.”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7" w:name="page78"/>
    <w:bookmarkEnd w:id="77"/>
    <w:p>
      <w:pPr>
        <w:jc w:val="both"/>
        <w:spacing w:after="0" w:line="259" w:lineRule="auto"/>
        <w:rPr>
          <w:sz w:val="20"/>
          <w:szCs w:val="20"/>
          <w:color w:val="auto"/>
        </w:rPr>
      </w:pPr>
      <w:r>
        <w:rPr>
          <w:rFonts w:ascii="Arial" w:cs="Arial" w:eastAsia="Arial" w:hAnsi="Arial"/>
          <w:sz w:val="21"/>
          <w:szCs w:val="21"/>
          <w:color w:val="auto"/>
        </w:rPr>
        <w:t xml:space="preserve">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21"/>
          <w:szCs w:val="21"/>
          <w:i w:val="1"/>
          <w:iCs w:val="1"/>
          <w:color w:val="auto"/>
        </w:rPr>
        <w:t>provided, however</w:t>
      </w:r>
      <w:r>
        <w:rPr>
          <w:rFonts w:ascii="Arial" w:cs="Arial" w:eastAsia="Arial" w:hAnsi="Arial"/>
          <w:sz w:val="21"/>
          <w:szCs w:val="21"/>
          <w:color w:val="auto"/>
        </w:rPr>
        <w:t>, that such source is not bound by a confidentiality agreement with, or other obligation with respect to confidentiality to, a member of the Company Group.</w:t>
      </w:r>
    </w:p>
    <w:p>
      <w:pPr>
        <w:spacing w:after="0" w:line="183" w:lineRule="exact"/>
        <w:rPr>
          <w:sz w:val="20"/>
          <w:szCs w:val="20"/>
          <w:color w:val="auto"/>
        </w:rPr>
      </w:pPr>
    </w:p>
    <w:p>
      <w:pPr>
        <w:jc w:val="both"/>
        <w:ind w:firstLine="1304"/>
        <w:spacing w:after="0" w:line="288" w:lineRule="auto"/>
        <w:tabs>
          <w:tab w:leader="none" w:pos="1941" w:val="left"/>
        </w:tabs>
        <w:numPr>
          <w:ilvl w:val="2"/>
          <w:numId w:val="67"/>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w:t>
      </w:r>
    </w:p>
    <w:p>
      <w:pPr>
        <w:jc w:val="both"/>
        <w:ind w:firstLine="8"/>
        <w:spacing w:after="0" w:line="286" w:lineRule="auto"/>
        <w:tabs>
          <w:tab w:leader="none" w:pos="356" w:val="left"/>
        </w:tabs>
        <w:numPr>
          <w:ilvl w:val="0"/>
          <w:numId w:val="68"/>
        </w:numPr>
        <w:rPr>
          <w:rFonts w:ascii="Arial" w:cs="Arial" w:eastAsia="Arial" w:hAnsi="Arial"/>
          <w:sz w:val="19"/>
          <w:szCs w:val="19"/>
          <w:color w:val="auto"/>
        </w:rPr>
      </w:pPr>
      <w:r>
        <w:rPr>
          <w:rFonts w:ascii="Arial" w:cs="Arial" w:eastAsia="Arial" w:hAnsi="Arial"/>
          <w:sz w:val="19"/>
          <w:szCs w:val="19"/>
          <w:color w:val="auto"/>
        </w:rPr>
        <w:t>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39" w:lineRule="exact"/>
        <w:rPr>
          <w:rFonts w:ascii="Arial" w:cs="Arial" w:eastAsia="Arial" w:hAnsi="Arial"/>
          <w:sz w:val="19"/>
          <w:szCs w:val="19"/>
          <w:color w:val="auto"/>
        </w:rPr>
      </w:pPr>
    </w:p>
    <w:p>
      <w:pPr>
        <w:ind w:left="1300" w:hanging="644"/>
        <w:spacing w:after="0"/>
        <w:tabs>
          <w:tab w:leader="none" w:pos="1300" w:val="left"/>
        </w:tabs>
        <w:numPr>
          <w:ilvl w:val="1"/>
          <w:numId w:val="68"/>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225" w:lineRule="exact"/>
        <w:rPr>
          <w:rFonts w:ascii="Arial" w:cs="Arial" w:eastAsia="Arial" w:hAnsi="Arial"/>
          <w:sz w:val="22"/>
          <w:szCs w:val="22"/>
          <w:color w:val="auto"/>
        </w:rPr>
      </w:pPr>
    </w:p>
    <w:p>
      <w:pPr>
        <w:jc w:val="both"/>
        <w:ind w:firstLine="1304"/>
        <w:spacing w:after="0" w:line="288" w:lineRule="auto"/>
        <w:tabs>
          <w:tab w:leader="none" w:pos="1941" w:val="left"/>
        </w:tabs>
        <w:numPr>
          <w:ilvl w:val="2"/>
          <w:numId w:val="68"/>
        </w:numPr>
        <w:rPr>
          <w:rFonts w:ascii="Arial" w:cs="Arial" w:eastAsia="Arial" w:hAnsi="Arial"/>
          <w:sz w:val="19"/>
          <w:szCs w:val="19"/>
          <w:color w:val="auto"/>
        </w:rPr>
      </w:pPr>
      <w:r>
        <w:rPr>
          <w:rFonts w:ascii="Arial" w:cs="Arial" w:eastAsia="Arial" w:hAnsi="Arial"/>
          <w:sz w:val="19"/>
          <w:szCs w:val="19"/>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78" w:name="page79"/>
    <w:bookmarkEnd w:id="78"/>
    <w:p>
      <w:pPr>
        <w:jc w:val="both"/>
        <w:spacing w:after="0" w:line="260" w:lineRule="auto"/>
        <w:rPr>
          <w:sz w:val="20"/>
          <w:szCs w:val="20"/>
          <w:color w:val="auto"/>
        </w:rPr>
      </w:pPr>
      <w:r>
        <w:rPr>
          <w:rFonts w:ascii="Arial" w:cs="Arial" w:eastAsia="Arial" w:hAnsi="Arial"/>
          <w:sz w:val="21"/>
          <w:szCs w:val="21"/>
          <w:color w:val="auto"/>
        </w:rPr>
        <w:t>any member of the Company Group’s equipment, supplies, facilities or Confidential Information (all of the foregoing collectively referred to herein as “</w:t>
      </w:r>
      <w:r>
        <w:rPr>
          <w:rFonts w:ascii="Arial" w:cs="Arial" w:eastAsia="Arial" w:hAnsi="Arial"/>
          <w:sz w:val="21"/>
          <w:szCs w:val="21"/>
          <w:b w:val="1"/>
          <w:bCs w:val="1"/>
          <w:u w:val="single" w:color="auto"/>
          <w:color w:val="auto"/>
        </w:rPr>
        <w:t>Company Intellectual Property</w:t>
      </w:r>
      <w:r>
        <w:rPr>
          <w:rFonts w:ascii="Arial" w:cs="Arial" w:eastAsia="Arial" w:hAnsi="Arial"/>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80" w:lineRule="exact"/>
        <w:rPr>
          <w:sz w:val="20"/>
          <w:szCs w:val="20"/>
          <w:color w:val="auto"/>
        </w:rPr>
      </w:pPr>
    </w:p>
    <w:p>
      <w:pPr>
        <w:jc w:val="both"/>
        <w:ind w:firstLine="1304"/>
        <w:spacing w:after="0" w:line="292" w:lineRule="auto"/>
        <w:tabs>
          <w:tab w:leader="none" w:pos="1939"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0" w:lineRule="exact"/>
        <w:rPr>
          <w:rFonts w:ascii="Arial" w:cs="Arial" w:eastAsia="Arial" w:hAnsi="Arial"/>
          <w:sz w:val="19"/>
          <w:szCs w:val="19"/>
          <w:color w:val="auto"/>
        </w:rPr>
      </w:pPr>
    </w:p>
    <w:p>
      <w:pPr>
        <w:jc w:val="both"/>
        <w:ind w:firstLine="1304"/>
        <w:spacing w:after="0" w:line="248" w:lineRule="auto"/>
        <w:tabs>
          <w:tab w:leader="none" w:pos="19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91" w:lineRule="exact"/>
        <w:rPr>
          <w:rFonts w:ascii="Arial" w:cs="Arial" w:eastAsia="Arial" w:hAnsi="Arial"/>
          <w:sz w:val="22"/>
          <w:szCs w:val="22"/>
          <w:color w:val="auto"/>
        </w:rPr>
      </w:pPr>
    </w:p>
    <w:p>
      <w:pPr>
        <w:jc w:val="both"/>
        <w:ind w:firstLine="1304"/>
        <w:spacing w:after="0" w:line="246" w:lineRule="auto"/>
        <w:tabs>
          <w:tab w:leader="none" w:pos="193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2"/>
          <w:szCs w:val="22"/>
          <w:b w:val="1"/>
          <w:bCs w:val="1"/>
          <w:u w:val="single" w:color="auto"/>
          <w:color w:val="auto"/>
        </w:rPr>
        <w:t>Moral Rights</w:t>
      </w:r>
      <w:r>
        <w:rPr>
          <w:rFonts w:ascii="Arial" w:cs="Arial" w:eastAsia="Arial" w:hAnsi="Arial"/>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96" w:lineRule="exact"/>
        <w:rPr>
          <w:rFonts w:ascii="Arial" w:cs="Arial" w:eastAsia="Arial" w:hAnsi="Arial"/>
          <w:sz w:val="22"/>
          <w:szCs w:val="22"/>
          <w:color w:val="auto"/>
        </w:rPr>
      </w:pPr>
    </w:p>
    <w:p>
      <w:pPr>
        <w:jc w:val="both"/>
        <w:ind w:firstLine="1304"/>
        <w:spacing w:after="0" w:line="294" w:lineRule="auto"/>
        <w:tabs>
          <w:tab w:leader="none" w:pos="1941"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and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79" w:name="page80"/>
    <w:bookmarkEnd w:id="79"/>
    <w:p>
      <w:pPr>
        <w:jc w:val="both"/>
        <w:spacing w:after="0" w:line="260" w:lineRule="auto"/>
        <w:rPr>
          <w:sz w:val="20"/>
          <w:szCs w:val="20"/>
          <w:color w:val="auto"/>
        </w:rPr>
      </w:pPr>
      <w:r>
        <w:rPr>
          <w:rFonts w:ascii="Arial" w:cs="Arial" w:eastAsia="Arial" w:hAnsi="Arial"/>
          <w:sz w:val="21"/>
          <w:szCs w:val="21"/>
          <w:color w:val="auto"/>
        </w:rPr>
        <w:t xml:space="preserve">represents that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80" w:lineRule="exact"/>
        <w:rPr>
          <w:sz w:val="20"/>
          <w:szCs w:val="20"/>
          <w:color w:val="auto"/>
        </w:rPr>
      </w:pPr>
    </w:p>
    <w:p>
      <w:pPr>
        <w:jc w:val="both"/>
        <w:ind w:firstLine="1304"/>
        <w:spacing w:after="0" w:line="259" w:lineRule="auto"/>
        <w:tabs>
          <w:tab w:leader="none" w:pos="1944" w:val="left"/>
        </w:tabs>
        <w:numPr>
          <w:ilvl w:val="0"/>
          <w:numId w:val="70"/>
        </w:numPr>
        <w:rPr>
          <w:rFonts w:ascii="Arial" w:cs="Arial" w:eastAsia="Arial" w:hAnsi="Arial"/>
          <w:sz w:val="21"/>
          <w:szCs w:val="21"/>
          <w:color w:val="auto"/>
        </w:rPr>
      </w:pPr>
      <w:r>
        <w:rPr>
          <w:rFonts w:ascii="Arial" w:cs="Arial" w:eastAsia="Arial" w:hAnsi="Arial"/>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9" w:lineRule="exact"/>
        <w:rPr>
          <w:rFonts w:ascii="Arial" w:cs="Arial" w:eastAsia="Arial" w:hAnsi="Arial"/>
          <w:sz w:val="21"/>
          <w:szCs w:val="21"/>
          <w:color w:val="auto"/>
        </w:rPr>
      </w:pPr>
    </w:p>
    <w:p>
      <w:pPr>
        <w:jc w:val="both"/>
        <w:ind w:firstLine="1304"/>
        <w:spacing w:after="0" w:line="287" w:lineRule="auto"/>
        <w:tabs>
          <w:tab w:leader="none" w:pos="1939"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 secrets or other rights under the Confidential Information or Company Intellectual Property, all with the same legal force and effect as if executed by Employee.</w:t>
      </w:r>
    </w:p>
    <w:p>
      <w:pPr>
        <w:spacing w:after="0" w:line="158" w:lineRule="exact"/>
        <w:rPr>
          <w:rFonts w:ascii="Arial" w:cs="Arial" w:eastAsia="Arial" w:hAnsi="Arial"/>
          <w:sz w:val="19"/>
          <w:szCs w:val="19"/>
          <w:color w:val="auto"/>
        </w:rPr>
      </w:pPr>
    </w:p>
    <w:p>
      <w:pPr>
        <w:jc w:val="both"/>
        <w:ind w:firstLine="1304"/>
        <w:spacing w:after="0" w:line="250" w:lineRule="auto"/>
        <w:tabs>
          <w:tab w:leader="none" w:pos="1939"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80" w:name="page81"/>
    <w:bookmarkEnd w:id="80"/>
    <w:p>
      <w:pPr>
        <w:jc w:val="both"/>
        <w:spacing w:after="0" w:line="294" w:lineRule="auto"/>
        <w:rPr>
          <w:sz w:val="20"/>
          <w:szCs w:val="20"/>
          <w:color w:val="auto"/>
        </w:rPr>
      </w:pPr>
      <w:r>
        <w:rPr>
          <w:rFonts w:ascii="Arial" w:cs="Arial" w:eastAsia="Arial" w:hAnsi="Arial"/>
          <w:sz w:val="19"/>
          <w:szCs w:val="19"/>
          <w:color w:val="auto"/>
        </w:rPr>
        <w:t>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49" w:lineRule="exact"/>
        <w:rPr>
          <w:sz w:val="20"/>
          <w:szCs w:val="20"/>
          <w:color w:val="auto"/>
        </w:rPr>
      </w:pPr>
    </w:p>
    <w:p>
      <w:pPr>
        <w:jc w:val="both"/>
        <w:ind w:firstLine="1304"/>
        <w:spacing w:after="0" w:line="286" w:lineRule="auto"/>
        <w:tabs>
          <w:tab w:leader="none" w:pos="1932"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Arial" w:cs="Arial" w:eastAsia="Arial" w:hAnsi="Arial"/>
          <w:sz w:val="19"/>
          <w:szCs w:val="19"/>
          <w:b w:val="1"/>
          <w:bCs w:val="1"/>
          <w:u w:val="single" w:color="auto"/>
          <w:color w:val="auto"/>
        </w:rPr>
        <w:t>Other Invention</w:t>
      </w:r>
      <w:r>
        <w:rPr>
          <w:rFonts w:ascii="Arial" w:cs="Arial" w:eastAsia="Arial" w:hAnsi="Arial"/>
          <w:sz w:val="19"/>
          <w:szCs w:val="19"/>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398" w:lineRule="exact"/>
        <w:rPr>
          <w:rFonts w:ascii="Arial" w:cs="Arial" w:eastAsia="Arial" w:hAnsi="Arial"/>
          <w:sz w:val="19"/>
          <w:szCs w:val="19"/>
          <w:color w:val="auto"/>
        </w:rPr>
      </w:pPr>
    </w:p>
    <w:p>
      <w:pPr>
        <w:jc w:val="both"/>
        <w:ind w:firstLine="656"/>
        <w:spacing w:after="0" w:line="243" w:lineRule="auto"/>
        <w:tabs>
          <w:tab w:leader="none" w:pos="1288"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cooperate with the Company Group in the defense of any claims or actions that may be made by or against any member of the Company Group that relate to Employee’s actual or prior areas of responsibility.</w:t>
      </w:r>
    </w:p>
    <w:p>
      <w:pPr>
        <w:spacing w:after="0" w:line="176" w:lineRule="exact"/>
        <w:rPr>
          <w:rFonts w:ascii="Arial" w:cs="Arial" w:eastAsia="Arial" w:hAnsi="Arial"/>
          <w:sz w:val="22"/>
          <w:szCs w:val="22"/>
          <w:color w:val="auto"/>
        </w:rPr>
      </w:pPr>
    </w:p>
    <w:p>
      <w:pPr>
        <w:jc w:val="both"/>
        <w:ind w:firstLine="656"/>
        <w:spacing w:after="0" w:line="260" w:lineRule="auto"/>
        <w:tabs>
          <w:tab w:leader="none" w:pos="1296" w:val="left"/>
        </w:tabs>
        <w:numPr>
          <w:ilvl w:val="0"/>
          <w:numId w:val="72"/>
        </w:numPr>
        <w:rPr>
          <w:rFonts w:ascii="Arial" w:cs="Arial" w:eastAsia="Arial" w:hAnsi="Arial"/>
          <w:sz w:val="21"/>
          <w:szCs w:val="21"/>
          <w:color w:val="auto"/>
        </w:rPr>
      </w:pPr>
      <w:r>
        <w:rPr>
          <w:rFonts w:ascii="Arial" w:cs="Arial" w:eastAsia="Arial" w:hAnsi="Arial"/>
          <w:sz w:val="21"/>
          <w:szCs w:val="21"/>
          <w:b w:val="1"/>
          <w:bCs w:val="1"/>
          <w:u w:val="single" w:color="auto"/>
          <w:color w:val="auto"/>
        </w:rPr>
        <w:t>Withholdings; Deductions</w:t>
      </w:r>
      <w:r>
        <w:rPr>
          <w:rFonts w:ascii="Arial" w:cs="Arial" w:eastAsia="Arial" w:hAnsi="Arial"/>
          <w:sz w:val="21"/>
          <w:szCs w:val="21"/>
          <w:color w:val="auto"/>
        </w:rPr>
        <w:t>. The Company may withhold and deduct from any benefits and payments made or to</w:t>
      </w:r>
      <w:r>
        <w:rPr>
          <w:rFonts w:ascii="Arial" w:cs="Arial" w:eastAsia="Arial" w:hAnsi="Arial"/>
          <w:sz w:val="21"/>
          <w:szCs w:val="21"/>
          <w:b w:val="1"/>
          <w:bCs w:val="1"/>
          <w:color w:val="auto"/>
        </w:rPr>
        <w:t xml:space="preserve"> </w:t>
      </w:r>
      <w:r>
        <w:rPr>
          <w:rFonts w:ascii="Arial" w:cs="Arial" w:eastAsia="Arial" w:hAnsi="Arial"/>
          <w:sz w:val="21"/>
          <w:szCs w:val="21"/>
          <w:color w:val="auto"/>
        </w:rPr>
        <w:t>be made pursuant to this Agreement (a) all federal, state, local and other taxes as may be required pursuant to any law or governmental regulation or ruling and (b) any deductions consented to in writing by Employee.</w:t>
      </w:r>
    </w:p>
    <w:p>
      <w:pPr>
        <w:spacing w:after="0" w:line="160" w:lineRule="exact"/>
        <w:rPr>
          <w:rFonts w:ascii="Arial" w:cs="Arial" w:eastAsia="Arial" w:hAnsi="Arial"/>
          <w:sz w:val="21"/>
          <w:szCs w:val="21"/>
          <w:color w:val="auto"/>
        </w:rPr>
      </w:pPr>
    </w:p>
    <w:p>
      <w:pPr>
        <w:jc w:val="both"/>
        <w:ind w:firstLine="656"/>
        <w:spacing w:after="0" w:line="237" w:lineRule="auto"/>
        <w:tabs>
          <w:tab w:leader="none" w:pos="1296" w:val="left"/>
        </w:tabs>
        <w:numPr>
          <w:ilvl w:val="0"/>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Title and Headings; Construction</w:t>
      </w:r>
      <w:r>
        <w:rPr>
          <w:rFonts w:ascii="Arial" w:cs="Arial" w:eastAsia="Arial" w:hAnsi="Arial"/>
          <w:sz w:val="22"/>
          <w:szCs w:val="22"/>
          <w:color w:val="auto"/>
        </w:rPr>
        <w:t>. Titles and headings to Sections hereof are for the purpose of reference only</w:t>
      </w:r>
      <w:r>
        <w:rPr>
          <w:rFonts w:ascii="Arial" w:cs="Arial" w:eastAsia="Arial" w:hAnsi="Arial"/>
          <w:sz w:val="22"/>
          <w:szCs w:val="22"/>
          <w:b w:val="1"/>
          <w:bCs w:val="1"/>
          <w:color w:val="auto"/>
        </w:rPr>
        <w:t xml:space="preserve"> </w:t>
      </w:r>
      <w:r>
        <w:rPr>
          <w:rFonts w:ascii="Arial" w:cs="Arial" w:eastAsia="Arial" w:hAnsi="Arial"/>
          <w:sz w:val="22"/>
          <w:szCs w:val="22"/>
          <w:color w:val="auto"/>
        </w:rPr>
        <w:t>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81" w:name="page82"/>
    <w:bookmarkEnd w:id="81"/>
    <w:p>
      <w:pPr>
        <w:jc w:val="both"/>
        <w:spacing w:after="0" w:line="245" w:lineRule="auto"/>
        <w:rPr>
          <w:sz w:val="20"/>
          <w:szCs w:val="20"/>
          <w:color w:val="auto"/>
        </w:rPr>
      </w:pPr>
      <w:r>
        <w:rPr>
          <w:rFonts w:ascii="Arial" w:cs="Arial" w:eastAsia="Arial" w:hAnsi="Arial"/>
          <w:sz w:val="21"/>
          <w:szCs w:val="21"/>
          <w:color w:val="auto"/>
        </w:rPr>
        <w:t>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5" w:lineRule="exact"/>
        <w:rPr>
          <w:sz w:val="20"/>
          <w:szCs w:val="20"/>
          <w:color w:val="auto"/>
        </w:rPr>
      </w:pPr>
    </w:p>
    <w:p>
      <w:pPr>
        <w:jc w:val="both"/>
        <w:ind w:firstLine="656"/>
        <w:spacing w:after="0" w:line="289" w:lineRule="auto"/>
        <w:tabs>
          <w:tab w:leader="none" w:pos="1296" w:val="left"/>
        </w:tabs>
        <w:numPr>
          <w:ilvl w:val="0"/>
          <w:numId w:val="73"/>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5" w:lineRule="exact"/>
        <w:rPr>
          <w:rFonts w:ascii="Arial" w:cs="Arial" w:eastAsia="Arial" w:hAnsi="Arial"/>
          <w:sz w:val="19"/>
          <w:szCs w:val="19"/>
          <w:color w:val="auto"/>
        </w:rPr>
      </w:pPr>
    </w:p>
    <w:p>
      <w:pPr>
        <w:jc w:val="both"/>
        <w:ind w:firstLine="656"/>
        <w:spacing w:after="0" w:line="251" w:lineRule="auto"/>
        <w:tabs>
          <w:tab w:leader="none" w:pos="1296"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8" w:lineRule="exact"/>
        <w:rPr>
          <w:rFonts w:ascii="Arial" w:cs="Arial" w:eastAsia="Arial" w:hAnsi="Arial"/>
          <w:sz w:val="21"/>
          <w:szCs w:val="21"/>
          <w:color w:val="auto"/>
        </w:rPr>
      </w:pPr>
    </w:p>
    <w:p>
      <w:pPr>
        <w:jc w:val="both"/>
        <w:ind w:firstLine="656"/>
        <w:spacing w:after="0" w:line="236"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 Any waiver of this Agreement must be executed by the party to be bound by such waiver. No</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81"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73"/>
        </w:numPr>
        <w:rPr>
          <w:rFonts w:ascii="Arial" w:cs="Arial" w:eastAsia="Arial" w:hAnsi="Arial"/>
          <w:sz w:val="21"/>
          <w:szCs w:val="21"/>
          <w:color w:val="auto"/>
        </w:rPr>
      </w:pPr>
      <w:r>
        <w:rPr>
          <w:rFonts w:ascii="Arial" w:cs="Arial" w:eastAsia="Arial" w:hAnsi="Arial"/>
          <w:sz w:val="21"/>
          <w:szCs w:val="21"/>
          <w:b w:val="1"/>
          <w:bCs w:val="1"/>
          <w:u w:val="single" w:color="auto"/>
          <w:color w:val="auto"/>
        </w:rPr>
        <w:t>Assignment</w:t>
      </w:r>
      <w:r>
        <w:rPr>
          <w:rFonts w:ascii="Arial" w:cs="Arial" w:eastAsia="Arial" w:hAnsi="Arial"/>
          <w:sz w:val="21"/>
          <w:szCs w:val="21"/>
          <w:color w:val="auto"/>
        </w:rPr>
        <w:t>. This Agreement is personal to Employee, and neither this Agreement nor any rights or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65" w:lineRule="exact"/>
        <w:rPr>
          <w:rFonts w:ascii="Arial" w:cs="Arial" w:eastAsia="Arial" w:hAnsi="Arial"/>
          <w:sz w:val="21"/>
          <w:szCs w:val="21"/>
          <w:color w:val="auto"/>
        </w:rPr>
      </w:pPr>
    </w:p>
    <w:p>
      <w:pPr>
        <w:jc w:val="both"/>
        <w:ind w:firstLine="656"/>
        <w:spacing w:after="0" w:line="239" w:lineRule="auto"/>
        <w:tabs>
          <w:tab w:leader="none" w:pos="1296" w:val="left"/>
        </w:tabs>
        <w:numPr>
          <w:ilvl w:val="0"/>
          <w:numId w:val="73"/>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Notices provided for in this Agreement shall be in writing and shall be deemed to have been duly</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38" w:lineRule="auto"/>
        <w:rPr>
          <w:sz w:val="20"/>
          <w:szCs w:val="20"/>
          <w:color w:val="auto"/>
        </w:rPr>
      </w:pPr>
      <w:r>
        <w:rPr>
          <w:rFonts w:ascii="Arial" w:cs="Arial" w:eastAsia="Arial" w:hAnsi="Arial"/>
          <w:sz w:val="22"/>
          <w:szCs w:val="22"/>
          <w:color w:val="auto"/>
        </w:rPr>
        <w:t>27200 Tourney Road</w:t>
      </w:r>
    </w:p>
    <w:p>
      <w:pPr>
        <w:ind w:left="1960"/>
        <w:spacing w:after="0" w:line="230" w:lineRule="auto"/>
        <w:rPr>
          <w:sz w:val="20"/>
          <w:szCs w:val="20"/>
          <w:color w:val="auto"/>
        </w:rPr>
      </w:pPr>
      <w:r>
        <w:rPr>
          <w:rFonts w:ascii="Arial" w:cs="Arial" w:eastAsia="Arial" w:hAnsi="Arial"/>
          <w:sz w:val="22"/>
          <w:szCs w:val="22"/>
          <w:color w:val="auto"/>
        </w:rPr>
        <w:t>Suite 200</w:t>
      </w:r>
    </w:p>
    <w:p>
      <w:pPr>
        <w:ind w:left="1960"/>
        <w:spacing w:after="0" w:line="231" w:lineRule="auto"/>
        <w:rPr>
          <w:sz w:val="20"/>
          <w:szCs w:val="20"/>
          <w:color w:val="auto"/>
        </w:rPr>
      </w:pPr>
      <w:r>
        <w:rPr>
          <w:rFonts w:ascii="Arial" w:cs="Arial" w:eastAsia="Arial" w:hAnsi="Arial"/>
          <w:sz w:val="22"/>
          <w:szCs w:val="22"/>
          <w:color w:val="auto"/>
        </w:rPr>
        <w:t>Santa Clarita, California 91355</w:t>
      </w:r>
    </w:p>
    <w:p>
      <w:pPr>
        <w:ind w:left="1960"/>
        <w:spacing w:after="0"/>
        <w:rPr>
          <w:sz w:val="20"/>
          <w:szCs w:val="20"/>
          <w:color w:val="auto"/>
        </w:rPr>
      </w:pPr>
      <w:r>
        <w:rPr>
          <w:rFonts w:ascii="Arial" w:cs="Arial" w:eastAsia="Arial" w:hAnsi="Arial"/>
          <w:sz w:val="22"/>
          <w:szCs w:val="22"/>
          <w:color w:val="auto"/>
        </w:rPr>
        <w:t>Attention: General Counsel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Jay A. Bys</w:t>
      </w:r>
    </w:p>
    <w:p>
      <w:pPr>
        <w:ind w:left="1960"/>
        <w:spacing w:after="0" w:line="238" w:lineRule="auto"/>
        <w:rPr>
          <w:sz w:val="20"/>
          <w:szCs w:val="20"/>
          <w:color w:val="auto"/>
        </w:rPr>
      </w:pPr>
      <w:r>
        <w:rPr>
          <w:rFonts w:ascii="Arial" w:cs="Arial" w:eastAsia="Arial" w:hAnsi="Arial"/>
          <w:sz w:val="22"/>
          <w:szCs w:val="22"/>
          <w:color w:val="auto"/>
        </w:rPr>
        <w:t>[*****]</w:t>
      </w:r>
    </w:p>
    <w:p>
      <w:pPr>
        <w:ind w:left="196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82" w:lineRule="exact"/>
        <w:rPr>
          <w:sz w:val="20"/>
          <w:szCs w:val="20"/>
          <w:color w:val="auto"/>
        </w:rPr>
      </w:pPr>
    </w:p>
    <w:p>
      <w:pPr>
        <w:jc w:val="both"/>
        <w:ind w:firstLine="656"/>
        <w:spacing w:after="0" w:line="239"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80"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74"/>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firstLine="1304"/>
        <w:spacing w:after="0" w:line="245" w:lineRule="auto"/>
        <w:tabs>
          <w:tab w:leader="none" w:pos="1941" w:val="left"/>
        </w:tabs>
        <w:numPr>
          <w:ilvl w:val="1"/>
          <w:numId w:val="74"/>
        </w:numPr>
        <w:rPr>
          <w:rFonts w:ascii="Arial" w:cs="Arial" w:eastAsia="Arial" w:hAnsi="Arial"/>
          <w:sz w:val="21"/>
          <w:szCs w:val="21"/>
          <w:color w:val="auto"/>
        </w:rPr>
      </w:pPr>
      <w:r>
        <w:rPr>
          <w:rFonts w:ascii="Arial" w:cs="Arial" w:eastAsia="Arial" w:hAnsi="Arial"/>
          <w:sz w:val="21"/>
          <w:szCs w:val="21"/>
          <w:color w:val="auto"/>
        </w:rPr>
        <w:t>Notwithstanding any provision of this Agreement to the contrary, all provisions of this Agreement are intended to comply with Section 409A of the Internal Revenue Code of 1986, as amended (the “</w:t>
      </w:r>
      <w:r>
        <w:rPr>
          <w:rFonts w:ascii="Arial" w:cs="Arial" w:eastAsia="Arial" w:hAnsi="Arial"/>
          <w:sz w:val="21"/>
          <w:szCs w:val="21"/>
          <w:b w:val="1"/>
          <w:bCs w:val="1"/>
          <w:u w:val="single" w:color="auto"/>
          <w:color w:val="auto"/>
        </w:rPr>
        <w:t>Code</w:t>
      </w:r>
      <w:r>
        <w:rPr>
          <w:rFonts w:ascii="Arial" w:cs="Arial" w:eastAsia="Arial" w:hAnsi="Arial"/>
          <w:sz w:val="21"/>
          <w:szCs w:val="21"/>
          <w:color w:val="auto"/>
        </w:rPr>
        <w:t>”) and the applicable Treasury regulations and administrative guidance issued thereunder (collectively, “</w:t>
      </w:r>
      <w:r>
        <w:rPr>
          <w:rFonts w:ascii="Arial" w:cs="Arial" w:eastAsia="Arial" w:hAnsi="Arial"/>
          <w:sz w:val="21"/>
          <w:szCs w:val="21"/>
          <w:b w:val="1"/>
          <w:bCs w:val="1"/>
          <w:u w:val="single" w:color="auto"/>
          <w:color w:val="auto"/>
        </w:rPr>
        <w:t>Section 409A</w:t>
      </w:r>
      <w:r>
        <w:rPr>
          <w:rFonts w:ascii="Arial" w:cs="Arial" w:eastAsia="Arial" w:hAnsi="Arial"/>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8" w:right="339" w:bottom="1440" w:gutter="0" w:footer="0" w:header="0"/>
        </w:sectPr>
      </w:pPr>
    </w:p>
    <w:bookmarkStart w:id="83" w:name="page84"/>
    <w:bookmarkEnd w:id="83"/>
    <w:p>
      <w:pPr>
        <w:jc w:val="both"/>
        <w:ind w:firstLine="1304"/>
        <w:spacing w:after="0" w:line="245" w:lineRule="auto"/>
        <w:tabs>
          <w:tab w:leader="none" w:pos="1939"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84" w:lineRule="exact"/>
        <w:rPr>
          <w:rFonts w:ascii="Arial" w:cs="Arial" w:eastAsia="Arial" w:hAnsi="Arial"/>
          <w:sz w:val="21"/>
          <w:szCs w:val="21"/>
          <w:color w:val="auto"/>
        </w:rPr>
      </w:pPr>
    </w:p>
    <w:p>
      <w:pPr>
        <w:jc w:val="both"/>
        <w:ind w:firstLine="1304"/>
        <w:spacing w:after="0" w:line="275" w:lineRule="auto"/>
        <w:tabs>
          <w:tab w:leader="none" w:pos="1941" w:val="left"/>
        </w:tabs>
        <w:numPr>
          <w:ilvl w:val="1"/>
          <w:numId w:val="75"/>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1"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w:t>
      </w:r>
      <w:r>
        <w:rPr>
          <w:rFonts w:ascii="Arial" w:cs="Arial" w:eastAsia="Arial" w:hAnsi="Arial"/>
          <w:sz w:val="22"/>
          <w:szCs w:val="22"/>
          <w:b w:val="1"/>
          <w:bCs w:val="1"/>
          <w:color w:val="auto"/>
        </w:rPr>
        <w:t xml:space="preserve"> </w:t>
      </w:r>
      <w:r>
        <w:rPr>
          <w:rFonts w:ascii="Arial" w:cs="Arial" w:eastAsia="Arial" w:hAnsi="Arial"/>
          <w:sz w:val="22"/>
          <w:szCs w:val="22"/>
          <w:color w:val="auto"/>
        </w:rPr>
        <w:t>and enforce them, shall survive any termination of this Agreement and any termination of the employment relationship between Employee and the Company.</w:t>
      </w:r>
    </w:p>
    <w:p>
      <w:pPr>
        <w:spacing w:after="0" w:line="17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76"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Excise Taxes</w:t>
      </w:r>
      <w:r>
        <w:rPr>
          <w:rFonts w:ascii="Arial" w:cs="Arial" w:eastAsia="Arial" w:hAnsi="Arial"/>
          <w:sz w:val="21"/>
          <w:szCs w:val="21"/>
          <w:color w:val="auto"/>
        </w:rPr>
        <w:t>. Notwithstanding anything to the contrary in this Agreement, if Employee is a “disqualified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4" w:right="339" w:bottom="1440" w:gutter="0" w:footer="0" w:header="0"/>
        </w:sectPr>
      </w:pPr>
    </w:p>
    <w:bookmarkStart w:id="84" w:name="page85"/>
    <w:bookmarkEnd w:id="84"/>
    <w:p>
      <w:pPr>
        <w:jc w:val="both"/>
        <w:spacing w:after="0" w:line="235" w:lineRule="auto"/>
        <w:rPr>
          <w:sz w:val="20"/>
          <w:szCs w:val="20"/>
          <w:color w:val="auto"/>
        </w:rPr>
      </w:pPr>
      <w:r>
        <w:rPr>
          <w:rFonts w:ascii="Arial" w:cs="Arial" w:eastAsia="Arial" w:hAnsi="Arial"/>
          <w:sz w:val="22"/>
          <w:szCs w:val="22"/>
          <w:color w:val="auto"/>
        </w:rPr>
        <w:t xml:space="preserve">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shall require the Company to be responsible for, or have any liability or obligation with respect to, Employee’s excise tax liabilities under Section 4999 of the Code.</w:t>
      </w:r>
    </w:p>
    <w:p>
      <w:pPr>
        <w:spacing w:after="0" w:line="182" w:lineRule="exact"/>
        <w:rPr>
          <w:sz w:val="20"/>
          <w:szCs w:val="20"/>
          <w:color w:val="auto"/>
        </w:rPr>
      </w:pPr>
    </w:p>
    <w:p>
      <w:pPr>
        <w:jc w:val="both"/>
        <w:ind w:firstLine="656"/>
        <w:spacing w:after="0" w:line="239"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85" w:name="page86"/>
    <w:bookmarkEnd w:id="85"/>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456565</wp:posOffset>
            </wp:positionV>
            <wp:extent cx="4114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Jay A. Bys</w:t>
      </w:r>
    </w:p>
    <w:p>
      <w:pPr>
        <w:spacing w:after="0" w:line="24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274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A. (Mac) McFarland</w:t>
      </w:r>
    </w:p>
    <w:p>
      <w:pPr>
        <w:spacing w:after="0" w:line="4" w:lineRule="exact"/>
        <w:rPr>
          <w:sz w:val="20"/>
          <w:szCs w:val="20"/>
          <w:color w:val="auto"/>
        </w:rPr>
      </w:pPr>
    </w:p>
    <w:p>
      <w:pPr>
        <w:ind w:left="4380"/>
        <w:spacing w:after="0"/>
        <w:tabs>
          <w:tab w:leader="none" w:pos="5040" w:val="left"/>
        </w:tabs>
        <w:rPr>
          <w:sz w:val="20"/>
          <w:szCs w:val="20"/>
          <w:color w:val="auto"/>
        </w:rPr>
      </w:pPr>
      <w:r>
        <w:rPr>
          <w:rFonts w:ascii="Arial" w:cs="Arial" w:eastAsia="Arial" w:hAnsi="Arial"/>
          <w:sz w:val="22"/>
          <w:szCs w:val="22"/>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ectPr>
          <w:pgSz w:w="11900" w:h="16838" w:orient="portrait"/>
          <w:cols w:equalWidth="0" w:num="1">
            <w:col w:w="11240"/>
          </w:cols>
          <w:pgMar w:left="320" w:top="1422"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307" w:lineRule="exact"/>
        <w:rPr>
          <w:sz w:val="20"/>
          <w:szCs w:val="20"/>
          <w:color w:val="auto"/>
        </w:rPr>
      </w:pPr>
    </w:p>
    <w:p>
      <w:pPr>
        <w:jc w:val="both"/>
        <w:ind w:firstLine="656"/>
        <w:spacing w:after="0" w:line="312" w:lineRule="auto"/>
        <w:tabs>
          <w:tab w:leader="none" w:pos="1064"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469900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right="520" w:hanging="863"/>
        <w:spacing w:after="0" w:line="263"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47" w:lineRule="exact"/>
        <w:rPr>
          <w:sz w:val="20"/>
          <w:szCs w:val="20"/>
          <w:color w:val="auto"/>
        </w:rPr>
      </w:pPr>
    </w:p>
    <w:p>
      <w:pPr>
        <w:jc w:val="both"/>
        <w:ind w:firstLine="656"/>
        <w:spacing w:after="0" w:line="265" w:lineRule="auto"/>
        <w:tabs>
          <w:tab w:leader="none" w:pos="1046" w:val="left"/>
        </w:tabs>
        <w:numPr>
          <w:ilvl w:val="0"/>
          <w:numId w:val="79"/>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240"/>
          </w:cols>
          <w:pgMar w:left="320" w:top="1422" w:right="339" w:bottom="1440" w:gutter="0" w:footer="0" w:header="0"/>
        </w:sectPr>
      </w:pPr>
    </w:p>
    <w:bookmarkStart w:id="87" w:name="page88"/>
    <w:bookmarkEnd w:id="87"/>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226" w:lineRule="exact"/>
        <w:rPr>
          <w:sz w:val="20"/>
          <w:szCs w:val="20"/>
          <w:color w:val="auto"/>
        </w:rPr>
      </w:pPr>
    </w:p>
    <w:p>
      <w:pPr>
        <w:ind w:left="652" w:right="40" w:hanging="652"/>
        <w:spacing w:after="0" w:line="250" w:lineRule="auto"/>
        <w:tabs>
          <w:tab w:leader="none" w:pos="448"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4" w:lineRule="exact"/>
        <w:rPr>
          <w:rFonts w:ascii="Arial" w:cs="Arial" w:eastAsia="Arial" w:hAnsi="Arial"/>
          <w:sz w:val="22"/>
          <w:szCs w:val="22"/>
          <w:color w:val="auto"/>
        </w:rPr>
      </w:pPr>
    </w:p>
    <w:p>
      <w:pPr>
        <w:ind w:left="1292" w:right="180" w:hanging="644"/>
        <w:spacing w:after="0" w:line="263" w:lineRule="auto"/>
        <w:tabs>
          <w:tab w:leader="none" w:pos="1166" w:val="left"/>
        </w:tabs>
        <w:numPr>
          <w:ilvl w:val="1"/>
          <w:numId w:val="80"/>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01" w:lineRule="exact"/>
        <w:rPr>
          <w:rFonts w:ascii="Arial" w:cs="Arial" w:eastAsia="Arial" w:hAnsi="Arial"/>
          <w:sz w:val="22"/>
          <w:szCs w:val="22"/>
          <w:color w:val="auto"/>
        </w:rPr>
      </w:pPr>
    </w:p>
    <w:p>
      <w:pPr>
        <w:ind w:left="1172" w:hanging="524"/>
        <w:spacing w:after="0"/>
        <w:tabs>
          <w:tab w:leader="none" w:pos="1172" w:val="left"/>
        </w:tabs>
        <w:numPr>
          <w:ilvl w:val="1"/>
          <w:numId w:val="80"/>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46" w:lineRule="exact"/>
        <w:rPr>
          <w:rFonts w:ascii="Arial" w:cs="Arial" w:eastAsia="Arial" w:hAnsi="Arial"/>
          <w:sz w:val="22"/>
          <w:szCs w:val="22"/>
          <w:color w:val="auto"/>
        </w:rPr>
      </w:pPr>
    </w:p>
    <w:p>
      <w:pPr>
        <w:ind w:left="652" w:hanging="652"/>
        <w:spacing w:after="0" w:line="253" w:lineRule="auto"/>
        <w:tabs>
          <w:tab w:leader="none" w:pos="468"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032"/>
          </w:cols>
          <w:pgMar w:left="328" w:top="1422" w:right="539" w:bottom="1440" w:gutter="0" w:footer="0" w:header="0"/>
        </w:sectPr>
      </w:pPr>
    </w:p>
    <w:bookmarkStart w:id="88" w:name="page89"/>
    <w:bookmarkEnd w:id="88"/>
    <w:p>
      <w:pPr>
        <w:ind w:left="10140"/>
        <w:spacing w:after="0"/>
        <w:rPr>
          <w:sz w:val="20"/>
          <w:szCs w:val="20"/>
          <w:color w:val="auto"/>
        </w:rPr>
      </w:pPr>
      <w:r>
        <w:rPr>
          <w:rFonts w:ascii="Arial" w:cs="Arial" w:eastAsia="Arial" w:hAnsi="Arial"/>
          <w:sz w:val="17"/>
          <w:szCs w:val="17"/>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Certain information in this exhibit (indicated by “[*****]”), which is not material and is the type of information that the Registrant treats as private or confidential, has been omitted pursuant to Item 601(b)(10) of Regulation S-K.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7" w:lineRule="exact"/>
        <w:rPr>
          <w:sz w:val="20"/>
          <w:szCs w:val="20"/>
          <w:color w:val="auto"/>
        </w:rPr>
      </w:pPr>
    </w:p>
    <w:p>
      <w:pPr>
        <w:ind w:firstLine="648"/>
        <w:spacing w:after="0" w:line="323" w:lineRule="auto"/>
        <w:rPr>
          <w:sz w:val="20"/>
          <w:szCs w:val="20"/>
          <w:color w:val="auto"/>
        </w:rPr>
      </w:pPr>
      <w:r>
        <w:rPr>
          <w:rFonts w:ascii="Arial" w:cs="Arial" w:eastAsia="Arial" w:hAnsi="Arial"/>
          <w:sz w:val="19"/>
          <w:szCs w:val="19"/>
          <w:color w:val="auto"/>
        </w:rPr>
        <w:t>This Employment Agreement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and entered into by and between California Resources Corporation,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Chris Gould (“</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 effective as of June 14, 2021 (the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w:t>
      </w:r>
    </w:p>
    <w:p>
      <w:pPr>
        <w:spacing w:after="0" w:line="117" w:lineRule="exact"/>
        <w:rPr>
          <w:sz w:val="20"/>
          <w:szCs w:val="20"/>
          <w:color w:val="auto"/>
        </w:rPr>
      </w:pPr>
    </w:p>
    <w:p>
      <w:pPr>
        <w:jc w:val="both"/>
        <w:ind w:firstLine="656"/>
        <w:spacing w:after="0" w:line="252" w:lineRule="auto"/>
        <w:tabs>
          <w:tab w:leader="none" w:pos="1296" w:val="left"/>
        </w:tabs>
        <w:numPr>
          <w:ilvl w:val="1"/>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Employment</w:t>
      </w:r>
      <w:r>
        <w:rPr>
          <w:rFonts w:ascii="Arial" w:cs="Arial" w:eastAsia="Arial" w:hAnsi="Arial"/>
          <w:sz w:val="22"/>
          <w:szCs w:val="22"/>
          <w:color w:val="auto"/>
        </w:rPr>
        <w:t>. During the Employment Period (as defined below), the Company shall employ Employee, and</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 shall serve, as Executive Vice President and Chief Sustainability Officer of the Company and in such other position or positions as may be assigned from time to time by the board of directors of the Company (the “</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or the Chief Executive Officer of the Company (the “</w:t>
      </w:r>
      <w:r>
        <w:rPr>
          <w:rFonts w:ascii="Arial" w:cs="Arial" w:eastAsia="Arial" w:hAnsi="Arial"/>
          <w:sz w:val="22"/>
          <w:szCs w:val="22"/>
          <w:b w:val="1"/>
          <w:bCs w:val="1"/>
          <w:u w:val="single" w:color="auto"/>
          <w:color w:val="auto"/>
        </w:rPr>
        <w:t>CEO</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81"/>
        </w:numPr>
        <w:rPr>
          <w:rFonts w:ascii="Arial" w:cs="Arial" w:eastAsia="Arial" w:hAnsi="Arial"/>
          <w:sz w:val="22"/>
          <w:szCs w:val="22"/>
          <w:color w:val="auto"/>
        </w:rPr>
      </w:pPr>
      <w:r>
        <w:rPr>
          <w:rFonts w:ascii="Arial" w:cs="Arial" w:eastAsia="Arial" w:hAnsi="Arial"/>
          <w:sz w:val="22"/>
          <w:szCs w:val="22"/>
          <w:b w:val="1"/>
          <w:bCs w:val="1"/>
          <w:u w:val="single" w:color="auto"/>
          <w:color w:val="auto"/>
        </w:rPr>
        <w:t>Duties and Responsibilities of Employee</w:t>
      </w:r>
      <w:r>
        <w:rPr>
          <w:rFonts w:ascii="Arial" w:cs="Arial" w:eastAsia="Arial" w:hAnsi="Arial"/>
          <w:sz w:val="22"/>
          <w:szCs w:val="22"/>
          <w:i w:val="1"/>
          <w:iCs w:val="1"/>
          <w:color w:val="auto"/>
        </w:rPr>
        <w:t>.</w:t>
      </w:r>
    </w:p>
    <w:p>
      <w:pPr>
        <w:spacing w:after="0" w:line="225" w:lineRule="exact"/>
        <w:rPr>
          <w:rFonts w:ascii="Arial" w:cs="Arial" w:eastAsia="Arial" w:hAnsi="Arial"/>
          <w:sz w:val="22"/>
          <w:szCs w:val="22"/>
          <w:color w:val="auto"/>
        </w:rPr>
      </w:pPr>
    </w:p>
    <w:p>
      <w:pPr>
        <w:jc w:val="both"/>
        <w:ind w:firstLine="1304"/>
        <w:spacing w:after="0" w:line="283" w:lineRule="auto"/>
        <w:tabs>
          <w:tab w:leader="none" w:pos="1941" w:val="left"/>
        </w:tabs>
        <w:numPr>
          <w:ilvl w:val="2"/>
          <w:numId w:val="81"/>
        </w:numPr>
        <w:rPr>
          <w:rFonts w:ascii="Arial" w:cs="Arial" w:eastAsia="Arial" w:hAnsi="Arial"/>
          <w:sz w:val="19"/>
          <w:szCs w:val="19"/>
          <w:color w:val="auto"/>
        </w:rPr>
      </w:pPr>
      <w:r>
        <w:rPr>
          <w:rFonts w:ascii="Arial" w:cs="Arial" w:eastAsia="Arial" w:hAnsi="Arial"/>
          <w:sz w:val="19"/>
          <w:szCs w:val="19"/>
          <w:color w:val="auto"/>
        </w:rPr>
        <w:t>During the Employment Period, Employee shall actively engage in the business and affairs of the Company (together with its direct and indirect subsidiaries, the “</w:t>
      </w:r>
      <w:r>
        <w:rPr>
          <w:rFonts w:ascii="Arial" w:cs="Arial" w:eastAsia="Arial" w:hAnsi="Arial"/>
          <w:sz w:val="19"/>
          <w:szCs w:val="19"/>
          <w:b w:val="1"/>
          <w:bCs w:val="1"/>
          <w:u w:val="single" w:color="auto"/>
          <w:color w:val="auto"/>
        </w:rPr>
        <w:t>Company Group</w:t>
      </w:r>
      <w:r>
        <w:rPr>
          <w:rFonts w:ascii="Arial" w:cs="Arial" w:eastAsia="Arial" w:hAnsi="Arial"/>
          <w:sz w:val="19"/>
          <w:szCs w:val="19"/>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Employee’s duties and responsibilities shall include those normally incidental to the position(s) identified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Arial" w:cs="Arial" w:eastAsia="Arial" w:hAnsi="Arial"/>
          <w:sz w:val="19"/>
          <w:szCs w:val="19"/>
          <w:u w:val="single" w:color="auto"/>
          <w:color w:val="auto"/>
        </w:rPr>
        <w:t>Section 2(a)</w:t>
      </w:r>
      <w:r>
        <w:rPr>
          <w:rFonts w:ascii="Arial" w:cs="Arial" w:eastAsia="Arial" w:hAnsi="Arial"/>
          <w:sz w:val="19"/>
          <w:szCs w:val="19"/>
          <w:color w:val="auto"/>
        </w:rPr>
        <w:t>, (i) as a passive investment, own publicly traded securities in such form or manner as will not require any services by Employee in the operation of the entities in which such securities are owned; (ii) engage in charitable and civic activities; (iii) with the prior written consent of the Board, engage in other personal and passive investment activities;</w:t>
      </w:r>
    </w:p>
    <w:p>
      <w:pPr>
        <w:spacing w:after="0" w:line="6" w:lineRule="exact"/>
        <w:rPr>
          <w:rFonts w:ascii="Arial" w:cs="Arial" w:eastAsia="Arial" w:hAnsi="Arial"/>
          <w:sz w:val="19"/>
          <w:szCs w:val="19"/>
          <w:color w:val="auto"/>
        </w:rPr>
      </w:pPr>
    </w:p>
    <w:p>
      <w:pPr>
        <w:jc w:val="both"/>
        <w:ind w:firstLine="8"/>
        <w:spacing w:after="0" w:line="292" w:lineRule="auto"/>
        <w:tabs>
          <w:tab w:leader="none" w:pos="373" w:val="left"/>
        </w:tabs>
        <w:numPr>
          <w:ilvl w:val="0"/>
          <w:numId w:val="82"/>
        </w:numPr>
        <w:rPr>
          <w:rFonts w:ascii="Arial" w:cs="Arial" w:eastAsia="Arial" w:hAnsi="Arial"/>
          <w:sz w:val="19"/>
          <w:szCs w:val="19"/>
          <w:color w:val="auto"/>
        </w:rPr>
      </w:pPr>
      <w:r>
        <w:rPr>
          <w:rFonts w:ascii="Arial" w:cs="Arial" w:eastAsia="Arial" w:hAnsi="Arial"/>
          <w:sz w:val="19"/>
          <w:szCs w:val="19"/>
          <w:color w:val="auto"/>
        </w:rPr>
        <w:t>with the prior written consent of the Board, serve on the board of directors of up to two for-profit corporations; and (v) with the consent of the Board or the CEO, continue to serve as an advisor to Pana LCE and Energy Capital Ventures (collectively, the “</w:t>
      </w:r>
      <w:r>
        <w:rPr>
          <w:rFonts w:ascii="Arial" w:cs="Arial" w:eastAsia="Arial" w:hAnsi="Arial"/>
          <w:sz w:val="19"/>
          <w:szCs w:val="19"/>
          <w:b w:val="1"/>
          <w:bCs w:val="1"/>
          <w:u w:val="single" w:color="auto"/>
          <w:color w:val="auto"/>
        </w:rPr>
        <w:t>Permitted Activities</w:t>
      </w:r>
      <w:r>
        <w:rPr>
          <w:rFonts w:ascii="Arial" w:cs="Arial" w:eastAsia="Arial" w:hAnsi="Arial"/>
          <w:sz w:val="19"/>
          <w:szCs w:val="19"/>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37" w:lineRule="exact"/>
        <w:rPr>
          <w:rFonts w:ascii="Arial" w:cs="Arial" w:eastAsia="Arial" w:hAnsi="Arial"/>
          <w:sz w:val="19"/>
          <w:szCs w:val="19"/>
          <w:color w:val="auto"/>
        </w:rPr>
      </w:pPr>
    </w:p>
    <w:p>
      <w:pPr>
        <w:jc w:val="both"/>
        <w:ind w:firstLine="1304"/>
        <w:spacing w:after="0" w:line="224" w:lineRule="auto"/>
        <w:tabs>
          <w:tab w:leader="none" w:pos="1939" w:val="left"/>
        </w:tabs>
        <w:numPr>
          <w:ilvl w:val="2"/>
          <w:numId w:val="82"/>
        </w:numPr>
        <w:rPr>
          <w:rFonts w:ascii="Arial" w:cs="Arial" w:eastAsia="Arial" w:hAnsi="Arial"/>
          <w:sz w:val="22"/>
          <w:szCs w:val="22"/>
          <w:color w:val="auto"/>
        </w:rPr>
      </w:pPr>
      <w:r>
        <w:rPr>
          <w:rFonts w:ascii="Arial" w:cs="Arial" w:eastAsia="Arial" w:hAnsi="Arial"/>
          <w:sz w:val="22"/>
          <w:szCs w:val="22"/>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w:t>
      </w:r>
    </w:p>
    <w:p>
      <w:pPr>
        <w:sectPr>
          <w:pgSz w:w="11900" w:h="16838" w:orient="portrait"/>
          <w:cols w:equalWidth="0" w:num="1">
            <w:col w:w="11240"/>
          </w:cols>
          <w:pgMar w:left="320" w:top="118" w:right="339" w:bottom="1440" w:gutter="0" w:footer="0" w:header="0"/>
        </w:sectPr>
      </w:pPr>
    </w:p>
    <w:bookmarkStart w:id="89" w:name="page90"/>
    <w:bookmarkEnd w:id="89"/>
    <w:p>
      <w:pPr>
        <w:jc w:val="both"/>
        <w:spacing w:after="0" w:line="228" w:lineRule="auto"/>
        <w:rPr>
          <w:sz w:val="20"/>
          <w:szCs w:val="20"/>
          <w:color w:val="auto"/>
        </w:rPr>
      </w:pPr>
      <w:r>
        <w:rPr>
          <w:rFonts w:ascii="Arial" w:cs="Arial" w:eastAsia="Arial" w:hAnsi="Arial"/>
          <w:sz w:val="22"/>
          <w:szCs w:val="22"/>
          <w:color w:val="auto"/>
        </w:rPr>
        <w:t>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pacing w:after="0" w:line="186" w:lineRule="exact"/>
        <w:rPr>
          <w:sz w:val="20"/>
          <w:szCs w:val="20"/>
          <w:color w:val="auto"/>
        </w:rPr>
      </w:pPr>
    </w:p>
    <w:p>
      <w:pPr>
        <w:jc w:val="both"/>
        <w:ind w:firstLine="1304"/>
        <w:spacing w:after="0" w:line="302" w:lineRule="auto"/>
        <w:tabs>
          <w:tab w:leader="none" w:pos="1941" w:val="left"/>
        </w:tabs>
        <w:numPr>
          <w:ilvl w:val="2"/>
          <w:numId w:val="83"/>
        </w:numPr>
        <w:rPr>
          <w:rFonts w:ascii="Arial" w:cs="Arial" w:eastAsia="Arial" w:hAnsi="Arial"/>
          <w:sz w:val="19"/>
          <w:szCs w:val="19"/>
          <w:color w:val="auto"/>
        </w:rPr>
      </w:pPr>
      <w:r>
        <w:rPr>
          <w:rFonts w:ascii="Arial" w:cs="Arial" w:eastAsia="Arial" w:hAnsi="Arial"/>
          <w:sz w:val="19"/>
          <w:szCs w:val="19"/>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36" w:lineRule="exact"/>
        <w:rPr>
          <w:rFonts w:ascii="Arial" w:cs="Arial" w:eastAsia="Arial" w:hAnsi="Arial"/>
          <w:sz w:val="19"/>
          <w:szCs w:val="19"/>
          <w:color w:val="auto"/>
        </w:rPr>
      </w:pPr>
    </w:p>
    <w:p>
      <w:pPr>
        <w:ind w:left="1300" w:hanging="644"/>
        <w:spacing w:after="0"/>
        <w:tabs>
          <w:tab w:leader="none" w:pos="1300" w:val="left"/>
        </w:tabs>
        <w:numPr>
          <w:ilvl w:val="1"/>
          <w:numId w:val="84"/>
        </w:numPr>
        <w:rPr>
          <w:rFonts w:ascii="Arial" w:cs="Arial" w:eastAsia="Arial" w:hAnsi="Arial"/>
          <w:sz w:val="22"/>
          <w:szCs w:val="22"/>
          <w:color w:val="auto"/>
        </w:rPr>
      </w:pPr>
      <w:r>
        <w:rPr>
          <w:rFonts w:ascii="Arial" w:cs="Arial" w:eastAsia="Arial" w:hAnsi="Arial"/>
          <w:sz w:val="22"/>
          <w:szCs w:val="22"/>
          <w:b w:val="1"/>
          <w:bCs w:val="1"/>
          <w:u w:val="single" w:color="auto"/>
          <w:color w:val="auto"/>
        </w:rPr>
        <w:t>Compensation</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94" w:lineRule="auto"/>
        <w:tabs>
          <w:tab w:leader="none" w:pos="1941" w:val="left"/>
        </w:tabs>
        <w:numPr>
          <w:ilvl w:val="2"/>
          <w:numId w:val="8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Employment Period, the Company shall pay to Employee an annualized base salary of $475,000 (the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 and may be increased, but not decreased, at the discretion of the Compensation Committee following consultation with the other independent members of the Board.</w:t>
      </w:r>
    </w:p>
    <w:p>
      <w:pPr>
        <w:spacing w:after="0" w:line="149" w:lineRule="exact"/>
        <w:rPr>
          <w:rFonts w:ascii="Arial" w:cs="Arial" w:eastAsia="Arial" w:hAnsi="Arial"/>
          <w:sz w:val="19"/>
          <w:szCs w:val="19"/>
          <w:color w:val="auto"/>
        </w:rPr>
      </w:pPr>
    </w:p>
    <w:p>
      <w:pPr>
        <w:jc w:val="both"/>
        <w:ind w:firstLine="1304"/>
        <w:spacing w:after="0" w:line="284" w:lineRule="auto"/>
        <w:tabs>
          <w:tab w:leader="none" w:pos="1939" w:val="left"/>
        </w:tabs>
        <w:numPr>
          <w:ilvl w:val="2"/>
          <w:numId w:val="84"/>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Employee shall be eligible for bonus compensation for calendar year 2021 and each subsequent complete calendar year that Employee is employed by the Company hereunder (the “</w:t>
      </w:r>
      <w:r>
        <w:rPr>
          <w:rFonts w:ascii="Arial" w:cs="Arial" w:eastAsia="Arial" w:hAnsi="Arial"/>
          <w:sz w:val="19"/>
          <w:szCs w:val="19"/>
          <w:b w:val="1"/>
          <w:bCs w:val="1"/>
          <w:u w:val="single" w:color="auto"/>
          <w:color w:val="auto"/>
        </w:rPr>
        <w:t>Annual Bonus</w:t>
      </w:r>
      <w:r>
        <w:rPr>
          <w:rFonts w:ascii="Arial" w:cs="Arial" w:eastAsia="Arial" w:hAnsi="Arial"/>
          <w:sz w:val="19"/>
          <w:szCs w:val="19"/>
          <w:color w:val="auto"/>
        </w:rPr>
        <w:t>”). The target Annual Bonus for each such calendar year (the “</w:t>
      </w:r>
      <w:r>
        <w:rPr>
          <w:rFonts w:ascii="Arial" w:cs="Arial" w:eastAsia="Arial" w:hAnsi="Arial"/>
          <w:sz w:val="19"/>
          <w:szCs w:val="19"/>
          <w:b w:val="1"/>
          <w:bCs w:val="1"/>
          <w:u w:val="single" w:color="auto"/>
          <w:color w:val="auto"/>
        </w:rPr>
        <w:t>Bonus Year</w:t>
      </w:r>
      <w:r>
        <w:rPr>
          <w:rFonts w:ascii="Arial" w:cs="Arial" w:eastAsia="Arial" w:hAnsi="Arial"/>
          <w:sz w:val="19"/>
          <w:szCs w:val="19"/>
          <w:color w:val="auto"/>
        </w:rPr>
        <w:t>”) shall be 90% of Employee’s Base Salary in effect as of the first day of the Bonus Year (or, with respect to calendar year 2021,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w:t>
      </w:r>
    </w:p>
    <w:p>
      <w:pPr>
        <w:spacing w:after="0" w:line="1" w:lineRule="exact"/>
        <w:rPr>
          <w:rFonts w:ascii="Arial" w:cs="Arial" w:eastAsia="Arial" w:hAnsi="Arial"/>
          <w:sz w:val="19"/>
          <w:szCs w:val="19"/>
          <w:color w:val="auto"/>
        </w:rPr>
      </w:pPr>
    </w:p>
    <w:p>
      <w:pPr>
        <w:jc w:val="both"/>
        <w:ind w:firstLine="8"/>
        <w:spacing w:after="0" w:line="256" w:lineRule="auto"/>
        <w:tabs>
          <w:tab w:leader="none" w:pos="528"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days of the applicable Bonus Year (or, with respect to calendar year 2021, within thirty (30) days after the Effective Date). The Annual Bonus that Employee shall be eligible to receive for the 2021 calendar year shall be prorated based on a fraction, the numerator of which is the number of days during the period beginning on the Effective Date and ending on December 31, 2021, and the denominator of which is 365.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Arial" w:cs="Arial" w:eastAsia="Arial" w:hAnsi="Arial"/>
          <w:sz w:val="21"/>
          <w:szCs w:val="21"/>
          <w:u w:val="single" w:color="auto"/>
          <w:color w:val="auto"/>
        </w:rPr>
        <w:t>Section 3(b)</w:t>
      </w:r>
      <w:r>
        <w:rPr>
          <w:rFonts w:ascii="Arial" w:cs="Arial" w:eastAsia="Arial" w:hAnsi="Arial"/>
          <w:sz w:val="21"/>
          <w:szCs w:val="21"/>
          <w:color w:val="auto"/>
        </w:rPr>
        <w:t xml:space="preserve"> to the contrary, but subject to </w:t>
      </w:r>
      <w:r>
        <w:rPr>
          <w:rFonts w:ascii="Arial" w:cs="Arial" w:eastAsia="Arial" w:hAnsi="Arial"/>
          <w:sz w:val="21"/>
          <w:szCs w:val="21"/>
          <w:u w:val="single" w:color="auto"/>
          <w:color w:val="auto"/>
        </w:rPr>
        <w:t>Section 7</w:t>
      </w:r>
      <w:r>
        <w:rPr>
          <w:rFonts w:ascii="Arial" w:cs="Arial" w:eastAsia="Arial" w:hAnsi="Arial"/>
          <w:sz w:val="21"/>
          <w:szCs w:val="21"/>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90" w:name="page91"/>
    <w:bookmarkEnd w:id="90"/>
    <w:p>
      <w:pPr>
        <w:jc w:val="both"/>
        <w:ind w:right="20" w:firstLine="1304"/>
        <w:spacing w:after="0" w:line="285" w:lineRule="auto"/>
        <w:tabs>
          <w:tab w:leader="none" w:pos="1941"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As soon as practicable, and no later than thirty (30) days, following the Effective Date, the Board or the Compensation Committee shall grant to Employee under the Company’s 2021 Long Term Incentive Plan (such plan, or any successor plan, the “</w:t>
      </w:r>
      <w:r>
        <w:rPr>
          <w:rFonts w:ascii="Arial" w:cs="Arial" w:eastAsia="Arial" w:hAnsi="Arial"/>
          <w:sz w:val="19"/>
          <w:szCs w:val="19"/>
          <w:b w:val="1"/>
          <w:bCs w:val="1"/>
          <w:u w:val="single" w:color="auto"/>
          <w:color w:val="auto"/>
        </w:rPr>
        <w:t>LTIP</w:t>
      </w:r>
      <w:r>
        <w:rPr>
          <w:rFonts w:ascii="Arial" w:cs="Arial" w:eastAsia="Arial" w:hAnsi="Arial"/>
          <w:sz w:val="19"/>
          <w:szCs w:val="19"/>
          <w:color w:val="auto"/>
        </w:rPr>
        <w:t>”) (i) an award of restricted stock units (the “</w:t>
      </w:r>
      <w:r>
        <w:rPr>
          <w:rFonts w:ascii="Arial" w:cs="Arial" w:eastAsia="Arial" w:hAnsi="Arial"/>
          <w:sz w:val="19"/>
          <w:szCs w:val="19"/>
          <w:b w:val="1"/>
          <w:bCs w:val="1"/>
          <w:u w:val="single" w:color="auto"/>
          <w:color w:val="auto"/>
        </w:rPr>
        <w:t>Initial RSUs</w:t>
      </w:r>
      <w:r>
        <w:rPr>
          <w:rFonts w:ascii="Arial" w:cs="Arial" w:eastAsia="Arial" w:hAnsi="Arial"/>
          <w:sz w:val="19"/>
          <w:szCs w:val="19"/>
          <w:color w:val="auto"/>
        </w:rPr>
        <w:t>”) and (ii) an award of performance stock units (the “</w:t>
      </w:r>
      <w:r>
        <w:rPr>
          <w:rFonts w:ascii="Arial" w:cs="Arial" w:eastAsia="Arial" w:hAnsi="Arial"/>
          <w:sz w:val="19"/>
          <w:szCs w:val="19"/>
          <w:b w:val="1"/>
          <w:bCs w:val="1"/>
          <w:u w:val="single" w:color="auto"/>
          <w:color w:val="auto"/>
        </w:rPr>
        <w:t>Initial PSUs</w:t>
      </w:r>
      <w:r>
        <w:rPr>
          <w:rFonts w:ascii="Arial" w:cs="Arial" w:eastAsia="Arial" w:hAnsi="Arial"/>
          <w:sz w:val="19"/>
          <w:szCs w:val="19"/>
          <w:color w:val="auto"/>
        </w:rPr>
        <w:t>”). The number of Initial RSUs and the number of Initial PSUs shall each be determined by dividing $1,000,000 by the CRC Stock Value (as such term is defined in the form of Performance Stock Unit Award Terms and Conditions attached as Exhibit 10.48 to the Company’s Form 10-K (the “</w:t>
      </w:r>
      <w:r>
        <w:rPr>
          <w:rFonts w:ascii="Arial" w:cs="Arial" w:eastAsia="Arial" w:hAnsi="Arial"/>
          <w:sz w:val="19"/>
          <w:szCs w:val="19"/>
          <w:b w:val="1"/>
          <w:bCs w:val="1"/>
          <w:u w:val="single" w:color="auto"/>
          <w:color w:val="auto"/>
        </w:rPr>
        <w:t>Form 10-K</w:t>
      </w:r>
      <w:r>
        <w:rPr>
          <w:rFonts w:ascii="Arial" w:cs="Arial" w:eastAsia="Arial" w:hAnsi="Arial"/>
          <w:sz w:val="19"/>
          <w:szCs w:val="19"/>
          <w:color w:val="auto"/>
        </w:rPr>
        <w:t>”) for the fiscal year ended December 31, 2020 (the “</w:t>
      </w:r>
      <w:r>
        <w:rPr>
          <w:rFonts w:ascii="Arial" w:cs="Arial" w:eastAsia="Arial" w:hAnsi="Arial"/>
          <w:sz w:val="19"/>
          <w:szCs w:val="19"/>
          <w:b w:val="1"/>
          <w:bCs w:val="1"/>
          <w:u w:val="single" w:color="auto"/>
          <w:color w:val="auto"/>
        </w:rPr>
        <w:t>PSU Form</w:t>
      </w:r>
      <w:r>
        <w:rPr>
          <w:rFonts w:ascii="Arial" w:cs="Arial" w:eastAsia="Arial" w:hAnsi="Arial"/>
          <w:sz w:val="19"/>
          <w:szCs w:val="19"/>
          <w:color w:val="auto"/>
        </w:rPr>
        <w:t>”)) as of the date of grant of the Initial RSUs and Initial PSUs (the “</w:t>
      </w:r>
      <w:r>
        <w:rPr>
          <w:rFonts w:ascii="Arial" w:cs="Arial" w:eastAsia="Arial" w:hAnsi="Arial"/>
          <w:sz w:val="19"/>
          <w:szCs w:val="19"/>
          <w:b w:val="1"/>
          <w:bCs w:val="1"/>
          <w:u w:val="single" w:color="auto"/>
          <w:color w:val="auto"/>
        </w:rPr>
        <w:t>Date of Grant</w:t>
      </w:r>
      <w:r>
        <w:rPr>
          <w:rFonts w:ascii="Arial" w:cs="Arial" w:eastAsia="Arial" w:hAnsi="Arial"/>
          <w:sz w:val="19"/>
          <w:szCs w:val="19"/>
          <w:color w:val="auto"/>
        </w:rPr>
        <w:t xml:space="preserve">”). The Initial RSUs shall generally vest in 50% increments on each of the first two annual anniversaries of the Date of Grant provided Employee remains continuously employed by the Company or an affiliate of the Company through each such vesting date, and payment with respect to the Initial RSUs shall generally be made on the second annual anniversary of the Date of Grant (or within 45 days thereafter) provided the Initial RSUs become vested. Except as described in </w:t>
      </w:r>
      <w:r>
        <w:rPr>
          <w:rFonts w:ascii="Arial" w:cs="Arial" w:eastAsia="Arial" w:hAnsi="Arial"/>
          <w:sz w:val="19"/>
          <w:szCs w:val="19"/>
          <w:u w:val="single" w:color="auto"/>
          <w:color w:val="auto"/>
        </w:rPr>
        <w:t>Section 7(f)(i)(C)</w:t>
      </w:r>
      <w:r>
        <w:rPr>
          <w:rFonts w:ascii="Arial" w:cs="Arial" w:eastAsia="Arial" w:hAnsi="Arial"/>
          <w:sz w:val="19"/>
          <w:szCs w:val="19"/>
          <w:color w:val="auto"/>
        </w:rPr>
        <w:t xml:space="preserve">, the Initial RSUs shall otherwise be subject to terms and conditions that are generally consistent with the terms and conditions provided in the form of Restricted Stock Unit Award Terms and Conditions attached as Exhibit 10.46 to the Form 10-K. The Initial PSUs shall be subject to terms and conditions that are generally consistent with the terms and conditions provided in the PSU Form, except (A) as described in </w:t>
      </w:r>
      <w:r>
        <w:rPr>
          <w:rFonts w:ascii="Arial" w:cs="Arial" w:eastAsia="Arial" w:hAnsi="Arial"/>
          <w:sz w:val="19"/>
          <w:szCs w:val="19"/>
          <w:u w:val="single" w:color="auto"/>
          <w:color w:val="auto"/>
        </w:rPr>
        <w:t>Section 7(f)(i)(C)</w:t>
      </w:r>
      <w:r>
        <w:rPr>
          <w:rFonts w:ascii="Arial" w:cs="Arial" w:eastAsia="Arial" w:hAnsi="Arial"/>
          <w:sz w:val="19"/>
          <w:szCs w:val="19"/>
          <w:color w:val="auto"/>
        </w:rPr>
        <w:t>, (B) the “Performance Period” shall begin on the Date of Grant and end on the day immediately preceding the second annual anniversary of the Date of Grant, (C) the “Vesting Date” shall be the second annual anniversary of the Date of Grant, and (D) the table in Section 4(a) of the PSU Form (including linear interpolation between levels in the table) shall be based on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bottom w:val="single" w:sz="8" w:color="auto"/>
              <w:right w:val="single" w:sz="8" w:color="auto"/>
            </w:tcBorders>
            <w:gridSpan w:val="3"/>
            <w:vMerge w:val="restart"/>
          </w:tcPr>
          <w:p>
            <w:pPr>
              <w:jc w:val="center"/>
              <w:ind w:left="552"/>
              <w:spacing w:after="0"/>
              <w:rPr>
                <w:sz w:val="20"/>
                <w:szCs w:val="20"/>
                <w:color w:val="auto"/>
              </w:rPr>
            </w:pPr>
            <w:r>
              <w:rPr>
                <w:rFonts w:ascii="Arial" w:cs="Arial" w:eastAsia="Arial" w:hAnsi="Arial"/>
                <w:sz w:val="22"/>
                <w:szCs w:val="22"/>
                <w:b w:val="1"/>
                <w:bCs w:val="1"/>
                <w:color w:val="auto"/>
                <w:w w:val="97"/>
              </w:rPr>
              <w:t>CRC Stock Value</w:t>
            </w:r>
          </w:p>
        </w:tc>
        <w:tc>
          <w:tcPr>
            <w:tcW w:w="1260" w:type="dxa"/>
            <w:vAlign w:val="bottom"/>
            <w:tcBorders>
              <w:top w:val="single" w:sz="8" w:color="auto"/>
            </w:tcBorders>
          </w:tcPr>
          <w:p>
            <w:pPr>
              <w:spacing w:after="0"/>
              <w:rPr>
                <w:sz w:val="22"/>
                <w:szCs w:val="22"/>
                <w:color w:val="auto"/>
              </w:rPr>
            </w:pPr>
          </w:p>
        </w:tc>
        <w:tc>
          <w:tcPr>
            <w:tcW w:w="37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8"/>
              </w:rPr>
              <w:t>Percentage of PS Units that become</w:t>
            </w:r>
          </w:p>
        </w:tc>
        <w:tc>
          <w:tcPr>
            <w:tcW w:w="64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40" w:type="dxa"/>
            <w:vAlign w:val="bottom"/>
            <w:tcBorders>
              <w:left w:val="single" w:sz="8" w:color="auto"/>
              <w:right w:val="single" w:sz="8" w:color="auto"/>
            </w:tcBorders>
            <w:gridSpan w:val="3"/>
            <w:vMerge w:val="continue"/>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60" w:type="dxa"/>
            <w:vAlign w:val="bottom"/>
            <w:tcBorders>
              <w:right w:val="single" w:sz="8" w:color="auto"/>
            </w:tcBorders>
            <w:gridSpan w:val="3"/>
          </w:tcPr>
          <w:p>
            <w:pPr>
              <w:jc w:val="center"/>
              <w:ind w:right="1560"/>
              <w:spacing w:after="0" w:line="209" w:lineRule="exact"/>
              <w:rPr>
                <w:sz w:val="20"/>
                <w:szCs w:val="20"/>
                <w:color w:val="auto"/>
              </w:rPr>
            </w:pPr>
            <w:r>
              <w:rPr>
                <w:rFonts w:ascii="Arial" w:cs="Arial" w:eastAsia="Arial" w:hAnsi="Arial"/>
                <w:sz w:val="22"/>
                <w:szCs w:val="22"/>
                <w:b w:val="1"/>
                <w:bCs w:val="1"/>
                <w:color w:val="auto"/>
                <w:w w:val="98"/>
              </w:rPr>
              <w:t>Earned PS Units</w:t>
            </w:r>
          </w:p>
        </w:tc>
        <w:tc>
          <w:tcPr>
            <w:tcW w:w="0" w:type="dxa"/>
            <w:vAlign w:val="bottom"/>
          </w:tcPr>
          <w:p>
            <w:pPr>
              <w:spacing w:after="0"/>
              <w:rPr>
                <w:sz w:val="1"/>
                <w:szCs w:val="1"/>
                <w:color w:val="auto"/>
              </w:rPr>
            </w:pPr>
          </w:p>
        </w:tc>
      </w:tr>
      <w:tr>
        <w:trPr>
          <w:trHeight w:val="270"/>
        </w:trPr>
        <w:tc>
          <w:tcPr>
            <w:tcW w:w="2280" w:type="dxa"/>
            <w:vAlign w:val="bottom"/>
            <w:tcBorders>
              <w:left w:val="single" w:sz="8" w:color="auto"/>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740" w:type="dxa"/>
            <w:vAlign w:val="bottom"/>
            <w:tcBorders>
              <w:top w:val="single" w:sz="8" w:color="auto"/>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5640" w:type="dxa"/>
            <w:vAlign w:val="bottom"/>
            <w:tcBorders>
              <w:left w:val="single" w:sz="8" w:color="auto"/>
              <w:right w:val="single" w:sz="8" w:color="auto"/>
            </w:tcBorders>
            <w:gridSpan w:val="3"/>
          </w:tcPr>
          <w:p>
            <w:pPr>
              <w:jc w:val="center"/>
              <w:ind w:left="552"/>
              <w:spacing w:after="0"/>
              <w:rPr>
                <w:sz w:val="20"/>
                <w:szCs w:val="20"/>
                <w:color w:val="auto"/>
              </w:rPr>
            </w:pPr>
            <w:r>
              <w:rPr>
                <w:rFonts w:ascii="Arial" w:cs="Arial" w:eastAsia="Arial" w:hAnsi="Arial"/>
                <w:sz w:val="22"/>
                <w:szCs w:val="22"/>
                <w:color w:val="auto"/>
                <w:w w:val="96"/>
              </w:rPr>
              <w:t>Below Initial Value</w:t>
            </w:r>
          </w:p>
        </w:tc>
        <w:tc>
          <w:tcPr>
            <w:tcW w:w="4000" w:type="dxa"/>
            <w:vAlign w:val="bottom"/>
            <w:gridSpan w:val="3"/>
          </w:tcPr>
          <w:p>
            <w:pPr>
              <w:jc w:val="center"/>
              <w:ind w:left="2132"/>
              <w:spacing w:after="0"/>
              <w:rPr>
                <w:sz w:val="20"/>
                <w:szCs w:val="20"/>
                <w:color w:val="auto"/>
              </w:rPr>
            </w:pPr>
            <w:r>
              <w:rPr>
                <w:rFonts w:ascii="Arial" w:cs="Arial" w:eastAsia="Arial" w:hAnsi="Arial"/>
                <w:sz w:val="22"/>
                <w:szCs w:val="22"/>
                <w:color w:val="auto"/>
              </w:rPr>
              <w:t>0%</w:t>
            </w:r>
          </w:p>
        </w:tc>
        <w:tc>
          <w:tcPr>
            <w:tcW w:w="9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280" w:type="dxa"/>
            <w:vAlign w:val="bottom"/>
            <w:tcBorders>
              <w:left w:val="single" w:sz="8" w:color="auto"/>
            </w:tcBorders>
          </w:tcPr>
          <w:p>
            <w:pPr>
              <w:spacing w:after="0"/>
              <w:rPr>
                <w:sz w:val="24"/>
                <w:szCs w:val="24"/>
                <w:color w:val="auto"/>
              </w:rPr>
            </w:pPr>
          </w:p>
        </w:tc>
        <w:tc>
          <w:tcPr>
            <w:tcW w:w="3360" w:type="dxa"/>
            <w:vAlign w:val="bottom"/>
            <w:tcBorders>
              <w:right w:val="single" w:sz="8" w:color="auto"/>
            </w:tcBorders>
            <w:gridSpan w:val="2"/>
          </w:tcPr>
          <w:p>
            <w:pPr>
              <w:jc w:val="center"/>
              <w:ind w:right="1620"/>
              <w:spacing w:after="0"/>
              <w:rPr>
                <w:sz w:val="20"/>
                <w:szCs w:val="20"/>
                <w:color w:val="auto"/>
              </w:rPr>
            </w:pPr>
            <w:r>
              <w:rPr>
                <w:rFonts w:ascii="Arial" w:cs="Arial" w:eastAsia="Arial" w:hAnsi="Arial"/>
                <w:sz w:val="22"/>
                <w:szCs w:val="22"/>
                <w:color w:val="auto"/>
                <w:w w:val="96"/>
              </w:rPr>
              <w:t>Initial Value</w:t>
            </w:r>
          </w:p>
        </w:tc>
        <w:tc>
          <w:tcPr>
            <w:tcW w:w="4000" w:type="dxa"/>
            <w:vAlign w:val="bottom"/>
            <w:gridSpan w:val="3"/>
          </w:tcPr>
          <w:p>
            <w:pPr>
              <w:jc w:val="center"/>
              <w:ind w:left="2132"/>
              <w:spacing w:after="0"/>
              <w:rPr>
                <w:sz w:val="20"/>
                <w:szCs w:val="20"/>
                <w:color w:val="auto"/>
              </w:rPr>
            </w:pPr>
            <w:r>
              <w:rPr>
                <w:rFonts w:ascii="Arial" w:cs="Arial" w:eastAsia="Arial" w:hAnsi="Arial"/>
                <w:sz w:val="22"/>
                <w:szCs w:val="22"/>
                <w:color w:val="auto"/>
                <w:w w:val="99"/>
              </w:rPr>
              <w:t>25%</w:t>
            </w:r>
          </w:p>
        </w:tc>
        <w:tc>
          <w:tcPr>
            <w:tcW w:w="9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40" w:type="dxa"/>
            <w:vAlign w:val="bottom"/>
            <w:tcBorders>
              <w:left w:val="single" w:sz="8" w:color="auto"/>
              <w:right w:val="single" w:sz="8" w:color="auto"/>
            </w:tcBorders>
            <w:gridSpan w:val="3"/>
          </w:tcPr>
          <w:p>
            <w:pPr>
              <w:jc w:val="center"/>
              <w:ind w:left="532"/>
              <w:spacing w:after="0"/>
              <w:rPr>
                <w:sz w:val="20"/>
                <w:szCs w:val="20"/>
                <w:color w:val="auto"/>
              </w:rPr>
            </w:pPr>
            <w:r>
              <w:rPr>
                <w:rFonts w:ascii="Arial" w:cs="Arial" w:eastAsia="Arial" w:hAnsi="Arial"/>
                <w:sz w:val="22"/>
                <w:szCs w:val="22"/>
                <w:color w:val="auto"/>
                <w:w w:val="97"/>
              </w:rPr>
              <w:t>Initial Value x 115%</w:t>
            </w:r>
          </w:p>
        </w:tc>
        <w:tc>
          <w:tcPr>
            <w:tcW w:w="4000" w:type="dxa"/>
            <w:vAlign w:val="bottom"/>
            <w:gridSpan w:val="3"/>
          </w:tcPr>
          <w:p>
            <w:pPr>
              <w:jc w:val="center"/>
              <w:ind w:left="2132"/>
              <w:spacing w:after="0"/>
              <w:rPr>
                <w:sz w:val="20"/>
                <w:szCs w:val="20"/>
                <w:color w:val="auto"/>
              </w:rPr>
            </w:pPr>
            <w:r>
              <w:rPr>
                <w:rFonts w:ascii="Arial" w:cs="Arial" w:eastAsia="Arial" w:hAnsi="Arial"/>
                <w:sz w:val="22"/>
                <w:szCs w:val="22"/>
                <w:color w:val="auto"/>
                <w:w w:val="99"/>
              </w:rPr>
              <w:t>50%</w:t>
            </w:r>
          </w:p>
        </w:tc>
        <w:tc>
          <w:tcPr>
            <w:tcW w:w="9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40" w:type="dxa"/>
            <w:vAlign w:val="bottom"/>
            <w:tcBorders>
              <w:left w:val="single" w:sz="8" w:color="auto"/>
              <w:right w:val="single" w:sz="8" w:color="auto"/>
            </w:tcBorders>
            <w:gridSpan w:val="3"/>
          </w:tcPr>
          <w:p>
            <w:pPr>
              <w:jc w:val="center"/>
              <w:ind w:left="552"/>
              <w:spacing w:after="0"/>
              <w:rPr>
                <w:sz w:val="20"/>
                <w:szCs w:val="20"/>
                <w:color w:val="auto"/>
              </w:rPr>
            </w:pPr>
            <w:r>
              <w:rPr>
                <w:rFonts w:ascii="Arial" w:cs="Arial" w:eastAsia="Arial" w:hAnsi="Arial"/>
                <w:sz w:val="22"/>
                <w:szCs w:val="22"/>
                <w:color w:val="auto"/>
                <w:w w:val="97"/>
              </w:rPr>
              <w:t>Initial Value x 132.25%</w:t>
            </w:r>
          </w:p>
        </w:tc>
        <w:tc>
          <w:tcPr>
            <w:tcW w:w="4000" w:type="dxa"/>
            <w:vAlign w:val="bottom"/>
            <w:gridSpan w:val="3"/>
          </w:tcPr>
          <w:p>
            <w:pPr>
              <w:jc w:val="center"/>
              <w:ind w:left="2132"/>
              <w:spacing w:after="0"/>
              <w:rPr>
                <w:sz w:val="20"/>
                <w:szCs w:val="20"/>
                <w:color w:val="auto"/>
              </w:rPr>
            </w:pPr>
            <w:r>
              <w:rPr>
                <w:rFonts w:ascii="Arial" w:cs="Arial" w:eastAsia="Arial" w:hAnsi="Arial"/>
                <w:sz w:val="22"/>
                <w:szCs w:val="22"/>
                <w:color w:val="auto"/>
                <w:w w:val="99"/>
              </w:rPr>
              <w:t>75%</w:t>
            </w:r>
          </w:p>
        </w:tc>
        <w:tc>
          <w:tcPr>
            <w:tcW w:w="9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5640" w:type="dxa"/>
            <w:vAlign w:val="bottom"/>
            <w:tcBorders>
              <w:left w:val="single" w:sz="8" w:color="auto"/>
              <w:right w:val="single" w:sz="8" w:color="auto"/>
            </w:tcBorders>
            <w:gridSpan w:val="3"/>
          </w:tcPr>
          <w:p>
            <w:pPr>
              <w:jc w:val="center"/>
              <w:ind w:left="552"/>
              <w:spacing w:after="0"/>
              <w:rPr>
                <w:sz w:val="20"/>
                <w:szCs w:val="20"/>
                <w:color w:val="auto"/>
              </w:rPr>
            </w:pPr>
            <w:r>
              <w:rPr>
                <w:rFonts w:ascii="Arial" w:cs="Arial" w:eastAsia="Arial" w:hAnsi="Arial"/>
                <w:sz w:val="22"/>
                <w:szCs w:val="22"/>
                <w:color w:val="auto"/>
                <w:w w:val="97"/>
              </w:rPr>
              <w:t>Initial Value x 152.0875% or More</w:t>
            </w:r>
          </w:p>
        </w:tc>
        <w:tc>
          <w:tcPr>
            <w:tcW w:w="4000" w:type="dxa"/>
            <w:vAlign w:val="bottom"/>
            <w:gridSpan w:val="3"/>
          </w:tcPr>
          <w:p>
            <w:pPr>
              <w:jc w:val="center"/>
              <w:ind w:left="2132"/>
              <w:spacing w:after="0"/>
              <w:rPr>
                <w:sz w:val="20"/>
                <w:szCs w:val="20"/>
                <w:color w:val="auto"/>
              </w:rPr>
            </w:pPr>
            <w:r>
              <w:rPr>
                <w:rFonts w:ascii="Arial" w:cs="Arial" w:eastAsia="Arial" w:hAnsi="Arial"/>
                <w:sz w:val="22"/>
                <w:szCs w:val="22"/>
                <w:color w:val="auto"/>
                <w:w w:val="99"/>
              </w:rPr>
              <w:t>100%</w:t>
            </w:r>
          </w:p>
        </w:tc>
        <w:tc>
          <w:tcPr>
            <w:tcW w:w="98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uto"/>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20"/>
        <w:spacing w:after="0" w:line="267" w:lineRule="auto"/>
        <w:rPr>
          <w:sz w:val="20"/>
          <w:szCs w:val="20"/>
          <w:color w:val="auto"/>
        </w:rPr>
      </w:pPr>
      <w:r>
        <w:rPr>
          <w:rFonts w:ascii="Arial" w:cs="Arial" w:eastAsia="Arial" w:hAnsi="Arial"/>
          <w:sz w:val="21"/>
          <w:szCs w:val="21"/>
          <w:color w:val="auto"/>
        </w:rPr>
        <w:t>For purposes of the table above, “</w:t>
      </w:r>
      <w:r>
        <w:rPr>
          <w:rFonts w:ascii="Arial" w:cs="Arial" w:eastAsia="Arial" w:hAnsi="Arial"/>
          <w:sz w:val="21"/>
          <w:szCs w:val="21"/>
          <w:b w:val="1"/>
          <w:bCs w:val="1"/>
          <w:u w:val="single" w:color="auto"/>
          <w:color w:val="auto"/>
        </w:rPr>
        <w:t>Initial Value</w:t>
      </w:r>
      <w:r>
        <w:rPr>
          <w:rFonts w:ascii="Arial" w:cs="Arial" w:eastAsia="Arial" w:hAnsi="Arial"/>
          <w:sz w:val="21"/>
          <w:szCs w:val="21"/>
          <w:color w:val="auto"/>
        </w:rPr>
        <w:t>” means 115% of the Fair Market Value of one share of Stock (as such terms are defined in the LTIP) as of the trading day next preceding the Date of Grant. If (I) Employee is employed under this Agreement at the end of the Term (as defined below), (II) Employee is willing to extend the Term through the period ending on the second (2nd) annual anniversary of the Date of Grant on substantially the same terms as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60"/>
          </w:cols>
          <w:pgMar w:left="320" w:top="1428" w:right="319" w:bottom="1440" w:gutter="0" w:footer="0" w:header="0"/>
        </w:sectPr>
      </w:pPr>
    </w:p>
    <w:bookmarkStart w:id="91" w:name="page92"/>
    <w:bookmarkEnd w:id="91"/>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this Agreement, and (III) the Company refuses to so extend the Term, then, solely for purposes of the Initial RSUs and Initial PSUs (and not for any other purpose), Employee’s termination of employment with the Company and its affiliates at the end of the Term shall be treated as an involuntary termination of Employee’s employment by the Company without Cause (as defined below) and the proration provisions in the applicable award agreement evidencing the Initial RSUs and Initial PSUs shall not apply.</w:t>
      </w:r>
    </w:p>
    <w:p>
      <w:pPr>
        <w:spacing w:after="0" w:line="186" w:lineRule="exact"/>
        <w:rPr>
          <w:sz w:val="20"/>
          <w:szCs w:val="20"/>
          <w:color w:val="auto"/>
        </w:rPr>
      </w:pPr>
    </w:p>
    <w:p>
      <w:pPr>
        <w:jc w:val="both"/>
        <w:ind w:firstLine="656"/>
        <w:spacing w:after="0" w:line="261" w:lineRule="auto"/>
        <w:tabs>
          <w:tab w:leader="none" w:pos="1296" w:val="left"/>
        </w:tabs>
        <w:numPr>
          <w:ilvl w:val="0"/>
          <w:numId w:val="87"/>
        </w:numPr>
        <w:rPr>
          <w:rFonts w:ascii="Arial" w:cs="Arial" w:eastAsia="Arial" w:hAnsi="Arial"/>
          <w:sz w:val="21"/>
          <w:szCs w:val="21"/>
          <w:color w:val="auto"/>
        </w:rPr>
      </w:pPr>
      <w:r>
        <w:rPr>
          <w:rFonts w:ascii="Arial" w:cs="Arial" w:eastAsia="Arial" w:hAnsi="Arial"/>
          <w:sz w:val="21"/>
          <w:szCs w:val="21"/>
          <w:b w:val="1"/>
          <w:bCs w:val="1"/>
          <w:u w:val="single" w:color="auto"/>
          <w:color w:val="auto"/>
        </w:rPr>
        <w:t>Term of Employment</w:t>
      </w:r>
      <w:r>
        <w:rPr>
          <w:rFonts w:ascii="Arial" w:cs="Arial" w:eastAsia="Arial" w:hAnsi="Arial"/>
          <w:sz w:val="21"/>
          <w:szCs w:val="21"/>
          <w:color w:val="auto"/>
        </w:rPr>
        <w:t>. The term of Employee’s employment under this Agreement shall be for the period</w:t>
      </w:r>
      <w:r>
        <w:rPr>
          <w:rFonts w:ascii="Arial" w:cs="Arial" w:eastAsia="Arial" w:hAnsi="Arial"/>
          <w:sz w:val="21"/>
          <w:szCs w:val="21"/>
          <w:b w:val="1"/>
          <w:bCs w:val="1"/>
          <w:color w:val="auto"/>
        </w:rPr>
        <w:t xml:space="preserve"> </w:t>
      </w:r>
      <w:r>
        <w:rPr>
          <w:rFonts w:ascii="Arial" w:cs="Arial" w:eastAsia="Arial" w:hAnsi="Arial"/>
          <w:sz w:val="21"/>
          <w:szCs w:val="21"/>
          <w:color w:val="auto"/>
        </w:rPr>
        <w:t>beginning on the Effective Date and ending on the second (2nd) annual anniversary of the Effective Date (the “</w:t>
      </w:r>
      <w:r>
        <w:rPr>
          <w:rFonts w:ascii="Arial" w:cs="Arial" w:eastAsia="Arial" w:hAnsi="Arial"/>
          <w:sz w:val="21"/>
          <w:szCs w:val="21"/>
          <w:b w:val="1"/>
          <w:bCs w:val="1"/>
          <w:u w:val="single" w:color="auto"/>
          <w:color w:val="auto"/>
        </w:rPr>
        <w:t>Term</w:t>
      </w:r>
      <w:r>
        <w:rPr>
          <w:rFonts w:ascii="Arial" w:cs="Arial" w:eastAsia="Arial" w:hAnsi="Arial"/>
          <w:sz w:val="21"/>
          <w:szCs w:val="21"/>
          <w:color w:val="auto"/>
        </w:rPr>
        <w:t xml:space="preserve">”). The parties may, but shall not be required to, mutually agree to extend the Term for additional one (1)-year periods. Notwithstanding any other provision of this Agreement, Employee’s employment pursuant to this Agreement may be terminated at any time in accordance with </w:t>
      </w:r>
      <w:r>
        <w:rPr>
          <w:rFonts w:ascii="Arial" w:cs="Arial" w:eastAsia="Arial" w:hAnsi="Arial"/>
          <w:sz w:val="21"/>
          <w:szCs w:val="21"/>
          <w:u w:val="single" w:color="auto"/>
          <w:color w:val="auto"/>
        </w:rPr>
        <w:t>Section 7</w:t>
      </w:r>
      <w:r>
        <w:rPr>
          <w:rFonts w:ascii="Arial" w:cs="Arial" w:eastAsia="Arial" w:hAnsi="Arial"/>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Arial" w:cs="Arial" w:eastAsia="Arial" w:hAnsi="Arial"/>
          <w:sz w:val="21"/>
          <w:szCs w:val="21"/>
          <w:b w:val="1"/>
          <w:bCs w:val="1"/>
          <w:u w:val="single" w:color="auto"/>
          <w:color w:val="auto"/>
        </w:rPr>
        <w:t>Employment Period</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firstLine="656"/>
        <w:spacing w:after="0" w:line="293" w:lineRule="auto"/>
        <w:tabs>
          <w:tab w:leader="none" w:pos="1296" w:val="left"/>
        </w:tabs>
        <w:numPr>
          <w:ilvl w:val="0"/>
          <w:numId w:val="87"/>
        </w:numPr>
        <w:rPr>
          <w:rFonts w:ascii="Arial" w:cs="Arial" w:eastAsia="Arial" w:hAnsi="Arial"/>
          <w:sz w:val="19"/>
          <w:szCs w:val="19"/>
          <w:color w:val="auto"/>
        </w:rPr>
      </w:pPr>
      <w:r>
        <w:rPr>
          <w:rFonts w:ascii="Arial" w:cs="Arial" w:eastAsia="Arial" w:hAnsi="Arial"/>
          <w:sz w:val="19"/>
          <w:szCs w:val="19"/>
          <w:b w:val="1"/>
          <w:bCs w:val="1"/>
          <w:u w:val="single" w:color="auto"/>
          <w:color w:val="auto"/>
        </w:rPr>
        <w:t>Business Expenses</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color w:val="auto"/>
        </w:rPr>
        <w:t>, the Company shall reimburse Employee for Employee’s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144" w:lineRule="exact"/>
        <w:rPr>
          <w:rFonts w:ascii="Arial" w:cs="Arial" w:eastAsia="Arial" w:hAnsi="Arial"/>
          <w:sz w:val="19"/>
          <w:szCs w:val="19"/>
          <w:color w:val="auto"/>
        </w:rPr>
      </w:pPr>
    </w:p>
    <w:p>
      <w:pPr>
        <w:ind w:left="1300" w:hanging="644"/>
        <w:spacing w:after="0"/>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47" w:lineRule="auto"/>
        <w:tabs>
          <w:tab w:leader="none" w:pos="1941" w:val="left"/>
        </w:tabs>
        <w:numPr>
          <w:ilvl w:val="1"/>
          <w:numId w:val="87"/>
        </w:numPr>
        <w:rPr>
          <w:rFonts w:ascii="Arial" w:cs="Arial" w:eastAsia="Arial" w:hAnsi="Arial"/>
          <w:sz w:val="22"/>
          <w:szCs w:val="22"/>
          <w:color w:val="auto"/>
        </w:rPr>
      </w:pPr>
      <w:r>
        <w:rPr>
          <w:rFonts w:ascii="Arial" w:cs="Arial" w:eastAsia="Arial" w:hAnsi="Arial"/>
          <w:sz w:val="22"/>
          <w:szCs w:val="22"/>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Arial" w:cs="Arial" w:eastAsia="Arial" w:hAnsi="Arial"/>
          <w:sz w:val="22"/>
          <w:szCs w:val="22"/>
          <w:u w:val="single" w:color="auto"/>
          <w:color w:val="auto"/>
        </w:rPr>
        <w:t>Section 6</w:t>
      </w:r>
      <w:r>
        <w:rPr>
          <w:rFonts w:ascii="Arial" w:cs="Arial" w:eastAsia="Arial" w:hAnsi="Arial"/>
          <w:sz w:val="22"/>
          <w:szCs w:val="22"/>
          <w:color w:val="auto"/>
        </w:rPr>
        <w:t>, be obligated to institute, maintain, or refrain from changing, amending, or discontinuing, any such plan or policy, so long as such changes are similarly applicable to similarly situated Company employees generally.</w:t>
      </w:r>
    </w:p>
    <w:p>
      <w:pPr>
        <w:spacing w:after="0" w:line="192" w:lineRule="exact"/>
        <w:rPr>
          <w:rFonts w:ascii="Arial" w:cs="Arial" w:eastAsia="Arial" w:hAnsi="Arial"/>
          <w:sz w:val="22"/>
          <w:szCs w:val="22"/>
          <w:color w:val="auto"/>
        </w:rPr>
      </w:pPr>
    </w:p>
    <w:p>
      <w:pPr>
        <w:ind w:left="1940" w:hanging="636"/>
        <w:spacing w:after="0"/>
        <w:tabs>
          <w:tab w:leader="none" w:pos="1940"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Company shall reimburse Employee up to $4,000 for legal fees incurred in connection with the review</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19"/>
          <w:szCs w:val="19"/>
          <w:color w:val="auto"/>
        </w:rPr>
      </w:pPr>
    </w:p>
    <w:p>
      <w:pPr>
        <w:jc w:val="both"/>
        <w:ind w:firstLine="1304"/>
        <w:spacing w:after="0" w:line="312" w:lineRule="auto"/>
        <w:tabs>
          <w:tab w:leader="none" w:pos="1941"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Company shall cover Employee under directors and officers liability insurance from the Effective Date, through the Term, and, while potential liability exists, after the Term or the termination of Employee’s employment with the Company, on the most favorable terms as provided to any other director or executive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92" w:name="page93"/>
    <w:bookmarkEnd w:id="92"/>
    <w:p>
      <w:pPr>
        <w:ind w:left="1300" w:hanging="644"/>
        <w:spacing w:after="0"/>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firstLine="1304"/>
        <w:spacing w:after="0" w:line="250" w:lineRule="auto"/>
        <w:tabs>
          <w:tab w:leader="none" w:pos="1941"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Employee’s Employment for Cause</w:t>
      </w:r>
      <w:r>
        <w:rPr>
          <w:rFonts w:ascii="Arial" w:cs="Arial" w:eastAsia="Arial" w:hAnsi="Arial"/>
          <w:sz w:val="22"/>
          <w:szCs w:val="22"/>
          <w:color w:val="auto"/>
        </w:rPr>
        <w:t>. The Company shall have the right to terminate Employee’s employment hereunder at any time for Cause. For purposes of this Agreement, “</w:t>
      </w:r>
      <w:r>
        <w:rPr>
          <w:rFonts w:ascii="Arial" w:cs="Arial" w:eastAsia="Arial" w:hAnsi="Arial"/>
          <w:sz w:val="22"/>
          <w:szCs w:val="22"/>
          <w:b w:val="1"/>
          <w:bCs w:val="1"/>
          <w:u w:val="single" w:color="auto"/>
          <w:color w:val="auto"/>
        </w:rPr>
        <w:t>Cause</w:t>
      </w:r>
      <w:r>
        <w:rPr>
          <w:rFonts w:ascii="Arial" w:cs="Arial" w:eastAsia="Arial" w:hAnsi="Arial"/>
          <w:sz w:val="22"/>
          <w:szCs w:val="22"/>
          <w:color w:val="auto"/>
        </w:rPr>
        <w:t>” shall mean Employee’s commission of an act or omission, or Employee causing the Company or any other member of the Company Group to commit an act or omission, that constitutes:</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2"/>
          <w:numId w:val="88"/>
        </w:numPr>
        <w:rPr>
          <w:rFonts w:ascii="Arial" w:cs="Arial" w:eastAsia="Arial" w:hAnsi="Arial"/>
          <w:sz w:val="22"/>
          <w:szCs w:val="22"/>
          <w:color w:val="auto"/>
        </w:rPr>
      </w:pPr>
      <w:r>
        <w:rPr>
          <w:rFonts w:ascii="Arial" w:cs="Arial" w:eastAsia="Arial" w:hAnsi="Arial"/>
          <w:sz w:val="22"/>
          <w:szCs w:val="22"/>
          <w:color w:val="auto"/>
        </w:rPr>
        <w:t>Employee’s fraud or misconduct;</w:t>
      </w:r>
    </w:p>
    <w:p>
      <w:pPr>
        <w:spacing w:after="0" w:line="219" w:lineRule="exact"/>
        <w:rPr>
          <w:rFonts w:ascii="Arial" w:cs="Arial" w:eastAsia="Arial" w:hAnsi="Arial"/>
          <w:sz w:val="22"/>
          <w:szCs w:val="22"/>
          <w:color w:val="auto"/>
        </w:rPr>
      </w:pPr>
    </w:p>
    <w:p>
      <w:pPr>
        <w:jc w:val="both"/>
        <w:ind w:left="660" w:right="20" w:firstLine="1292"/>
        <w:spacing w:after="0" w:line="253" w:lineRule="auto"/>
        <w:tabs>
          <w:tab w:leader="none" w:pos="2598" w:val="left"/>
        </w:tabs>
        <w:numPr>
          <w:ilvl w:val="2"/>
          <w:numId w:val="88"/>
        </w:numPr>
        <w:rPr>
          <w:rFonts w:ascii="Arial" w:cs="Arial" w:eastAsia="Arial" w:hAnsi="Arial"/>
          <w:sz w:val="22"/>
          <w:szCs w:val="22"/>
          <w:color w:val="auto"/>
        </w:rPr>
      </w:pPr>
      <w:r>
        <w:rPr>
          <w:rFonts w:ascii="Arial" w:cs="Arial" w:eastAsia="Arial" w:hAnsi="Arial"/>
          <w:sz w:val="22"/>
          <w:szCs w:val="22"/>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85" w:lineRule="exact"/>
        <w:rPr>
          <w:rFonts w:ascii="Arial" w:cs="Arial" w:eastAsia="Arial" w:hAnsi="Arial"/>
          <w:sz w:val="22"/>
          <w:szCs w:val="22"/>
          <w:color w:val="auto"/>
        </w:rPr>
      </w:pPr>
    </w:p>
    <w:p>
      <w:pPr>
        <w:jc w:val="both"/>
        <w:ind w:left="660" w:firstLine="1292"/>
        <w:spacing w:after="0" w:line="253" w:lineRule="auto"/>
        <w:tabs>
          <w:tab w:leader="none" w:pos="2604" w:val="left"/>
        </w:tabs>
        <w:numPr>
          <w:ilvl w:val="2"/>
          <w:numId w:val="88"/>
        </w:numPr>
        <w:rPr>
          <w:rFonts w:ascii="Arial" w:cs="Arial" w:eastAsia="Arial" w:hAnsi="Arial"/>
          <w:sz w:val="22"/>
          <w:szCs w:val="22"/>
          <w:color w:val="auto"/>
        </w:rPr>
      </w:pPr>
      <w:r>
        <w:rPr>
          <w:rFonts w:ascii="Arial" w:cs="Arial" w:eastAsia="Arial" w:hAnsi="Arial"/>
          <w:sz w:val="22"/>
          <w:szCs w:val="22"/>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85" w:lineRule="exact"/>
        <w:rPr>
          <w:rFonts w:ascii="Arial" w:cs="Arial" w:eastAsia="Arial" w:hAnsi="Arial"/>
          <w:sz w:val="22"/>
          <w:szCs w:val="22"/>
          <w:color w:val="auto"/>
        </w:rPr>
      </w:pPr>
    </w:p>
    <w:p>
      <w:pPr>
        <w:jc w:val="both"/>
        <w:ind w:left="660" w:firstLine="1292"/>
        <w:spacing w:after="0" w:line="271" w:lineRule="auto"/>
        <w:tabs>
          <w:tab w:leader="none" w:pos="2592" w:val="left"/>
        </w:tabs>
        <w:numPr>
          <w:ilvl w:val="2"/>
          <w:numId w:val="88"/>
        </w:numPr>
        <w:rPr>
          <w:rFonts w:ascii="Arial" w:cs="Arial" w:eastAsia="Arial" w:hAnsi="Arial"/>
          <w:sz w:val="21"/>
          <w:szCs w:val="21"/>
          <w:color w:val="auto"/>
        </w:rPr>
      </w:pPr>
      <w:r>
        <w:rPr>
          <w:rFonts w:ascii="Arial" w:cs="Arial" w:eastAsia="Arial" w:hAnsi="Arial"/>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67" w:lineRule="exact"/>
        <w:rPr>
          <w:rFonts w:ascii="Arial" w:cs="Arial" w:eastAsia="Arial" w:hAnsi="Arial"/>
          <w:sz w:val="21"/>
          <w:szCs w:val="21"/>
          <w:color w:val="auto"/>
        </w:rPr>
      </w:pPr>
    </w:p>
    <w:p>
      <w:pPr>
        <w:jc w:val="both"/>
        <w:ind w:left="660" w:firstLine="1292"/>
        <w:spacing w:after="0" w:line="253" w:lineRule="auto"/>
        <w:tabs>
          <w:tab w:leader="none" w:pos="2599" w:val="left"/>
        </w:tabs>
        <w:numPr>
          <w:ilvl w:val="2"/>
          <w:numId w:val="88"/>
        </w:numPr>
        <w:rPr>
          <w:rFonts w:ascii="Arial" w:cs="Arial" w:eastAsia="Arial" w:hAnsi="Arial"/>
          <w:sz w:val="22"/>
          <w:szCs w:val="22"/>
          <w:color w:val="auto"/>
        </w:rPr>
      </w:pPr>
      <w:r>
        <w:rPr>
          <w:rFonts w:ascii="Arial" w:cs="Arial" w:eastAsia="Arial" w:hAnsi="Arial"/>
          <w:sz w:val="22"/>
          <w:szCs w:val="22"/>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Notwithstanding the foregoing, no determination of “Cause” may be made pursuant to </w:t>
      </w:r>
      <w:r>
        <w:rPr>
          <w:rFonts w:ascii="Arial" w:cs="Arial" w:eastAsia="Arial" w:hAnsi="Arial"/>
          <w:sz w:val="19"/>
          <w:szCs w:val="19"/>
          <w:u w:val="single" w:color="auto"/>
          <w:color w:val="auto"/>
        </w:rPr>
        <w:t>Sections 7(a)(ii)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unless (1) within thirty (30) days of the Board obtaining actual knowledge of such action(s) or omissions Employee has been given written notice by the Board describing the specific alleged action(s) or omission(s) that constitute “Cause,” and (2) Employee has failed to cure such acts or omissions within thirty (30) days of such notice from the Board. Upon the termination of Employee’s employment pursuant to this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(C) benefits to which Employee is entitled under the terms of any applicable benefit plan or program described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(collectively, the “</w:t>
      </w:r>
      <w:r>
        <w:rPr>
          <w:rFonts w:ascii="Arial" w:cs="Arial" w:eastAsia="Arial" w:hAnsi="Arial"/>
          <w:sz w:val="19"/>
          <w:szCs w:val="19"/>
          <w:b w:val="1"/>
          <w:bCs w:val="1"/>
          <w:u w:val="single" w:color="auto"/>
          <w:color w:val="auto"/>
        </w:rPr>
        <w:t>Accrued Benefits</w:t>
      </w:r>
      <w:r>
        <w:rPr>
          <w:rFonts w:ascii="Arial" w:cs="Arial" w:eastAsia="Arial" w:hAnsi="Arial"/>
          <w:sz w:val="19"/>
          <w:szCs w:val="19"/>
          <w:color w:val="auto"/>
        </w:rPr>
        <w:t xml:space="preserve">”). In addition, subject to any limitation under applicable law, previously paid compensation pursuant to </w:t>
      </w:r>
      <w:r>
        <w:rPr>
          <w:rFonts w:ascii="Arial" w:cs="Arial" w:eastAsia="Arial" w:hAnsi="Arial"/>
          <w:sz w:val="19"/>
          <w:szCs w:val="19"/>
          <w:u w:val="single" w:color="auto"/>
          <w:color w:val="auto"/>
        </w:rPr>
        <w:t>Sections 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of a termination of Employee’s employment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93" w:name="page94"/>
    <w:bookmarkEnd w:id="93"/>
    <w:p>
      <w:pPr>
        <w:jc w:val="both"/>
        <w:ind w:firstLine="1304"/>
        <w:spacing w:after="0" w:line="253" w:lineRule="auto"/>
        <w:tabs>
          <w:tab w:leader="none" w:pos="1939"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Company’s Right to Terminate for Convenience</w:t>
      </w:r>
      <w:r>
        <w:rPr>
          <w:rFonts w:ascii="Arial" w:cs="Arial" w:eastAsia="Arial" w:hAnsi="Arial"/>
          <w:sz w:val="22"/>
          <w:szCs w:val="22"/>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304"/>
        <w:spacing w:after="0" w:line="250" w:lineRule="auto"/>
        <w:tabs>
          <w:tab w:leader="none" w:pos="1941"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Employee’s Right to Terminate for Good Reason</w:t>
      </w:r>
      <w:r>
        <w:rPr>
          <w:rFonts w:ascii="Arial" w:cs="Arial" w:eastAsia="Arial" w:hAnsi="Arial"/>
          <w:sz w:val="22"/>
          <w:szCs w:val="22"/>
          <w:color w:val="auto"/>
        </w:rPr>
        <w:t xml:space="preserve">. Employee shall have the right to terminate Employee’s employment with the Company at any time for Good Reason, in which event Employee shall receive the compensation and benefits described in </w:t>
      </w:r>
      <w:r>
        <w:rPr>
          <w:rFonts w:ascii="Arial" w:cs="Arial" w:eastAsia="Arial" w:hAnsi="Arial"/>
          <w:sz w:val="22"/>
          <w:szCs w:val="22"/>
          <w:u w:val="single" w:color="auto"/>
          <w:color w:val="auto"/>
        </w:rPr>
        <w:t>Section 7(f)</w:t>
      </w:r>
      <w:r>
        <w:rPr>
          <w:rFonts w:ascii="Arial" w:cs="Arial" w:eastAsia="Arial" w:hAnsi="Arial"/>
          <w:sz w:val="22"/>
          <w:szCs w:val="22"/>
          <w:color w:val="auto"/>
        </w:rPr>
        <w:t>. For purposes of this Agreement, “</w:t>
      </w:r>
      <w:r>
        <w:rPr>
          <w:rFonts w:ascii="Arial" w:cs="Arial" w:eastAsia="Arial" w:hAnsi="Arial"/>
          <w:sz w:val="22"/>
          <w:szCs w:val="22"/>
          <w:b w:val="1"/>
          <w:bCs w:val="1"/>
          <w:u w:val="single" w:color="auto"/>
          <w:color w:val="auto"/>
        </w:rPr>
        <w:t>Good Reason</w:t>
      </w:r>
      <w:r>
        <w:rPr>
          <w:rFonts w:ascii="Arial" w:cs="Arial" w:eastAsia="Arial" w:hAnsi="Arial"/>
          <w:sz w:val="22"/>
          <w:szCs w:val="22"/>
          <w:color w:val="auto"/>
        </w:rPr>
        <w:t>” shall mean any of the following occurring without Employee’s consent:</w:t>
      </w:r>
    </w:p>
    <w:p>
      <w:pPr>
        <w:spacing w:after="0" w:line="187" w:lineRule="exact"/>
        <w:rPr>
          <w:rFonts w:ascii="Arial" w:cs="Arial" w:eastAsia="Arial" w:hAnsi="Arial"/>
          <w:sz w:val="22"/>
          <w:szCs w:val="22"/>
          <w:color w:val="auto"/>
        </w:rPr>
      </w:pPr>
    </w:p>
    <w:p>
      <w:pPr>
        <w:ind w:left="2580" w:hanging="628"/>
        <w:spacing w:after="0"/>
        <w:tabs>
          <w:tab w:leader="none" w:pos="2580" w:val="left"/>
        </w:tabs>
        <w:numPr>
          <w:ilvl w:val="1"/>
          <w:numId w:val="89"/>
        </w:numPr>
        <w:rPr>
          <w:rFonts w:ascii="Arial" w:cs="Arial" w:eastAsia="Arial" w:hAnsi="Arial"/>
          <w:sz w:val="21"/>
          <w:szCs w:val="21"/>
          <w:color w:val="auto"/>
        </w:rPr>
      </w:pPr>
      <w:r>
        <w:rPr>
          <w:rFonts w:ascii="Arial" w:cs="Arial" w:eastAsia="Arial" w:hAnsi="Arial"/>
          <w:sz w:val="21"/>
          <w:szCs w:val="21"/>
          <w:color w:val="auto"/>
        </w:rPr>
        <w:t>a material adverse change in Employee’s title, duties or responsibilities (including reporting</w:t>
      </w:r>
    </w:p>
    <w:p>
      <w:pPr>
        <w:spacing w:after="0" w:line="32"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responsibilities);</w:t>
      </w:r>
    </w:p>
    <w:p>
      <w:pPr>
        <w:spacing w:after="0" w:line="201" w:lineRule="exact"/>
        <w:rPr>
          <w:rFonts w:ascii="Arial" w:cs="Arial" w:eastAsia="Arial" w:hAnsi="Arial"/>
          <w:sz w:val="21"/>
          <w:szCs w:val="21"/>
          <w:color w:val="auto"/>
        </w:rPr>
      </w:pPr>
    </w:p>
    <w:p>
      <w:pPr>
        <w:ind w:left="2600" w:hanging="648"/>
        <w:spacing w:after="0"/>
        <w:tabs>
          <w:tab w:leader="none" w:pos="26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a material reduction in Employee’s Base Salary;</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604" w:val="left"/>
        </w:tabs>
        <w:numPr>
          <w:ilvl w:val="1"/>
          <w:numId w:val="89"/>
        </w:numPr>
        <w:rPr>
          <w:rFonts w:ascii="Arial" w:cs="Arial" w:eastAsia="Arial" w:hAnsi="Arial"/>
          <w:sz w:val="22"/>
          <w:szCs w:val="22"/>
          <w:color w:val="auto"/>
        </w:rPr>
      </w:pPr>
      <w:r>
        <w:rPr>
          <w:rFonts w:ascii="Arial" w:cs="Arial" w:eastAsia="Arial" w:hAnsi="Arial"/>
          <w:sz w:val="22"/>
          <w:szCs w:val="22"/>
          <w:color w:val="auto"/>
        </w:rPr>
        <w:t>a relocation of Employee’s primary work location to a distance of more than 50 miles from its location as of immediately prior to such change (for this purpose, Employee’s primary work location as of the Effective Date shall be Wilmette, Illinois); or</w:t>
      </w:r>
    </w:p>
    <w:p>
      <w:pPr>
        <w:spacing w:after="0" w:line="185" w:lineRule="exact"/>
        <w:rPr>
          <w:rFonts w:ascii="Arial" w:cs="Arial" w:eastAsia="Arial" w:hAnsi="Arial"/>
          <w:sz w:val="22"/>
          <w:szCs w:val="22"/>
          <w:color w:val="auto"/>
        </w:rPr>
      </w:pPr>
    </w:p>
    <w:p>
      <w:pPr>
        <w:ind w:left="2580" w:hanging="628"/>
        <w:spacing w:after="0"/>
        <w:tabs>
          <w:tab w:leader="none" w:pos="25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a material breach by the Company of any of its obligations under this Agreement.</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 days following the expiration of such cure period for the termination to be on account of Good Reason.</w:t>
      </w:r>
    </w:p>
    <w:p>
      <w:pPr>
        <w:spacing w:after="0" w:line="142" w:lineRule="exact"/>
        <w:rPr>
          <w:sz w:val="20"/>
          <w:szCs w:val="20"/>
          <w:color w:val="auto"/>
        </w:rPr>
      </w:pPr>
    </w:p>
    <w:p>
      <w:pPr>
        <w:jc w:val="both"/>
        <w:ind w:firstLine="1304"/>
        <w:spacing w:after="0" w:line="287" w:lineRule="auto"/>
        <w:tabs>
          <w:tab w:leader="none" w:pos="1939"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Death or Disability</w:t>
      </w:r>
      <w:r>
        <w:rPr>
          <w:rFonts w:ascii="Arial" w:cs="Arial" w:eastAsia="Arial" w:hAnsi="Arial"/>
          <w:sz w:val="19"/>
          <w:szCs w:val="19"/>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Arial" w:cs="Arial" w:eastAsia="Arial" w:hAnsi="Arial"/>
          <w:sz w:val="19"/>
          <w:szCs w:val="19"/>
          <w:b w:val="1"/>
          <w:bCs w:val="1"/>
          <w:u w:val="single" w:color="auto"/>
          <w:color w:val="auto"/>
        </w:rPr>
        <w:t>Disability</w:t>
      </w:r>
      <w:r>
        <w:rPr>
          <w:rFonts w:ascii="Arial" w:cs="Arial" w:eastAsia="Arial" w:hAnsi="Arial"/>
          <w:sz w:val="19"/>
          <w:szCs w:val="19"/>
          <w:color w:val="auto"/>
        </w:rPr>
        <w:t>” shall exist if, as determined in the reasonable opinion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50" w:lineRule="auto"/>
        <w:rPr>
          <w:sz w:val="20"/>
          <w:szCs w:val="20"/>
          <w:color w:val="auto"/>
        </w:rPr>
      </w:pPr>
      <w:r>
        <w:rPr>
          <w:rFonts w:ascii="Arial" w:cs="Arial" w:eastAsia="Arial" w:hAnsi="Arial"/>
          <w:sz w:val="22"/>
          <w:szCs w:val="22"/>
          <w:color w:val="auto"/>
        </w:rPr>
        <w:t>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88" w:lineRule="exact"/>
        <w:rPr>
          <w:sz w:val="20"/>
          <w:szCs w:val="20"/>
          <w:color w:val="auto"/>
        </w:rPr>
      </w:pPr>
    </w:p>
    <w:p>
      <w:pPr>
        <w:jc w:val="both"/>
        <w:ind w:firstLine="1304"/>
        <w:spacing w:after="0" w:line="290" w:lineRule="auto"/>
        <w:tabs>
          <w:tab w:leader="none" w:pos="1941"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Employee’s Right to Terminate for Convenience</w:t>
      </w:r>
      <w:r>
        <w:rPr>
          <w:rFonts w:ascii="Arial" w:cs="Arial" w:eastAsia="Arial" w:hAnsi="Arial"/>
          <w:sz w:val="19"/>
          <w:szCs w:val="19"/>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Upon the termination of Employee’s employment pursuant to this </w:t>
      </w:r>
      <w:r>
        <w:rPr>
          <w:rFonts w:ascii="Arial" w:cs="Arial" w:eastAsia="Arial" w:hAnsi="Arial"/>
          <w:sz w:val="19"/>
          <w:szCs w:val="19"/>
          <w:u w:val="single" w:color="auto"/>
          <w:color w:val="auto"/>
        </w:rPr>
        <w:t>Section 7(e)</w:t>
      </w:r>
      <w:r>
        <w:rPr>
          <w:rFonts w:ascii="Arial" w:cs="Arial" w:eastAsia="Arial" w:hAnsi="Arial"/>
          <w:sz w:val="19"/>
          <w:szCs w:val="19"/>
          <w:color w:val="auto"/>
        </w:rPr>
        <w:t>, the Company shall pay to Employee the Accrued Benefits.</w:t>
      </w:r>
    </w:p>
    <w:p>
      <w:pPr>
        <w:spacing w:after="0" w:line="155" w:lineRule="exact"/>
        <w:rPr>
          <w:rFonts w:ascii="Arial" w:cs="Arial" w:eastAsia="Arial" w:hAnsi="Arial"/>
          <w:sz w:val="19"/>
          <w:szCs w:val="19"/>
          <w:color w:val="auto"/>
        </w:rPr>
      </w:pPr>
    </w:p>
    <w:p>
      <w:pPr>
        <w:ind w:left="1960" w:hanging="656"/>
        <w:spacing w:after="0"/>
        <w:tabs>
          <w:tab w:leader="none" w:pos="19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Employment without Cause or for Good Reason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60" w:firstLine="1292"/>
        <w:spacing w:after="0" w:line="286" w:lineRule="auto"/>
        <w:tabs>
          <w:tab w:leader="none" w:pos="2592"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If Employee’s employment hereunder is terminated prior to the expiration of the Term by the Company without Cause pursuant to </w:t>
      </w:r>
      <w:r>
        <w:rPr>
          <w:rFonts w:ascii="Arial" w:cs="Arial" w:eastAsia="Arial" w:hAnsi="Arial"/>
          <w:sz w:val="19"/>
          <w:szCs w:val="19"/>
          <w:u w:val="single" w:color="auto"/>
          <w:color w:val="auto"/>
        </w:rPr>
        <w:t>Section 7(b)</w:t>
      </w:r>
      <w:r>
        <w:rPr>
          <w:rFonts w:ascii="Arial" w:cs="Arial" w:eastAsia="Arial" w:hAnsi="Arial"/>
          <w:sz w:val="19"/>
          <w:szCs w:val="19"/>
          <w:color w:val="auto"/>
        </w:rPr>
        <w:t xml:space="preserve"> or is terminated by Employee for Good Reason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7(c)</w:t>
      </w:r>
      <w:r>
        <w:rPr>
          <w:rFonts w:ascii="Arial" w:cs="Arial" w:eastAsia="Arial" w:hAnsi="Arial"/>
          <w:sz w:val="19"/>
          <w:szCs w:val="19"/>
          <w:color w:val="auto"/>
        </w:rPr>
        <w:t>, then the Company shall pay Employee the Accrued Benefits and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Arial" w:cs="Arial" w:eastAsia="Arial" w:hAnsi="Arial"/>
          <w:sz w:val="19"/>
          <w:szCs w:val="19"/>
          <w:b w:val="1"/>
          <w:bCs w:val="1"/>
          <w:u w:val="single" w:color="auto"/>
          <w:color w:val="auto"/>
        </w:rPr>
        <w:t>Release</w:t>
      </w:r>
      <w:r>
        <w:rPr>
          <w:rFonts w:ascii="Arial" w:cs="Arial" w:eastAsia="Arial" w:hAnsi="Arial"/>
          <w:sz w:val="19"/>
          <w:szCs w:val="19"/>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and (y) abides by the terms of each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w:t>
      </w:r>
      <w:r>
        <w:rPr>
          <w:rFonts w:ascii="Arial" w:cs="Arial" w:eastAsia="Arial" w:hAnsi="Arial"/>
          <w:sz w:val="19"/>
          <w:szCs w:val="19"/>
          <w:color w:val="auto"/>
        </w:rPr>
        <w:t>, then:</w:t>
      </w:r>
    </w:p>
    <w:p>
      <w:pPr>
        <w:spacing w:after="0" w:line="161" w:lineRule="exact"/>
        <w:rPr>
          <w:rFonts w:ascii="Arial" w:cs="Arial" w:eastAsia="Arial" w:hAnsi="Arial"/>
          <w:sz w:val="19"/>
          <w:szCs w:val="19"/>
          <w:color w:val="auto"/>
        </w:rPr>
      </w:pPr>
    </w:p>
    <w:p>
      <w:pPr>
        <w:jc w:val="both"/>
        <w:ind w:left="1300" w:firstLine="1300"/>
        <w:spacing w:after="0" w:line="250" w:lineRule="auto"/>
        <w:tabs>
          <w:tab w:leader="none" w:pos="3318"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Company shall make severance payments (the total amount of which is referred to herein as the “</w:t>
      </w:r>
      <w:r>
        <w:rPr>
          <w:rFonts w:ascii="Arial" w:cs="Arial" w:eastAsia="Arial" w:hAnsi="Arial"/>
          <w:sz w:val="22"/>
          <w:szCs w:val="22"/>
          <w:b w:val="1"/>
          <w:bCs w:val="1"/>
          <w:u w:val="single" w:color="auto"/>
          <w:color w:val="auto"/>
        </w:rPr>
        <w:t>Severance Payment</w:t>
      </w:r>
      <w:r>
        <w:rPr>
          <w:rFonts w:ascii="Arial" w:cs="Arial" w:eastAsia="Arial" w:hAnsi="Arial"/>
          <w:sz w:val="22"/>
          <w:szCs w:val="22"/>
          <w:color w:val="auto"/>
        </w:rPr>
        <w:t>”) to Employee in a total amount equal to (x) if the date on which Employee’s employment terminates (the “</w:t>
      </w:r>
      <w:r>
        <w:rPr>
          <w:rFonts w:ascii="Arial" w:cs="Arial" w:eastAsia="Arial" w:hAnsi="Arial"/>
          <w:sz w:val="22"/>
          <w:szCs w:val="22"/>
          <w:b w:val="1"/>
          <w:bCs w:val="1"/>
          <w:u w:val="single" w:color="auto"/>
          <w:color w:val="auto"/>
        </w:rPr>
        <w:t>Termination Date</w:t>
      </w:r>
      <w:r>
        <w:rPr>
          <w:rFonts w:ascii="Arial" w:cs="Arial" w:eastAsia="Arial" w:hAnsi="Arial"/>
          <w:sz w:val="22"/>
          <w:szCs w:val="22"/>
          <w:color w:val="auto"/>
        </w:rPr>
        <w:t>”) is within the first twelve (12) months following the Effective Date, then the sum of twelve (12) months’ worth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95" w:name="page96"/>
    <w:bookmarkEnd w:id="95"/>
    <w:p>
      <w:pPr>
        <w:jc w:val="both"/>
        <w:ind w:left="180"/>
        <w:spacing w:after="0" w:line="284" w:lineRule="auto"/>
        <w:rPr>
          <w:sz w:val="20"/>
          <w:szCs w:val="20"/>
          <w:color w:val="auto"/>
        </w:rPr>
      </w:pPr>
      <w:r>
        <w:rPr>
          <w:rFonts w:ascii="Arial" w:cs="Arial" w:eastAsia="Arial" w:hAnsi="Arial"/>
          <w:sz w:val="19"/>
          <w:szCs w:val="19"/>
          <w:color w:val="auto"/>
        </w:rPr>
        <w:t>Employee’s Base Salary (determined as of the Termination Date) plus an amount equal to one (1) times Employee’s target Annual Bonus for the Bonus Year in which the Termination Date occurs, or (y) if the Termination Date is after the first twelve (12) months following the Effective Date, then the sum of the aggregate amount of Employee’s Base Salary (determined as of the Termination Date) for the then remainder of the current Term plus a prorated amount of Employee’s target Annual Bonus for the Bonus Year in which the Termination Date occurs (which proration shall be based on the number of days in the period beginning on the first day of such Bonus Year and ending on the Termination Date relative to the number of days in the applicable Bonus Year). The Severance Payment will be divided into substantially equal installments paid over the lesser of the twelve (12)-month period following the Termination Date or the then remainder of the current Term (such lesser period being the “</w:t>
      </w:r>
      <w:r>
        <w:rPr>
          <w:rFonts w:ascii="Arial" w:cs="Arial" w:eastAsia="Arial" w:hAnsi="Arial"/>
          <w:sz w:val="19"/>
          <w:szCs w:val="19"/>
          <w:b w:val="1"/>
          <w:bCs w:val="1"/>
          <w:u w:val="single" w:color="auto"/>
          <w:color w:val="auto"/>
        </w:rPr>
        <w:t>Severance Payment Period</w:t>
      </w:r>
      <w:r>
        <w:rPr>
          <w:rFonts w:ascii="Arial" w:cs="Arial" w:eastAsia="Arial" w:hAnsi="Arial"/>
          <w:sz w:val="19"/>
          <w:szCs w:val="19"/>
          <w:color w:val="auto"/>
        </w:rPr>
        <w:t>”). On the Company’s first regularly scheduled pay date that is on or after the date that is sixty (60) days after the Termination Date (the “</w:t>
      </w:r>
      <w:r>
        <w:rPr>
          <w:rFonts w:ascii="Arial" w:cs="Arial" w:eastAsia="Arial" w:hAnsi="Arial"/>
          <w:sz w:val="19"/>
          <w:szCs w:val="19"/>
          <w:b w:val="1"/>
          <w:bCs w:val="1"/>
          <w:u w:val="single" w:color="auto"/>
          <w:color w:val="auto"/>
        </w:rPr>
        <w:t>First Payment Date</w:t>
      </w:r>
      <w:r>
        <w:rPr>
          <w:rFonts w:ascii="Arial" w:cs="Arial" w:eastAsia="Arial" w:hAnsi="Arial"/>
          <w:sz w:val="19"/>
          <w:szCs w:val="19"/>
          <w:color w:val="auto"/>
        </w:rPr>
        <w:t xml:space="preserve">”), the Company shall pay to Employee, without interest, a number of such installments equal to the 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Severance Payment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to the extent, if any, that the aggregate amount of the installments of the Severance Payment that would otherwise be paid pursuant to the preceding provisions of this </w:t>
      </w:r>
      <w:r>
        <w:rPr>
          <w:rFonts w:ascii="Arial" w:cs="Arial" w:eastAsia="Arial" w:hAnsi="Arial"/>
          <w:sz w:val="19"/>
          <w:szCs w:val="19"/>
          <w:u w:val="single" w:color="auto"/>
          <w:color w:val="auto"/>
        </w:rPr>
        <w:t>Section 7(f)(i)</w:t>
      </w:r>
      <w:r>
        <w:rPr>
          <w:rFonts w:ascii="Arial" w:cs="Arial" w:eastAsia="Arial" w:hAnsi="Arial"/>
          <w:sz w:val="19"/>
          <w:szCs w:val="19"/>
          <w:color w:val="auto"/>
        </w:rPr>
        <w:t xml:space="preserve"> after March 15 of the calendar year following the calendar year in which the Termination Date occurs (the “</w:t>
      </w:r>
      <w:r>
        <w:rPr>
          <w:rFonts w:ascii="Arial" w:cs="Arial" w:eastAsia="Arial" w:hAnsi="Arial"/>
          <w:sz w:val="19"/>
          <w:szCs w:val="19"/>
          <w:b w:val="1"/>
          <w:bCs w:val="1"/>
          <w:u w:val="single" w:color="auto"/>
          <w:color w:val="auto"/>
        </w:rPr>
        <w:t>Applicable March 15</w:t>
      </w:r>
      <w:r>
        <w:rPr>
          <w:rFonts w:ascii="Arial" w:cs="Arial" w:eastAsia="Arial" w:hAnsi="Arial"/>
          <w:sz w:val="19"/>
          <w:szCs w:val="19"/>
          <w:color w:val="auto"/>
        </w:rPr>
        <w:t>”) exceeds the maximum exemption amount under Treasury Regulation Section 1.409A-1(b)(9)(iii)(A), 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 “</w:t>
      </w:r>
      <w:r>
        <w:rPr>
          <w:rFonts w:ascii="Arial" w:cs="Arial" w:eastAsia="Arial" w:hAnsi="Arial"/>
          <w:sz w:val="19"/>
          <w:szCs w:val="19"/>
          <w:b w:val="1"/>
          <w:bCs w:val="1"/>
          <w:u w:val="single" w:color="auto"/>
          <w:color w:val="auto"/>
        </w:rPr>
        <w:t>Business Day</w:t>
      </w:r>
      <w:r>
        <w:rPr>
          <w:rFonts w:ascii="Arial" w:cs="Arial" w:eastAsia="Arial" w:hAnsi="Arial"/>
          <w:sz w:val="19"/>
          <w:szCs w:val="19"/>
          <w:color w:val="auto"/>
        </w:rPr>
        <w:t>” shall mean any day except a Saturday, Sunday or other day on which commercial banks in San Francisco, California, are authorized or required by law to be closed.</w:t>
      </w:r>
    </w:p>
    <w:p>
      <w:pPr>
        <w:spacing w:after="0" w:line="200" w:lineRule="exact"/>
        <w:rPr>
          <w:sz w:val="20"/>
          <w:szCs w:val="20"/>
          <w:color w:val="auto"/>
        </w:rPr>
      </w:pPr>
    </w:p>
    <w:p>
      <w:pPr>
        <w:spacing w:after="0" w:line="221" w:lineRule="exact"/>
        <w:rPr>
          <w:sz w:val="20"/>
          <w:szCs w:val="20"/>
          <w:color w:val="auto"/>
        </w:rPr>
      </w:pPr>
    </w:p>
    <w:p>
      <w:pPr>
        <w:jc w:val="both"/>
        <w:ind w:left="180" w:firstLine="1300"/>
        <w:spacing w:after="0" w:line="294" w:lineRule="auto"/>
        <w:tabs>
          <w:tab w:leader="none" w:pos="2115" w:val="left"/>
        </w:tabs>
        <w:numPr>
          <w:ilvl w:val="0"/>
          <w:numId w:val="92"/>
        </w:numPr>
        <w:rPr>
          <w:rFonts w:ascii="Arial" w:cs="Arial" w:eastAsia="Arial" w:hAnsi="Arial"/>
          <w:sz w:val="19"/>
          <w:szCs w:val="19"/>
          <w:color w:val="auto"/>
        </w:rPr>
      </w:pPr>
      <w:r>
        <w:rPr>
          <w:rFonts w:ascii="Arial" w:cs="Arial" w:eastAsia="Arial" w:hAnsi="Arial"/>
          <w:sz w:val="19"/>
          <w:szCs w:val="19"/>
          <w:color w:val="auto"/>
        </w:rPr>
        <w:t>During the portion, if any, of the Severance Payment Period that Employee elects to continue coverage for Employee and Employee’s spouse and eligible dependents, if any, under the Company’s group health plans pursuant to the Consolidated Omnibus Budget Reconciliation Act of 1985, as amended (“</w:t>
      </w:r>
      <w:r>
        <w:rPr>
          <w:rFonts w:ascii="Arial" w:cs="Arial" w:eastAsia="Arial" w:hAnsi="Arial"/>
          <w:sz w:val="19"/>
          <w:szCs w:val="19"/>
          <w:b w:val="1"/>
          <w:bCs w:val="1"/>
          <w:u w:val="single" w:color="auto"/>
          <w:color w:val="auto"/>
        </w:rPr>
        <w:t>COBRA</w:t>
      </w:r>
      <w:r>
        <w:rPr>
          <w:rFonts w:ascii="Arial" w:cs="Arial" w:eastAsia="Arial" w:hAnsi="Arial"/>
          <w:sz w:val="19"/>
          <w:szCs w:val="19"/>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28" w:right="339" w:bottom="1440" w:gutter="0" w:footer="0" w:header="0"/>
        </w:sectPr>
      </w:pPr>
    </w:p>
    <w:bookmarkStart w:id="96" w:name="page97"/>
    <w:bookmarkEnd w:id="96"/>
    <w:p>
      <w:pPr>
        <w:jc w:val="both"/>
        <w:ind w:left="640"/>
        <w:spacing w:after="0" w:line="286" w:lineRule="auto"/>
        <w:rPr>
          <w:sz w:val="20"/>
          <w:szCs w:val="20"/>
          <w:color w:val="auto"/>
        </w:rPr>
      </w:pPr>
      <w:r>
        <w:rPr>
          <w:rFonts w:ascii="Arial" w:cs="Arial" w:eastAsia="Arial" w:hAnsi="Arial"/>
          <w:sz w:val="19"/>
          <w:szCs w:val="19"/>
          <w:color w:val="auto"/>
        </w:rPr>
        <w:t>such group health plans (the “</w:t>
      </w:r>
      <w:r>
        <w:rPr>
          <w:rFonts w:ascii="Arial" w:cs="Arial" w:eastAsia="Arial" w:hAnsi="Arial"/>
          <w:sz w:val="19"/>
          <w:szCs w:val="19"/>
          <w:b w:val="1"/>
          <w:bCs w:val="1"/>
          <w:u w:val="single" w:color="auto"/>
          <w:color w:val="auto"/>
        </w:rPr>
        <w:t>COBRA Benefit</w:t>
      </w:r>
      <w:r>
        <w:rPr>
          <w:rFonts w:ascii="Arial" w:cs="Arial" w:eastAsia="Arial" w:hAnsi="Arial"/>
          <w:sz w:val="19"/>
          <w:szCs w:val="19"/>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Severance Payment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 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200" w:lineRule="exact"/>
        <w:rPr>
          <w:sz w:val="20"/>
          <w:szCs w:val="20"/>
          <w:color w:val="auto"/>
        </w:rPr>
      </w:pPr>
    </w:p>
    <w:p>
      <w:pPr>
        <w:spacing w:after="0" w:line="217" w:lineRule="exact"/>
        <w:rPr>
          <w:sz w:val="20"/>
          <w:szCs w:val="20"/>
          <w:color w:val="auto"/>
        </w:rPr>
      </w:pPr>
    </w:p>
    <w:p>
      <w:pPr>
        <w:jc w:val="both"/>
        <w:ind w:left="640" w:firstLine="1300"/>
        <w:spacing w:after="0" w:line="246" w:lineRule="auto"/>
        <w:tabs>
          <w:tab w:leader="none" w:pos="2575" w:val="left"/>
        </w:tabs>
        <w:numPr>
          <w:ilvl w:val="0"/>
          <w:numId w:val="93"/>
        </w:numPr>
        <w:rPr>
          <w:rFonts w:ascii="Arial" w:cs="Arial" w:eastAsia="Arial" w:hAnsi="Arial"/>
          <w:sz w:val="22"/>
          <w:szCs w:val="22"/>
          <w:color w:val="auto"/>
        </w:rPr>
      </w:pPr>
      <w:r>
        <w:rPr>
          <w:rFonts w:ascii="Arial" w:cs="Arial" w:eastAsia="Arial" w:hAnsi="Arial"/>
          <w:sz w:val="22"/>
          <w:szCs w:val="22"/>
          <w:color w:val="auto"/>
        </w:rPr>
        <w:t>One-hundred percent (100%) of the Initial RSUs shall immediately become nonforfeitable and shall be settled on the second annual anniversary of the Date of Grant (or within 45 days thereafter), and a pro-rata portion of the Initial PSUs shall become “Vested PS Units” (as such term is defined in the award agreement evidencing the grant of the Initial PSUs, and such proration shall be determined based on the number of days in the period beginning on the Date of Grant and ending on the Termination Date relative to the number of days in the entire two-year performance period), shall remain outstanding during the remainder of the performance period, and shall be eligible to become earned based on the level of achievement of the applicable performance goal.</w:t>
      </w:r>
    </w:p>
    <w:p>
      <w:pPr>
        <w:spacing w:after="0" w:line="19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payments and benefits described in clauses (A), (B) and (C) above are collectively referred to herein as the “</w:t>
      </w:r>
      <w:r>
        <w:rPr>
          <w:rFonts w:ascii="Arial" w:cs="Arial" w:eastAsia="Arial" w:hAnsi="Arial"/>
          <w:sz w:val="22"/>
          <w:szCs w:val="22"/>
          <w:b w:val="1"/>
          <w:bCs w:val="1"/>
          <w:u w:val="single" w:color="auto"/>
          <w:color w:val="auto"/>
        </w:rPr>
        <w:t>Termination Benefits</w:t>
      </w:r>
      <w:r>
        <w:rPr>
          <w:rFonts w:ascii="Arial" w:cs="Arial" w:eastAsia="Arial" w:hAnsi="Arial"/>
          <w:sz w:val="22"/>
          <w:szCs w:val="22"/>
          <w:color w:val="auto"/>
        </w:rPr>
        <w:t>.”</w:t>
      </w:r>
    </w:p>
    <w:p>
      <w:pPr>
        <w:spacing w:after="0" w:line="175" w:lineRule="exact"/>
        <w:rPr>
          <w:sz w:val="20"/>
          <w:szCs w:val="20"/>
          <w:color w:val="auto"/>
        </w:rPr>
      </w:pPr>
    </w:p>
    <w:p>
      <w:pPr>
        <w:ind w:firstLine="1292"/>
        <w:spacing w:after="0" w:line="287" w:lineRule="auto"/>
        <w:tabs>
          <w:tab w:leader="none" w:pos="1938" w:val="left"/>
        </w:tabs>
        <w:numPr>
          <w:ilvl w:val="0"/>
          <w:numId w:val="94"/>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Termination Benefits (and any portions thereof) shall not be payable if Employee’s employment hereunder terminates upon the expiration of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0"/>
          </w:cols>
          <w:pgMar w:left="980" w:top="1422" w:right="339" w:bottom="1440" w:gutter="0" w:footer="0" w:header="0"/>
        </w:sectPr>
      </w:pPr>
    </w:p>
    <w:bookmarkStart w:id="97" w:name="page98"/>
    <w:bookmarkEnd w:id="97"/>
    <w:p>
      <w:pPr>
        <w:jc w:val="both"/>
        <w:ind w:left="660" w:firstLine="1292"/>
        <w:spacing w:after="0" w:line="246" w:lineRule="auto"/>
        <w:tabs>
          <w:tab w:leader="none" w:pos="2604" w:val="left"/>
        </w:tabs>
        <w:numPr>
          <w:ilvl w:val="2"/>
          <w:numId w:val="95"/>
        </w:numPr>
        <w:rPr>
          <w:rFonts w:ascii="Arial" w:cs="Arial" w:eastAsia="Arial" w:hAnsi="Arial"/>
          <w:sz w:val="22"/>
          <w:szCs w:val="22"/>
          <w:color w:val="auto"/>
        </w:rPr>
      </w:pPr>
      <w:r>
        <w:rPr>
          <w:rFonts w:ascii="Arial" w:cs="Arial" w:eastAsia="Arial" w:hAnsi="Arial"/>
          <w:sz w:val="22"/>
          <w:szCs w:val="22"/>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Arial" w:cs="Arial" w:eastAsia="Arial" w:hAnsi="Arial"/>
          <w:sz w:val="22"/>
          <w:szCs w:val="22"/>
          <w:b w:val="1"/>
          <w:bCs w:val="1"/>
          <w:u w:val="single" w:color="auto"/>
          <w:color w:val="auto"/>
        </w:rPr>
        <w:t>Release Expiration Date</w:t>
      </w:r>
      <w:r>
        <w:rPr>
          <w:rFonts w:ascii="Arial" w:cs="Arial" w:eastAsia="Arial" w:hAnsi="Arial"/>
          <w:sz w:val="22"/>
          <w:szCs w:val="22"/>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93" w:lineRule="exact"/>
        <w:rPr>
          <w:rFonts w:ascii="Arial" w:cs="Arial" w:eastAsia="Arial" w:hAnsi="Arial"/>
          <w:sz w:val="22"/>
          <w:szCs w:val="22"/>
          <w:color w:val="auto"/>
        </w:rPr>
      </w:pPr>
    </w:p>
    <w:p>
      <w:pPr>
        <w:jc w:val="both"/>
        <w:ind w:firstLine="1304"/>
        <w:spacing w:after="0" w:line="287" w:lineRule="auto"/>
        <w:tabs>
          <w:tab w:leader="none" w:pos="1939"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After-Acquired Evidence</w:t>
      </w:r>
      <w:r>
        <w:rPr>
          <w:rFonts w:ascii="Arial" w:cs="Arial" w:eastAsia="Arial" w:hAnsi="Arial"/>
          <w:sz w:val="19"/>
          <w:szCs w:val="19"/>
          <w:color w:val="auto"/>
        </w:rPr>
        <w:t xml:space="preserve">. Notwithstanding any provision of this Agreement to the contrary, in the event that the Company determines, in good faith, that Employee is eligible to receive the Termination Benefits pursuant to </w:t>
      </w:r>
      <w:r>
        <w:rPr>
          <w:rFonts w:ascii="Arial" w:cs="Arial" w:eastAsia="Arial" w:hAnsi="Arial"/>
          <w:sz w:val="19"/>
          <w:szCs w:val="19"/>
          <w:u w:val="single" w:color="auto"/>
          <w:color w:val="auto"/>
        </w:rPr>
        <w:t>Section 7(f)</w:t>
      </w:r>
      <w:r>
        <w:rPr>
          <w:rFonts w:ascii="Arial" w:cs="Arial" w:eastAsia="Arial" w:hAnsi="Arial"/>
          <w:sz w:val="19"/>
          <w:szCs w:val="19"/>
          <w:color w:val="auto"/>
        </w:rPr>
        <w:t xml:space="preserve"> but, after such determination, the Company subsequently acquires evidence or determines that: (i) Employee has failed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or (ii) a Cause condition existed prior to the Termination Date that, had the Company been fully aware of such condition, would have given the Company the right to terminate Employee’s employment pursuant to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Arial" w:cs="Arial" w:eastAsia="Arial" w:hAnsi="Arial"/>
          <w:sz w:val="19"/>
          <w:szCs w:val="19"/>
          <w:u w:val="single" w:color="auto"/>
          <w:color w:val="auto"/>
        </w:rPr>
        <w:t>Section 7(g)</w:t>
      </w:r>
      <w:r>
        <w:rPr>
          <w:rFonts w:ascii="Arial" w:cs="Arial" w:eastAsia="Arial" w:hAnsi="Arial"/>
          <w:sz w:val="19"/>
          <w:szCs w:val="19"/>
          <w:color w:val="auto"/>
        </w:rPr>
        <w:t xml:space="preserve"> have been satisfied. In addition, the provisions of the last sentence of </w:t>
      </w:r>
      <w:r>
        <w:rPr>
          <w:rFonts w:ascii="Arial" w:cs="Arial" w:eastAsia="Arial" w:hAnsi="Arial"/>
          <w:sz w:val="19"/>
          <w:szCs w:val="19"/>
          <w:u w:val="single" w:color="auto"/>
          <w:color w:val="auto"/>
        </w:rPr>
        <w:t>Section 7(a)</w:t>
      </w:r>
      <w:r>
        <w:rPr>
          <w:rFonts w:ascii="Arial" w:cs="Arial" w:eastAsia="Arial" w:hAnsi="Arial"/>
          <w:sz w:val="19"/>
          <w:szCs w:val="19"/>
          <w:color w:val="auto"/>
        </w:rPr>
        <w:t xml:space="preserve"> shall apply, and, subject to any limitation under applicable law, previously paid compensation pursuant to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3(c)</w:t>
      </w:r>
      <w:r>
        <w:rPr>
          <w:rFonts w:ascii="Arial" w:cs="Arial" w:eastAsia="Arial" w:hAnsi="Arial"/>
          <w:sz w:val="19"/>
          <w:szCs w:val="19"/>
          <w:color w:val="auto"/>
        </w:rPr>
        <w:t xml:space="preserve"> (including pursuant to the Initial RSUs and Initial PSUs) shall be subject to clawback or forfeiture and cancellation at the discretion of the Compensation Committee in the event Employee fails to abide by the terms of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656"/>
        <w:spacing w:after="0" w:line="262" w:lineRule="auto"/>
        <w:tabs>
          <w:tab w:leader="none" w:pos="1296" w:val="left"/>
        </w:tabs>
        <w:numPr>
          <w:ilvl w:val="0"/>
          <w:numId w:val="97"/>
        </w:numPr>
        <w:rPr>
          <w:rFonts w:ascii="Arial" w:cs="Arial" w:eastAsia="Arial" w:hAnsi="Arial"/>
          <w:sz w:val="21"/>
          <w:szCs w:val="21"/>
          <w:color w:val="auto"/>
        </w:rPr>
      </w:pPr>
      <w:r>
        <w:rPr>
          <w:rFonts w:ascii="Arial" w:cs="Arial" w:eastAsia="Arial" w:hAnsi="Arial"/>
          <w:sz w:val="21"/>
          <w:szCs w:val="21"/>
          <w:b w:val="1"/>
          <w:bCs w:val="1"/>
          <w:u w:val="single" w:color="auto"/>
          <w:color w:val="auto"/>
        </w:rPr>
        <w:t>Disclosures</w:t>
      </w:r>
      <w:r>
        <w:rPr>
          <w:rFonts w:ascii="Arial" w:cs="Arial" w:eastAsia="Arial" w:hAnsi="Arial"/>
          <w:sz w:val="21"/>
          <w:szCs w:val="21"/>
          <w:color w:val="auto"/>
        </w:rPr>
        <w:t>. Promptly (and in any event, within three (3) Business Days) upon becoming aware of (a) any actual</w:t>
      </w:r>
      <w:r>
        <w:rPr>
          <w:rFonts w:ascii="Arial" w:cs="Arial" w:eastAsia="Arial" w:hAnsi="Arial"/>
          <w:sz w:val="21"/>
          <w:szCs w:val="21"/>
          <w:b w:val="1"/>
          <w:bCs w:val="1"/>
          <w:color w:val="auto"/>
        </w:rPr>
        <w:t xml:space="preserve"> </w:t>
      </w:r>
      <w:r>
        <w:rPr>
          <w:rFonts w:ascii="Arial" w:cs="Arial" w:eastAsia="Arial" w:hAnsi="Arial"/>
          <w:sz w:val="21"/>
          <w:szCs w:val="21"/>
          <w:color w:val="auto"/>
        </w:rPr>
        <w:t>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Arial" w:cs="Arial" w:eastAsia="Arial" w:hAnsi="Arial"/>
          <w:sz w:val="21"/>
          <w:szCs w:val="21"/>
          <w:b w:val="1"/>
          <w:bCs w:val="1"/>
          <w:u w:val="single" w:color="auto"/>
          <w:color w:val="auto"/>
        </w:rPr>
        <w:t>Conflict of Interest</w:t>
      </w:r>
      <w:r>
        <w:rPr>
          <w:rFonts w:ascii="Arial" w:cs="Arial" w:eastAsia="Arial" w:hAnsi="Arial"/>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173"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In the course of Employee’s employment with the Company and the performance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firstLine="1304"/>
        <w:spacing w:after="0" w:line="263" w:lineRule="auto"/>
        <w:tabs>
          <w:tab w:leader="none" w:pos="1941" w:val="left"/>
        </w:tabs>
        <w:numPr>
          <w:ilvl w:val="1"/>
          <w:numId w:val="97"/>
        </w:numPr>
        <w:rPr>
          <w:rFonts w:ascii="Arial" w:cs="Arial" w:eastAsia="Arial" w:hAnsi="Arial"/>
          <w:sz w:val="22"/>
          <w:szCs w:val="22"/>
          <w:color w:val="auto"/>
        </w:rPr>
      </w:pPr>
      <w:r>
        <w:rPr>
          <w:rFonts w:ascii="Arial" w:cs="Arial" w:eastAsia="Arial" w:hAnsi="Arial"/>
          <w:sz w:val="22"/>
          <w:szCs w:val="22"/>
          <w:color w:val="auto"/>
        </w:rPr>
        <w:t>Both during the Employment Period and thereafter, except as expressly permitted by this Agreement or by directive of the Board, Employee shall not disclose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98" w:name="page99"/>
    <w:bookmarkEnd w:id="98"/>
    <w:p>
      <w:pPr>
        <w:jc w:val="both"/>
        <w:spacing w:after="0" w:line="247" w:lineRule="auto"/>
        <w:rPr>
          <w:sz w:val="20"/>
          <w:szCs w:val="20"/>
          <w:color w:val="auto"/>
        </w:rPr>
      </w:pPr>
      <w:r>
        <w:rPr>
          <w:rFonts w:ascii="Arial" w:cs="Arial" w:eastAsia="Arial" w:hAnsi="Arial"/>
          <w:sz w:val="22"/>
          <w:szCs w:val="22"/>
          <w:color w:val="auto"/>
        </w:rPr>
        <w:t xml:space="preserve">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93" w:lineRule="exact"/>
        <w:rPr>
          <w:sz w:val="20"/>
          <w:szCs w:val="20"/>
          <w:color w:val="auto"/>
        </w:rPr>
      </w:pPr>
    </w:p>
    <w:p>
      <w:pPr>
        <w:ind w:right="20" w:firstLine="1304"/>
        <w:spacing w:after="0" w:line="263" w:lineRule="auto"/>
        <w:tabs>
          <w:tab w:leader="none" w:pos="1939"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w:t>
      </w:r>
      <w:r>
        <w:rPr>
          <w:rFonts w:ascii="Arial" w:cs="Arial" w:eastAsia="Arial" w:hAnsi="Arial"/>
          <w:sz w:val="22"/>
          <w:szCs w:val="22"/>
          <w:u w:val="single" w:color="auto"/>
          <w:color w:val="auto"/>
        </w:rPr>
        <w:t>Section 9(a)</w:t>
      </w:r>
      <w:r>
        <w:rPr>
          <w:rFonts w:ascii="Arial" w:cs="Arial" w:eastAsia="Arial" w:hAnsi="Arial"/>
          <w:sz w:val="22"/>
          <w:szCs w:val="22"/>
          <w:color w:val="auto"/>
        </w:rPr>
        <w:t xml:space="preserve"> to the contrary, Employee may make the following disclosures and uses of Confidential Information:</w:t>
      </w:r>
    </w:p>
    <w:p>
      <w:pPr>
        <w:spacing w:after="0" w:line="174" w:lineRule="exact"/>
        <w:rPr>
          <w:rFonts w:ascii="Arial" w:cs="Arial" w:eastAsia="Arial" w:hAnsi="Arial"/>
          <w:sz w:val="22"/>
          <w:szCs w:val="22"/>
          <w:color w:val="auto"/>
        </w:rPr>
      </w:pPr>
    </w:p>
    <w:p>
      <w:pPr>
        <w:ind w:left="660" w:firstLine="1292"/>
        <w:spacing w:after="0" w:line="263" w:lineRule="auto"/>
        <w:tabs>
          <w:tab w:leader="none" w:pos="2592" w:val="left"/>
        </w:tabs>
        <w:numPr>
          <w:ilvl w:val="1"/>
          <w:numId w:val="98"/>
        </w:numPr>
        <w:rPr>
          <w:rFonts w:ascii="Arial" w:cs="Arial" w:eastAsia="Arial" w:hAnsi="Arial"/>
          <w:sz w:val="22"/>
          <w:szCs w:val="22"/>
          <w:color w:val="auto"/>
        </w:rPr>
      </w:pPr>
      <w:r>
        <w:rPr>
          <w:rFonts w:ascii="Arial" w:cs="Arial" w:eastAsia="Arial" w:hAnsi="Arial"/>
          <w:sz w:val="22"/>
          <w:szCs w:val="22"/>
          <w:color w:val="auto"/>
        </w:rPr>
        <w:t>disclosures to other employees of a member of the Company Group who have a need to know the information in connection with the businesses of the Company Group;</w:t>
      </w:r>
    </w:p>
    <w:p>
      <w:pPr>
        <w:spacing w:after="0" w:line="174" w:lineRule="exact"/>
        <w:rPr>
          <w:rFonts w:ascii="Arial" w:cs="Arial" w:eastAsia="Arial" w:hAnsi="Arial"/>
          <w:sz w:val="22"/>
          <w:szCs w:val="22"/>
          <w:color w:val="auto"/>
        </w:rPr>
      </w:pPr>
    </w:p>
    <w:p>
      <w:pPr>
        <w:jc w:val="both"/>
        <w:ind w:left="660" w:firstLine="1292"/>
        <w:spacing w:after="0" w:line="253" w:lineRule="auto"/>
        <w:tabs>
          <w:tab w:leader="none" w:pos="2598" w:val="left"/>
        </w:tabs>
        <w:numPr>
          <w:ilvl w:val="1"/>
          <w:numId w:val="98"/>
        </w:numPr>
        <w:rPr>
          <w:rFonts w:ascii="Arial" w:cs="Arial" w:eastAsia="Arial" w:hAnsi="Arial"/>
          <w:sz w:val="22"/>
          <w:szCs w:val="22"/>
          <w:color w:val="auto"/>
        </w:rPr>
      </w:pPr>
      <w:r>
        <w:rPr>
          <w:rFonts w:ascii="Arial" w:cs="Arial" w:eastAsia="Arial" w:hAnsi="Arial"/>
          <w:sz w:val="22"/>
          <w:szCs w:val="22"/>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85" w:lineRule="exact"/>
        <w:rPr>
          <w:rFonts w:ascii="Arial" w:cs="Arial" w:eastAsia="Arial" w:hAnsi="Arial"/>
          <w:sz w:val="22"/>
          <w:szCs w:val="22"/>
          <w:color w:val="auto"/>
        </w:rPr>
      </w:pPr>
    </w:p>
    <w:p>
      <w:pPr>
        <w:ind w:left="2600" w:hanging="648"/>
        <w:spacing w:after="0"/>
        <w:tabs>
          <w:tab w:leader="none" w:pos="26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disclosures and uses that are approved in writing by the Board; or</w:t>
      </w:r>
    </w:p>
    <w:p>
      <w:pPr>
        <w:spacing w:after="0" w:line="219" w:lineRule="exact"/>
        <w:rPr>
          <w:rFonts w:ascii="Arial" w:cs="Arial" w:eastAsia="Arial" w:hAnsi="Arial"/>
          <w:sz w:val="22"/>
          <w:szCs w:val="22"/>
          <w:color w:val="auto"/>
        </w:rPr>
      </w:pPr>
    </w:p>
    <w:p>
      <w:pPr>
        <w:jc w:val="both"/>
        <w:ind w:left="660" w:firstLine="1292"/>
        <w:spacing w:after="0" w:line="253" w:lineRule="auto"/>
        <w:tabs>
          <w:tab w:leader="none" w:pos="2592" w:val="left"/>
        </w:tabs>
        <w:numPr>
          <w:ilvl w:val="1"/>
          <w:numId w:val="98"/>
        </w:numPr>
        <w:rPr>
          <w:rFonts w:ascii="Arial" w:cs="Arial" w:eastAsia="Arial" w:hAnsi="Arial"/>
          <w:sz w:val="22"/>
          <w:szCs w:val="22"/>
          <w:color w:val="auto"/>
        </w:rPr>
      </w:pPr>
      <w:r>
        <w:rPr>
          <w:rFonts w:ascii="Arial" w:cs="Arial" w:eastAsia="Arial" w:hAnsi="Arial"/>
          <w:sz w:val="22"/>
          <w:szCs w:val="22"/>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85" w:lineRule="exact"/>
        <w:rPr>
          <w:rFonts w:ascii="Arial" w:cs="Arial" w:eastAsia="Arial" w:hAnsi="Arial"/>
          <w:sz w:val="22"/>
          <w:szCs w:val="22"/>
          <w:color w:val="auto"/>
        </w:rPr>
      </w:pPr>
    </w:p>
    <w:p>
      <w:pPr>
        <w:jc w:val="both"/>
        <w:ind w:firstLine="1304"/>
        <w:spacing w:after="0" w:line="260" w:lineRule="auto"/>
        <w:tabs>
          <w:tab w:leader="none" w:pos="1941" w:val="left"/>
        </w:tabs>
        <w:numPr>
          <w:ilvl w:val="0"/>
          <w:numId w:val="98"/>
        </w:numPr>
        <w:rPr>
          <w:rFonts w:ascii="Arial" w:cs="Arial" w:eastAsia="Arial" w:hAnsi="Arial"/>
          <w:sz w:val="21"/>
          <w:szCs w:val="21"/>
          <w:color w:val="auto"/>
        </w:rPr>
      </w:pPr>
      <w:r>
        <w:rPr>
          <w:rFonts w:ascii="Arial" w:cs="Arial" w:eastAsia="Arial" w:hAnsi="Arial"/>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80" w:lineRule="exact"/>
        <w:rPr>
          <w:rFonts w:ascii="Arial" w:cs="Arial" w:eastAsia="Arial" w:hAnsi="Arial"/>
          <w:sz w:val="21"/>
          <w:szCs w:val="21"/>
          <w:color w:val="auto"/>
        </w:rPr>
      </w:pPr>
    </w:p>
    <w:p>
      <w:pPr>
        <w:jc w:val="both"/>
        <w:ind w:firstLine="1304"/>
        <w:spacing w:after="0" w:line="259" w:lineRule="auto"/>
        <w:tabs>
          <w:tab w:leader="none" w:pos="1939" w:val="left"/>
        </w:tabs>
        <w:numPr>
          <w:ilvl w:val="0"/>
          <w:numId w:val="98"/>
        </w:numPr>
        <w:rPr>
          <w:rFonts w:ascii="Arial" w:cs="Arial" w:eastAsia="Arial" w:hAnsi="Arial"/>
          <w:sz w:val="21"/>
          <w:szCs w:val="21"/>
          <w:color w:val="auto"/>
        </w:rPr>
      </w:pPr>
      <w:r>
        <w:rPr>
          <w:rFonts w:ascii="Arial" w:cs="Arial" w:eastAsia="Arial" w:hAnsi="Arial"/>
          <w:sz w:val="21"/>
          <w:szCs w:val="21"/>
          <w:color w:val="auto"/>
        </w:rPr>
        <w:t>All trade secrets, non-public information, designs, ideas, concepts, improvements, product developments, discoveries and inventions, whether patentable or not, that are conceived, made, developed or acquired by or disclosed to Employee, individually or in 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99" w:name="page100"/>
    <w:bookmarkEnd w:id="99"/>
    <w:p>
      <w:pPr>
        <w:jc w:val="both"/>
        <w:spacing w:after="0" w:line="286" w:lineRule="auto"/>
        <w:rPr>
          <w:sz w:val="20"/>
          <w:szCs w:val="20"/>
          <w:color w:val="auto"/>
        </w:rPr>
      </w:pPr>
      <w:r>
        <w:rPr>
          <w:rFonts w:ascii="Arial" w:cs="Arial" w:eastAsia="Arial" w:hAnsi="Arial"/>
          <w:sz w:val="19"/>
          <w:szCs w:val="19"/>
          <w:color w:val="auto"/>
        </w:rPr>
        <w:t>acquisition targets or their requirements, the identity of key contacts within customers’ organizations or within the organization of acquisition prospects, or marketing and merchandising techniques, prospective names and marks) is defined as “</w:t>
      </w:r>
      <w:r>
        <w:rPr>
          <w:rFonts w:ascii="Arial" w:cs="Arial" w:eastAsia="Arial" w:hAnsi="Arial"/>
          <w:sz w:val="19"/>
          <w:szCs w:val="19"/>
          <w:b w:val="1"/>
          <w:bCs w:val="1"/>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Information</w:t>
      </w:r>
      <w:r>
        <w:rPr>
          <w:rFonts w:ascii="Arial" w:cs="Arial" w:eastAsia="Arial" w:hAnsi="Arial"/>
          <w:sz w:val="19"/>
          <w:szCs w:val="19"/>
          <w:color w:val="auto"/>
        </w:rPr>
        <w:t>.” Moreover, all documents, videotapes, written presentations, brochures, drawings, memoranda, notes,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source is not bound by a confidentiality agreement with, or other obligation with respect to confidentiality to, a member of the Company Group.</w:t>
      </w:r>
    </w:p>
    <w:p>
      <w:pPr>
        <w:spacing w:after="0" w:line="166" w:lineRule="exact"/>
        <w:rPr>
          <w:sz w:val="20"/>
          <w:szCs w:val="20"/>
          <w:color w:val="auto"/>
        </w:rPr>
      </w:pPr>
    </w:p>
    <w:p>
      <w:pPr>
        <w:jc w:val="both"/>
        <w:ind w:firstLine="1304"/>
        <w:spacing w:after="0" w:line="288" w:lineRule="auto"/>
        <w:tabs>
          <w:tab w:leader="none" w:pos="1941" w:val="left"/>
        </w:tabs>
        <w:numPr>
          <w:ilvl w:val="2"/>
          <w:numId w:val="99"/>
        </w:numPr>
        <w:rPr>
          <w:rFonts w:ascii="Arial" w:cs="Arial" w:eastAsia="Arial" w:hAnsi="Arial"/>
          <w:sz w:val="19"/>
          <w:szCs w:val="19"/>
          <w:color w:val="auto"/>
        </w:rPr>
      </w:pPr>
      <w:r>
        <w:rPr>
          <w:rFonts w:ascii="Arial" w:cs="Arial" w:eastAsia="Arial" w:hAnsi="Arial"/>
          <w:sz w:val="19"/>
          <w:szCs w:val="19"/>
          <w:color w:val="auto"/>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w:t>
      </w:r>
    </w:p>
    <w:p>
      <w:pPr>
        <w:jc w:val="both"/>
        <w:ind w:firstLine="8"/>
        <w:spacing w:after="0" w:line="286" w:lineRule="auto"/>
        <w:tabs>
          <w:tab w:leader="none" w:pos="35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139" w:lineRule="exact"/>
        <w:rPr>
          <w:rFonts w:ascii="Arial" w:cs="Arial" w:eastAsia="Arial" w:hAnsi="Arial"/>
          <w:sz w:val="19"/>
          <w:szCs w:val="19"/>
          <w:color w:val="auto"/>
        </w:rPr>
      </w:pPr>
    </w:p>
    <w:p>
      <w:pPr>
        <w:ind w:left="1300" w:hanging="644"/>
        <w:spacing w:after="0"/>
        <w:tabs>
          <w:tab w:leader="none" w:pos="1300" w:val="left"/>
        </w:tabs>
        <w:numPr>
          <w:ilvl w:val="1"/>
          <w:numId w:val="100"/>
        </w:numPr>
        <w:rPr>
          <w:rFonts w:ascii="Arial" w:cs="Arial" w:eastAsia="Arial" w:hAnsi="Arial"/>
          <w:sz w:val="22"/>
          <w:szCs w:val="22"/>
          <w:color w:val="auto"/>
        </w:rPr>
      </w:pPr>
      <w:r>
        <w:rPr>
          <w:rFonts w:ascii="Arial" w:cs="Arial" w:eastAsia="Arial" w:hAnsi="Arial"/>
          <w:sz w:val="22"/>
          <w:szCs w:val="22"/>
          <w:b w:val="1"/>
          <w:bCs w:val="1"/>
          <w:u w:val="single" w:color="auto"/>
          <w:color w:val="auto"/>
        </w:rPr>
        <w:t>Ownership of Intellectual Property</w:t>
      </w:r>
      <w:r>
        <w:rPr>
          <w:rFonts w:ascii="Arial" w:cs="Arial" w:eastAsia="Arial" w:hAnsi="Arial"/>
          <w:sz w:val="22"/>
          <w:szCs w:val="22"/>
          <w:b w:val="1"/>
          <w:bCs w:val="1"/>
          <w:i w:val="1"/>
          <w:iCs w:val="1"/>
          <w:color w:val="auto"/>
        </w:rPr>
        <w:t>.</w:t>
      </w:r>
    </w:p>
    <w:p>
      <w:pPr>
        <w:spacing w:after="0" w:line="225" w:lineRule="exact"/>
        <w:rPr>
          <w:rFonts w:ascii="Arial" w:cs="Arial" w:eastAsia="Arial" w:hAnsi="Arial"/>
          <w:sz w:val="22"/>
          <w:szCs w:val="22"/>
          <w:color w:val="auto"/>
        </w:rPr>
      </w:pPr>
    </w:p>
    <w:p>
      <w:pPr>
        <w:jc w:val="both"/>
        <w:ind w:firstLine="1304"/>
        <w:spacing w:after="0" w:line="265" w:lineRule="auto"/>
        <w:tabs>
          <w:tab w:leader="none" w:pos="1941" w:val="left"/>
        </w:tabs>
        <w:numPr>
          <w:ilvl w:val="2"/>
          <w:numId w:val="100"/>
        </w:numPr>
        <w:rPr>
          <w:rFonts w:ascii="Arial" w:cs="Arial" w:eastAsia="Arial" w:hAnsi="Arial"/>
          <w:sz w:val="21"/>
          <w:szCs w:val="21"/>
          <w:color w:val="auto"/>
        </w:rPr>
      </w:pPr>
      <w:r>
        <w:rPr>
          <w:rFonts w:ascii="Arial" w:cs="Arial" w:eastAsia="Arial" w:hAnsi="Arial"/>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00" w:name="page101"/>
    <w:bookmarkEnd w:id="100"/>
    <w:p>
      <w:pPr>
        <w:jc w:val="both"/>
        <w:spacing w:after="0" w:line="287" w:lineRule="auto"/>
        <w:rPr>
          <w:sz w:val="20"/>
          <w:szCs w:val="20"/>
          <w:color w:val="auto"/>
        </w:rPr>
      </w:pPr>
      <w:r>
        <w:rPr>
          <w:rFonts w:ascii="Arial" w:cs="Arial" w:eastAsia="Arial" w:hAnsi="Arial"/>
          <w:sz w:val="19"/>
          <w:szCs w:val="19"/>
          <w:color w:val="auto"/>
        </w:rPr>
        <w:t>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Arial" w:cs="Arial" w:eastAsia="Arial" w:hAnsi="Arial"/>
          <w:sz w:val="19"/>
          <w:szCs w:val="19"/>
          <w:b w:val="1"/>
          <w:bCs w:val="1"/>
          <w:u w:val="single" w:color="auto"/>
          <w:color w:val="auto"/>
        </w:rPr>
        <w:t>Company Intellectual Property</w:t>
      </w:r>
      <w:r>
        <w:rPr>
          <w:rFonts w:ascii="Arial" w:cs="Arial" w:eastAsia="Arial" w:hAnsi="Arial"/>
          <w:sz w:val="19"/>
          <w:szCs w:val="19"/>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200" w:lineRule="exact"/>
        <w:rPr>
          <w:sz w:val="20"/>
          <w:szCs w:val="20"/>
          <w:color w:val="auto"/>
        </w:rPr>
      </w:pPr>
    </w:p>
    <w:p>
      <w:pPr>
        <w:spacing w:after="0" w:line="215" w:lineRule="exact"/>
        <w:rPr>
          <w:sz w:val="20"/>
          <w:szCs w:val="20"/>
          <w:color w:val="auto"/>
        </w:rPr>
      </w:pPr>
    </w:p>
    <w:p>
      <w:pPr>
        <w:jc w:val="both"/>
        <w:ind w:firstLine="1304"/>
        <w:spacing w:after="0" w:line="292" w:lineRule="auto"/>
        <w:tabs>
          <w:tab w:leader="none" w:pos="1939"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50" w:lineRule="exact"/>
        <w:rPr>
          <w:rFonts w:ascii="Arial" w:cs="Arial" w:eastAsia="Arial" w:hAnsi="Arial"/>
          <w:sz w:val="19"/>
          <w:szCs w:val="19"/>
          <w:color w:val="auto"/>
        </w:rPr>
      </w:pPr>
    </w:p>
    <w:p>
      <w:pPr>
        <w:jc w:val="both"/>
        <w:ind w:firstLine="1304"/>
        <w:spacing w:after="0" w:line="248" w:lineRule="auto"/>
        <w:tabs>
          <w:tab w:leader="none" w:pos="194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191" w:lineRule="exact"/>
        <w:rPr>
          <w:rFonts w:ascii="Arial" w:cs="Arial" w:eastAsia="Arial" w:hAnsi="Arial"/>
          <w:sz w:val="22"/>
          <w:szCs w:val="22"/>
          <w:color w:val="auto"/>
        </w:rPr>
      </w:pPr>
    </w:p>
    <w:p>
      <w:pPr>
        <w:jc w:val="both"/>
        <w:ind w:firstLine="1304"/>
        <w:spacing w:after="0" w:line="246" w:lineRule="auto"/>
        <w:tabs>
          <w:tab w:leader="none" w:pos="193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Arial" w:cs="Arial" w:eastAsia="Arial" w:hAnsi="Arial"/>
          <w:sz w:val="22"/>
          <w:szCs w:val="22"/>
          <w:b w:val="1"/>
          <w:bCs w:val="1"/>
          <w:u w:val="single" w:color="auto"/>
          <w:color w:val="auto"/>
        </w:rPr>
        <w:t>Moral Rights</w:t>
      </w:r>
      <w:r>
        <w:rPr>
          <w:rFonts w:ascii="Arial" w:cs="Arial" w:eastAsia="Arial" w:hAnsi="Arial"/>
          <w:sz w:val="22"/>
          <w:szCs w:val="22"/>
          <w:color w:val="auto"/>
        </w:rPr>
        <w:t>”). To the extent Employee retains any Moral Rights under applicable law, Employee hereby ratifies and consents to any action that may be taken with respect to such Moral Rights by or authorized by the 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01" w:name="page102"/>
    <w:bookmarkEnd w:id="101"/>
    <w:p>
      <w:pPr>
        <w:jc w:val="both"/>
        <w:ind w:firstLine="1304"/>
        <w:spacing w:after="0" w:line="286" w:lineRule="auto"/>
        <w:tabs>
          <w:tab w:leader="none" w:pos="1941"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Arial" w:cs="Arial" w:eastAsia="Arial" w:hAnsi="Arial"/>
          <w:sz w:val="19"/>
          <w:szCs w:val="19"/>
          <w:b w:val="1"/>
          <w:bCs w:val="1"/>
          <w:u w:val="single" w:color="auto"/>
          <w:color w:val="auto"/>
        </w:rPr>
        <w:t>Prior Inventions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Employee represents that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65" w:lineRule="exact"/>
        <w:rPr>
          <w:rFonts w:ascii="Arial" w:cs="Arial" w:eastAsia="Arial" w:hAnsi="Arial"/>
          <w:sz w:val="19"/>
          <w:szCs w:val="19"/>
          <w:color w:val="auto"/>
        </w:rPr>
      </w:pPr>
    </w:p>
    <w:p>
      <w:pPr>
        <w:jc w:val="both"/>
        <w:ind w:firstLine="1304"/>
        <w:spacing w:after="0" w:line="259" w:lineRule="auto"/>
        <w:tabs>
          <w:tab w:leader="none" w:pos="194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179" w:lineRule="exact"/>
        <w:rPr>
          <w:rFonts w:ascii="Arial" w:cs="Arial" w:eastAsia="Arial" w:hAnsi="Arial"/>
          <w:sz w:val="21"/>
          <w:szCs w:val="21"/>
          <w:color w:val="auto"/>
        </w:rPr>
      </w:pPr>
    </w:p>
    <w:p>
      <w:pPr>
        <w:jc w:val="both"/>
        <w:ind w:firstLine="1304"/>
        <w:spacing w:after="0" w:line="287" w:lineRule="auto"/>
        <w:tabs>
          <w:tab w:leader="none" w:pos="193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 copyrights, mask works, moral rights,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02" w:name="page103"/>
    <w:bookmarkEnd w:id="102"/>
    <w:p>
      <w:pPr>
        <w:ind w:right="20"/>
        <w:spacing w:after="0" w:line="263" w:lineRule="auto"/>
        <w:rPr>
          <w:sz w:val="20"/>
          <w:szCs w:val="20"/>
          <w:color w:val="auto"/>
        </w:rPr>
      </w:pPr>
      <w:r>
        <w:rPr>
          <w:rFonts w:ascii="Arial" w:cs="Arial" w:eastAsia="Arial" w:hAnsi="Arial"/>
          <w:sz w:val="22"/>
          <w:szCs w:val="22"/>
          <w:color w:val="auto"/>
        </w:rPr>
        <w:t>secrets or other rights under the Confidential Information or Company Intellectual Property, all with the same legal force and effect as if executed by Employee.</w:t>
      </w:r>
    </w:p>
    <w:p>
      <w:pPr>
        <w:spacing w:after="0" w:line="175" w:lineRule="exact"/>
        <w:rPr>
          <w:sz w:val="20"/>
          <w:szCs w:val="20"/>
          <w:color w:val="auto"/>
        </w:rPr>
      </w:pPr>
    </w:p>
    <w:p>
      <w:pPr>
        <w:jc w:val="both"/>
        <w:ind w:firstLine="1304"/>
        <w:spacing w:after="0" w:line="288" w:lineRule="auto"/>
        <w:tabs>
          <w:tab w:leader="none" w:pos="193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59" w:lineRule="exact"/>
        <w:rPr>
          <w:rFonts w:ascii="Arial" w:cs="Arial" w:eastAsia="Arial" w:hAnsi="Arial"/>
          <w:sz w:val="19"/>
          <w:szCs w:val="19"/>
          <w:color w:val="auto"/>
        </w:rPr>
      </w:pPr>
    </w:p>
    <w:p>
      <w:pPr>
        <w:jc w:val="both"/>
        <w:ind w:firstLine="1304"/>
        <w:spacing w:after="0" w:line="286" w:lineRule="auto"/>
        <w:tabs>
          <w:tab w:leader="none" w:pos="1932"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Arial" w:cs="Arial" w:eastAsia="Arial" w:hAnsi="Arial"/>
          <w:sz w:val="19"/>
          <w:szCs w:val="19"/>
          <w:b w:val="1"/>
          <w:bCs w:val="1"/>
          <w:u w:val="single" w:color="auto"/>
          <w:color w:val="auto"/>
        </w:rPr>
        <w:t>Other Invention</w:t>
      </w:r>
      <w:r>
        <w:rPr>
          <w:rFonts w:ascii="Arial" w:cs="Arial" w:eastAsia="Arial" w:hAnsi="Arial"/>
          <w:sz w:val="19"/>
          <w:szCs w:val="19"/>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398" w:lineRule="exact"/>
        <w:rPr>
          <w:rFonts w:ascii="Arial" w:cs="Arial" w:eastAsia="Arial" w:hAnsi="Arial"/>
          <w:sz w:val="19"/>
          <w:szCs w:val="19"/>
          <w:color w:val="auto"/>
        </w:rPr>
      </w:pPr>
    </w:p>
    <w:p>
      <w:pPr>
        <w:jc w:val="both"/>
        <w:ind w:firstLine="656"/>
        <w:spacing w:after="0" w:line="243" w:lineRule="auto"/>
        <w:tabs>
          <w:tab w:leader="none" w:pos="1288" w:val="left"/>
        </w:tabs>
        <w:numPr>
          <w:ilvl w:val="0"/>
          <w:numId w:val="104"/>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of Claims</w:t>
      </w:r>
      <w:r>
        <w:rPr>
          <w:rFonts w:ascii="Arial" w:cs="Arial" w:eastAsia="Arial" w:hAnsi="Arial"/>
          <w:sz w:val="22"/>
          <w:szCs w:val="22"/>
          <w:color w:val="auto"/>
        </w:rPr>
        <w:t>. During the Employment Period and thereafter, upon request from the Company,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cooperate with the Company Group in the defense of any claims or actions that may be made by or against any member of the Company Group that relate to Employee’s actual or prior areas of responsibility.</w:t>
      </w:r>
    </w:p>
    <w:p>
      <w:pPr>
        <w:spacing w:after="0" w:line="176" w:lineRule="exact"/>
        <w:rPr>
          <w:rFonts w:ascii="Arial" w:cs="Arial" w:eastAsia="Arial" w:hAnsi="Arial"/>
          <w:sz w:val="22"/>
          <w:szCs w:val="22"/>
          <w:color w:val="auto"/>
        </w:rPr>
      </w:pPr>
    </w:p>
    <w:p>
      <w:pPr>
        <w:ind w:firstLine="656"/>
        <w:spacing w:after="0" w:line="256" w:lineRule="auto"/>
        <w:tabs>
          <w:tab w:leader="none" w:pos="1296" w:val="left"/>
        </w:tabs>
        <w:numPr>
          <w:ilvl w:val="0"/>
          <w:numId w:val="104"/>
        </w:numPr>
        <w:rPr>
          <w:rFonts w:ascii="Arial" w:cs="Arial" w:eastAsia="Arial" w:hAnsi="Arial"/>
          <w:sz w:val="22"/>
          <w:szCs w:val="22"/>
          <w:color w:val="auto"/>
        </w:rPr>
      </w:pPr>
      <w:r>
        <w:rPr>
          <w:rFonts w:ascii="Arial" w:cs="Arial" w:eastAsia="Arial" w:hAnsi="Arial"/>
          <w:sz w:val="22"/>
          <w:szCs w:val="22"/>
          <w:b w:val="1"/>
          <w:bCs w:val="1"/>
          <w:u w:val="single" w:color="auto"/>
          <w:color w:val="auto"/>
        </w:rPr>
        <w:t>Withholdings; Deductions</w:t>
      </w:r>
      <w:r>
        <w:rPr>
          <w:rFonts w:ascii="Arial" w:cs="Arial" w:eastAsia="Arial" w:hAnsi="Arial"/>
          <w:sz w:val="22"/>
          <w:szCs w:val="22"/>
          <w:color w:val="auto"/>
        </w:rPr>
        <w:t>. The Company may withhold and deduct from any benefits and payments made or to</w:t>
      </w:r>
      <w:r>
        <w:rPr>
          <w:rFonts w:ascii="Arial" w:cs="Arial" w:eastAsia="Arial" w:hAnsi="Arial"/>
          <w:sz w:val="22"/>
          <w:szCs w:val="22"/>
          <w:b w:val="1"/>
          <w:bCs w:val="1"/>
          <w:color w:val="auto"/>
        </w:rPr>
        <w:t xml:space="preserve"> </w:t>
      </w:r>
      <w:r>
        <w:rPr>
          <w:rFonts w:ascii="Arial" w:cs="Arial" w:eastAsia="Arial" w:hAnsi="Arial"/>
          <w:sz w:val="22"/>
          <w:szCs w:val="22"/>
          <w:color w:val="auto"/>
        </w:rPr>
        <w:t>be made pursuant to this Agreement (a) all federal, state,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8" w:right="339" w:bottom="1440" w:gutter="0" w:footer="0" w:header="0"/>
        </w:sectPr>
      </w:pPr>
    </w:p>
    <w:bookmarkStart w:id="103" w:name="page104"/>
    <w:bookmarkEnd w:id="103"/>
    <w:p>
      <w:pPr>
        <w:ind w:right="20"/>
        <w:spacing w:after="0" w:line="250" w:lineRule="auto"/>
        <w:rPr>
          <w:sz w:val="20"/>
          <w:szCs w:val="20"/>
          <w:color w:val="auto"/>
        </w:rPr>
      </w:pPr>
      <w:r>
        <w:rPr>
          <w:rFonts w:ascii="Arial" w:cs="Arial" w:eastAsia="Arial" w:hAnsi="Arial"/>
          <w:sz w:val="22"/>
          <w:szCs w:val="22"/>
          <w:color w:val="auto"/>
        </w:rPr>
        <w:t>and other taxes as may be required pursuant to any law or governmental regulation or ruling and (b) any deductions consented to in writing by Employee.</w:t>
      </w:r>
    </w:p>
    <w:p>
      <w:pPr>
        <w:spacing w:after="0" w:line="169" w:lineRule="exact"/>
        <w:rPr>
          <w:sz w:val="20"/>
          <w:szCs w:val="20"/>
          <w:color w:val="auto"/>
        </w:rPr>
      </w:pPr>
    </w:p>
    <w:p>
      <w:pPr>
        <w:jc w:val="both"/>
        <w:ind w:firstLine="656"/>
        <w:spacing w:after="0" w:line="272" w:lineRule="auto"/>
        <w:tabs>
          <w:tab w:leader="none" w:pos="1296"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Title and Headings; Construction</w:t>
      </w:r>
      <w:r>
        <w:rPr>
          <w:rFonts w:ascii="Arial" w:cs="Arial" w:eastAsia="Arial" w:hAnsi="Arial"/>
          <w:sz w:val="19"/>
          <w:szCs w:val="19"/>
          <w:color w:val="auto"/>
        </w:rPr>
        <w:t>. Titles and headings to Sections hereof are for the purpose of reference only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51" w:lineRule="exact"/>
        <w:rPr>
          <w:rFonts w:ascii="Arial" w:cs="Arial" w:eastAsia="Arial" w:hAnsi="Arial"/>
          <w:sz w:val="19"/>
          <w:szCs w:val="19"/>
          <w:color w:val="auto"/>
        </w:rPr>
      </w:pPr>
    </w:p>
    <w:p>
      <w:pPr>
        <w:jc w:val="both"/>
        <w:ind w:firstLine="656"/>
        <w:spacing w:after="0" w:line="289" w:lineRule="auto"/>
        <w:tabs>
          <w:tab w:leader="none" w:pos="1296"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Applicable Law</w:t>
      </w:r>
      <w:r>
        <w:rPr>
          <w:rFonts w:ascii="Arial" w:cs="Arial" w:eastAsia="Arial" w:hAnsi="Arial"/>
          <w:sz w:val="19"/>
          <w:szCs w:val="19"/>
          <w:color w:val="auto"/>
        </w:rPr>
        <w:t>. This Agreement shall in all respects be construed according to the laws of the State of California</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35" w:lineRule="exact"/>
        <w:rPr>
          <w:rFonts w:ascii="Arial" w:cs="Arial" w:eastAsia="Arial" w:hAnsi="Arial"/>
          <w:sz w:val="19"/>
          <w:szCs w:val="19"/>
          <w:color w:val="auto"/>
        </w:rPr>
      </w:pPr>
    </w:p>
    <w:p>
      <w:pPr>
        <w:jc w:val="both"/>
        <w:ind w:firstLine="656"/>
        <w:spacing w:after="0" w:line="251" w:lineRule="auto"/>
        <w:tabs>
          <w:tab w:leader="none" w:pos="1296" w:val="left"/>
        </w:tabs>
        <w:numPr>
          <w:ilvl w:val="0"/>
          <w:numId w:val="105"/>
        </w:numPr>
        <w:rPr>
          <w:rFonts w:ascii="Arial" w:cs="Arial" w:eastAsia="Arial" w:hAnsi="Arial"/>
          <w:sz w:val="21"/>
          <w:szCs w:val="21"/>
          <w:color w:val="auto"/>
        </w:rPr>
      </w:pPr>
      <w:r>
        <w:rPr>
          <w:rFonts w:ascii="Arial" w:cs="Arial" w:eastAsia="Arial" w:hAnsi="Arial"/>
          <w:sz w:val="21"/>
          <w:szCs w:val="21"/>
          <w:b w:val="1"/>
          <w:bCs w:val="1"/>
          <w:u w:val="single" w:color="auto"/>
          <w:color w:val="auto"/>
        </w:rPr>
        <w:t>Entire Agreement and Amendment</w:t>
      </w:r>
      <w:r>
        <w:rPr>
          <w:rFonts w:ascii="Arial" w:cs="Arial" w:eastAsia="Arial" w:hAnsi="Arial"/>
          <w:sz w:val="21"/>
          <w:szCs w:val="21"/>
          <w:color w:val="auto"/>
        </w:rPr>
        <w:t>. This Agreement contains the entire agreement of the parties with respect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8" w:lineRule="exact"/>
        <w:rPr>
          <w:rFonts w:ascii="Arial" w:cs="Arial" w:eastAsia="Arial" w:hAnsi="Arial"/>
          <w:sz w:val="21"/>
          <w:szCs w:val="21"/>
          <w:color w:val="auto"/>
        </w:rPr>
      </w:pPr>
    </w:p>
    <w:p>
      <w:pPr>
        <w:jc w:val="both"/>
        <w:ind w:firstLine="656"/>
        <w:spacing w:after="0" w:line="236"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of Breach</w:t>
      </w:r>
      <w:r>
        <w:rPr>
          <w:rFonts w:ascii="Arial" w:cs="Arial" w:eastAsia="Arial" w:hAnsi="Arial"/>
          <w:sz w:val="22"/>
          <w:szCs w:val="22"/>
          <w:color w:val="auto"/>
        </w:rPr>
        <w:t>. Any waiver of this Agreement must be executed by the party to be bound by such waiver. No</w:t>
      </w:r>
      <w:r>
        <w:rPr>
          <w:rFonts w:ascii="Arial" w:cs="Arial" w:eastAsia="Arial" w:hAnsi="Arial"/>
          <w:sz w:val="22"/>
          <w:szCs w:val="22"/>
          <w:b w:val="1"/>
          <w:bCs w:val="1"/>
          <w:color w:val="auto"/>
        </w:rPr>
        <w:t xml:space="preserve"> </w:t>
      </w:r>
      <w:r>
        <w:rPr>
          <w:rFonts w:ascii="Arial" w:cs="Arial" w:eastAsia="Arial" w:hAnsi="Arial"/>
          <w:sz w:val="22"/>
          <w:szCs w:val="22"/>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181" w:lineRule="exact"/>
        <w:rPr>
          <w:rFonts w:ascii="Arial" w:cs="Arial" w:eastAsia="Arial" w:hAnsi="Arial"/>
          <w:sz w:val="22"/>
          <w:szCs w:val="22"/>
          <w:color w:val="auto"/>
        </w:rPr>
      </w:pPr>
    </w:p>
    <w:p>
      <w:pPr>
        <w:ind w:firstLine="656"/>
        <w:spacing w:after="0" w:line="256" w:lineRule="auto"/>
        <w:tabs>
          <w:tab w:leader="none" w:pos="1296" w:val="left"/>
        </w:tabs>
        <w:numPr>
          <w:ilvl w:val="0"/>
          <w:numId w:val="105"/>
        </w:numPr>
        <w:rPr>
          <w:rFonts w:ascii="Arial" w:cs="Arial" w:eastAsia="Arial" w:hAnsi="Arial"/>
          <w:sz w:val="22"/>
          <w:szCs w:val="22"/>
          <w:color w:val="auto"/>
        </w:rPr>
      </w:pPr>
      <w:r>
        <w:rPr>
          <w:rFonts w:ascii="Arial" w:cs="Arial" w:eastAsia="Arial" w:hAnsi="Arial"/>
          <w:sz w:val="22"/>
          <w:szCs w:val="22"/>
          <w:b w:val="1"/>
          <w:bCs w:val="1"/>
          <w:u w:val="single" w:color="auto"/>
          <w:color w:val="auto"/>
        </w:rPr>
        <w:t>Assignment</w:t>
      </w:r>
      <w:r>
        <w:rPr>
          <w:rFonts w:ascii="Arial" w:cs="Arial" w:eastAsia="Arial" w:hAnsi="Arial"/>
          <w:sz w:val="22"/>
          <w:szCs w:val="22"/>
          <w:color w:val="auto"/>
        </w:rPr>
        <w:t>. This Agreement is personal to Employee, and neither this Agreement nor any rights or obligations</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shall be assignable or otherwise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104" w:name="page105"/>
    <w:bookmarkEnd w:id="104"/>
    <w:p>
      <w:pPr>
        <w:jc w:val="both"/>
        <w:spacing w:after="0"/>
        <w:rPr>
          <w:sz w:val="20"/>
          <w:szCs w:val="20"/>
          <w:color w:val="auto"/>
        </w:rPr>
      </w:pPr>
      <w:r>
        <w:rPr>
          <w:rFonts w:ascii="Arial" w:cs="Arial" w:eastAsia="Arial" w:hAnsi="Arial"/>
          <w:sz w:val="22"/>
          <w:szCs w:val="22"/>
          <w:color w:val="auto"/>
        </w:rPr>
        <w:t>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180" w:lineRule="exact"/>
        <w:rPr>
          <w:sz w:val="20"/>
          <w:szCs w:val="20"/>
          <w:color w:val="auto"/>
        </w:rPr>
      </w:pPr>
    </w:p>
    <w:p>
      <w:pPr>
        <w:jc w:val="both"/>
        <w:ind w:firstLine="656"/>
        <w:spacing w:after="0" w:line="239" w:lineRule="auto"/>
        <w:tabs>
          <w:tab w:leader="none" w:pos="1296"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Notices provided for in this Agreement shall be in writing and shall be deemed to have been duly</w:t>
      </w:r>
      <w:r>
        <w:rPr>
          <w:rFonts w:ascii="Arial" w:cs="Arial" w:eastAsia="Arial" w:hAnsi="Arial"/>
          <w:sz w:val="22"/>
          <w:szCs w:val="22"/>
          <w:b w:val="1"/>
          <w:bCs w:val="1"/>
          <w:color w:val="auto"/>
        </w:rPr>
        <w:t xml:space="preserve"> </w:t>
      </w:r>
      <w:r>
        <w:rPr>
          <w:rFonts w:ascii="Arial" w:cs="Arial" w:eastAsia="Arial" w:hAnsi="Arial"/>
          <w:sz w:val="22"/>
          <w:szCs w:val="22"/>
          <w:color w:val="auto"/>
        </w:rPr>
        <w:t>received (a) 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the Company,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California Resources Corporation</w:t>
      </w:r>
    </w:p>
    <w:p>
      <w:pPr>
        <w:ind w:left="1960"/>
        <w:spacing w:after="0" w:line="238" w:lineRule="auto"/>
        <w:rPr>
          <w:sz w:val="20"/>
          <w:szCs w:val="20"/>
          <w:color w:val="auto"/>
        </w:rPr>
      </w:pPr>
      <w:r>
        <w:rPr>
          <w:rFonts w:ascii="Arial" w:cs="Arial" w:eastAsia="Arial" w:hAnsi="Arial"/>
          <w:sz w:val="22"/>
          <w:szCs w:val="22"/>
          <w:color w:val="auto"/>
        </w:rPr>
        <w:t>27200 Tourney Road</w:t>
      </w:r>
    </w:p>
    <w:p>
      <w:pPr>
        <w:ind w:left="1960"/>
        <w:spacing w:after="0" w:line="230" w:lineRule="auto"/>
        <w:rPr>
          <w:sz w:val="20"/>
          <w:szCs w:val="20"/>
          <w:color w:val="auto"/>
        </w:rPr>
      </w:pPr>
      <w:r>
        <w:rPr>
          <w:rFonts w:ascii="Arial" w:cs="Arial" w:eastAsia="Arial" w:hAnsi="Arial"/>
          <w:sz w:val="22"/>
          <w:szCs w:val="22"/>
          <w:color w:val="auto"/>
        </w:rPr>
        <w:t>Suite 200</w:t>
      </w:r>
    </w:p>
    <w:p>
      <w:pPr>
        <w:ind w:left="1960"/>
        <w:spacing w:after="0" w:line="231" w:lineRule="auto"/>
        <w:rPr>
          <w:sz w:val="20"/>
          <w:szCs w:val="20"/>
          <w:color w:val="auto"/>
        </w:rPr>
      </w:pPr>
      <w:r>
        <w:rPr>
          <w:rFonts w:ascii="Arial" w:cs="Arial" w:eastAsia="Arial" w:hAnsi="Arial"/>
          <w:sz w:val="22"/>
          <w:szCs w:val="22"/>
          <w:color w:val="auto"/>
        </w:rPr>
        <w:t>Santa Clarita, California 91355</w:t>
      </w:r>
    </w:p>
    <w:p>
      <w:pPr>
        <w:ind w:left="1960"/>
        <w:spacing w:after="0"/>
        <w:rPr>
          <w:sz w:val="20"/>
          <w:szCs w:val="20"/>
          <w:color w:val="auto"/>
        </w:rPr>
      </w:pPr>
      <w:r>
        <w:rPr>
          <w:rFonts w:ascii="Arial" w:cs="Arial" w:eastAsia="Arial" w:hAnsi="Arial"/>
          <w:sz w:val="22"/>
          <w:szCs w:val="22"/>
          <w:color w:val="auto"/>
        </w:rPr>
        <w:t>Attention: General Counsel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If to Employee, addressed to:</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Chris Gould</w:t>
      </w:r>
    </w:p>
    <w:p>
      <w:pPr>
        <w:ind w:left="1960"/>
        <w:spacing w:after="0" w:line="238" w:lineRule="auto"/>
        <w:rPr>
          <w:sz w:val="20"/>
          <w:szCs w:val="20"/>
          <w:color w:val="auto"/>
        </w:rPr>
      </w:pPr>
      <w:r>
        <w:rPr>
          <w:rFonts w:ascii="Arial" w:cs="Arial" w:eastAsia="Arial" w:hAnsi="Arial"/>
          <w:sz w:val="22"/>
          <w:szCs w:val="22"/>
          <w:color w:val="auto"/>
        </w:rPr>
        <w:t>[*****]</w:t>
      </w:r>
    </w:p>
    <w:p>
      <w:pPr>
        <w:ind w:left="196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Or, if different, the latest address on file with the Company</w:t>
      </w:r>
      <w:r>
        <w:rPr>
          <w:rFonts w:ascii="Arial" w:cs="Arial" w:eastAsia="Arial" w:hAnsi="Arial"/>
          <w:sz w:val="22"/>
          <w:szCs w:val="22"/>
          <w:color w:val="auto"/>
        </w:rPr>
        <w:t>)</w:t>
      </w:r>
    </w:p>
    <w:p>
      <w:pPr>
        <w:spacing w:after="0" w:line="182" w:lineRule="exact"/>
        <w:rPr>
          <w:sz w:val="20"/>
          <w:szCs w:val="20"/>
          <w:color w:val="auto"/>
        </w:rPr>
      </w:pPr>
    </w:p>
    <w:p>
      <w:pPr>
        <w:jc w:val="both"/>
        <w:ind w:firstLine="656"/>
        <w:spacing w:after="0" w:line="239"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any number of counterparts, including by electronic mail or</w:t>
      </w:r>
      <w:r>
        <w:rPr>
          <w:rFonts w:ascii="Arial" w:cs="Arial" w:eastAsia="Arial" w:hAnsi="Arial"/>
          <w:sz w:val="22"/>
          <w:szCs w:val="22"/>
          <w:b w:val="1"/>
          <w:bCs w:val="1"/>
          <w:color w:val="auto"/>
        </w:rPr>
        <w:t xml:space="preserve"> </w:t>
      </w:r>
      <w:r>
        <w:rPr>
          <w:rFonts w:ascii="Arial" w:cs="Arial" w:eastAsia="Arial" w:hAnsi="Arial"/>
          <w:sz w:val="22"/>
          <w:szCs w:val="22"/>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80" w:lineRule="exact"/>
        <w:rPr>
          <w:rFonts w:ascii="Arial" w:cs="Arial" w:eastAsia="Arial" w:hAnsi="Arial"/>
          <w:sz w:val="22"/>
          <w:szCs w:val="22"/>
          <w:color w:val="auto"/>
        </w:rPr>
      </w:pPr>
    </w:p>
    <w:p>
      <w:pPr>
        <w:jc w:val="both"/>
        <w:ind w:firstLine="656"/>
        <w:spacing w:after="0" w:line="246" w:lineRule="auto"/>
        <w:tabs>
          <w:tab w:leader="none" w:pos="1296" w:val="left"/>
        </w:tabs>
        <w:numPr>
          <w:ilvl w:val="0"/>
          <w:numId w:val="107"/>
        </w:numPr>
        <w:rPr>
          <w:rFonts w:ascii="Arial" w:cs="Arial" w:eastAsia="Arial" w:hAnsi="Arial"/>
          <w:sz w:val="21"/>
          <w:szCs w:val="21"/>
          <w:color w:val="auto"/>
        </w:rPr>
      </w:pPr>
      <w:r>
        <w:rPr>
          <w:rFonts w:ascii="Arial" w:cs="Arial" w:eastAsia="Arial" w:hAnsi="Arial"/>
          <w:sz w:val="21"/>
          <w:szCs w:val="21"/>
          <w:b w:val="1"/>
          <w:bCs w:val="1"/>
          <w:u w:val="single" w:color="auto"/>
          <w:color w:val="auto"/>
        </w:rPr>
        <w:t>Deemed Resignations</w:t>
      </w:r>
      <w:r>
        <w:rPr>
          <w:rFonts w:ascii="Arial" w:cs="Arial" w:eastAsia="Arial" w:hAnsi="Arial"/>
          <w:sz w:val="21"/>
          <w:szCs w:val="21"/>
          <w:color w:val="auto"/>
        </w:rPr>
        <w:t>. Except as otherwise determined by the Board or as otherwise agreed to in writing by</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409A</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jc w:val="both"/>
        <w:ind w:firstLine="1304"/>
        <w:spacing w:after="0"/>
        <w:tabs>
          <w:tab w:leader="none" w:pos="194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Notwithstanding any provision of this Agreement to the contrary, all provisions of this Agreement are intended to comply with Section 409A of the Internal Revenue Code of 1986, as amended (the “</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and the applicable Treasury regulations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105" w:name="page106"/>
    <w:bookmarkEnd w:id="105"/>
    <w:p>
      <w:pPr>
        <w:jc w:val="both"/>
        <w:spacing w:after="0" w:line="280" w:lineRule="auto"/>
        <w:rPr>
          <w:sz w:val="20"/>
          <w:szCs w:val="20"/>
          <w:color w:val="auto"/>
        </w:rPr>
      </w:pPr>
      <w:r>
        <w:rPr>
          <w:rFonts w:ascii="Arial" w:cs="Arial" w:eastAsia="Arial" w:hAnsi="Arial"/>
          <w:sz w:val="19"/>
          <w:szCs w:val="19"/>
          <w:color w:val="auto"/>
        </w:rPr>
        <w:t>administrative guidance issued thereunder (collectively, “</w:t>
      </w: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51" w:lineRule="exact"/>
        <w:rPr>
          <w:sz w:val="20"/>
          <w:szCs w:val="20"/>
          <w:color w:val="auto"/>
        </w:rPr>
      </w:pPr>
    </w:p>
    <w:p>
      <w:pPr>
        <w:jc w:val="both"/>
        <w:ind w:firstLine="1304"/>
        <w:spacing w:after="0" w:line="245" w:lineRule="auto"/>
        <w:tabs>
          <w:tab w:leader="none" w:pos="1939" w:val="left"/>
        </w:tabs>
        <w:numPr>
          <w:ilvl w:val="1"/>
          <w:numId w:val="108"/>
        </w:numPr>
        <w:rPr>
          <w:rFonts w:ascii="Arial" w:cs="Arial" w:eastAsia="Arial" w:hAnsi="Arial"/>
          <w:sz w:val="21"/>
          <w:szCs w:val="21"/>
          <w:color w:val="auto"/>
        </w:rPr>
      </w:pPr>
      <w:r>
        <w:rPr>
          <w:rFonts w:ascii="Arial" w:cs="Arial" w:eastAsia="Arial" w:hAnsi="Arial"/>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21"/>
          <w:szCs w:val="21"/>
          <w:i w:val="1"/>
          <w:iCs w:val="1"/>
          <w:color w:val="auto"/>
        </w:rPr>
        <w:t>provided</w:t>
      </w:r>
      <w:r>
        <w:rPr>
          <w:rFonts w:ascii="Arial" w:cs="Arial" w:eastAsia="Arial" w:hAnsi="Arial"/>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84" w:lineRule="exact"/>
        <w:rPr>
          <w:rFonts w:ascii="Arial" w:cs="Arial" w:eastAsia="Arial" w:hAnsi="Arial"/>
          <w:sz w:val="21"/>
          <w:szCs w:val="21"/>
          <w:color w:val="auto"/>
        </w:rPr>
      </w:pPr>
    </w:p>
    <w:p>
      <w:pPr>
        <w:jc w:val="both"/>
        <w:ind w:firstLine="1304"/>
        <w:spacing w:after="0" w:line="275" w:lineRule="auto"/>
        <w:tabs>
          <w:tab w:leader="none" w:pos="1941" w:val="left"/>
        </w:tabs>
        <w:numPr>
          <w:ilvl w:val="1"/>
          <w:numId w:val="108"/>
        </w:numPr>
        <w:rPr>
          <w:rFonts w:ascii="Arial" w:cs="Arial" w:eastAsia="Arial" w:hAnsi="Arial"/>
          <w:sz w:val="19"/>
          <w:szCs w:val="19"/>
          <w:color w:val="auto"/>
        </w:rPr>
      </w:pPr>
      <w:r>
        <w:rPr>
          <w:rFonts w:ascii="Arial" w:cs="Arial" w:eastAsia="Arial" w:hAnsi="Arial"/>
          <w:sz w:val="19"/>
          <w:szCs w:val="19"/>
          <w:color w:val="auto"/>
        </w:rPr>
        <w:t>Notwithstanding any provision in this Agreement to the contrary, if any payment or benefit provided for herein would be subject to additional taxes and interest under Section 409A if Employee’s receipt of such payment or benefit is not delayed until the earlier of the date of Employee’s death or the date that is six (6) months after the Termination Date (such date, the “</w:t>
      </w:r>
      <w:r>
        <w:rPr>
          <w:rFonts w:ascii="Arial" w:cs="Arial" w:eastAsia="Arial" w:hAnsi="Arial"/>
          <w:sz w:val="19"/>
          <w:szCs w:val="19"/>
          <w:b w:val="1"/>
          <w:bCs w:val="1"/>
          <w:u w:val="single" w:color="auto"/>
          <w:color w:val="auto"/>
        </w:rPr>
        <w:t>Section 409A Payment Date</w:t>
      </w:r>
      <w:r>
        <w:rPr>
          <w:rFonts w:ascii="Arial" w:cs="Arial" w:eastAsia="Arial" w:hAnsi="Arial"/>
          <w:sz w:val="19"/>
          <w:szCs w:val="19"/>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1"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of Termination</w:t>
      </w:r>
      <w:r>
        <w:rPr>
          <w:rFonts w:ascii="Arial" w:cs="Arial" w:eastAsia="Arial" w:hAnsi="Arial"/>
          <w:sz w:val="22"/>
          <w:szCs w:val="22"/>
          <w:color w:val="auto"/>
        </w:rPr>
        <w:t>. The provisions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7(a)</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9</w:t>
      </w:r>
      <w:r>
        <w:rPr>
          <w:rFonts w:ascii="Arial" w:cs="Arial" w:eastAsia="Arial" w:hAnsi="Arial"/>
          <w:sz w:val="22"/>
          <w:szCs w:val="22"/>
          <w:color w:val="auto"/>
        </w:rPr>
        <w:t>-</w:t>
      </w:r>
      <w:r>
        <w:rPr>
          <w:rFonts w:ascii="Arial" w:cs="Arial" w:eastAsia="Arial" w:hAnsi="Arial"/>
          <w:sz w:val="22"/>
          <w:szCs w:val="22"/>
          <w:u w:val="single" w:color="auto"/>
          <w:color w:val="auto"/>
        </w:rPr>
        <w:t>13</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20</w:t>
      </w:r>
      <w:r>
        <w:rPr>
          <w:rFonts w:ascii="Arial" w:cs="Arial" w:eastAsia="Arial" w:hAnsi="Arial"/>
          <w:sz w:val="22"/>
          <w:szCs w:val="22"/>
          <w:b w:val="1"/>
          <w:bCs w:val="1"/>
          <w:color w:val="auto"/>
        </w:rPr>
        <w:t xml:space="preserve"> </w:t>
      </w:r>
      <w:r>
        <w:rPr>
          <w:rFonts w:ascii="Arial" w:cs="Arial" w:eastAsia="Arial" w:hAnsi="Arial"/>
          <w:sz w:val="22"/>
          <w:szCs w:val="22"/>
          <w:color w:val="auto"/>
        </w:rPr>
        <w:t>and those provisions necessary to interpret</w:t>
      </w:r>
      <w:r>
        <w:rPr>
          <w:rFonts w:ascii="Arial" w:cs="Arial" w:eastAsia="Arial" w:hAnsi="Arial"/>
          <w:sz w:val="22"/>
          <w:szCs w:val="22"/>
          <w:b w:val="1"/>
          <w:bCs w:val="1"/>
          <w:color w:val="auto"/>
        </w:rPr>
        <w:t xml:space="preserve"> </w:t>
      </w:r>
      <w:r>
        <w:rPr>
          <w:rFonts w:ascii="Arial" w:cs="Arial" w:eastAsia="Arial" w:hAnsi="Arial"/>
          <w:sz w:val="22"/>
          <w:szCs w:val="22"/>
          <w:color w:val="auto"/>
        </w:rPr>
        <w:t>and enforce them, shall survive any termination of this Agreement and any termination of the employment relationship between Employee and the Company.</w:t>
      </w:r>
    </w:p>
    <w:p>
      <w:pPr>
        <w:spacing w:after="0" w:line="176" w:lineRule="exact"/>
        <w:rPr>
          <w:rFonts w:ascii="Arial" w:cs="Arial" w:eastAsia="Arial" w:hAnsi="Arial"/>
          <w:sz w:val="22"/>
          <w:szCs w:val="22"/>
          <w:color w:val="auto"/>
        </w:rPr>
      </w:pPr>
    </w:p>
    <w:p>
      <w:pPr>
        <w:jc w:val="both"/>
        <w:ind w:firstLine="656"/>
        <w:spacing w:after="0" w:line="243"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Each member of the Company Group that is not a signatory to this Agreement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 a third-party beneficiary of Employee’s obligations under </w:t>
      </w:r>
      <w:r>
        <w:rPr>
          <w:rFonts w:ascii="Arial" w:cs="Arial" w:eastAsia="Arial" w:hAnsi="Arial"/>
          <w:sz w:val="22"/>
          <w:szCs w:val="22"/>
          <w:u w:val="single" w:color="auto"/>
          <w:color w:val="auto"/>
        </w:rPr>
        <w:t>Sections 8</w:t>
      </w:r>
      <w:r>
        <w:rPr>
          <w:rFonts w:ascii="Arial" w:cs="Arial" w:eastAsia="Arial" w:hAnsi="Arial"/>
          <w:sz w:val="22"/>
          <w:szCs w:val="22"/>
          <w:color w:val="auto"/>
        </w:rPr>
        <w:t>-</w:t>
      </w:r>
      <w:r>
        <w:rPr>
          <w:rFonts w:ascii="Arial" w:cs="Arial" w:eastAsia="Arial" w:hAnsi="Arial"/>
          <w:sz w:val="22"/>
          <w:szCs w:val="22"/>
          <w:u w:val="single" w:color="auto"/>
          <w:color w:val="auto"/>
        </w:rPr>
        <w:t>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20</w:t>
      </w:r>
      <w:r>
        <w:rPr>
          <w:rFonts w:ascii="Arial" w:cs="Arial" w:eastAsia="Arial" w:hAnsi="Arial"/>
          <w:sz w:val="22"/>
          <w:szCs w:val="22"/>
          <w:color w:val="auto"/>
        </w:rPr>
        <w:t xml:space="preserve"> and shall be entitled to enforce such obligations as if a party hereto.</w:t>
      </w:r>
    </w:p>
    <w:p>
      <w:pPr>
        <w:spacing w:after="0" w:line="176" w:lineRule="exact"/>
        <w:rPr>
          <w:rFonts w:ascii="Arial" w:cs="Arial" w:eastAsia="Arial" w:hAnsi="Arial"/>
          <w:sz w:val="22"/>
          <w:szCs w:val="22"/>
          <w:color w:val="auto"/>
        </w:rPr>
      </w:pPr>
    </w:p>
    <w:p>
      <w:pPr>
        <w:jc w:val="both"/>
        <w:ind w:firstLine="656"/>
        <w:spacing w:after="0" w:line="254" w:lineRule="auto"/>
        <w:tabs>
          <w:tab w:leader="none" w:pos="1296" w:val="left"/>
        </w:tabs>
        <w:numPr>
          <w:ilvl w:val="0"/>
          <w:numId w:val="109"/>
        </w:numPr>
        <w:rPr>
          <w:rFonts w:ascii="Arial" w:cs="Arial" w:eastAsia="Arial" w:hAnsi="Arial"/>
          <w:sz w:val="21"/>
          <w:szCs w:val="21"/>
          <w:color w:val="auto"/>
        </w:rPr>
      </w:pPr>
      <w:r>
        <w:rPr>
          <w:rFonts w:ascii="Arial" w:cs="Arial" w:eastAsia="Arial" w:hAnsi="Arial"/>
          <w:sz w:val="21"/>
          <w:szCs w:val="21"/>
          <w:b w:val="1"/>
          <w:bCs w:val="1"/>
          <w:u w:val="single" w:color="auto"/>
          <w:color w:val="auto"/>
        </w:rPr>
        <w:t>Certain Excise Taxes</w:t>
      </w:r>
      <w:r>
        <w:rPr>
          <w:rFonts w:ascii="Arial" w:cs="Arial" w:eastAsia="Arial" w:hAnsi="Arial"/>
          <w:sz w:val="21"/>
          <w:szCs w:val="21"/>
          <w:color w:val="auto"/>
        </w:rPr>
        <w:t>. Notwithstanding anything to the contrary in this Agreement, if Employee is a “disqualified</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8" w:right="339" w:bottom="1440" w:gutter="0" w:footer="0" w:header="0"/>
        </w:sectPr>
      </w:pPr>
    </w:p>
    <w:bookmarkStart w:id="106" w:name="page107"/>
    <w:bookmarkEnd w:id="106"/>
    <w:p>
      <w:pPr>
        <w:jc w:val="both"/>
        <w:spacing w:after="0" w:line="272" w:lineRule="auto"/>
        <w:rPr>
          <w:sz w:val="20"/>
          <w:szCs w:val="20"/>
          <w:color w:val="auto"/>
        </w:rPr>
      </w:pPr>
      <w:r>
        <w:rPr>
          <w:rFonts w:ascii="Arial" w:cs="Arial" w:eastAsia="Arial" w:hAnsi="Arial"/>
          <w:sz w:val="19"/>
          <w:szCs w:val="19"/>
          <w:color w:val="auto"/>
        </w:rPr>
        <w:t xml:space="preserve">benefits provided for in this Agreement (beginning with any benefit to be paid in cash hereunder) shall be either (a) 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require the Company to be responsible for, or have any liability or obligation with respect to, Employee’s excise tax liabilities under Section 4999 of the Code.</w:t>
      </w:r>
    </w:p>
    <w:p>
      <w:pPr>
        <w:spacing w:after="0" w:line="398" w:lineRule="exact"/>
        <w:rPr>
          <w:sz w:val="20"/>
          <w:szCs w:val="20"/>
          <w:color w:val="auto"/>
        </w:rPr>
      </w:pPr>
    </w:p>
    <w:p>
      <w:pPr>
        <w:jc w:val="both"/>
        <w:ind w:firstLine="656"/>
        <w:spacing w:after="0" w:line="239"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provision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Blank;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107" w:name="page108"/>
    <w:bookmarkEnd w:id="107"/>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Employee and the Company each have caused this Agreement to be executed and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Effective Date.</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456565</wp:posOffset>
            </wp:positionV>
            <wp:extent cx="4114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Chris Gould</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274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 w:lineRule="exact"/>
        <w:rPr>
          <w:sz w:val="20"/>
          <w:szCs w:val="20"/>
          <w:color w:val="auto"/>
        </w:rPr>
      </w:pPr>
    </w:p>
    <w:p>
      <w:pPr>
        <w:ind w:left="4380"/>
        <w:spacing w:after="0"/>
        <w:tabs>
          <w:tab w:leader="none" w:pos="51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Mark A. (Mac) McFarland</w:t>
      </w:r>
    </w:p>
    <w:p>
      <w:pPr>
        <w:spacing w:after="0" w:line="4" w:lineRule="exact"/>
        <w:rPr>
          <w:sz w:val="20"/>
          <w:szCs w:val="20"/>
          <w:color w:val="auto"/>
        </w:rPr>
      </w:pPr>
    </w:p>
    <w:p>
      <w:pPr>
        <w:ind w:left="4380"/>
        <w:spacing w:after="0"/>
        <w:tabs>
          <w:tab w:leader="none" w:pos="5040" w:val="left"/>
        </w:tabs>
        <w:rPr>
          <w:sz w:val="20"/>
          <w:szCs w:val="20"/>
          <w:color w:val="auto"/>
        </w:rPr>
      </w:pPr>
      <w:r>
        <w:rPr>
          <w:rFonts w:ascii="Arial" w:cs="Arial" w:eastAsia="Arial" w:hAnsi="Arial"/>
          <w:sz w:val="22"/>
          <w:szCs w:val="22"/>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ectPr>
          <w:pgSz w:w="11900" w:h="16838" w:orient="portrait"/>
          <w:cols w:equalWidth="0" w:num="1">
            <w:col w:w="11240"/>
          </w:cols>
          <w:pgMar w:left="320" w:top="142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PRIOR INVENTIONS</w:t>
      </w:r>
    </w:p>
    <w:p>
      <w:pPr>
        <w:spacing w:after="0" w:line="307" w:lineRule="exact"/>
        <w:rPr>
          <w:sz w:val="20"/>
          <w:szCs w:val="20"/>
          <w:color w:val="auto"/>
        </w:rPr>
      </w:pPr>
    </w:p>
    <w:p>
      <w:pPr>
        <w:jc w:val="both"/>
        <w:ind w:firstLine="656"/>
        <w:spacing w:after="0" w:line="312" w:lineRule="auto"/>
        <w:tabs>
          <w:tab w:leader="none" w:pos="106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469900</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300" w:right="520" w:hanging="863"/>
        <w:spacing w:after="0" w:line="263" w:lineRule="auto"/>
        <w:rPr>
          <w:sz w:val="20"/>
          <w:szCs w:val="20"/>
          <w:color w:val="auto"/>
        </w:rPr>
      </w:pPr>
      <w:r>
        <w:rPr>
          <w:rFonts w:ascii="Arial" w:cs="Arial" w:eastAsia="Arial" w:hAnsi="Arial"/>
          <w:sz w:val="22"/>
          <w:szCs w:val="22"/>
          <w:color w:val="auto"/>
        </w:rPr>
        <w:t>Due to confidentiality agreements with a prior employer, Employee cannot disclose certain Prior Inventions that would otherwise be included on the above-described list.</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47" w:lineRule="exact"/>
        <w:rPr>
          <w:sz w:val="20"/>
          <w:szCs w:val="20"/>
          <w:color w:val="auto"/>
        </w:rPr>
      </w:pPr>
    </w:p>
    <w:p>
      <w:pPr>
        <w:jc w:val="both"/>
        <w:ind w:firstLine="656"/>
        <w:spacing w:after="0" w:line="265" w:lineRule="auto"/>
        <w:tabs>
          <w:tab w:leader="none" w:pos="1046" w:val="left"/>
        </w:tabs>
        <w:numPr>
          <w:ilvl w:val="0"/>
          <w:numId w:val="112"/>
        </w:numPr>
        <w:rPr>
          <w:rFonts w:ascii="Arial" w:cs="Arial" w:eastAsia="Arial" w:hAnsi="Arial"/>
          <w:sz w:val="21"/>
          <w:szCs w:val="21"/>
          <w:color w:val="auto"/>
        </w:rPr>
      </w:pPr>
      <w:r>
        <w:rPr>
          <w:rFonts w:ascii="Arial" w:cs="Arial" w:eastAsia="Arial" w:hAnsi="Arial"/>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Check appropriate space(s):</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None.</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144145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307340</wp:posOffset>
            </wp:positionV>
            <wp:extent cx="137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w:t>
      </w:r>
    </w:p>
    <w:p>
      <w:pPr>
        <w:sectPr>
          <w:pgSz w:w="11900" w:h="16838" w:orient="portrait"/>
          <w:cols w:equalWidth="0" w:num="1">
            <w:col w:w="11240"/>
          </w:cols>
          <w:pgMar w:left="320" w:top="1422" w:right="339" w:bottom="1440" w:gutter="0" w:footer="0" w:header="0"/>
        </w:sectPr>
      </w:pPr>
    </w:p>
    <w:bookmarkStart w:id="109" w:name="page110"/>
    <w:bookmarkEnd w:id="109"/>
    <w:p>
      <w:pPr>
        <w:jc w:val="center"/>
        <w:ind w:right="-191"/>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1"/>
        <w:spacing w:after="0"/>
        <w:rPr>
          <w:sz w:val="20"/>
          <w:szCs w:val="20"/>
          <w:color w:val="auto"/>
        </w:rPr>
      </w:pPr>
      <w:r>
        <w:rPr>
          <w:rFonts w:ascii="Arial" w:cs="Arial" w:eastAsia="Arial" w:hAnsi="Arial"/>
          <w:sz w:val="22"/>
          <w:szCs w:val="22"/>
          <w:b w:val="1"/>
          <w:bCs w:val="1"/>
          <w:color w:val="auto"/>
        </w:rPr>
        <w:t>CALIFORNIA LABOR CODE SECTION 2870</w:t>
      </w:r>
    </w:p>
    <w:p>
      <w:pPr>
        <w:spacing w:after="0" w:line="226" w:lineRule="exact"/>
        <w:rPr>
          <w:sz w:val="20"/>
          <w:szCs w:val="20"/>
          <w:color w:val="auto"/>
        </w:rPr>
      </w:pPr>
    </w:p>
    <w:p>
      <w:pPr>
        <w:ind w:left="652" w:right="40" w:hanging="652"/>
        <w:spacing w:after="0" w:line="250" w:lineRule="auto"/>
        <w:tabs>
          <w:tab w:leader="none" w:pos="44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214" w:lineRule="exact"/>
        <w:rPr>
          <w:rFonts w:ascii="Arial" w:cs="Arial" w:eastAsia="Arial" w:hAnsi="Arial"/>
          <w:sz w:val="22"/>
          <w:szCs w:val="22"/>
          <w:color w:val="auto"/>
        </w:rPr>
      </w:pPr>
    </w:p>
    <w:p>
      <w:pPr>
        <w:ind w:left="1292" w:right="180" w:hanging="644"/>
        <w:spacing w:after="0" w:line="263" w:lineRule="auto"/>
        <w:tabs>
          <w:tab w:leader="none" w:pos="116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Relate at the time of conception or reduction to practice of the invention to the employer’s business, or actual or demonstrably anticipated research or development of the employer; or</w:t>
      </w:r>
    </w:p>
    <w:p>
      <w:pPr>
        <w:spacing w:after="0" w:line="201" w:lineRule="exact"/>
        <w:rPr>
          <w:rFonts w:ascii="Arial" w:cs="Arial" w:eastAsia="Arial" w:hAnsi="Arial"/>
          <w:sz w:val="22"/>
          <w:szCs w:val="22"/>
          <w:color w:val="auto"/>
        </w:rPr>
      </w:pPr>
    </w:p>
    <w:p>
      <w:pPr>
        <w:ind w:left="1172" w:hanging="524"/>
        <w:spacing w:after="0"/>
        <w:tabs>
          <w:tab w:leader="none" w:pos="1172" w:val="left"/>
        </w:tabs>
        <w:numPr>
          <w:ilvl w:val="1"/>
          <w:numId w:val="113"/>
        </w:numPr>
        <w:rPr>
          <w:rFonts w:ascii="Arial" w:cs="Arial" w:eastAsia="Arial" w:hAnsi="Arial"/>
          <w:sz w:val="22"/>
          <w:szCs w:val="22"/>
          <w:color w:val="auto"/>
        </w:rPr>
      </w:pPr>
      <w:r>
        <w:rPr>
          <w:rFonts w:ascii="Arial" w:cs="Arial" w:eastAsia="Arial" w:hAnsi="Arial"/>
          <w:sz w:val="22"/>
          <w:szCs w:val="22"/>
          <w:color w:val="auto"/>
        </w:rPr>
        <w:t>Result from any work performed by the employee for the employer.</w:t>
      </w:r>
    </w:p>
    <w:p>
      <w:pPr>
        <w:spacing w:after="0" w:line="246" w:lineRule="exact"/>
        <w:rPr>
          <w:rFonts w:ascii="Arial" w:cs="Arial" w:eastAsia="Arial" w:hAnsi="Arial"/>
          <w:sz w:val="22"/>
          <w:szCs w:val="22"/>
          <w:color w:val="auto"/>
        </w:rPr>
      </w:pPr>
    </w:p>
    <w:p>
      <w:pPr>
        <w:ind w:left="652" w:hanging="652"/>
        <w:spacing w:after="0" w:line="253" w:lineRule="auto"/>
        <w:tabs>
          <w:tab w:leader="none" w:pos="46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1"/>
        <w:spacing w:after="0"/>
        <w:rPr>
          <w:sz w:val="20"/>
          <w:szCs w:val="20"/>
          <w:color w:val="auto"/>
        </w:rPr>
      </w:pPr>
      <w:r>
        <w:rPr>
          <w:rFonts w:ascii="Arial" w:cs="Arial" w:eastAsia="Arial" w:hAnsi="Arial"/>
          <w:sz w:val="22"/>
          <w:szCs w:val="22"/>
          <w:color w:val="auto"/>
        </w:rPr>
        <w:t>Exhibit B</w:t>
      </w:r>
    </w:p>
    <w:p>
      <w:pPr>
        <w:sectPr>
          <w:pgSz w:w="11900" w:h="16838" w:orient="portrait"/>
          <w:cols w:equalWidth="0" w:num="1">
            <w:col w:w="11032"/>
          </w:cols>
          <w:pgMar w:left="328" w:top="1422" w:right="5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 Mark A. (Mac) McFarland, certify that:</w:t>
      </w:r>
    </w:p>
    <w:p>
      <w:pPr>
        <w:spacing w:after="0" w:line="358" w:lineRule="exact"/>
        <w:rPr>
          <w:sz w:val="20"/>
          <w:szCs w:val="20"/>
          <w:color w:val="auto"/>
        </w:rPr>
      </w:pPr>
    </w:p>
    <w:p>
      <w:pPr>
        <w:ind w:left="640" w:hanging="308"/>
        <w:spacing w:after="0"/>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54" w:lineRule="auto"/>
        <w:tabs>
          <w:tab w:leader="none" w:pos="6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7"/>
          <w:szCs w:val="17"/>
          <w:color w:val="auto"/>
        </w:rPr>
      </w:pPr>
    </w:p>
    <w:p>
      <w:pPr>
        <w:ind w:left="660" w:right="380" w:hanging="328"/>
        <w:spacing w:after="0" w:line="259" w:lineRule="auto"/>
        <w:tabs>
          <w:tab w:leader="none" w:pos="6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660" w:right="360" w:hanging="328"/>
        <w:spacing w:after="0" w:line="248" w:lineRule="auto"/>
        <w:tabs>
          <w:tab w:leader="none" w:pos="6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7"/>
          <w:szCs w:val="17"/>
          <w:color w:val="auto"/>
        </w:rPr>
      </w:pPr>
    </w:p>
    <w:p>
      <w:pPr>
        <w:ind w:left="660" w:right="360" w:hanging="328"/>
        <w:spacing w:after="0" w:line="254" w:lineRule="auto"/>
        <w:tabs>
          <w:tab w:leader="none" w:pos="65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7"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1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2021</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/s/ Mark A. (Mac)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8255</wp:posOffset>
            </wp:positionV>
            <wp:extent cx="28289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Mark A. (Mac) McFarland</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President and Chief Executive Officer</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29"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31"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54" w:lineRule="auto"/>
        <w:tabs>
          <w:tab w:leader="none" w:pos="65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7"/>
          <w:szCs w:val="17"/>
          <w:color w:val="auto"/>
        </w:rPr>
      </w:pPr>
    </w:p>
    <w:p>
      <w:pPr>
        <w:ind w:left="660" w:right="380" w:hanging="652"/>
        <w:spacing w:after="0" w:line="259" w:lineRule="auto"/>
        <w:tabs>
          <w:tab w:leader="none" w:pos="65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6" w:lineRule="exact"/>
        <w:rPr>
          <w:rFonts w:ascii="Arial" w:cs="Arial" w:eastAsia="Arial" w:hAnsi="Arial"/>
          <w:sz w:val="17"/>
          <w:szCs w:val="17"/>
          <w:color w:val="auto"/>
        </w:rPr>
      </w:pPr>
    </w:p>
    <w:p>
      <w:pPr>
        <w:ind w:left="660" w:right="360" w:hanging="652"/>
        <w:spacing w:after="0" w:line="248" w:lineRule="auto"/>
        <w:tabs>
          <w:tab w:leader="none" w:pos="65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50" w:lineRule="exact"/>
        <w:rPr>
          <w:rFonts w:ascii="Arial" w:cs="Arial" w:eastAsia="Arial" w:hAnsi="Arial"/>
          <w:sz w:val="17"/>
          <w:szCs w:val="17"/>
          <w:color w:val="auto"/>
        </w:rPr>
      </w:pPr>
    </w:p>
    <w:p>
      <w:pPr>
        <w:jc w:val="both"/>
        <w:ind w:left="1300" w:right="180" w:hanging="644"/>
        <w:spacing w:after="0" w:line="254" w:lineRule="auto"/>
        <w:tabs>
          <w:tab w:leader="none" w:pos="12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7"/>
          <w:szCs w:val="17"/>
          <w:color w:val="auto"/>
        </w:rPr>
      </w:pPr>
    </w:p>
    <w:p>
      <w:pPr>
        <w:ind w:left="1300" w:right="20" w:hanging="644"/>
        <w:spacing w:after="0" w:line="254" w:lineRule="auto"/>
        <w:tabs>
          <w:tab w:leader="none" w:pos="12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7"/>
          <w:szCs w:val="17"/>
          <w:color w:val="auto"/>
        </w:rPr>
      </w:pPr>
    </w:p>
    <w:p>
      <w:pPr>
        <w:ind w:left="1300" w:right="80" w:hanging="644"/>
        <w:spacing w:after="0" w:line="254" w:lineRule="auto"/>
        <w:tabs>
          <w:tab w:leader="none" w:pos="1297" w:val="left"/>
        </w:tabs>
        <w:numPr>
          <w:ilvl w:val="1"/>
          <w:numId w:val="1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7"/>
          <w:szCs w:val="17"/>
          <w:color w:val="auto"/>
        </w:rPr>
      </w:pPr>
    </w:p>
    <w:p>
      <w:pPr>
        <w:ind w:left="1300" w:right="260" w:hanging="644"/>
        <w:spacing w:after="0" w:line="254" w:lineRule="auto"/>
        <w:tabs>
          <w:tab w:leader="none" w:pos="12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7"/>
          <w:szCs w:val="17"/>
          <w:color w:val="auto"/>
        </w:rPr>
      </w:pPr>
    </w:p>
    <w:p>
      <w:pPr>
        <w:ind w:left="660" w:right="360" w:hanging="652"/>
        <w:spacing w:after="0" w:line="254" w:lineRule="auto"/>
        <w:tabs>
          <w:tab w:leader="none" w:pos="65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7"/>
          <w:szCs w:val="17"/>
          <w:color w:val="auto"/>
        </w:rPr>
      </w:pPr>
    </w:p>
    <w:p>
      <w:pPr>
        <w:ind w:left="1300" w:right="140" w:hanging="644"/>
        <w:spacing w:after="0" w:line="259" w:lineRule="auto"/>
        <w:tabs>
          <w:tab w:leader="none" w:pos="12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6" w:lineRule="exact"/>
        <w:rPr>
          <w:rFonts w:ascii="Arial" w:cs="Arial" w:eastAsia="Arial" w:hAnsi="Arial"/>
          <w:sz w:val="17"/>
          <w:szCs w:val="17"/>
          <w:color w:val="auto"/>
        </w:rPr>
      </w:pPr>
    </w:p>
    <w:p>
      <w:pPr>
        <w:ind w:left="1300" w:right="360" w:hanging="644"/>
        <w:spacing w:after="0" w:line="259" w:lineRule="auto"/>
        <w:tabs>
          <w:tab w:leader="none" w:pos="129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Date: August 5, 2021</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8255</wp:posOffset>
            </wp:positionV>
            <wp:extent cx="28803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86"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2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connection with the Quarterly Report on Form 10-Q of California Resources Corporation (the “Company”) for the fiscal period ended June 30, 2021, as filed with the Securities and Exchange Commission on August 5, 2021 (the “Report”), Mark A. (Mac) McFarland, as Chief Executive Officer of the Company, and Francisco J. Leon, as Chief Financial Officer of the Company, each hereby certifies, pursuant to 18 U.S.C. § 1350, as adopted pursuant to § 906 of the Sarbanes-Oxley Act of 2002, that, to the best of his or her knowledge, respectively:</w:t>
      </w:r>
    </w:p>
    <w:p>
      <w:pPr>
        <w:spacing w:after="0" w:line="200" w:lineRule="exact"/>
        <w:rPr>
          <w:sz w:val="20"/>
          <w:szCs w:val="20"/>
          <w:color w:val="auto"/>
        </w:rPr>
      </w:pPr>
    </w:p>
    <w:p>
      <w:pPr>
        <w:spacing w:after="0" w:line="220" w:lineRule="exact"/>
        <w:rPr>
          <w:sz w:val="20"/>
          <w:szCs w:val="20"/>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A. (Mac) McFarland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Mark A. (Mac) McFarland</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August 5, 2021</w:t>
            </w:r>
          </w:p>
        </w:tc>
      </w:tr>
      <w:tr>
        <w:trPr>
          <w:trHeight w:val="351"/>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Francisco J. Leon</w:t>
            </w:r>
          </w:p>
        </w:tc>
      </w:tr>
      <w:tr>
        <w:trPr>
          <w:trHeight w:val="223"/>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Francisco J. Leon</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August 5, 2021</w:t>
            </w:r>
          </w:p>
        </w:tc>
      </w:tr>
    </w:tbl>
    <w:p>
      <w:pPr>
        <w:spacing w:after="0" w:line="200" w:lineRule="exact"/>
        <w:rPr>
          <w:sz w:val="20"/>
          <w:szCs w:val="20"/>
          <w:color w:val="auto"/>
        </w:rPr>
      </w:pPr>
    </w:p>
    <w:p>
      <w:pPr>
        <w:spacing w:after="0" w:line="21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76"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1)"/>
      <w:numFmt w:val="lowerLetter"/>
      <w:start w:val="1"/>
    </w:lvl>
  </w:abstractNum>
  <w:abstractNum w:abstractNumId="3">
    <w:nsid w:val="741226BB"/>
    <w:multiLevelType w:val="hybridMultilevel"/>
    <w:lvl w:ilvl="0">
      <w:lvlJc w:val="left"/>
      <w:lvlText w:val="(%1)"/>
      <w:numFmt w:val="lowerLetter"/>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1)"/>
      <w:numFmt w:val="lowerLetter"/>
      <w:start w:val="1"/>
    </w:lvl>
  </w:abstractNum>
  <w:abstractNum w:abstractNumId="7">
    <w:nsid w:val="61574095"/>
    <w:multiLevelType w:val="hybridMultilevel"/>
    <w:lvl w:ilvl="0">
      <w:lvlJc w:val="left"/>
      <w:lvlText w:val="(%1)"/>
      <w:numFmt w:val="lowerLetter"/>
      <w:start w:val="1"/>
    </w:lvl>
  </w:abstractNum>
  <w:abstractNum w:abstractNumId="8">
    <w:nsid w:val="7E0C57B1"/>
    <w:multiLevelType w:val="hybridMultilevel"/>
    <w:lvl w:ilvl="0">
      <w:lvlJc w:val="left"/>
      <w:lvlText w:val="(%1)"/>
      <w:numFmt w:val="lowerLetter"/>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1)"/>
      <w:numFmt w:val="lowerLetter"/>
      <w:start w:val="1"/>
    </w:lvl>
  </w:abstractNum>
  <w:abstractNum w:abstractNumId="14">
    <w:nsid w:val="25A70BF7"/>
    <w:multiLevelType w:val="hybridMultilevel"/>
    <w:lvl w:ilvl="0">
      <w:lvlJc w:val="left"/>
      <w:lvlText w:val="*"/>
      <w:numFmt w:val="bullet"/>
      <w:start w:val="1"/>
    </w:lvl>
    <w:lvl w:ilvl="1">
      <w:lvlJc w:val="left"/>
      <w:lvlText w:val="%2"/>
      <w:numFmt w:val="decimal"/>
      <w:start w:val="104"/>
    </w:lvl>
  </w:abstractNum>
  <w:abstractNum w:abstractNumId="15">
    <w:nsid w:val="1DBABF00"/>
    <w:multiLevelType w:val="hybridMultilevel"/>
    <w:lvl w:ilvl="0">
      <w:lvlJc w:val="left"/>
      <w:lvlText w:val="%1."/>
      <w:numFmt w:val="decimal"/>
      <w:start w:val="1"/>
    </w:lvl>
    <w:lvl w:ilvl="1">
      <w:lvlJc w:val="left"/>
      <w:lvlText w:val="(%2)"/>
      <w:numFmt w:val="lowerLetter"/>
      <w:start w:val="1"/>
    </w:lvl>
  </w:abstractNum>
  <w:abstractNum w:abstractNumId="16">
    <w:nsid w:val="4AD084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7">
    <w:nsid w:val="1F48EAA1"/>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8">
    <w:nsid w:val="1381823A"/>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3"/>
    </w:lvl>
  </w:abstractNum>
  <w:abstractNum w:abstractNumId="19">
    <w:nsid w:val="5DB70AE5"/>
    <w:multiLevelType w:val="hybridMultilevel"/>
    <w:lvl w:ilvl="0">
      <w:lvlJc w:val="left"/>
      <w:lvlText w:val="%1."/>
      <w:numFmt w:val="decimal"/>
      <w:start w:val="4"/>
    </w:lvl>
  </w:abstractNum>
  <w:abstractNum w:abstractNumId="20">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659070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2">
    <w:nsid w:val="15014ACB"/>
    <w:multiLevelType w:val="hybridMultilevel"/>
    <w:lvl w:ilvl="0">
      <w:lvlJc w:val="left"/>
      <w:lvlText w:val="(%1)"/>
      <w:numFmt w:val="lowerRoman"/>
      <w:start w:val="3"/>
    </w:lvl>
  </w:abstractNum>
  <w:abstractNum w:abstractNumId="23">
    <w:nsid w:val="5F5E7FD0"/>
    <w:multiLevelType w:val="hybridMultilevel"/>
    <w:lvl w:ilvl="0">
      <w:lvlJc w:val="left"/>
      <w:lvlText w:val="(%1)"/>
      <w:numFmt w:val="lowerLetter"/>
      <w:start w:val="2"/>
    </w:lvl>
    <w:lvl w:ilvl="1">
      <w:lvlJc w:val="left"/>
      <w:lvlText w:val="(%2)"/>
      <w:numFmt w:val="lowerRoman"/>
      <w:start w:val="1"/>
    </w:lvl>
  </w:abstractNum>
  <w:abstractNum w:abstractNumId="24">
    <w:nsid w:val="98A3148"/>
    <w:multiLevelType w:val="hybridMultilevel"/>
    <w:lvl w:ilvl="0">
      <w:lvlJc w:val="left"/>
      <w:lvlText w:val="(%1)"/>
      <w:numFmt w:val="lowerRoman"/>
      <w:start w:val="3"/>
    </w:lvl>
  </w:abstractNum>
  <w:abstractNum w:abstractNumId="25">
    <w:nsid w:val="799D0247"/>
    <w:multiLevelType w:val="hybridMultilevel"/>
    <w:lvl w:ilvl="0">
      <w:lvlJc w:val="left"/>
      <w:lvlText w:val="(%1)"/>
      <w:numFmt w:val="lowerLetter"/>
      <w:start w:val="4"/>
    </w:lvl>
  </w:abstractNum>
  <w:abstractNum w:abstractNumId="26">
    <w:nsid w:val="6B94764"/>
    <w:multiLevelType w:val="hybridMultilevel"/>
    <w:lvl w:ilvl="0">
      <w:lvlJc w:val="left"/>
      <w:lvlText w:val="(%1)"/>
      <w:numFmt w:val="lowerRoman"/>
      <w:start w:val="1"/>
    </w:lvl>
    <w:lvl w:ilvl="1">
      <w:lvlJc w:val="left"/>
      <w:lvlText w:val="(%2)"/>
      <w:numFmt w:val="upperLetter"/>
      <w:start w:val="1"/>
    </w:lvl>
  </w:abstractNum>
  <w:abstractNum w:abstractNumId="27">
    <w:nsid w:val="42C296BD"/>
    <w:multiLevelType w:val="hybridMultilevel"/>
    <w:lvl w:ilvl="0">
      <w:lvlJc w:val="left"/>
      <w:lvlText w:val="(%1)"/>
      <w:numFmt w:val="upperLetter"/>
      <w:start w:val="2"/>
    </w:lvl>
  </w:abstractNum>
  <w:abstractNum w:abstractNumId="28">
    <w:nsid w:val="168E121F"/>
    <w:multiLevelType w:val="hybridMultilevel"/>
    <w:lvl w:ilvl="0">
      <w:lvlJc w:val="left"/>
      <w:lvlText w:val="(%1)"/>
      <w:numFmt w:val="upperLetter"/>
      <w:start w:val="4"/>
    </w:lvl>
  </w:abstractNum>
  <w:abstractNum w:abstractNumId="29">
    <w:nsid w:val="1EBA5D23"/>
    <w:multiLevelType w:val="hybridMultilevel"/>
    <w:lvl w:ilvl="0">
      <w:lvlJc w:val="left"/>
      <w:lvlText w:val="(%1)"/>
      <w:numFmt w:val="lowerRoman"/>
      <w:start w:val="2"/>
    </w:lvl>
  </w:abstractNum>
  <w:abstractNum w:abstractNumId="30">
    <w:nsid w:val="661E3F1E"/>
    <w:multiLevelType w:val="hybridMultilevel"/>
    <w:lvl w:ilvl="0">
      <w:lvlJc w:val="left"/>
      <w:lvlText w:val="%1"/>
      <w:numFmt w:val="decimal"/>
      <w:start w:val="1"/>
    </w:lvl>
    <w:lvl w:ilvl="1">
      <w:lvlJc w:val="left"/>
      <w:lvlText w:val="(%2)"/>
      <w:numFmt w:val="lowerLetter"/>
      <w:start w:val="7"/>
    </w:lvl>
  </w:abstractNum>
  <w:abstractNum w:abstractNumId="31">
    <w:nsid w:val="5DC79EA8"/>
    <w:multiLevelType w:val="hybridMultilevel"/>
    <w:lvl w:ilvl="0">
      <w:lvlJc w:val="left"/>
      <w:lvlText w:val="%1."/>
      <w:numFmt w:val="decimal"/>
      <w:start w:val="8"/>
    </w:lvl>
    <w:lvl w:ilvl="1">
      <w:lvlJc w:val="left"/>
      <w:lvlText w:val="(%2)"/>
      <w:numFmt w:val="lowerLetter"/>
      <w:start w:val="1"/>
    </w:lvl>
  </w:abstractNum>
  <w:abstractNum w:abstractNumId="32">
    <w:nsid w:val="540A471C"/>
    <w:multiLevelType w:val="hybridMultilevel"/>
    <w:lvl w:ilvl="0">
      <w:lvlJc w:val="left"/>
      <w:lvlText w:val="%1"/>
      <w:numFmt w:val="lowerLetter"/>
      <w:start w:val="1"/>
    </w:lvl>
    <w:lvl w:ilvl="1">
      <w:lvlJc w:val="left"/>
      <w:lvlText w:val="(%2)"/>
      <w:numFmt w:val="lowerRoman"/>
      <w:start w:val="1"/>
    </w:lvl>
  </w:abstractNum>
  <w:abstractNum w:abstractNumId="33">
    <w:nsid w:val="7BD3EE7B"/>
    <w:multiLevelType w:val="hybridMultilevel"/>
    <w:lvl w:ilvl="0">
      <w:lvlJc w:val="left"/>
      <w:lvlText w:val="(%1)"/>
      <w:numFmt w:val="lowerLetter"/>
      <w:start w:val="3"/>
    </w:lvl>
    <w:lvl w:ilvl="1">
      <w:lvlJc w:val="left"/>
      <w:lvlText w:val="%2"/>
      <w:numFmt w:val="lowerRoman"/>
      <w:start w:val="1"/>
    </w:lvl>
  </w:abstractNum>
  <w:abstractNum w:abstractNumId="34">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5">
    <w:nsid w:val="613EFDC5"/>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36">
    <w:nsid w:val="BF72B14"/>
    <w:multiLevelType w:val="hybridMultilevel"/>
    <w:lvl w:ilvl="0">
      <w:lvlJc w:val="left"/>
      <w:lvlText w:val="(%1)"/>
      <w:numFmt w:val="lowerLetter"/>
      <w:start w:val="2"/>
    </w:lvl>
  </w:abstractNum>
  <w:abstractNum w:abstractNumId="37">
    <w:nsid w:val="11447B73"/>
    <w:multiLevelType w:val="hybridMultilevel"/>
    <w:lvl w:ilvl="0">
      <w:lvlJc w:val="left"/>
      <w:lvlText w:val="(%1)"/>
      <w:numFmt w:val="lowerLetter"/>
      <w:start w:val="6"/>
    </w:lvl>
  </w:abstractNum>
  <w:abstractNum w:abstractNumId="38">
    <w:nsid w:val="42963E5A"/>
    <w:multiLevelType w:val="hybridMultilevel"/>
    <w:lvl w:ilvl="0">
      <w:lvlJc w:val="left"/>
      <w:lvlText w:val="%1"/>
      <w:numFmt w:val="decimal"/>
      <w:start w:val="1"/>
    </w:lvl>
    <w:lvl w:ilvl="1">
      <w:lvlJc w:val="left"/>
      <w:lvlText w:val="(%2)"/>
      <w:numFmt w:val="lowerRoman"/>
      <w:start w:val="1"/>
    </w:lvl>
  </w:abstractNum>
  <w:abstractNum w:abstractNumId="39">
    <w:nsid w:val="A0382C5"/>
    <w:multiLevelType w:val="hybridMultilevel"/>
    <w:lvl w:ilvl="0">
      <w:lvlJc w:val="left"/>
      <w:lvlText w:val="%1."/>
      <w:numFmt w:val="decimal"/>
      <w:start w:val="11"/>
    </w:lvl>
    <w:lvl w:ilvl="1">
      <w:lvlJc w:val="left"/>
      <w:lvlText w:val="%2"/>
      <w:numFmt w:val="lowerRoman"/>
      <w:start w:val="1"/>
    </w:lvl>
  </w:abstractNum>
  <w:abstractNum w:abstractNumId="40">
    <w:nsid w:val="8F2B15E"/>
    <w:multiLevelType w:val="hybridMultilevel"/>
    <w:lvl w:ilvl="0">
      <w:lvlJc w:val="left"/>
      <w:lvlText w:val="%1."/>
      <w:numFmt w:val="decimal"/>
      <w:start w:val="14"/>
    </w:lvl>
  </w:abstractNum>
  <w:abstractNum w:abstractNumId="41">
    <w:nsid w:val="1A32234B"/>
    <w:multiLevelType w:val="hybridMultilevel"/>
    <w:lvl w:ilvl="0">
      <w:lvlJc w:val="left"/>
      <w:lvlText w:val="%1."/>
      <w:numFmt w:val="decimal"/>
      <w:start w:val="19"/>
    </w:lvl>
    <w:lvl w:ilvl="1">
      <w:lvlJc w:val="left"/>
      <w:lvlText w:val="(%2)"/>
      <w:numFmt w:val="lowerLetter"/>
      <w:start w:val="1"/>
    </w:lvl>
  </w:abstractNum>
  <w:abstractNum w:abstractNumId="42">
    <w:nsid w:val="3B0FD379"/>
    <w:multiLevelType w:val="hybridMultilevel"/>
    <w:lvl w:ilvl="0">
      <w:lvlJc w:val="left"/>
      <w:lvlText w:val="%1"/>
      <w:numFmt w:val="decimal"/>
      <w:start w:val="1"/>
    </w:lvl>
    <w:lvl w:ilvl="1">
      <w:lvlJc w:val="left"/>
      <w:lvlText w:val="(%2)"/>
      <w:numFmt w:val="lowerLetter"/>
      <w:start w:val="2"/>
    </w:lvl>
  </w:abstractNum>
  <w:abstractNum w:abstractNumId="43">
    <w:nsid w:val="68EB2F63"/>
    <w:multiLevelType w:val="hybridMultilevel"/>
    <w:lvl w:ilvl="0">
      <w:lvlJc w:val="left"/>
      <w:lvlText w:val="%1."/>
      <w:numFmt w:val="decimal"/>
      <w:start w:val="22"/>
    </w:lvl>
    <w:lvl w:ilvl="1">
      <w:lvlJc w:val="left"/>
      <w:lvlText w:val="%2"/>
      <w:numFmt w:val="lowerLetter"/>
      <w:start w:val="1"/>
    </w:lvl>
  </w:abstractNum>
  <w:abstractNum w:abstractNumId="44">
    <w:nsid w:val="4962813B"/>
    <w:multiLevelType w:val="hybridMultilevel"/>
    <w:lvl w:ilvl="0">
      <w:lvlJc w:val="left"/>
      <w:lvlText w:val="%1."/>
      <w:numFmt w:val="decimal"/>
      <w:start w:val="25"/>
    </w:lvl>
  </w:abstractNum>
  <w:abstractNum w:abstractNumId="45">
    <w:nsid w:val="60B6DF70"/>
    <w:multiLevelType w:val="hybridMultilevel"/>
    <w:lvl w:ilvl="0">
      <w:lvlJc w:val="left"/>
      <w:lvlText w:val="%1."/>
      <w:numFmt w:val="decimal"/>
      <w:start w:val="1"/>
    </w:lvl>
  </w:abstractNum>
  <w:abstractNum w:abstractNumId="46">
    <w:nsid w:val="6A5EE64"/>
    <w:multiLevelType w:val="hybridMultilevel"/>
    <w:lvl w:ilvl="0">
      <w:lvlJc w:val="left"/>
      <w:lvlText w:val="%1."/>
      <w:numFmt w:val="decimal"/>
      <w:start w:val="2"/>
    </w:lvl>
  </w:abstractNum>
  <w:abstractNum w:abstractNumId="47">
    <w:nsid w:val="14330624"/>
    <w:multiLevelType w:val="hybridMultilevel"/>
    <w:lvl w:ilvl="0">
      <w:lvlJc w:val="left"/>
      <w:lvlText w:val="(%1)"/>
      <w:numFmt w:val="lowerLetter"/>
      <w:start w:val="1"/>
    </w:lvl>
    <w:lvl w:ilvl="1">
      <w:lvlJc w:val="left"/>
      <w:lvlText w:val="(%2)"/>
      <w:numFmt w:val="decimal"/>
      <w:start w:val="1"/>
    </w:lvl>
  </w:abstractNum>
  <w:abstractNum w:abstractNumId="48">
    <w:nsid w:val="7FFFCA11"/>
    <w:multiLevelType w:val="hybridMultilevel"/>
    <w:lvl w:ilvl="0">
      <w:lvlJc w:val="left"/>
      <w:lvlText w:val="%1."/>
      <w:numFmt w:val="decimal"/>
      <w:start w:val="1"/>
    </w:lvl>
    <w:lvl w:ilvl="1">
      <w:lvlJc w:val="left"/>
      <w:lvlText w:val="(%2)"/>
      <w:numFmt w:val="lowerLetter"/>
      <w:start w:val="1"/>
    </w:lvl>
  </w:abstractNum>
  <w:abstractNum w:abstractNumId="49">
    <w:nsid w:val="1A27709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0">
    <w:nsid w:val="71EA110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1">
    <w:nsid w:val="100F59DC"/>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3"/>
    </w:lvl>
  </w:abstractNum>
  <w:abstractNum w:abstractNumId="52">
    <w:nsid w:val="7FB7E0AA"/>
    <w:multiLevelType w:val="hybridMultilevel"/>
    <w:lvl w:ilvl="0">
      <w:lvlJc w:val="left"/>
      <w:lvlText w:val="%1."/>
      <w:numFmt w:val="decimal"/>
      <w:start w:val="4"/>
    </w:lvl>
  </w:abstractNum>
  <w:abstractNum w:abstractNumId="53">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6F6DD9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5">
    <w:nsid w:val="94211F2"/>
    <w:multiLevelType w:val="hybridMultilevel"/>
    <w:lvl w:ilvl="0">
      <w:lvlJc w:val="left"/>
      <w:lvlText w:val="(%1)"/>
      <w:numFmt w:val="lowerRoman"/>
      <w:start w:val="3"/>
    </w:lvl>
  </w:abstractNum>
  <w:abstractNum w:abstractNumId="56">
    <w:nsid w:val="885E1B"/>
    <w:multiLevelType w:val="hybridMultilevel"/>
    <w:lvl w:ilvl="0">
      <w:lvlJc w:val="left"/>
      <w:lvlText w:val="(%1)"/>
      <w:numFmt w:val="lowerLetter"/>
      <w:start w:val="2"/>
    </w:lvl>
  </w:abstractNum>
  <w:abstractNum w:abstractNumId="57">
    <w:nsid w:val="76272110"/>
    <w:multiLevelType w:val="hybridMultilevel"/>
    <w:lvl w:ilvl="0">
      <w:lvlJc w:val="left"/>
      <w:lvlText w:val="(%1)"/>
      <w:numFmt w:val="lowerRoman"/>
      <w:start w:val="1"/>
    </w:lvl>
  </w:abstractNum>
  <w:abstractNum w:abstractNumId="58">
    <w:nsid w:val="4C04A8AF"/>
    <w:multiLevelType w:val="hybridMultilevel"/>
    <w:lvl w:ilvl="0">
      <w:lvlJc w:val="left"/>
      <w:lvlText w:val="(%1)"/>
      <w:numFmt w:val="lowerLetter"/>
      <w:start w:val="4"/>
    </w:lvl>
  </w:abstractNum>
  <w:abstractNum w:abstractNumId="59">
    <w:nsid w:val="1716703B"/>
    <w:multiLevelType w:val="hybridMultilevel"/>
    <w:lvl w:ilvl="0">
      <w:lvlJc w:val="left"/>
      <w:lvlText w:val="(%1)"/>
      <w:numFmt w:val="lowerRoman"/>
      <w:start w:val="1"/>
    </w:lvl>
    <w:lvl w:ilvl="1">
      <w:lvlJc w:val="left"/>
      <w:lvlText w:val="(%2)"/>
      <w:numFmt w:val="upperLetter"/>
      <w:start w:val="1"/>
    </w:lvl>
  </w:abstractNum>
  <w:abstractNum w:abstractNumId="60">
    <w:nsid w:val="14E17E33"/>
    <w:multiLevelType w:val="hybridMultilevel"/>
    <w:lvl w:ilvl="0">
      <w:lvlJc w:val="left"/>
      <w:lvlText w:val="(%1)"/>
      <w:numFmt w:val="upperLetter"/>
      <w:start w:val="2"/>
    </w:lvl>
  </w:abstractNum>
  <w:abstractNum w:abstractNumId="61">
    <w:nsid w:val="3222E7CD"/>
    <w:multiLevelType w:val="hybridMultilevel"/>
    <w:lvl w:ilvl="0">
      <w:lvlJc w:val="left"/>
      <w:lvlText w:val="(%1)"/>
      <w:numFmt w:val="lowerLetter"/>
      <w:start w:val="26"/>
    </w:lvl>
    <w:lvl w:ilvl="1">
      <w:lvlJc w:val="left"/>
      <w:lvlText w:val="(%2)"/>
      <w:numFmt w:val="upperLetter"/>
      <w:start w:val="4"/>
    </w:lvl>
  </w:abstractNum>
  <w:abstractNum w:abstractNumId="62">
    <w:nsid w:val="74DE0EE3"/>
    <w:multiLevelType w:val="hybridMultilevel"/>
    <w:lvl w:ilvl="0">
      <w:lvlJc w:val="left"/>
      <w:lvlText w:val="(%1)"/>
      <w:numFmt w:val="lowerRoman"/>
      <w:start w:val="2"/>
    </w:lvl>
  </w:abstractNum>
  <w:abstractNum w:abstractNumId="63">
    <w:nsid w:val="68EBC550"/>
    <w:multiLevelType w:val="hybridMultilevel"/>
    <w:lvl w:ilvl="0">
      <w:lvlJc w:val="left"/>
      <w:lvlText w:val="%1"/>
      <w:numFmt w:val="decimal"/>
      <w:start w:val="1"/>
    </w:lvl>
    <w:lvl w:ilvl="1">
      <w:lvlJc w:val="left"/>
      <w:lvlText w:val="(%2)"/>
      <w:numFmt w:val="lowerLetter"/>
      <w:start w:val="7"/>
    </w:lvl>
  </w:abstractNum>
  <w:abstractNum w:abstractNumId="64">
    <w:nsid w:val="2DF6D648"/>
    <w:multiLevelType w:val="hybridMultilevel"/>
    <w:lvl w:ilvl="0">
      <w:lvlJc w:val="left"/>
      <w:lvlText w:val="%1."/>
      <w:numFmt w:val="decimal"/>
      <w:start w:val="8"/>
    </w:lvl>
    <w:lvl w:ilvl="1">
      <w:lvlJc w:val="left"/>
      <w:lvlText w:val="(%2)"/>
      <w:numFmt w:val="lowerLetter"/>
      <w:start w:val="1"/>
    </w:lvl>
  </w:abstractNum>
  <w:abstractNum w:abstractNumId="65">
    <w:nsid w:val="46B7D447"/>
    <w:multiLevelType w:val="hybridMultilevel"/>
    <w:lvl w:ilvl="0">
      <w:lvlJc w:val="left"/>
      <w:lvlText w:val="(%1)"/>
      <w:numFmt w:val="lowerLetter"/>
      <w:start w:val="2"/>
    </w:lvl>
    <w:lvl w:ilvl="1">
      <w:lvlJc w:val="left"/>
      <w:lvlText w:val="(%2)"/>
      <w:numFmt w:val="lowerRoman"/>
      <w:start w:val="1"/>
    </w:lvl>
  </w:abstractNum>
  <w:abstractNum w:abstractNumId="66">
    <w:nsid w:val="4A2AC3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67">
    <w:nsid w:val="39EE015C"/>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68">
    <w:nsid w:val="57FC4FBB"/>
    <w:multiLevelType w:val="hybridMultilevel"/>
    <w:lvl w:ilvl="0">
      <w:lvlJc w:val="left"/>
      <w:lvlText w:val="(%1)"/>
      <w:numFmt w:val="lowerLetter"/>
      <w:start w:val="2"/>
    </w:lvl>
  </w:abstractNum>
  <w:abstractNum w:abstractNumId="69">
    <w:nsid w:val="CC1016F"/>
    <w:multiLevelType w:val="hybridMultilevel"/>
    <w:lvl w:ilvl="0">
      <w:lvlJc w:val="left"/>
      <w:lvlText w:val="(%1)"/>
      <w:numFmt w:val="lowerLetter"/>
      <w:start w:val="6"/>
    </w:lvl>
  </w:abstractNum>
  <w:abstractNum w:abstractNumId="70">
    <w:nsid w:val="43F18422"/>
    <w:multiLevelType w:val="hybridMultilevel"/>
    <w:lvl w:ilvl="0">
      <w:lvlJc w:val="left"/>
      <w:lvlText w:val="%1"/>
      <w:numFmt w:val="decimal"/>
      <w:start w:val="1"/>
    </w:lvl>
    <w:lvl w:ilvl="1">
      <w:lvlJc w:val="left"/>
      <w:lvlText w:val="(%2)"/>
      <w:numFmt w:val="lowerRoman"/>
      <w:start w:val="1"/>
    </w:lvl>
  </w:abstractNum>
  <w:abstractNum w:abstractNumId="71">
    <w:nsid w:val="60EF0119"/>
    <w:multiLevelType w:val="hybridMultilevel"/>
    <w:lvl w:ilvl="0">
      <w:lvlJc w:val="left"/>
      <w:lvlText w:val="%1."/>
      <w:numFmt w:val="decimal"/>
      <w:start w:val="11"/>
    </w:lvl>
    <w:lvl w:ilvl="1">
      <w:lvlJc w:val="left"/>
      <w:lvlText w:val="%2"/>
      <w:numFmt w:val="lowerRoman"/>
      <w:start w:val="1"/>
    </w:lvl>
  </w:abstractNum>
  <w:abstractNum w:abstractNumId="72">
    <w:nsid w:val="26F324BA"/>
    <w:multiLevelType w:val="hybridMultilevel"/>
    <w:lvl w:ilvl="0">
      <w:lvlJc w:val="left"/>
      <w:lvlText w:val="%1."/>
      <w:numFmt w:val="decimal"/>
      <w:start w:val="14"/>
    </w:lvl>
  </w:abstractNum>
  <w:abstractNum w:abstractNumId="73">
    <w:nsid w:val="7F01579B"/>
    <w:multiLevelType w:val="hybridMultilevel"/>
    <w:lvl w:ilvl="0">
      <w:lvlJc w:val="left"/>
      <w:lvlText w:val="%1."/>
      <w:numFmt w:val="decimal"/>
      <w:start w:val="19"/>
    </w:lvl>
    <w:lvl w:ilvl="1">
      <w:lvlJc w:val="left"/>
      <w:lvlText w:val="(%2)"/>
      <w:numFmt w:val="lowerLetter"/>
      <w:start w:val="1"/>
    </w:lvl>
  </w:abstractNum>
  <w:abstractNum w:abstractNumId="74">
    <w:nsid w:val="49DA307D"/>
    <w:multiLevelType w:val="hybridMultilevel"/>
    <w:lvl w:ilvl="0">
      <w:lvlJc w:val="left"/>
      <w:lvlText w:val="%1"/>
      <w:numFmt w:val="decimal"/>
      <w:start w:val="1"/>
    </w:lvl>
    <w:lvl w:ilvl="1">
      <w:lvlJc w:val="left"/>
      <w:lvlText w:val="(%2)"/>
      <w:numFmt w:val="lowerLetter"/>
      <w:start w:val="2"/>
    </w:lvl>
  </w:abstractNum>
  <w:abstractNum w:abstractNumId="75">
    <w:nsid w:val="7055A5F5"/>
    <w:multiLevelType w:val="hybridMultilevel"/>
    <w:lvl w:ilvl="0">
      <w:lvlJc w:val="left"/>
      <w:lvlText w:val="%1."/>
      <w:numFmt w:val="decimal"/>
      <w:start w:val="22"/>
    </w:lvl>
    <w:lvl w:ilvl="1">
      <w:lvlJc w:val="left"/>
      <w:lvlText w:val="%2"/>
      <w:numFmt w:val="lowerLetter"/>
      <w:start w:val="1"/>
    </w:lvl>
  </w:abstractNum>
  <w:abstractNum w:abstractNumId="76">
    <w:nsid w:val="5FB8370B"/>
    <w:multiLevelType w:val="hybridMultilevel"/>
    <w:lvl w:ilvl="0">
      <w:lvlJc w:val="left"/>
      <w:lvlText w:val="%1."/>
      <w:numFmt w:val="decimal"/>
      <w:start w:val="25"/>
    </w:lvl>
  </w:abstractNum>
  <w:abstractNum w:abstractNumId="77">
    <w:nsid w:val="50801EE1"/>
    <w:multiLevelType w:val="hybridMultilevel"/>
    <w:lvl w:ilvl="0">
      <w:lvlJc w:val="left"/>
      <w:lvlText w:val="%1."/>
      <w:numFmt w:val="decimal"/>
      <w:start w:val="1"/>
    </w:lvl>
  </w:abstractNum>
  <w:abstractNum w:abstractNumId="78">
    <w:nsid w:val="488AC1A"/>
    <w:multiLevelType w:val="hybridMultilevel"/>
    <w:lvl w:ilvl="0">
      <w:lvlJc w:val="left"/>
      <w:lvlText w:val="%1."/>
      <w:numFmt w:val="decimal"/>
      <w:start w:val="2"/>
    </w:lvl>
  </w:abstractNum>
  <w:abstractNum w:abstractNumId="79">
    <w:nsid w:val="5FB8011C"/>
    <w:multiLevelType w:val="hybridMultilevel"/>
    <w:lvl w:ilvl="0">
      <w:lvlJc w:val="left"/>
      <w:lvlText w:val="(%1)"/>
      <w:numFmt w:val="lowerLetter"/>
      <w:start w:val="1"/>
    </w:lvl>
    <w:lvl w:ilvl="1">
      <w:lvlJc w:val="left"/>
      <w:lvlText w:val="(%2)"/>
      <w:numFmt w:val="decimal"/>
      <w:start w:val="1"/>
    </w:lvl>
  </w:abstractNum>
  <w:abstractNum w:abstractNumId="80">
    <w:nsid w:val="6AA78F7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81">
    <w:nsid w:val="7672BD23"/>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82">
    <w:nsid w:val="6FC75A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83">
    <w:nsid w:val="6A5F702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84">
    <w:nsid w:val="7D5E18F8"/>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abstractNum>
  <w:abstractNum w:abstractNumId="85">
    <w:nsid w:val="5F3534A4"/>
    <w:multiLevelType w:val="hybridMultilevel"/>
    <w:lvl w:ilvl="0">
      <w:lvlJc w:val="left"/>
      <w:lvlText w:val="(%1)"/>
      <w:numFmt w:val="lowerLetter"/>
      <w:start w:val="3"/>
    </w:lvl>
  </w:abstractNum>
  <w:abstractNum w:abstractNumId="86">
    <w:nsid w:val="73A1821B"/>
    <w:multiLevelType w:val="hybridMultilevel"/>
    <w:lvl w:ilvl="0">
      <w:lvlJc w:val="left"/>
      <w:lvlText w:val="%1."/>
      <w:numFmt w:val="decimal"/>
      <w:start w:val="4"/>
    </w:lvl>
    <w:lvl w:ilvl="1">
      <w:lvlJc w:val="left"/>
      <w:lvlText w:val="(%2)"/>
      <w:numFmt w:val="lowerLetter"/>
      <w:start w:val="1"/>
    </w:lvl>
  </w:abstractNum>
  <w:abstractNum w:abstractNumId="87">
    <w:nsid w:val="7DE6771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8">
    <w:nsid w:val="555C55B5"/>
    <w:multiLevelType w:val="hybridMultilevel"/>
    <w:lvl w:ilvl="0">
      <w:lvlJc w:val="left"/>
      <w:lvlText w:val="(%1)"/>
      <w:numFmt w:val="lowerLetter"/>
      <w:start w:val="2"/>
    </w:lvl>
    <w:lvl w:ilvl="1">
      <w:lvlJc w:val="left"/>
      <w:lvlText w:val="(%2)"/>
      <w:numFmt w:val="lowerRoman"/>
      <w:start w:val="1"/>
    </w:lvl>
  </w:abstractNum>
  <w:abstractNum w:abstractNumId="89">
    <w:nsid w:val="3FA62ACA"/>
    <w:multiLevelType w:val="hybridMultilevel"/>
    <w:lvl w:ilvl="0">
      <w:lvlJc w:val="left"/>
      <w:lvlText w:val="(%1)"/>
      <w:numFmt w:val="lowerLetter"/>
      <w:start w:val="4"/>
    </w:lvl>
  </w:abstractNum>
  <w:abstractNum w:abstractNumId="90">
    <w:nsid w:val="14FCE74E"/>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1">
    <w:nsid w:val="6A3DD3E8"/>
    <w:multiLevelType w:val="hybridMultilevel"/>
    <w:lvl w:ilvl="0">
      <w:lvlJc w:val="left"/>
      <w:lvlText w:val="(%1)"/>
      <w:numFmt w:val="upperLetter"/>
      <w:start w:val="2"/>
    </w:lvl>
  </w:abstractNum>
  <w:abstractNum w:abstractNumId="92">
    <w:nsid w:val="71C91298"/>
    <w:multiLevelType w:val="hybridMultilevel"/>
    <w:lvl w:ilvl="0">
      <w:lvlJc w:val="left"/>
      <w:lvlText w:val="(%1)"/>
      <w:numFmt w:val="upperLetter"/>
      <w:start w:val="3"/>
    </w:lvl>
  </w:abstractNum>
  <w:abstractNum w:abstractNumId="93">
    <w:nsid w:val="9DAF632"/>
    <w:multiLevelType w:val="hybridMultilevel"/>
    <w:lvl w:ilvl="0">
      <w:lvlJc w:val="left"/>
      <w:lvlText w:val="(%1)"/>
      <w:numFmt w:val="lowerRoman"/>
      <w:start w:val="2"/>
    </w:lvl>
  </w:abstractNum>
  <w:abstractNum w:abstractNumId="94">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5">
    <w:nsid w:val="1FBFE8E0"/>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96">
    <w:nsid w:val="5092CA7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97">
    <w:nsid w:val="1D545C4D"/>
    <w:multiLevelType w:val="hybridMultilevel"/>
    <w:lvl w:ilvl="0">
      <w:lvlJc w:val="left"/>
      <w:lvlText w:val="(%1)"/>
      <w:numFmt w:val="lowerLetter"/>
      <w:start w:val="2"/>
    </w:lvl>
    <w:lvl w:ilvl="1">
      <w:lvlJc w:val="left"/>
      <w:lvlText w:val="(%2)"/>
      <w:numFmt w:val="lowerRoman"/>
      <w:start w:val="1"/>
    </w:lvl>
  </w:abstractNum>
  <w:abstractNum w:abstractNumId="98">
    <w:nsid w:val="59ADEA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99">
    <w:nsid w:val="288F1A34"/>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100">
    <w:nsid w:val="2A155DBC"/>
    <w:multiLevelType w:val="hybridMultilevel"/>
    <w:lvl w:ilvl="0">
      <w:lvlJc w:val="left"/>
      <w:lvlText w:val="(%1)"/>
      <w:numFmt w:val="lowerLetter"/>
      <w:start w:val="2"/>
    </w:lvl>
  </w:abstractNum>
  <w:abstractNum w:abstractNumId="101">
    <w:nsid w:val="1D9F6E5F"/>
    <w:multiLevelType w:val="hybridMultilevel"/>
    <w:lvl w:ilvl="0">
      <w:lvlJc w:val="left"/>
      <w:lvlText w:val="(%1)"/>
      <w:numFmt w:val="lowerLetter"/>
      <w:start w:val="5"/>
    </w:lvl>
  </w:abstractNum>
  <w:abstractNum w:abstractNumId="102">
    <w:nsid w:val="97E1B4E"/>
    <w:multiLevelType w:val="hybridMultilevel"/>
    <w:lvl w:ilvl="0">
      <w:lvlJc w:val="left"/>
      <w:lvlText w:val="%1"/>
      <w:numFmt w:val="decimal"/>
      <w:start w:val="1"/>
    </w:lvl>
    <w:lvl w:ilvl="1">
      <w:lvlJc w:val="left"/>
      <w:lvlText w:val="(%2)"/>
      <w:numFmt w:val="lowerLetter"/>
      <w:start w:val="8"/>
    </w:lvl>
  </w:abstractNum>
  <w:abstractNum w:abstractNumId="103">
    <w:nsid w:val="51088277"/>
    <w:multiLevelType w:val="hybridMultilevel"/>
    <w:lvl w:ilvl="0">
      <w:lvlJc w:val="left"/>
      <w:lvlText w:val="%1."/>
      <w:numFmt w:val="decimal"/>
      <w:start w:val="11"/>
    </w:lvl>
    <w:lvl w:ilvl="1">
      <w:lvlJc w:val="left"/>
      <w:lvlText w:val="%2"/>
      <w:numFmt w:val="lowerLetter"/>
      <w:start w:val="1"/>
    </w:lvl>
  </w:abstractNum>
  <w:abstractNum w:abstractNumId="104">
    <w:nsid w:val="1CA0C5FA"/>
    <w:multiLevelType w:val="hybridMultilevel"/>
    <w:lvl w:ilvl="0">
      <w:lvlJc w:val="left"/>
      <w:lvlText w:val="%1."/>
      <w:numFmt w:val="decimal"/>
      <w:start w:val="13"/>
    </w:lvl>
  </w:abstractNum>
  <w:abstractNum w:abstractNumId="105">
    <w:nsid w:val="53584BCB"/>
    <w:multiLevelType w:val="hybridMultilevel"/>
    <w:lvl w:ilvl="0">
      <w:lvlJc w:val="left"/>
      <w:lvlText w:val="%1."/>
      <w:numFmt w:val="decimal"/>
      <w:start w:val="18"/>
    </w:lvl>
  </w:abstractNum>
  <w:abstractNum w:abstractNumId="106">
    <w:nsid w:val="415E286C"/>
    <w:multiLevelType w:val="hybridMultilevel"/>
    <w:lvl w:ilvl="0">
      <w:lvlJc w:val="left"/>
      <w:lvlText w:val="%1."/>
      <w:numFmt w:val="decimal"/>
      <w:start w:val="19"/>
    </w:lvl>
    <w:lvl w:ilvl="1">
      <w:lvlJc w:val="left"/>
      <w:lvlText w:val="(%2)"/>
      <w:numFmt w:val="lowerLetter"/>
      <w:start w:val="1"/>
    </w:lvl>
  </w:abstractNum>
  <w:abstractNum w:abstractNumId="107">
    <w:nsid w:val="7C58FD05"/>
    <w:multiLevelType w:val="hybridMultilevel"/>
    <w:lvl w:ilvl="0">
      <w:lvlJc w:val="left"/>
      <w:lvlText w:val="%1"/>
      <w:numFmt w:val="decimal"/>
      <w:start w:val="1"/>
    </w:lvl>
    <w:lvl w:ilvl="1">
      <w:lvlJc w:val="left"/>
      <w:lvlText w:val="(%2)"/>
      <w:numFmt w:val="lowerLetter"/>
      <w:start w:val="2"/>
    </w:lvl>
  </w:abstractNum>
  <w:abstractNum w:abstractNumId="108">
    <w:nsid w:val="23D86AAC"/>
    <w:multiLevelType w:val="hybridMultilevel"/>
    <w:lvl w:ilvl="0">
      <w:lvlJc w:val="left"/>
      <w:lvlText w:val="%1."/>
      <w:numFmt w:val="decimal"/>
      <w:start w:val="22"/>
    </w:lvl>
    <w:lvl w:ilvl="1">
      <w:lvlJc w:val="left"/>
      <w:lvlText w:val="%2"/>
      <w:numFmt w:val="lowerLetter"/>
      <w:start w:val="1"/>
    </w:lvl>
  </w:abstractNum>
  <w:abstractNum w:abstractNumId="109">
    <w:nsid w:val="45E6D486"/>
    <w:multiLevelType w:val="hybridMultilevel"/>
    <w:lvl w:ilvl="0">
      <w:lvlJc w:val="left"/>
      <w:lvlText w:val="%1."/>
      <w:numFmt w:val="decimal"/>
      <w:start w:val="25"/>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decimal"/>
      <w:start w:val="2"/>
    </w:lvl>
  </w:abstractNum>
  <w:abstractNum w:abstractNumId="112">
    <w:nsid w:val="3C5991AA"/>
    <w:multiLevelType w:val="hybridMultilevel"/>
    <w:lvl w:ilvl="0">
      <w:lvlJc w:val="left"/>
      <w:lvlText w:val="(%1)"/>
      <w:numFmt w:val="lowerLetter"/>
      <w:start w:val="1"/>
    </w:lvl>
    <w:lvl w:ilvl="1">
      <w:lvlJc w:val="left"/>
      <w:lvlText w:val="(%2)"/>
      <w:numFmt w:val="decimal"/>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64" Type="http://schemas.openxmlformats.org/officeDocument/2006/relationships/hyperlink" Target="http://www.sec.gov/Archives/edgar/data/1609253/000160925320000137/a8aex31.htm" TargetMode="External"/><Relationship Id="rId65" Type="http://schemas.openxmlformats.org/officeDocument/2006/relationships/hyperlink" Target="http://www.sec.gov/Archives/edgar/data/1609253/000160925320000137/a8aex32.htm" TargetMode="External"/><Relationship Id="rId66" Type="http://schemas.openxmlformats.org/officeDocument/2006/relationships/hyperlink" Target="http://www.sec.gov/Archives/edgar/data/1609253/000160925321000068/a20210507exhibit101.htm" TargetMode="External"/><Relationship Id="rId67" Type="http://schemas.openxmlformats.org/officeDocument/2006/relationships/hyperlink" Target="http://www.sec.gov/Archives/edgar/data/1609253/000160925321000087/a20210608exhibit101.htm" TargetMode="External"/><Relationship Id="rId68" Type="http://schemas.openxmlformats.org/officeDocument/2006/relationships/hyperlink" Target="http://www.sec.gov/Archives/edgar/data/1609253/000160925321000087/a20210608exhibit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2021-08-06T06:03:50Z</dcterms:created>
  <dcterms:modified xsi:type="dcterms:W3CDTF">2021-08-06T06:03:50Z</dcterms:modified>
</cp:coreProperties>
</file>