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California Resources Corporation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$0.01 par value</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13057Q305</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Bobby Saadati</w:t>
      </w:r>
    </w:p>
    <w:p>
      <w:pPr>
        <w:spacing w:after="0" w:line="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1201 Louisiana Street, Suite 3400</w:t>
      </w:r>
    </w:p>
    <w:p>
      <w:pPr>
        <w:spacing w:after="0" w:line="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(833) 706-0273</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1, 2024</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5" w:lineRule="exact"/>
        <w:rPr>
          <w:sz w:val="24"/>
          <w:szCs w:val="24"/>
          <w:color w:val="auto"/>
        </w:rPr>
      </w:pPr>
    </w:p>
    <w:p>
      <w:pPr>
        <w:ind w:right="200" w:firstLine="332"/>
        <w:spacing w:after="0" w:line="282" w:lineRule="auto"/>
        <w:tabs>
          <w:tab w:leader="none" w:pos="4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1 of 25 pages</w:t>
            </w:r>
          </w:p>
        </w:tc>
      </w:tr>
    </w:tbl>
    <w:p>
      <w:pPr>
        <w:spacing w:after="0" w:line="211" w:lineRule="exact"/>
        <w:rPr>
          <w:sz w:val="20"/>
          <w:szCs w:val="20"/>
          <w:color w:val="auto"/>
        </w:rPr>
      </w:pPr>
    </w:p>
    <w:p>
      <w:pPr>
        <w:ind w:left="1000" w:hanging="812"/>
        <w:spacing w:after="0"/>
        <w:tabs>
          <w:tab w:leader="none" w:pos="10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Energy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114,504</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114,504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114,504</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0.1%</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2 of 25 pages</w:t>
            </w:r>
          </w:p>
        </w:tc>
      </w:tr>
    </w:tbl>
    <w:p>
      <w:pPr>
        <w:spacing w:after="0" w:line="211" w:lineRule="exact"/>
        <w:rPr>
          <w:sz w:val="20"/>
          <w:szCs w:val="20"/>
          <w:color w:val="auto"/>
        </w:rPr>
      </w:pPr>
    </w:p>
    <w:p>
      <w:pPr>
        <w:ind w:left="1000" w:hanging="812"/>
        <w:spacing w:after="0"/>
        <w:tabs>
          <w:tab w:leader="none" w:pos="10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Energy Holdings LLC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114,504</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114,504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114,504</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0.1%</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3 of 25 pages</w:t>
            </w:r>
          </w:p>
        </w:tc>
      </w:tr>
    </w:tbl>
    <w:p>
      <w:pPr>
        <w:spacing w:after="0" w:line="211" w:lineRule="exact"/>
        <w:rPr>
          <w:sz w:val="20"/>
          <w:szCs w:val="20"/>
          <w:color w:val="auto"/>
        </w:rPr>
      </w:pPr>
    </w:p>
    <w:p>
      <w:pPr>
        <w:ind w:left="1000" w:hanging="812"/>
        <w:spacing w:after="0"/>
        <w:tabs>
          <w:tab w:leader="none" w:pos="10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114,504</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114,504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114,504</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0.1%</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4 of 25 pages</w:t>
            </w:r>
          </w:p>
        </w:tc>
      </w:tr>
    </w:tbl>
    <w:p>
      <w:pPr>
        <w:spacing w:after="0" w:line="211" w:lineRule="exact"/>
        <w:rPr>
          <w:sz w:val="20"/>
          <w:szCs w:val="20"/>
          <w:color w:val="auto"/>
        </w:rPr>
      </w:pPr>
    </w:p>
    <w:p>
      <w:pPr>
        <w:ind w:left="1000" w:hanging="812"/>
        <w:spacing w:after="0"/>
        <w:tabs>
          <w:tab w:leader="none" w:pos="10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Energy Spain, S.L.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114,504</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114,504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114,504</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0.1%</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5 of 25 pages</w:t>
            </w:r>
          </w:p>
        </w:tc>
      </w:tr>
    </w:tbl>
    <w:p>
      <w:pPr>
        <w:spacing w:after="0" w:line="238" w:lineRule="exact"/>
        <w:rPr>
          <w:sz w:val="20"/>
          <w:szCs w:val="20"/>
          <w:color w:val="auto"/>
        </w:rPr>
      </w:pPr>
    </w:p>
    <w:p>
      <w:pPr>
        <w:ind w:left="1000" w:hanging="812"/>
        <w:spacing w:after="0"/>
        <w:tabs>
          <w:tab w:leader="none" w:pos="10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SIMLOG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jc w:val="right"/>
              <w:ind w:right="635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276,352</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276,352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276,352</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0.3%</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6 of 25 pages</w:t>
            </w:r>
          </w:p>
        </w:tc>
      </w:tr>
    </w:tbl>
    <w:p>
      <w:pPr>
        <w:spacing w:after="0" w:line="211" w:lineRule="exact"/>
        <w:rPr>
          <w:sz w:val="20"/>
          <w:szCs w:val="20"/>
          <w:color w:val="auto"/>
        </w:rPr>
      </w:pPr>
    </w:p>
    <w:p>
      <w:pPr>
        <w:ind w:left="1000" w:hanging="812"/>
        <w:spacing w:after="0"/>
        <w:tabs>
          <w:tab w:leader="none" w:pos="10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Simlog S.à r.l.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jc w:val="right"/>
              <w:ind w:right="635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276,352</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276,352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276,352</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0.3%</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7 of 25 pages</w:t>
            </w:r>
          </w:p>
        </w:tc>
      </w:tr>
    </w:tbl>
    <w:p>
      <w:pPr>
        <w:spacing w:after="0" w:line="211" w:lineRule="exact"/>
        <w:rPr>
          <w:sz w:val="20"/>
          <w:szCs w:val="20"/>
          <w:color w:val="auto"/>
        </w:rPr>
      </w:pPr>
    </w:p>
    <w:p>
      <w:pPr>
        <w:ind w:left="1000" w:hanging="812"/>
        <w:spacing w:after="0"/>
        <w:tabs>
          <w:tab w:leader="none" w:pos="10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SICAV FIS SCA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8,647,555</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8,647,555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8,647,555</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9.7%</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8 of 25 pages</w:t>
            </w:r>
          </w:p>
        </w:tc>
      </w:tr>
    </w:tbl>
    <w:p>
      <w:pPr>
        <w:spacing w:after="0" w:line="211" w:lineRule="exact"/>
        <w:rPr>
          <w:sz w:val="20"/>
          <w:szCs w:val="20"/>
          <w:color w:val="auto"/>
        </w:rPr>
      </w:pPr>
    </w:p>
    <w:p>
      <w:pPr>
        <w:ind w:left="1000" w:hanging="812"/>
        <w:spacing w:after="0"/>
        <w:tabs>
          <w:tab w:leader="none" w:pos="10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General Partner S.à r.l.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8,647,555</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8,647,555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8,647,555</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9.7%</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9 of 25 pages</w:t>
            </w:r>
          </w:p>
        </w:tc>
      </w:tr>
    </w:tbl>
    <w:p>
      <w:pPr>
        <w:spacing w:after="0" w:line="211" w:lineRule="exact"/>
        <w:rPr>
          <w:sz w:val="20"/>
          <w:szCs w:val="20"/>
          <w:color w:val="auto"/>
        </w:rPr>
      </w:pPr>
    </w:p>
    <w:p>
      <w:pPr>
        <w:ind w:left="1000" w:hanging="812"/>
        <w:spacing w:after="0"/>
        <w:tabs>
          <w:tab w:leader="none" w:pos="10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Institut für Kapitalanlagen und Vesicherungslösungen GmbH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8,647,555</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8,647,555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8,647,555</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9.7%</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10 of 25 pages</w:t>
            </w:r>
          </w:p>
        </w:tc>
      </w:tr>
    </w:tbl>
    <w:p>
      <w:pPr>
        <w:spacing w:after="0" w:line="238" w:lineRule="exact"/>
        <w:rPr>
          <w:sz w:val="20"/>
          <w:szCs w:val="20"/>
          <w:color w:val="auto"/>
        </w:rPr>
      </w:pPr>
    </w:p>
    <w:p>
      <w:pPr>
        <w:ind w:left="1000" w:hanging="812"/>
        <w:spacing w:after="0"/>
        <w:tabs>
          <w:tab w:leader="none" w:pos="10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IKAV Impact S.à r.l.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8,371,203</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8,371,203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8,371,203</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9.4%</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11 of 25 pages</w:t>
            </w:r>
          </w:p>
        </w:tc>
      </w:tr>
    </w:tbl>
    <w:p>
      <w:pPr>
        <w:spacing w:after="0" w:line="211" w:lineRule="exact"/>
        <w:rPr>
          <w:sz w:val="20"/>
          <w:szCs w:val="20"/>
          <w:color w:val="auto"/>
        </w:rPr>
      </w:pPr>
    </w:p>
    <w:p>
      <w:pPr>
        <w:ind w:left="1000" w:hanging="812"/>
        <w:spacing w:after="0"/>
        <w:tabs>
          <w:tab w:leader="none" w:pos="10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Constantin von Wasserschleben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60" w:type="dxa"/>
            <w:vAlign w:val="bottom"/>
            <w:tcBorders>
              <w:top w:val="single" w:sz="8" w:color="auto"/>
            </w:tcBorders>
          </w:tcPr>
          <w:p>
            <w:pPr>
              <w:ind w:left="3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40" w:type="dxa"/>
            <w:vAlign w:val="bottom"/>
            <w:tcBorders>
              <w:top w:val="single" w:sz="8" w:color="auto"/>
            </w:tcBorders>
          </w:tcPr>
          <w:p>
            <w:pPr>
              <w:ind w:left="284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6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40" w:type="dxa"/>
            <w:vAlign w:val="bottom"/>
          </w:tcPr>
          <w:p>
            <w:pPr>
              <w:ind w:left="28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78" w:lineRule="exact"/>
        <w:rPr>
          <w:sz w:val="20"/>
          <w:szCs w:val="20"/>
          <w:color w:val="auto"/>
        </w:rPr>
      </w:pPr>
    </w:p>
    <w:p>
      <w:pPr>
        <w:ind w:left="1000" w:hanging="812"/>
        <w:spacing w:after="0"/>
        <w:tabs>
          <w:tab w:leader="none" w:pos="10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000" w:hanging="812"/>
        <w:spacing w:after="0"/>
        <w:tabs>
          <w:tab w:leader="none" w:pos="10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line="207" w:lineRule="exact"/>
        <w:tabs>
          <w:tab w:leader="none" w:pos="10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1000" w:hanging="812"/>
        <w:spacing w:after="0"/>
        <w:tabs>
          <w:tab w:leader="none" w:pos="10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820" w:hanging="893"/>
        <w:spacing w:after="0"/>
        <w:tabs>
          <w:tab w:leader="none" w:pos="38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4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79"/>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Pr>
          <w:p>
            <w:pPr>
              <w:spacing w:after="0"/>
              <w:rPr>
                <w:sz w:val="18"/>
                <w:szCs w:val="18"/>
                <w:color w:val="auto"/>
              </w:rPr>
            </w:pPr>
          </w:p>
        </w:tc>
        <w:tc>
          <w:tcPr>
            <w:tcW w:w="7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8,762,059</w:t>
            </w:r>
          </w:p>
        </w:tc>
        <w:tc>
          <w:tcPr>
            <w:tcW w:w="0" w:type="dxa"/>
            <w:vAlign w:val="bottom"/>
          </w:tcPr>
          <w:p>
            <w:pPr>
              <w:spacing w:after="0"/>
              <w:rPr>
                <w:sz w:val="1"/>
                <w:szCs w:val="1"/>
                <w:color w:val="auto"/>
              </w:rPr>
            </w:pPr>
          </w:p>
        </w:tc>
      </w:tr>
      <w:tr>
        <w:trPr>
          <w:trHeight w:val="130"/>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4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640" w:type="dxa"/>
            <w:vAlign w:val="bottom"/>
          </w:tcPr>
          <w:p>
            <w:pPr>
              <w:spacing w:after="0"/>
              <w:rPr>
                <w:sz w:val="18"/>
                <w:szCs w:val="18"/>
                <w:color w:val="auto"/>
              </w:rPr>
            </w:pPr>
          </w:p>
        </w:tc>
        <w:tc>
          <w:tcPr>
            <w:tcW w:w="7780" w:type="dxa"/>
            <w:vAlign w:val="bottom"/>
            <w:vMerge w:val="restart"/>
          </w:tcPr>
          <w:p>
            <w:pPr>
              <w:jc w:val="right"/>
              <w:ind w:right="631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bottom w:val="single" w:sz="8" w:color="auto"/>
            </w:tcBorders>
          </w:tcPr>
          <w:p>
            <w:pPr>
              <w:spacing w:after="0"/>
              <w:rPr>
                <w:sz w:val="12"/>
                <w:szCs w:val="12"/>
                <w:color w:val="auto"/>
              </w:rPr>
            </w:pPr>
          </w:p>
        </w:tc>
        <w:tc>
          <w:tcPr>
            <w:tcW w:w="7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1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7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8,762,059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000" w:hanging="812"/>
        <w:spacing w:after="0"/>
        <w:tabs>
          <w:tab w:leader="none" w:pos="10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8,762,059</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line="207" w:lineRule="exact"/>
        <w:tabs>
          <w:tab w:leader="none" w:pos="10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9.8%</w:t>
      </w:r>
    </w:p>
    <w:p>
      <w:pPr>
        <w:spacing w:after="0" w:line="31" w:lineRule="exact"/>
        <w:rPr>
          <w:rFonts w:ascii="Times New Roman" w:cs="Times New Roman" w:eastAsia="Times New Roman" w:hAnsi="Times New Roman"/>
          <w:sz w:val="18"/>
          <w:szCs w:val="18"/>
          <w:b w:val="1"/>
          <w:bCs w:val="1"/>
          <w:color w:val="auto"/>
        </w:rPr>
      </w:pPr>
    </w:p>
    <w:p>
      <w:pPr>
        <w:ind w:left="1000" w:hanging="812"/>
        <w:spacing w:after="0"/>
        <w:tabs>
          <w:tab w:leader="none" w:pos="10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1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12 of 25 pages</w:t>
            </w:r>
          </w:p>
        </w:tc>
      </w:tr>
    </w:tbl>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common stock, par value $0.01 per share (the “Common Stock”), of California Resources Corporation, a Delaware corporation (the “Issuer”), whose principal executive office is located at 1 World Trade Center, Suite 1500, Long Beach, California 90831.</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Schedule 13D is being filed by the following persons (each a “Reporting Person” and, collectively, the “Reporting Persons”):</w:t>
      </w:r>
    </w:p>
    <w:p>
      <w:pPr>
        <w:spacing w:after="0" w:line="225"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Energy Inc.</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Energy Holdings LLC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Inc.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Energy Spain, S.L.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SIMLOG Inc.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Simlog S.à r.l.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SICAV FIS SCA</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General Partner S.à r.l.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 für Kapitalanlagen und Vesicherungslösungen GmbH</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Impact S.à r.l.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Constantin von Wasserschleben</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IKAV Energy Inc., IKAV Energy Holdings LLC, IKAV Inc. and SIMLOG Inc. are each organized under the laws of the State of Delaware. Simlog S.à r.l., IKAV SICAV FIS SCA, IKAV General Partner S.à r.l. and IKAV Impact S.à r.l. are each organized under the laws of Luxembourg. The Institut für Kapitalanlagen und Vesicherungslösungen GmbH is organized under the laws of Germany and IKAV Energy Spain, S.L. is organized under the laws of Spain. Mr. von Wasserschleben is a citizen of Germany.</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business address for IKAV Energy Inc., IKAV Energy Holdings LLC, IKAV Inc., SIMLOG Inc. and Mr. von Wasserschleben is 1201 Louisiana Street, Suite 3400, Houston, Texas 77002. The business address for Simlog S.à r.l., IKAV SICAV FIS SCA, IKAV General Partner S.à r.l. and IKAV Impact S.à r.l. is 74a, Route de Luxembourg, Wasserbillig, L-6633 Luxembourg. The business address for the Institut für Kapitalanlagen und Vesicherungslösungen GmbH is Holzdamm 14, 20099 Hamburg, Germany. The business address for IKAV Energy Spain is S.L. is Plaza Tirso de Molina 12, 1°Izda 28012 Madrid, Spain.</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Mr. von Wasserschleben’s present principle occupation is Chairman of IKAV. All the Reporting Persons are principally engaged in the business of investing in securities, including the securities of the Issuer.</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Reporting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13 of 25 pages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Item 4 below summarizes certain provisions of the Merger Agreement (as defined below) that pertain to the securities acquired by the Reporting Persons. Pursuant to the Merger Agreement, upon consummation of the Business Combination (as defined below), IKAV Energy Inc. received 114,504 shares of Common Stock, SIMLOG Inc. received 276,352 shares of Common Stock and IKAV Impact S.à r.l received 8,371,203 shares of Common Stock.</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July 1, 2024 (the “Closing Date”), pursuant to an Agreement and Plan of Merger, dated as of February 7, 2024 (the “Merger Agreement”), among the Issuer, Petra Merger Sub I, LLC (“IKAV Merger Sub”), Petra Merger Sub C, LLC (“CPP Merger Sub”), Petra Merger Sub O, LLC (“COI Merger Sub”), Petra Merger Sub O2, LLC (“COI Merger Sub 2”), Petra Merger Sub O3, LLC (“COI Merger Sub 3”), each a Delaware limited liability company and a wholly owned direct subsidiary of the Issuer (collectively, “Initial Merger Subs”), Petra Merger Sub S, LLC, a Delaware limited liability company and a wholly owned direct subsidiary of the Issuer (“Subsequent Merger Sub” and, together with Initial Merger Subs, collectively, “Merger Subs”), IKAV Impact USA Inc., a Delaware corporation (“IKAV Blocker”), CPPIB Vedder US Holdings LLC, a Delaware limited liability company (“CPP Blocker”), Opps Xb Aera E CTB, LLC, a Delaware limited liability company (“IKAV Co-Invest Blocker 1”), Opps XI Aera E CTB, LLC, a Delaware limited liability company (“IKAV Co-Invest Blocker 2” and together with IKAV Co-Invest Blocker 1, collectively, the “IKAV Co-Invest Blockers”), Green Gate COI, LLC, a Delaware limited liability company (“IKAV Co-Invest”, and together with IKAV Blocker, CPP Blocker, IKAV Co-Invest Blocker 1 and IKAV Co-Invest Blocker 2, collectively, the “Companies”), and solely for purposes of the Member Provisions (as defined in the Merger Agreement), IKAV Impact S.à r.l., Simlog Inc., and IKAV Energy Inc. (collectively, with IKAV S.à r.l. and Simlog Inc., “IKAV Member”), CPP Investment Board Private Holdings (6), Inc., OCM Opps Xb AIF Holdings (Delaware), L.P., a Delaware limited partnership (“IKAV Co-Invest Blocker 1 Member A”), Oaktree Huntington Investment Fund II AIF (Delaware), L.P. – Class C, a Delaware limited partnership (“IKAV Co-Invest Blocker 1 Member B” and together with IKAV Co-Invest Blocker 1 Member A, collectively, the “IKAV Co-Invest Blocker 1 Members”), OCM Opps XI AIV Holdings (Delaware), L.P., a Delaware limited partnership (“IKAV Co-Invest Blocker 2 Member”), and OCM Aera E Holdings, LLC, a Delaware limited liability company (“IKAV Co-Invest Member”) (collectively,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14 of 25 pages</w:t>
            </w:r>
          </w:p>
        </w:tc>
      </w:tr>
    </w:tbl>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on the Closing Date IKAV Merger Sub merged with and into IKAV Blocker, with IKAV Blocker surviving the merger as a wholly owned subsidiary of the Issuer, CPP Merger Sub merged with and into CPP Blocker, with CPP Blocker surviving the merger as a wholly owned subsidiary of the Issuer, COI Merger Sub merged with and into IKAV Co-Invest, with IKAV Co-Invest surviving the merger as a wholly owned subsidiary of the Issuer, COI Merger Sub 2 merged with and into IKAV Co-Invest Blocker 1, with IKAV Co-Invest Blocker 1 surviving the merger as a wholly owned subsidiary of the Issuer, and COI Merger Sub 3 merged with and into IKAV Co-Invest Blocker 2, with IKAV Co-Invest Blocker 2 surviving the merger as a wholly owned subsidiary of the Issuer (collectively, the “Initial Mergers”), and, immediately following the Initial Mergers, each surviving company or corporation (as applicable) of the Initial Mergers merged with and into Subsequent Merger Sub (the “Subsequent Merger”), with Subsequent Merger Sub surviving the Subsequent Merger as a wholly owned subsidiary of the Issuer (collectively, with the other transactions contemplated by the Merger Agreement, the “Business Combination”).</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the effective time of the Initial Mergers (the “Effective Time”), 100% of the equity interests of the Companies issued and outstanding immediately prior to the Effective Time were converted into the right to receive from the Issuer (i), in the aggregate, 21,170,357 shares of Common Stock (such aggregate amount of Common Stock, the “Aggregate Consideration”), and (ii) in respect of any dividend or other distribution declared by the Issuer and having a record date from and including January 1, 2024, to and including the closing date, (A) if paid by the Issuer to its stockholders prior to the Effective Time, that aggregate number of fully-paid and nonassessable shares of Common Stock equal to the quotient of the portion of such dividend or other distribution to which the Members would have been entitled if the Aggregate Consideration had been issued and outstanding on January 1, 2024, divided by $51.96 (the “Agreed VWAP”), and (B) if unpaid at the Effective Time, the right to receive, when paid by the Issuer to its other stockholders, that aggregate number of fully-paid and nonassessable shares of Common Stock equal to the quotient of the portion of such dividend or other distribution to which the Members would have been entitled if the Aggregate Consideration had been issued and outstanding on January 1, 2024, divided by the Agreed VWAP.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the Issuer and the Members entered into a Registration Rights Agreement (the “Registration Rights Agreement”), pursuant to which, among other things and subject to certain restrictions, the Issuer agreed, on the terms set forth therein, to file with the U.S. Securities and Exchange Commission (the “SEC”) a registration statement registering for resale the shares of Common Stock issued pursuant to the Merger Agreement, and to conduct certain underwritten offerings upon the request of holders of Registrable Securities (as defined therein). The Registration Rights Agreement also provides holders of Registrable Securities (as defined therein) with certain customary piggyback registration rights.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each Member party thereto agreed to certain lock-up provisions whereby such Member and any of its permitted transferees holding shares of Common Stock agreed not to transfer (1) any shares of Common Stock issued to such Member to any non-affiliate until six months after the Effective Time; (2) more than one-third of the shares of Common Stock issued to such Member to any non-affiliate until twelve months after the Effective Time; and (3) more than two-thirds of the shares of Common Stock issued to such Member to any non-affiliate until eighteen months after the Effective Time. Transfers from each Member to its general partners, limited partners, members or stockholders, or to any corporation, partnership, limited liability company, investment fund or other entity that controls, is controlled by or is under common control with such Member are exempted from the lock-up restrictions, except for such Member’s portfolio companies. In addition, the lock-up provisions permit transfers pursuant to liquidations, stock exchanges, share repurchase programs and certain hedging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15 of 25 pages</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Agreement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the Issuer entered into Stockholder Agreements with IKAV Member and CPP Investment Board Private Holdings (6), Inc. (each, a “Stockholder Agreement”). Pursuant to each Stockholder Agreement, the Issuer appointed to the Board one person designated by IKAV Member and one person designated by CPP Investment Board Private Holdings (6), Inc. (each such person, and any other person designated for nomination by each Member pursuant to the Stockholder Agreement, a “Stockholder Nominee”). IKAV Member designated Bobby Saadati as its director appointee. For so long as each of IKAV Member and CPP Investment Board Private Holdings (6), Inc., together with its respective affiliates, beneficially owns, in the aggregate, 5% or more of the issued and outstanding shares of Common Stock, such Member will have the right to nominate one Stockholder Nominee for appointment to the Board. Such Stockholder Nominee must, in the good faith determination of the Board or the Board’s governance committee, (i) be suitable to serve on the Board in accordance with customary standards of suitability for directors of NYSE-listed companies, (ii) not be prohibited from serving as a director pursuant to any rule or regulation of the SEC or any national securities exchange on which the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 Further, such Stockholder Nominee will have the ability to attend all Board committee meetings as a non-voting observer, so long as such Stockholder Nominee remains an independent director under applicable stock exchange rules and such attendance would not be expected to have an adverse effect on the Company.</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Each Stockholder Agreement will contain certain standstill provisions which, among other things, will prohibit the Member party thereto and certain of its affiliates (such affiliates, the “Restricted Parties”) from (i) acquiring additional shares of Common Stock that would result in such Member and its Restricted Parties beneficially owning more than 14.9% of outstanding Common Stock; (ii) soliciting proxies or influencing any voting of Common Stock or the Issuer’s other equity securities; (iii) directly or indirectly proposing transactions that would be reasonably likely to result in a change of control of the Issuer; (iv) seeking additional representation on the Board, or otherwise seeking to control the management of the Issuer and its controlled affiliates, including through the removal of directors; (v) forming, joining or knowingly encouraging or engaging in discussions regarding the formation of a “group” within the meaning of Section 13(d)(3) of the Exchange Act with non-affiliates with respect to the Issuer’s securities; and (vi) publicly disclosing any intention, plan, or arrangement inconsistent with any of the foregoing. The standstill provisions will commence at the Effective Time and continue until</w:t>
      </w:r>
    </w:p>
    <w:p>
      <w:pPr>
        <w:spacing w:after="0" w:line="1" w:lineRule="exact"/>
        <w:rPr>
          <w:sz w:val="20"/>
          <w:szCs w:val="20"/>
          <w:color w:val="auto"/>
        </w:rPr>
      </w:pPr>
    </w:p>
    <w:p>
      <w:pPr>
        <w:ind w:right="120" w:firstLine="8"/>
        <w:spacing w:after="0" w:line="255" w:lineRule="auto"/>
        <w:tabs>
          <w:tab w:leader="none" w:pos="2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together with its respective Restricted Parties, ceases to beneficially own, in the aggregate, 7.5% or more of outstanding Common Stock and (b) no Stockholder Nominee designated by such Member is serving on the Board and such Member either is no longer entitled to, or has irrevocably waived, the right to appoint a Stockholder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16 of 25 pages</w:t>
            </w: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Merger Agreement, Registration Rights Agreement and the Stockholder Agreement do not purport to be complete and are qualified in their entirety by reference to the full text of such agreements, each of which is attached as an exhibit to this Schedule 13D and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Reporting Persons acquired the securities described in this Schedule 13D in connection with the closing of the Business Combination and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of the Registration Rights Agreement and the Stockholder Agreement, the Reporting Persons may acquire additional securities of the Issuer, or retain or sell all or a portion of the securities then held, in the open market or in privately negotiated transactions. In addition, the Reporting Persons may engage in discussions with management, the Board, and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Common Stock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89,192,640 shares of Common Stock outstanding following completion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30"/>
        </w:trPr>
        <w:tc>
          <w:tcPr>
            <w:tcW w:w="262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13D</w:t>
            </w:r>
          </w:p>
        </w:tc>
        <w:tc>
          <w:tcPr>
            <w:tcW w:w="980" w:type="dxa"/>
            <w:vAlign w:val="bottom"/>
            <w:tcBorders>
              <w:right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Page 17 of 25 pages</w:t>
            </w:r>
          </w:p>
        </w:tc>
      </w:tr>
      <w:tr>
        <w:trPr>
          <w:trHeight w:val="40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Sole power to</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Shared power to</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Sole power to</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Shared power to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vote or to direct</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vote or to direct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dispose or to direct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dispose or to direct</w:t>
            </w:r>
          </w:p>
        </w:tc>
      </w:tr>
      <w:tr>
        <w:trPr>
          <w:trHeight w:val="238"/>
        </w:trPr>
        <w:tc>
          <w:tcPr>
            <w:tcW w:w="25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Reporting Person</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the disposition</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disposition</w:t>
            </w:r>
          </w:p>
        </w:tc>
        <w:tc>
          <w:tcPr>
            <w:tcW w:w="100" w:type="dxa"/>
            <w:vAlign w:val="bottom"/>
            <w:tcBorders>
              <w:bottom w:val="single" w:sz="8" w:color="CCEEFF"/>
            </w:tcBorders>
          </w:tcPr>
          <w:p>
            <w:pPr>
              <w:spacing w:after="0"/>
              <w:rPr>
                <w:sz w:val="20"/>
                <w:szCs w:val="20"/>
                <w:color w:val="auto"/>
              </w:rPr>
            </w:pPr>
          </w:p>
        </w:tc>
      </w:tr>
      <w:tr>
        <w:trPr>
          <w:trHeight w:val="210"/>
        </w:trPr>
        <w:tc>
          <w:tcPr>
            <w:tcW w:w="25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IKAV Energy Inc.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114,504</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114,504</w:t>
            </w:r>
          </w:p>
        </w:tc>
        <w:tc>
          <w:tcPr>
            <w:tcW w:w="100" w:type="dxa"/>
            <w:vAlign w:val="bottom"/>
            <w:tcBorders>
              <w:right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IKAV Energy Holdings LLC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114,504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114,504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114,504</w:t>
            </w:r>
          </w:p>
        </w:tc>
      </w:tr>
      <w:tr>
        <w:trPr>
          <w:trHeight w:val="216"/>
        </w:trPr>
        <w:tc>
          <w:tcPr>
            <w:tcW w:w="26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IKAV Inc.</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114,504</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114,504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114,504</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IKAV Energy Spain, S.L.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114,504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114,504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114,504</w:t>
            </w:r>
          </w:p>
        </w:tc>
      </w:tr>
      <w:tr>
        <w:trPr>
          <w:trHeight w:val="216"/>
        </w:trPr>
        <w:tc>
          <w:tcPr>
            <w:tcW w:w="26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SIMLOG Inc.</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276,352</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276,352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276,352</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Simlog S.à r.l.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276,352</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276,352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276,352</w:t>
            </w:r>
          </w:p>
        </w:tc>
      </w:tr>
      <w:tr>
        <w:trPr>
          <w:trHeight w:val="216"/>
        </w:trPr>
        <w:tc>
          <w:tcPr>
            <w:tcW w:w="26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IKAV SICAV FIS SCA</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8,647,555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8,647,555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8,647,555</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IKAV General Partner S.à r.l.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8,647,555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8,647,555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8,647,555</w:t>
            </w:r>
          </w:p>
        </w:tc>
      </w:tr>
      <w:tr>
        <w:trPr>
          <w:trHeight w:val="198"/>
        </w:trPr>
        <w:tc>
          <w:tcPr>
            <w:tcW w:w="2620" w:type="dxa"/>
            <w:vAlign w:val="bottom"/>
            <w:tcBorders>
              <w:lef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Institut für Kapitalanlagen und</w:t>
            </w:r>
          </w:p>
        </w:tc>
        <w:tc>
          <w:tcPr>
            <w:tcW w:w="1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r>
      <w:tr>
        <w:trPr>
          <w:trHeight w:val="234"/>
        </w:trPr>
        <w:tc>
          <w:tcPr>
            <w:tcW w:w="26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Vesicherungslösungen GmbH</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8,647,555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8,647,555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8,647,555</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IKAV Impact S.à r.l.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8,371,203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8,371,203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8,371,203</w:t>
            </w:r>
          </w:p>
        </w:tc>
      </w:tr>
      <w:tr>
        <w:trPr>
          <w:trHeight w:val="216"/>
        </w:trPr>
        <w:tc>
          <w:tcPr>
            <w:tcW w:w="26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Constantin von Wasserschleben</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8,762,059</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8,762,059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8,762,059</w:t>
            </w: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securities reported herein include 114,504 shares of Common Stock held of record by IKAV Energy Inc., 276,352 shares of Common Stock held of record by SIMLOG Inc. and 8,371,203 shares of Common Stock held of record by IKAV Impact S.à r.l.</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IKAV Energy Inc. is wholly owned by IKAV Energy Holdings LLC, whose majority managing member is IKAV Inc. The shareholders of IKAV Inc. are IKAV Energy Spain, S.L. and Mr. von Wasserschleben. Mr. von Wasserschleben is the sole owner of IKAV Energy Spain, S.L. As such, each of the foregoing entities and Mr. von Wasserschleben may be deemed to share beneficial ownership of the securities held of record by IKAV Energy Inc.</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SIMLOG Inc. is wholly owned by Simlog S.à r.l., which is controlled by IKAV SICAV FIS SCA, whose general partner is IKAV General Partner S.à r.l., which is wholly owned by Institut für Kapitalanlagen und Vesicherungslösungen GmbH, whose majority owner is Mr. von Wasserschleben. As such, each of the foregoing entities and Mr. von Wasserschleben may be deemed to share beneficial ownership of the securities held of record by SIMLOG Inc.</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IKAV Impact S.à r.l. is controlled by IKAV SICAV FIS SCA, whose general partner is IKAV General Partner S.à r.l., which is wholly owned by Institut für Kapitalanlagen und Vesicherungslösungen GmbH, whose majority owner is Mr. von Wasserschleben. As such, each of the foregoing entities and Mr. von Wasserschleben may be deemed to share beneficial ownership of the securities held of record by IKAV Impact S.à r.l.</w:t>
      </w:r>
    </w:p>
    <w:p>
      <w:pPr>
        <w:spacing w:after="0" w:line="176" w:lineRule="exact"/>
        <w:rPr>
          <w:sz w:val="20"/>
          <w:szCs w:val="20"/>
          <w:color w:val="auto"/>
        </w:rPr>
      </w:pPr>
    </w:p>
    <w:p>
      <w:pPr>
        <w:ind w:left="660" w:right="2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during the past 60 days, the Reporting Person has not effected any transactions with respect to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18 of 25 pages</w:t>
            </w:r>
          </w:p>
        </w:tc>
      </w:tr>
    </w:tbl>
    <w:p>
      <w:pPr>
        <w:spacing w:after="0" w:line="198"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Item 4 above summarizes certain provisions of the Merger Agreement, the Registration Rights Agreement and the Stockholder Agreement and is incorporated herein by reference. The Merger Agreement, Registration Rights Agreement and Stockholder Agreement are attached as exhibits to this Schedule 13D and are incorporated herein by reference.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30"/>
        </w:trPr>
        <w:tc>
          <w:tcPr>
            <w:tcW w:w="120" w:type="dxa"/>
            <w:vAlign w:val="bottom"/>
            <w:tcBorders>
              <w:top w:val="single" w:sz="8" w:color="auto"/>
              <w:left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160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color w:val="auto"/>
              </w:rPr>
              <w:t>Page 19 of 25 pages</w:t>
            </w:r>
          </w:p>
        </w:tc>
      </w:tr>
      <w:tr>
        <w:trPr>
          <w:trHeight w:val="42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3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64"/>
        </w:trPr>
        <w:tc>
          <w:tcPr>
            <w:tcW w:w="138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Borders>
              <w:right w:val="single" w:sz="8" w:color="auto"/>
            </w:tcBorders>
          </w:tcPr>
          <w:p>
            <w:pPr>
              <w:spacing w:after="0"/>
              <w:rPr>
                <w:sz w:val="22"/>
                <w:szCs w:val="22"/>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r>
      <w:tr>
        <w:trPr>
          <w:trHeight w:val="54"/>
        </w:trPr>
        <w:tc>
          <w:tcPr>
            <w:tcW w:w="12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50"/>
        </w:trPr>
        <w:tc>
          <w:tcPr>
            <w:tcW w:w="7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1</w:t>
            </w:r>
          </w:p>
        </w:tc>
        <w:tc>
          <w:tcPr>
            <w:tcW w:w="62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Joint Filing Agreement.</w:t>
            </w:r>
          </w:p>
        </w:tc>
        <w:tc>
          <w:tcPr>
            <w:tcW w:w="3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r>
      <w:tr>
        <w:trPr>
          <w:trHeight w:val="102"/>
        </w:trPr>
        <w:tc>
          <w:tcPr>
            <w:tcW w:w="120" w:type="dxa"/>
            <w:vAlign w:val="bottom"/>
            <w:tcBorders>
              <w:top w:val="single" w:sz="8" w:color="0000EE"/>
              <w:left w:val="single" w:sz="8" w:color="auto"/>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80" w:type="dxa"/>
            <w:vAlign w:val="bottom"/>
            <w:tcBorders>
              <w:top w:val="single" w:sz="8" w:color="0000EE"/>
              <w:bottom w:val="single" w:sz="8" w:color="auto"/>
            </w:tcBorders>
          </w:tcPr>
          <w:p>
            <w:pPr>
              <w:spacing w:after="0"/>
              <w:rPr>
                <w:sz w:val="8"/>
                <w:szCs w:val="8"/>
                <w:color w:val="auto"/>
              </w:rPr>
            </w:pPr>
          </w:p>
        </w:tc>
        <w:tc>
          <w:tcPr>
            <w:tcW w:w="320" w:type="dxa"/>
            <w:vAlign w:val="bottom"/>
            <w:tcBorders>
              <w:top w:val="single" w:sz="8" w:color="0000EE"/>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r>
      <w:tr>
        <w:trPr>
          <w:trHeight w:val="250"/>
        </w:trPr>
        <w:tc>
          <w:tcPr>
            <w:tcW w:w="120" w:type="dxa"/>
            <w:vAlign w:val="bottom"/>
            <w:tcBorders>
              <w:left w:val="single" w:sz="8" w:color="auto"/>
            </w:tcBorders>
          </w:tcPr>
          <w:p>
            <w:pPr>
              <w:ind w:left="20"/>
              <w:spacing w:after="0"/>
              <w:rPr>
                <w:rFonts w:ascii="Times New Roman" w:cs="Times New Roman" w:eastAsia="Times New Roman" w:hAnsi="Times New Roman"/>
                <w:sz w:val="18"/>
                <w:szCs w:val="18"/>
                <w:color w:val="0000EE"/>
                <w:w w:val="88"/>
              </w:rPr>
            </w:pPr>
            <w:hyperlink r:id="rId153">
              <w:r>
                <w:rPr>
                  <w:rFonts w:ascii="Times New Roman" w:cs="Times New Roman" w:eastAsia="Times New Roman" w:hAnsi="Times New Roman"/>
                  <w:sz w:val="18"/>
                  <w:szCs w:val="18"/>
                  <w:color w:val="0000EE"/>
                  <w:w w:val="88"/>
                </w:rPr>
                <w:t>2</w:t>
              </w:r>
            </w:hyperlink>
          </w:p>
        </w:tc>
        <w:tc>
          <w:tcPr>
            <w:tcW w:w="6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gridSpan w:val="11"/>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Agreement and Plan of Merger, dated February 7, 2024, among California Resources Corporation, a Delaware corporation, and the</w:t>
              </w:r>
            </w:hyperlink>
          </w:p>
        </w:tc>
      </w:tr>
      <w:tr>
        <w:trPr>
          <w:trHeight w:val="196"/>
        </w:trPr>
        <w:tc>
          <w:tcPr>
            <w:tcW w:w="120" w:type="dxa"/>
            <w:vAlign w:val="bottom"/>
            <w:tcBorders>
              <w:top w:val="single" w:sz="8" w:color="0000EE"/>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Members thereto (incorporated by reference to Exhibit 10.1 to the Issuer’s Current Report on Form 8-K filed with the SEC on</w:t>
              </w:r>
            </w:hyperlink>
          </w:p>
        </w:tc>
        <w:tc>
          <w:tcPr>
            <w:tcW w:w="320" w:type="dxa"/>
            <w:vAlign w:val="bottom"/>
            <w:tcBorders>
              <w:right w:val="single" w:sz="8" w:color="auto"/>
            </w:tcBorders>
            <w:gridSpan w:val="2"/>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February 9, 2024).</w:t>
              </w:r>
            </w:hyperlink>
          </w:p>
        </w:tc>
        <w:tc>
          <w:tcPr>
            <w:tcW w:w="37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80" w:type="dxa"/>
            <w:vAlign w:val="bottom"/>
            <w:tcBorders>
              <w:top w:val="single" w:sz="8" w:color="0000EE"/>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r>
      <w:tr>
        <w:trPr>
          <w:trHeight w:val="250"/>
        </w:trPr>
        <w:tc>
          <w:tcPr>
            <w:tcW w:w="120" w:type="dxa"/>
            <w:vAlign w:val="bottom"/>
            <w:tcBorders>
              <w:left w:val="single" w:sz="8" w:color="auto"/>
            </w:tcBorders>
          </w:tcPr>
          <w:p>
            <w:pPr>
              <w:ind w:left="20"/>
              <w:spacing w:after="0"/>
              <w:rPr>
                <w:rFonts w:ascii="Times New Roman" w:cs="Times New Roman" w:eastAsia="Times New Roman" w:hAnsi="Times New Roman"/>
                <w:sz w:val="18"/>
                <w:szCs w:val="18"/>
                <w:color w:val="0000EE"/>
                <w:w w:val="88"/>
              </w:rPr>
            </w:pPr>
            <w:hyperlink r:id="rId154">
              <w:r>
                <w:rPr>
                  <w:rFonts w:ascii="Times New Roman" w:cs="Times New Roman" w:eastAsia="Times New Roman" w:hAnsi="Times New Roman"/>
                  <w:sz w:val="18"/>
                  <w:szCs w:val="18"/>
                  <w:color w:val="0000EE"/>
                  <w:w w:val="88"/>
                </w:rPr>
                <w:t>3</w:t>
              </w:r>
            </w:hyperlink>
          </w:p>
        </w:tc>
        <w:tc>
          <w:tcPr>
            <w:tcW w:w="6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gridSpan w:val="11"/>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Registration Rights Agreement, by and between California Resources Corporation and the Sellers, dated as of July 1, 2024</w:t>
              </w:r>
            </w:hyperlink>
          </w:p>
        </w:tc>
      </w:tr>
      <w:tr>
        <w:trPr>
          <w:trHeight w:val="20"/>
        </w:trPr>
        <w:tc>
          <w:tcPr>
            <w:tcW w:w="120" w:type="dxa"/>
            <w:vAlign w:val="bottom"/>
            <w:tcBorders>
              <w:left w:val="single" w:sz="8" w:color="auto"/>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740" w:type="dxa"/>
            <w:vAlign w:val="bottom"/>
            <w:tcBorders>
              <w:right w:val="single" w:sz="8" w:color="auto"/>
            </w:tcBorders>
            <w:gridSpan w:val="11"/>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(incorporated by reference to Exhibit 10.1 to the Issuer’s Current Report on Form 8-K filed with the SEC on July 1, 2024).</w:t>
              </w:r>
            </w:hyperlink>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80" w:type="dxa"/>
            <w:vAlign w:val="bottom"/>
            <w:tcBorders>
              <w:top w:val="single" w:sz="8" w:color="0000EE"/>
              <w:bottom w:val="single" w:sz="8" w:color="auto"/>
            </w:tcBorders>
          </w:tcPr>
          <w:p>
            <w:pPr>
              <w:spacing w:after="0"/>
              <w:rPr>
                <w:sz w:val="8"/>
                <w:szCs w:val="8"/>
                <w:color w:val="auto"/>
              </w:rPr>
            </w:pPr>
          </w:p>
        </w:tc>
        <w:tc>
          <w:tcPr>
            <w:tcW w:w="320" w:type="dxa"/>
            <w:vAlign w:val="bottom"/>
            <w:tcBorders>
              <w:top w:val="single" w:sz="8" w:color="0000EE"/>
              <w:bottom w:val="single" w:sz="8" w:color="auto"/>
            </w:tcBorders>
          </w:tcPr>
          <w:p>
            <w:pPr>
              <w:spacing w:after="0"/>
              <w:rPr>
                <w:sz w:val="8"/>
                <w:szCs w:val="8"/>
                <w:color w:val="auto"/>
              </w:rPr>
            </w:pPr>
          </w:p>
        </w:tc>
        <w:tc>
          <w:tcPr>
            <w:tcW w:w="640" w:type="dxa"/>
            <w:vAlign w:val="bottom"/>
            <w:tcBorders>
              <w:top w:val="single" w:sz="8" w:color="0000EE"/>
              <w:bottom w:val="single" w:sz="8" w:color="auto"/>
            </w:tcBorders>
          </w:tcPr>
          <w:p>
            <w:pPr>
              <w:spacing w:after="0"/>
              <w:rPr>
                <w:sz w:val="8"/>
                <w:szCs w:val="8"/>
                <w:color w:val="auto"/>
              </w:rPr>
            </w:pPr>
          </w:p>
        </w:tc>
        <w:tc>
          <w:tcPr>
            <w:tcW w:w="3700" w:type="dxa"/>
            <w:vAlign w:val="bottom"/>
            <w:tcBorders>
              <w:top w:val="single" w:sz="8" w:color="0000EE"/>
              <w:bottom w:val="single" w:sz="8" w:color="auto"/>
            </w:tcBorders>
          </w:tcPr>
          <w:p>
            <w:pPr>
              <w:spacing w:after="0"/>
              <w:rPr>
                <w:sz w:val="8"/>
                <w:szCs w:val="8"/>
                <w:color w:val="auto"/>
              </w:rPr>
            </w:pPr>
          </w:p>
        </w:tc>
        <w:tc>
          <w:tcPr>
            <w:tcW w:w="1600" w:type="dxa"/>
            <w:vAlign w:val="bottom"/>
            <w:tcBorders>
              <w:top w:val="single" w:sz="8" w:color="0000EE"/>
              <w:bottom w:val="single" w:sz="8" w:color="auto"/>
            </w:tcBorders>
          </w:tcPr>
          <w:p>
            <w:pPr>
              <w:spacing w:after="0"/>
              <w:rPr>
                <w:sz w:val="8"/>
                <w:szCs w:val="8"/>
                <w:color w:val="auto"/>
              </w:rPr>
            </w:pPr>
          </w:p>
        </w:tc>
        <w:tc>
          <w:tcPr>
            <w:tcW w:w="118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r>
      <w:tr>
        <w:trPr>
          <w:trHeight w:val="250"/>
        </w:trPr>
        <w:tc>
          <w:tcPr>
            <w:tcW w:w="760" w:type="dxa"/>
            <w:vAlign w:val="bottom"/>
            <w:tcBorders>
              <w:left w:val="single" w:sz="8" w:color="auto"/>
            </w:tcBorders>
            <w:gridSpan w:val="2"/>
          </w:tcPr>
          <w:p>
            <w:pPr>
              <w:ind w:left="20"/>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4</w:t>
              </w:r>
            </w:hyperlink>
          </w:p>
        </w:tc>
        <w:tc>
          <w:tcPr>
            <w:tcW w:w="62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gridSpan w:val="11"/>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Stockholder Agreement, by and between California Resources Corporation and IKAV Seller, dated as of July 1, 2024 (incorporated by</w:t>
              </w:r>
            </w:hyperlink>
          </w:p>
        </w:tc>
      </w:tr>
      <w:tr>
        <w:trPr>
          <w:trHeight w:val="196"/>
        </w:trPr>
        <w:tc>
          <w:tcPr>
            <w:tcW w:w="120" w:type="dxa"/>
            <w:vAlign w:val="bottom"/>
            <w:tcBorders>
              <w:top w:val="single" w:sz="8" w:color="0000EE"/>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6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reference to Exhibit 10.2 to the Issuer’s Current Report on Form 8-K filed with the SEC on July 1, 2024).</w:t>
              </w:r>
            </w:hyperlink>
          </w:p>
        </w:tc>
        <w:tc>
          <w:tcPr>
            <w:tcW w:w="1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r>
      <w:tr>
        <w:trPr>
          <w:trHeight w:val="668"/>
        </w:trPr>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20 of 25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July 9,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Megan Ebadat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Megan Ebadat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Energy Holdings LLC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SIMLOG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Megan Ebadat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Megan Ebadat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21 of 25 pages</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Simlog S.à r.l.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IKAV SICAV FIS SCA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IKAV General Partner S.à r.l., its general partner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General Partner S.à r.l.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Institut für Kapitalanlagen und Vesicherungslösungen GmbH</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Evelin Foelster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Evelin Foelster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22 of 25 pages</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Impact S.à r.l.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Energy Spain, S.L.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Constantin von Wasserschleben</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23 of 25 pages</w:t>
            </w: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July 9,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Megan Ebadat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Megan Ebadat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Energy Holdings LLC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24 of 25 pages</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SIMLOG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Megan Ebadat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Megan Ebadat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Simlog S.à r.l.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31F20"/>
        </w:rPr>
        <w:t>IKAV SICAV FIS SCA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IKAV General Partner S.à r.l., its general partner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General Partner S.à r.l.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13057Q305</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25 of 25 pages</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Institut für Kapitalanlagen und Vesicherungslösungen GmbH</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Evelin Foelster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Evelin Foelster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Impact S.à r.l.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Gregor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 Gruber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Marco Hoopmann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Marco Hoopmann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IKAV Energy Spain, S.L.</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Constantin von Wasserschleben</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bullet"/>
      <w:start w:val="1"/>
    </w:lvl>
  </w:abstractNum>
  <w:abstractNum w:abstractNumId="2">
    <w:nsid w:val="6A2342EC"/>
    <w:multiLevelType w:val="hybridMultilevel"/>
    <w:lvl w:ilvl="0">
      <w:lvlJc w:val="left"/>
      <w:lvlText w:val="3"/>
      <w:numFmt w:val="bullet"/>
      <w:start w:val="1"/>
    </w:lvl>
  </w:abstractNum>
  <w:abstractNum w:abstractNumId="3">
    <w:nsid w:val="2A487CB0"/>
    <w:multiLevelType w:val="hybridMultilevel"/>
    <w:lvl w:ilvl="0">
      <w:lvlJc w:val="left"/>
      <w:lvlText w:val="4"/>
      <w:numFmt w:val="bullet"/>
      <w:start w:val="1"/>
    </w:lvl>
  </w:abstractNum>
  <w:abstractNum w:abstractNumId="4">
    <w:nsid w:val="1D4ED43B"/>
    <w:multiLevelType w:val="hybridMultilevel"/>
    <w:lvl w:ilvl="0">
      <w:lvlJc w:val="left"/>
      <w:lvlText w:val="5"/>
      <w:numFmt w:val="bullet"/>
      <w:start w:val="1"/>
    </w:lvl>
  </w:abstractNum>
  <w:abstractNum w:abstractNumId="5">
    <w:nsid w:val="725A06FB"/>
    <w:multiLevelType w:val="hybridMultilevel"/>
    <w:lvl w:ilvl="0">
      <w:lvlJc w:val="left"/>
      <w:lvlText w:val="6"/>
      <w:numFmt w:val="bullet"/>
      <w:start w:val="1"/>
    </w:lvl>
  </w:abstractNum>
  <w:abstractNum w:abstractNumId="6">
    <w:nsid w:val="2CD89A32"/>
    <w:multiLevelType w:val="hybridMultilevel"/>
    <w:lvl w:ilvl="0">
      <w:lvlJc w:val="left"/>
      <w:lvlText w:val="7"/>
      <w:numFmt w:val="bullet"/>
      <w:start w:val="1"/>
    </w:lvl>
  </w:abstractNum>
  <w:abstractNum w:abstractNumId="7">
    <w:nsid w:val="57E4CCAF"/>
    <w:multiLevelType w:val="hybridMultilevel"/>
    <w:lvl w:ilvl="0">
      <w:lvlJc w:val="left"/>
      <w:lvlText w:val="%1"/>
      <w:numFmt w:val="decimal"/>
      <w:start w:val="11"/>
    </w:lvl>
  </w:abstractNum>
  <w:abstractNum w:abstractNumId="8">
    <w:nsid w:val="7A6D8D3C"/>
    <w:multiLevelType w:val="hybridMultilevel"/>
    <w:lvl w:ilvl="0">
      <w:lvlJc w:val="left"/>
      <w:lvlText w:val="1"/>
      <w:numFmt w:val="bullet"/>
      <w:start w:val="1"/>
    </w:lvl>
  </w:abstractNum>
  <w:abstractNum w:abstractNumId="9">
    <w:nsid w:val="4B588F54"/>
    <w:multiLevelType w:val="hybridMultilevel"/>
    <w:lvl w:ilvl="0">
      <w:lvlJc w:val="left"/>
      <w:lvlText w:val="3"/>
      <w:numFmt w:val="bullet"/>
      <w:start w:val="1"/>
    </w:lvl>
  </w:abstractNum>
  <w:abstractNum w:abstractNumId="10">
    <w:nsid w:val="542289EC"/>
    <w:multiLevelType w:val="hybridMultilevel"/>
    <w:lvl w:ilvl="0">
      <w:lvlJc w:val="left"/>
      <w:lvlText w:val="4"/>
      <w:numFmt w:val="bullet"/>
      <w:start w:val="1"/>
    </w:lvl>
  </w:abstractNum>
  <w:abstractNum w:abstractNumId="11">
    <w:nsid w:val="6DE91B18"/>
    <w:multiLevelType w:val="hybridMultilevel"/>
    <w:lvl w:ilvl="0">
      <w:lvlJc w:val="left"/>
      <w:lvlText w:val="5"/>
      <w:numFmt w:val="bullet"/>
      <w:start w:val="1"/>
    </w:lvl>
  </w:abstractNum>
  <w:abstractNum w:abstractNumId="12">
    <w:nsid w:val="38437FDB"/>
    <w:multiLevelType w:val="hybridMultilevel"/>
    <w:lvl w:ilvl="0">
      <w:lvlJc w:val="left"/>
      <w:lvlText w:val="6"/>
      <w:numFmt w:val="bullet"/>
      <w:start w:val="1"/>
    </w:lvl>
  </w:abstractNum>
  <w:abstractNum w:abstractNumId="13">
    <w:nsid w:val="7644A45C"/>
    <w:multiLevelType w:val="hybridMultilevel"/>
    <w:lvl w:ilvl="0">
      <w:lvlJc w:val="left"/>
      <w:lvlText w:val="7"/>
      <w:numFmt w:val="bullet"/>
      <w:start w:val="1"/>
    </w:lvl>
  </w:abstractNum>
  <w:abstractNum w:abstractNumId="14">
    <w:nsid w:val="32FFF902"/>
    <w:multiLevelType w:val="hybridMultilevel"/>
    <w:lvl w:ilvl="0">
      <w:lvlJc w:val="left"/>
      <w:lvlText w:val="%1"/>
      <w:numFmt w:val="decimal"/>
      <w:start w:val="11"/>
    </w:lvl>
  </w:abstractNum>
  <w:abstractNum w:abstractNumId="15">
    <w:nsid w:val="684A481A"/>
    <w:multiLevelType w:val="hybridMultilevel"/>
    <w:lvl w:ilvl="0">
      <w:lvlJc w:val="left"/>
      <w:lvlText w:val="1"/>
      <w:numFmt w:val="bullet"/>
      <w:start w:val="1"/>
    </w:lvl>
  </w:abstractNum>
  <w:abstractNum w:abstractNumId="16">
    <w:nsid w:val="579478FE"/>
    <w:multiLevelType w:val="hybridMultilevel"/>
    <w:lvl w:ilvl="0">
      <w:lvlJc w:val="left"/>
      <w:lvlText w:val="3"/>
      <w:numFmt w:val="bullet"/>
      <w:start w:val="1"/>
    </w:lvl>
  </w:abstractNum>
  <w:abstractNum w:abstractNumId="17">
    <w:nsid w:val="749ABB43"/>
    <w:multiLevelType w:val="hybridMultilevel"/>
    <w:lvl w:ilvl="0">
      <w:lvlJc w:val="left"/>
      <w:lvlText w:val="4"/>
      <w:numFmt w:val="bullet"/>
      <w:start w:val="1"/>
    </w:lvl>
  </w:abstractNum>
  <w:abstractNum w:abstractNumId="18">
    <w:nsid w:val="3DC240FB"/>
    <w:multiLevelType w:val="hybridMultilevel"/>
    <w:lvl w:ilvl="0">
      <w:lvlJc w:val="left"/>
      <w:lvlText w:val="5"/>
      <w:numFmt w:val="bullet"/>
      <w:start w:val="1"/>
    </w:lvl>
  </w:abstractNum>
  <w:abstractNum w:abstractNumId="19">
    <w:nsid w:val="1BA026FA"/>
    <w:multiLevelType w:val="hybridMultilevel"/>
    <w:lvl w:ilvl="0">
      <w:lvlJc w:val="left"/>
      <w:lvlText w:val="6"/>
      <w:numFmt w:val="bullet"/>
      <w:start w:val="1"/>
    </w:lvl>
  </w:abstractNum>
  <w:abstractNum w:abstractNumId="20">
    <w:nsid w:val="79A1DEAA"/>
    <w:multiLevelType w:val="hybridMultilevel"/>
    <w:lvl w:ilvl="0">
      <w:lvlJc w:val="left"/>
      <w:lvlText w:val="7"/>
      <w:numFmt w:val="bullet"/>
      <w:start w:val="1"/>
    </w:lvl>
  </w:abstractNum>
  <w:abstractNum w:abstractNumId="21">
    <w:nsid w:val="75C6C33A"/>
    <w:multiLevelType w:val="hybridMultilevel"/>
    <w:lvl w:ilvl="0">
      <w:lvlJc w:val="left"/>
      <w:lvlText w:val="%1"/>
      <w:numFmt w:val="decimal"/>
      <w:start w:val="11"/>
    </w:lvl>
  </w:abstractNum>
  <w:abstractNum w:abstractNumId="22">
    <w:nsid w:val="12E685FB"/>
    <w:multiLevelType w:val="hybridMultilevel"/>
    <w:lvl w:ilvl="0">
      <w:lvlJc w:val="left"/>
      <w:lvlText w:val="1"/>
      <w:numFmt w:val="bullet"/>
      <w:start w:val="1"/>
    </w:lvl>
  </w:abstractNum>
  <w:abstractNum w:abstractNumId="23">
    <w:nsid w:val="70C6A529"/>
    <w:multiLevelType w:val="hybridMultilevel"/>
    <w:lvl w:ilvl="0">
      <w:lvlJc w:val="left"/>
      <w:lvlText w:val="3"/>
      <w:numFmt w:val="bullet"/>
      <w:start w:val="1"/>
    </w:lvl>
  </w:abstractNum>
  <w:abstractNum w:abstractNumId="24">
    <w:nsid w:val="520EEDD1"/>
    <w:multiLevelType w:val="hybridMultilevel"/>
    <w:lvl w:ilvl="0">
      <w:lvlJc w:val="left"/>
      <w:lvlText w:val="4"/>
      <w:numFmt w:val="bullet"/>
      <w:start w:val="1"/>
    </w:lvl>
  </w:abstractNum>
  <w:abstractNum w:abstractNumId="25">
    <w:nsid w:val="374A3FE6"/>
    <w:multiLevelType w:val="hybridMultilevel"/>
    <w:lvl w:ilvl="0">
      <w:lvlJc w:val="left"/>
      <w:lvlText w:val="5"/>
      <w:numFmt w:val="bullet"/>
      <w:start w:val="1"/>
    </w:lvl>
  </w:abstractNum>
  <w:abstractNum w:abstractNumId="26">
    <w:nsid w:val="4F4EF005"/>
    <w:multiLevelType w:val="hybridMultilevel"/>
    <w:lvl w:ilvl="0">
      <w:lvlJc w:val="left"/>
      <w:lvlText w:val="6"/>
      <w:numFmt w:val="bullet"/>
      <w:start w:val="1"/>
    </w:lvl>
  </w:abstractNum>
  <w:abstractNum w:abstractNumId="27">
    <w:nsid w:val="23F9C13C"/>
    <w:multiLevelType w:val="hybridMultilevel"/>
    <w:lvl w:ilvl="0">
      <w:lvlJc w:val="left"/>
      <w:lvlText w:val="7"/>
      <w:numFmt w:val="bullet"/>
      <w:start w:val="1"/>
    </w:lvl>
  </w:abstractNum>
  <w:abstractNum w:abstractNumId="28">
    <w:nsid w:val="649BB77C"/>
    <w:multiLevelType w:val="hybridMultilevel"/>
    <w:lvl w:ilvl="0">
      <w:lvlJc w:val="left"/>
      <w:lvlText w:val="%1"/>
      <w:numFmt w:val="decimal"/>
      <w:start w:val="11"/>
    </w:lvl>
  </w:abstractNum>
  <w:abstractNum w:abstractNumId="29">
    <w:nsid w:val="275AC794"/>
    <w:multiLevelType w:val="hybridMultilevel"/>
    <w:lvl w:ilvl="0">
      <w:lvlJc w:val="left"/>
      <w:lvlText w:val="1"/>
      <w:numFmt w:val="bullet"/>
      <w:start w:val="1"/>
    </w:lvl>
  </w:abstractNum>
  <w:abstractNum w:abstractNumId="30">
    <w:nsid w:val="39386575"/>
    <w:multiLevelType w:val="hybridMultilevel"/>
    <w:lvl w:ilvl="0">
      <w:lvlJc w:val="left"/>
      <w:lvlText w:val="3"/>
      <w:numFmt w:val="bullet"/>
      <w:start w:val="1"/>
    </w:lvl>
  </w:abstractNum>
  <w:abstractNum w:abstractNumId="31">
    <w:nsid w:val="1CF10FD8"/>
    <w:multiLevelType w:val="hybridMultilevel"/>
    <w:lvl w:ilvl="0">
      <w:lvlJc w:val="left"/>
      <w:lvlText w:val="4"/>
      <w:numFmt w:val="bullet"/>
      <w:start w:val="1"/>
    </w:lvl>
  </w:abstractNum>
  <w:abstractNum w:abstractNumId="32">
    <w:nsid w:val="180115BE"/>
    <w:multiLevelType w:val="hybridMultilevel"/>
    <w:lvl w:ilvl="0">
      <w:lvlJc w:val="left"/>
      <w:lvlText w:val="5"/>
      <w:numFmt w:val="bullet"/>
      <w:start w:val="1"/>
    </w:lvl>
  </w:abstractNum>
  <w:abstractNum w:abstractNumId="33">
    <w:nsid w:val="235BA861"/>
    <w:multiLevelType w:val="hybridMultilevel"/>
    <w:lvl w:ilvl="0">
      <w:lvlJc w:val="left"/>
      <w:lvlText w:val="6"/>
      <w:numFmt w:val="bullet"/>
      <w:start w:val="1"/>
    </w:lvl>
  </w:abstractNum>
  <w:abstractNum w:abstractNumId="34">
    <w:nsid w:val="47398C89"/>
    <w:multiLevelType w:val="hybridMultilevel"/>
    <w:lvl w:ilvl="0">
      <w:lvlJc w:val="left"/>
      <w:lvlText w:val="7"/>
      <w:numFmt w:val="bullet"/>
      <w:start w:val="1"/>
    </w:lvl>
  </w:abstractNum>
  <w:abstractNum w:abstractNumId="35">
    <w:nsid w:val="354FE9F9"/>
    <w:multiLevelType w:val="hybridMultilevel"/>
    <w:lvl w:ilvl="0">
      <w:lvlJc w:val="left"/>
      <w:lvlText w:val="%1"/>
      <w:numFmt w:val="decimal"/>
      <w:start w:val="11"/>
    </w:lvl>
  </w:abstractNum>
  <w:abstractNum w:abstractNumId="36">
    <w:nsid w:val="15B5AF5C"/>
    <w:multiLevelType w:val="hybridMultilevel"/>
    <w:lvl w:ilvl="0">
      <w:lvlJc w:val="left"/>
      <w:lvlText w:val="1"/>
      <w:numFmt w:val="bullet"/>
      <w:start w:val="1"/>
    </w:lvl>
  </w:abstractNum>
  <w:abstractNum w:abstractNumId="37">
    <w:nsid w:val="741226BB"/>
    <w:multiLevelType w:val="hybridMultilevel"/>
    <w:lvl w:ilvl="0">
      <w:lvlJc w:val="left"/>
      <w:lvlText w:val="3"/>
      <w:numFmt w:val="bullet"/>
      <w:start w:val="1"/>
    </w:lvl>
  </w:abstractNum>
  <w:abstractNum w:abstractNumId="38">
    <w:nsid w:val="D34B6A8"/>
    <w:multiLevelType w:val="hybridMultilevel"/>
    <w:lvl w:ilvl="0">
      <w:lvlJc w:val="left"/>
      <w:lvlText w:val="4"/>
      <w:numFmt w:val="bullet"/>
      <w:start w:val="1"/>
    </w:lvl>
  </w:abstractNum>
  <w:abstractNum w:abstractNumId="39">
    <w:nsid w:val="10233C99"/>
    <w:multiLevelType w:val="hybridMultilevel"/>
    <w:lvl w:ilvl="0">
      <w:lvlJc w:val="left"/>
      <w:lvlText w:val="5"/>
      <w:numFmt w:val="bullet"/>
      <w:start w:val="1"/>
    </w:lvl>
  </w:abstractNum>
  <w:abstractNum w:abstractNumId="40">
    <w:nsid w:val="3F6AB60F"/>
    <w:multiLevelType w:val="hybridMultilevel"/>
    <w:lvl w:ilvl="0">
      <w:lvlJc w:val="left"/>
      <w:lvlText w:val="6"/>
      <w:numFmt w:val="bullet"/>
      <w:start w:val="1"/>
    </w:lvl>
  </w:abstractNum>
  <w:abstractNum w:abstractNumId="41">
    <w:nsid w:val="61574095"/>
    <w:multiLevelType w:val="hybridMultilevel"/>
    <w:lvl w:ilvl="0">
      <w:lvlJc w:val="left"/>
      <w:lvlText w:val="7"/>
      <w:numFmt w:val="bullet"/>
      <w:start w:val="1"/>
    </w:lvl>
  </w:abstractNum>
  <w:abstractNum w:abstractNumId="42">
    <w:nsid w:val="7E0C57B1"/>
    <w:multiLevelType w:val="hybridMultilevel"/>
    <w:lvl w:ilvl="0">
      <w:lvlJc w:val="left"/>
      <w:lvlText w:val="%1"/>
      <w:numFmt w:val="decimal"/>
      <w:start w:val="11"/>
    </w:lvl>
  </w:abstractNum>
  <w:abstractNum w:abstractNumId="43">
    <w:nsid w:val="77AE35EB"/>
    <w:multiLevelType w:val="hybridMultilevel"/>
    <w:lvl w:ilvl="0">
      <w:lvlJc w:val="left"/>
      <w:lvlText w:val="1"/>
      <w:numFmt w:val="bullet"/>
      <w:start w:val="1"/>
    </w:lvl>
  </w:abstractNum>
  <w:abstractNum w:abstractNumId="44">
    <w:nsid w:val="579BE4F1"/>
    <w:multiLevelType w:val="hybridMultilevel"/>
    <w:lvl w:ilvl="0">
      <w:lvlJc w:val="left"/>
      <w:lvlText w:val="3"/>
      <w:numFmt w:val="bullet"/>
      <w:start w:val="1"/>
    </w:lvl>
  </w:abstractNum>
  <w:abstractNum w:abstractNumId="45">
    <w:nsid w:val="310C50B3"/>
    <w:multiLevelType w:val="hybridMultilevel"/>
    <w:lvl w:ilvl="0">
      <w:lvlJc w:val="left"/>
      <w:lvlText w:val="4"/>
      <w:numFmt w:val="bullet"/>
      <w:start w:val="1"/>
    </w:lvl>
  </w:abstractNum>
  <w:abstractNum w:abstractNumId="46">
    <w:nsid w:val="5FF87E05"/>
    <w:multiLevelType w:val="hybridMultilevel"/>
    <w:lvl w:ilvl="0">
      <w:lvlJc w:val="left"/>
      <w:lvlText w:val="5"/>
      <w:numFmt w:val="bullet"/>
      <w:start w:val="1"/>
    </w:lvl>
  </w:abstractNum>
  <w:abstractNum w:abstractNumId="47">
    <w:nsid w:val="2F305DEF"/>
    <w:multiLevelType w:val="hybridMultilevel"/>
    <w:lvl w:ilvl="0">
      <w:lvlJc w:val="left"/>
      <w:lvlText w:val="6"/>
      <w:numFmt w:val="bullet"/>
      <w:start w:val="1"/>
    </w:lvl>
  </w:abstractNum>
  <w:abstractNum w:abstractNumId="48">
    <w:nsid w:val="25A70BF7"/>
    <w:multiLevelType w:val="hybridMultilevel"/>
    <w:lvl w:ilvl="0">
      <w:lvlJc w:val="left"/>
      <w:lvlText w:val="7"/>
      <w:numFmt w:val="bullet"/>
      <w:start w:val="1"/>
    </w:lvl>
  </w:abstractNum>
  <w:abstractNum w:abstractNumId="49">
    <w:nsid w:val="1DBABF00"/>
    <w:multiLevelType w:val="hybridMultilevel"/>
    <w:lvl w:ilvl="0">
      <w:lvlJc w:val="left"/>
      <w:lvlText w:val="%1"/>
      <w:numFmt w:val="decimal"/>
      <w:start w:val="11"/>
    </w:lvl>
  </w:abstractNum>
  <w:abstractNum w:abstractNumId="50">
    <w:nsid w:val="4AD084E9"/>
    <w:multiLevelType w:val="hybridMultilevel"/>
    <w:lvl w:ilvl="0">
      <w:lvlJc w:val="left"/>
      <w:lvlText w:val="1"/>
      <w:numFmt w:val="bullet"/>
      <w:start w:val="1"/>
    </w:lvl>
  </w:abstractNum>
  <w:abstractNum w:abstractNumId="51">
    <w:nsid w:val="1F48EAA1"/>
    <w:multiLevelType w:val="hybridMultilevel"/>
    <w:lvl w:ilvl="0">
      <w:lvlJc w:val="left"/>
      <w:lvlText w:val="3"/>
      <w:numFmt w:val="bullet"/>
      <w:start w:val="1"/>
    </w:lvl>
  </w:abstractNum>
  <w:abstractNum w:abstractNumId="52">
    <w:nsid w:val="1381823A"/>
    <w:multiLevelType w:val="hybridMultilevel"/>
    <w:lvl w:ilvl="0">
      <w:lvlJc w:val="left"/>
      <w:lvlText w:val="4"/>
      <w:numFmt w:val="bullet"/>
      <w:start w:val="1"/>
    </w:lvl>
  </w:abstractNum>
  <w:abstractNum w:abstractNumId="53">
    <w:nsid w:val="5DB70AE5"/>
    <w:multiLevelType w:val="hybridMultilevel"/>
    <w:lvl w:ilvl="0">
      <w:lvlJc w:val="left"/>
      <w:lvlText w:val="5"/>
      <w:numFmt w:val="bullet"/>
      <w:start w:val="1"/>
    </w:lvl>
  </w:abstractNum>
  <w:abstractNum w:abstractNumId="54">
    <w:nsid w:val="100F8FCA"/>
    <w:multiLevelType w:val="hybridMultilevel"/>
    <w:lvl w:ilvl="0">
      <w:lvlJc w:val="left"/>
      <w:lvlText w:val="6"/>
      <w:numFmt w:val="bullet"/>
      <w:start w:val="1"/>
    </w:lvl>
  </w:abstractNum>
  <w:abstractNum w:abstractNumId="55">
    <w:nsid w:val="6590700B"/>
    <w:multiLevelType w:val="hybridMultilevel"/>
    <w:lvl w:ilvl="0">
      <w:lvlJc w:val="left"/>
      <w:lvlText w:val="7"/>
      <w:numFmt w:val="bullet"/>
      <w:start w:val="1"/>
    </w:lvl>
  </w:abstractNum>
  <w:abstractNum w:abstractNumId="56">
    <w:nsid w:val="15014ACB"/>
    <w:multiLevelType w:val="hybridMultilevel"/>
    <w:lvl w:ilvl="0">
      <w:lvlJc w:val="left"/>
      <w:lvlText w:val="%1"/>
      <w:numFmt w:val="decimal"/>
      <w:start w:val="11"/>
    </w:lvl>
  </w:abstractNum>
  <w:abstractNum w:abstractNumId="57">
    <w:nsid w:val="5F5E7FD0"/>
    <w:multiLevelType w:val="hybridMultilevel"/>
    <w:lvl w:ilvl="0">
      <w:lvlJc w:val="left"/>
      <w:lvlText w:val="1"/>
      <w:numFmt w:val="bullet"/>
      <w:start w:val="1"/>
    </w:lvl>
  </w:abstractNum>
  <w:abstractNum w:abstractNumId="58">
    <w:nsid w:val="98A3148"/>
    <w:multiLevelType w:val="hybridMultilevel"/>
    <w:lvl w:ilvl="0">
      <w:lvlJc w:val="left"/>
      <w:lvlText w:val="3"/>
      <w:numFmt w:val="bullet"/>
      <w:start w:val="1"/>
    </w:lvl>
  </w:abstractNum>
  <w:abstractNum w:abstractNumId="59">
    <w:nsid w:val="799D0247"/>
    <w:multiLevelType w:val="hybridMultilevel"/>
    <w:lvl w:ilvl="0">
      <w:lvlJc w:val="left"/>
      <w:lvlText w:val="4"/>
      <w:numFmt w:val="bullet"/>
      <w:start w:val="1"/>
    </w:lvl>
  </w:abstractNum>
  <w:abstractNum w:abstractNumId="60">
    <w:nsid w:val="6B94764"/>
    <w:multiLevelType w:val="hybridMultilevel"/>
    <w:lvl w:ilvl="0">
      <w:lvlJc w:val="left"/>
      <w:lvlText w:val="5"/>
      <w:numFmt w:val="bullet"/>
      <w:start w:val="1"/>
    </w:lvl>
  </w:abstractNum>
  <w:abstractNum w:abstractNumId="61">
    <w:nsid w:val="42C296BD"/>
    <w:multiLevelType w:val="hybridMultilevel"/>
    <w:lvl w:ilvl="0">
      <w:lvlJc w:val="left"/>
      <w:lvlText w:val="6"/>
      <w:numFmt w:val="bullet"/>
      <w:start w:val="1"/>
    </w:lvl>
  </w:abstractNum>
  <w:abstractNum w:abstractNumId="62">
    <w:nsid w:val="168E121F"/>
    <w:multiLevelType w:val="hybridMultilevel"/>
    <w:lvl w:ilvl="0">
      <w:lvlJc w:val="left"/>
      <w:lvlText w:val="7"/>
      <w:numFmt w:val="bullet"/>
      <w:start w:val="1"/>
    </w:lvl>
  </w:abstractNum>
  <w:abstractNum w:abstractNumId="63">
    <w:nsid w:val="1EBA5D23"/>
    <w:multiLevelType w:val="hybridMultilevel"/>
    <w:lvl w:ilvl="0">
      <w:lvlJc w:val="left"/>
      <w:lvlText w:val="%1"/>
      <w:numFmt w:val="decimal"/>
      <w:start w:val="11"/>
    </w:lvl>
  </w:abstractNum>
  <w:abstractNum w:abstractNumId="64">
    <w:nsid w:val="661E3F1E"/>
    <w:multiLevelType w:val="hybridMultilevel"/>
    <w:lvl w:ilvl="0">
      <w:lvlJc w:val="left"/>
      <w:lvlText w:val="1"/>
      <w:numFmt w:val="bullet"/>
      <w:start w:val="1"/>
    </w:lvl>
  </w:abstractNum>
  <w:abstractNum w:abstractNumId="65">
    <w:nsid w:val="5DC79EA8"/>
    <w:multiLevelType w:val="hybridMultilevel"/>
    <w:lvl w:ilvl="0">
      <w:lvlJc w:val="left"/>
      <w:lvlText w:val="3"/>
      <w:numFmt w:val="bullet"/>
      <w:start w:val="1"/>
    </w:lvl>
  </w:abstractNum>
  <w:abstractNum w:abstractNumId="66">
    <w:nsid w:val="540A471C"/>
    <w:multiLevelType w:val="hybridMultilevel"/>
    <w:lvl w:ilvl="0">
      <w:lvlJc w:val="left"/>
      <w:lvlText w:val="4"/>
      <w:numFmt w:val="bullet"/>
      <w:start w:val="1"/>
    </w:lvl>
  </w:abstractNum>
  <w:abstractNum w:abstractNumId="67">
    <w:nsid w:val="7BD3EE7B"/>
    <w:multiLevelType w:val="hybridMultilevel"/>
    <w:lvl w:ilvl="0">
      <w:lvlJc w:val="left"/>
      <w:lvlText w:val="5"/>
      <w:numFmt w:val="bullet"/>
      <w:start w:val="1"/>
    </w:lvl>
  </w:abstractNum>
  <w:abstractNum w:abstractNumId="68">
    <w:nsid w:val="51D9C564"/>
    <w:multiLevelType w:val="hybridMultilevel"/>
    <w:lvl w:ilvl="0">
      <w:lvlJc w:val="left"/>
      <w:lvlText w:val="6"/>
      <w:numFmt w:val="bullet"/>
      <w:start w:val="1"/>
    </w:lvl>
  </w:abstractNum>
  <w:abstractNum w:abstractNumId="69">
    <w:nsid w:val="613EFDC5"/>
    <w:multiLevelType w:val="hybridMultilevel"/>
    <w:lvl w:ilvl="0">
      <w:lvlJc w:val="left"/>
      <w:lvlText w:val="7"/>
      <w:numFmt w:val="bullet"/>
      <w:start w:val="1"/>
    </w:lvl>
  </w:abstractNum>
  <w:abstractNum w:abstractNumId="70">
    <w:nsid w:val="BF72B14"/>
    <w:multiLevelType w:val="hybridMultilevel"/>
    <w:lvl w:ilvl="0">
      <w:lvlJc w:val="left"/>
      <w:lvlText w:val="%1"/>
      <w:numFmt w:val="decimal"/>
      <w:start w:val="11"/>
    </w:lvl>
  </w:abstractNum>
  <w:abstractNum w:abstractNumId="71">
    <w:nsid w:val="11447B73"/>
    <w:multiLevelType w:val="hybridMultilevel"/>
    <w:lvl w:ilvl="0">
      <w:lvlJc w:val="left"/>
      <w:lvlText w:val="1"/>
      <w:numFmt w:val="bullet"/>
      <w:start w:val="1"/>
    </w:lvl>
  </w:abstractNum>
  <w:abstractNum w:abstractNumId="72">
    <w:nsid w:val="42963E5A"/>
    <w:multiLevelType w:val="hybridMultilevel"/>
    <w:lvl w:ilvl="0">
      <w:lvlJc w:val="left"/>
      <w:lvlText w:val="3"/>
      <w:numFmt w:val="bullet"/>
      <w:start w:val="1"/>
    </w:lvl>
  </w:abstractNum>
  <w:abstractNum w:abstractNumId="73">
    <w:nsid w:val="A0382C5"/>
    <w:multiLevelType w:val="hybridMultilevel"/>
    <w:lvl w:ilvl="0">
      <w:lvlJc w:val="left"/>
      <w:lvlText w:val="4"/>
      <w:numFmt w:val="bullet"/>
      <w:start w:val="1"/>
    </w:lvl>
  </w:abstractNum>
  <w:abstractNum w:abstractNumId="74">
    <w:nsid w:val="8F2B15E"/>
    <w:multiLevelType w:val="hybridMultilevel"/>
    <w:lvl w:ilvl="0">
      <w:lvlJc w:val="left"/>
      <w:lvlText w:val="5"/>
      <w:numFmt w:val="bullet"/>
      <w:start w:val="1"/>
    </w:lvl>
  </w:abstractNum>
  <w:abstractNum w:abstractNumId="75">
    <w:nsid w:val="1A32234B"/>
    <w:multiLevelType w:val="hybridMultilevel"/>
    <w:lvl w:ilvl="0">
      <w:lvlJc w:val="left"/>
      <w:lvlText w:val="6"/>
      <w:numFmt w:val="bullet"/>
      <w:start w:val="1"/>
    </w:lvl>
  </w:abstractNum>
  <w:abstractNum w:abstractNumId="76">
    <w:nsid w:val="3B0FD379"/>
    <w:multiLevelType w:val="hybridMultilevel"/>
    <w:lvl w:ilvl="0">
      <w:lvlJc w:val="left"/>
      <w:lvlText w:val="7"/>
      <w:numFmt w:val="bullet"/>
      <w:start w:val="1"/>
    </w:lvl>
  </w:abstractNum>
  <w:abstractNum w:abstractNumId="77">
    <w:nsid w:val="68EB2F63"/>
    <w:multiLevelType w:val="hybridMultilevel"/>
    <w:lvl w:ilvl="0">
      <w:lvlJc w:val="left"/>
      <w:lvlText w:val="%1"/>
      <w:numFmt w:val="decimal"/>
      <w:start w:val="1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3"/>
    </w:lvl>
  </w:abstractNum>
  <w:abstractNum w:abstractNumId="81">
    <w:nsid w:val="1433062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53" Type="http://schemas.openxmlformats.org/officeDocument/2006/relationships/hyperlink" Target="https://www.sec.gov/Archives/edgar/data/1609253/000160925324000020/a20240207exhibit101.htm" TargetMode="External"/><Relationship Id="rId154" Type="http://schemas.openxmlformats.org/officeDocument/2006/relationships/hyperlink" Target="https://www.sec.gov/Archives/edgar/data/1609253/000119312524173343/d845209dex101.htm" TargetMode="External"/><Relationship Id="rId155" Type="http://schemas.openxmlformats.org/officeDocument/2006/relationships/hyperlink" Target="https://www.sec.gov/Archives/edgar/data/1609253/000119312524173343/d84520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2024-07-09T15:42:03Z</dcterms:created>
  <dcterms:modified xsi:type="dcterms:W3CDTF">2024-07-09T15:42:03Z</dcterms:modified>
</cp:coreProperties>
</file>