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January 26, 2023</w:t>
      </w:r>
    </w:p>
    <w:p>
      <w:pPr>
        <w:spacing w:after="0" w:line="18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1413" w:right="479" w:bottom="1440" w:gutter="0" w:footer="0" w:header="0"/>
        </w:sectPr>
      </w:pPr>
    </w:p>
    <w:p>
      <w:pPr>
        <w:spacing w:after="0" w:line="11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4" w:lineRule="exact"/>
        <w:rPr>
          <w:sz w:val="24"/>
          <w:szCs w:val="24"/>
          <w:color w:val="auto"/>
        </w:rPr>
      </w:pPr>
    </w:p>
    <w:p>
      <w:pPr>
        <w:sectPr>
          <w:pgSz w:w="11900" w:h="16838" w:orient="portrait"/>
          <w:cols w:equalWidth="0" w:num="3">
            <w:col w:w="4380" w:space="720"/>
            <w:col w:w="2860" w:space="720"/>
            <w:col w:w="2420"/>
          </w:cols>
          <w:pgMar w:left="320" w:top="1413" w:right="47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color w:val="auto"/>
        </w:rPr>
        <w:t>(Zip Code)</w:t>
      </w:r>
    </w:p>
    <w:p>
      <w:pPr>
        <w:spacing w:after="0" w:line="173" w:lineRule="exact"/>
        <w:rPr>
          <w:sz w:val="24"/>
          <w:szCs w:val="24"/>
          <w:color w:val="auto"/>
        </w:rPr>
      </w:pPr>
    </w:p>
    <w:p>
      <w:pPr>
        <w:sectPr>
          <w:pgSz w:w="11900" w:h="16838" w:orient="portrait"/>
          <w:cols w:equalWidth="0" w:num="2">
            <w:col w:w="7300" w:space="720"/>
            <w:col w:w="3080"/>
          </w:cols>
          <w:pgMar w:left="320" w:top="1413"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7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27200 Tourney Road, Suite 200, Santa Clarita, California 91355</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53"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0"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0"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413" w:right="479" w:bottom="1440" w:gutter="0" w:footer="0" w:header="0"/>
          <w:type w:val="continuous"/>
        </w:sectPr>
      </w:pPr>
    </w:p>
    <w:p>
      <w:pPr>
        <w:spacing w:after="0" w:line="12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60" w:space="720"/>
            <w:col w:w="3920"/>
          </w:cols>
          <w:pgMar w:left="320" w:top="1413"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2"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2" w:lineRule="exact"/>
        <w:rPr>
          <w:sz w:val="24"/>
          <w:szCs w:val="24"/>
          <w:color w:val="auto"/>
        </w:rPr>
      </w:pPr>
    </w:p>
    <w:p>
      <w:pPr>
        <w:ind w:right="20"/>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type w:val="continuous"/>
        </w:sectPr>
      </w:pPr>
    </w:p>
    <w:bookmarkStart w:id="1" w:name="page2"/>
    <w:bookmarkEnd w:id="1"/>
    <w:p>
      <w:pPr>
        <w:spacing w:after="0" w:line="3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43"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On January 26, 2023, an appellate court issued a preliminary order reinstating a suspension of Kern County’s ability to rely on an existing Environmental Impact Report (EIR) to meet the County’s obligations under the California Environmental Quality Act (CEQA) in connection with oil and gas permitting. The original suspension was put in place in October 2021 in response to a lawsuit challenging the adequacy of that EIR for CEQA purposes. The County subsequently issued a supplemental EIR and took other steps to address the issues raised by the original lawsuit and in November 2022 a trial court approved the sufficiency of the supplemental EIR and lifted the suspension on Kern County’s reliance on the EIR.</w:t>
      </w:r>
    </w:p>
    <w:p>
      <w:pPr>
        <w:spacing w:after="0" w:line="211"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The preliminary order issued by the appellate court on January 26, 2023 stays Kern County’s ability to rely on the EIR in the near term while the appellate court considers the plaintiffs’ request to stay reliance on that EIR for the entire duration of the appeal process. A final decision on this request is expected within the next several weeks.</w:t>
      </w:r>
    </w:p>
    <w:p>
      <w:pPr>
        <w:spacing w:after="0" w:line="204"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We are disappointed with this preliminary order and will await the appellate court’s final decision on whether Kern County can rely on the EIR during the pendency of the appeal. If Kern County permitting remains paused during the appellate process for an extended period of time, we intend to reduce our rig count and capital program in 2023, and focus our drilling in areas outside of Kern County, as well as increase our workover activity. In the meantime, we will continue to focus on delivering strong cash flow from our low decline assets.</w:t>
      </w:r>
    </w:p>
    <w:p>
      <w:pPr>
        <w:spacing w:after="0" w:line="208"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The information in this Item 7.01 is being furnished and shall not be deemed “filed” for the purposes of Section 18 of the Securities Exchange Act of 1934, as amended (“Exchange Act”), or otherwise subject to the liabilities of that Section, and shall not be incorporated by reference into any filings made by the Company under the Securities Act of 1933, as amended (the “Securities Act”), or the Exchange Act, except as may be expressly set forth by specific reference in such filing.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Certain of the statements contained in this report should be considered forward-looking statements. These forward-looking statements may be identified by words such as “may,” “will,” “expect,” “intend,” “anticipate,” “believe,” “estimate,” “plan,” “project,” “could,” “should,” “would,” “continue,” “seek,” “target,” “guidance,” “outlook,” “forecast” and other similar words. Such statements include, but are not limited to, statements about the actions the Company may take to address liquidity and balance sheet issues,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legislative and regulatory actions that may prevent, delay or otherwise restrict our ability to drill and develop our assets, including delays in and/or new requirements in the regulatory approval and permitting process, and the other risks and uncertainties set forth in the Company’s Annual Report on Form 10-K for the year ended December 31, 2021 (especially in Part I, Item 1A. Risk Factors and Part II, Item 7. Management’s Discussion and Analysis of Financial Condition and Results of Operations) and in the Company’s other filings with the SEC.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7" w:lineRule="exact"/>
        <w:rPr>
          <w:sz w:val="20"/>
          <w:szCs w:val="20"/>
          <w:color w:val="auto"/>
        </w:rPr>
      </w:pPr>
    </w:p>
    <w:tbl>
      <w:tblPr>
        <w:tblLayout w:type="fixed"/>
        <w:tblInd w:w="4800" w:type="dxa"/>
        <w:tblCellMar>
          <w:top w:w="0" w:type="dxa"/>
          <w:left w:w="0" w:type="dxa"/>
          <w:bottom w:w="0" w:type="dxa"/>
          <w:right w:w="0" w:type="dxa"/>
        </w:tblCellMar>
      </w:tblPr>
      <w:tr>
        <w:trPr>
          <w:trHeight w:val="218"/>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1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Administrative Officer and General</w:t>
            </w:r>
          </w:p>
        </w:tc>
      </w:tr>
      <w:tr>
        <w:trPr>
          <w:trHeight w:val="234"/>
        </w:trPr>
        <w:tc>
          <w:tcPr>
            <w:tcW w:w="740" w:type="dxa"/>
            <w:vAlign w:val="bottom"/>
          </w:tcPr>
          <w:p>
            <w:pPr>
              <w:spacing w:after="0"/>
              <w:rPr>
                <w:sz w:val="20"/>
                <w:szCs w:val="20"/>
                <w:color w:val="auto"/>
              </w:rPr>
            </w:pP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27, 2023</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2023-01-27T08:08:43Z</dcterms:created>
  <dcterms:modified xsi:type="dcterms:W3CDTF">2023-01-27T08:08:43Z</dcterms:modified>
</cp:coreProperties>
</file>