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2564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25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Jackson James Ross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07/01/2024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3"/>
          <w:szCs w:val="23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3"/>
            <w:szCs w:val="23"/>
            <w:u w:val="single" w:color="auto"/>
            <w:color w:val="0000EE"/>
          </w:rPr>
          <w:t>California Resources Corp</w:t>
        </w:r>
        <w:r>
          <w:rPr>
            <w:rFonts w:ascii="Times New Roman" w:cs="Times New Roman" w:eastAsia="Times New Roman" w:hAnsi="Times New Roman"/>
            <w:sz w:val="23"/>
            <w:szCs w:val="23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[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CRC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]</w:t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296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ONE QUEEN STREET EAST,</w:t>
            </w:r>
          </w:p>
        </w:tc>
      </w:tr>
      <w:tr>
        <w:trPr>
          <w:trHeight w:val="254"/>
        </w:trPr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SUITE 2500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7"/>
        </w:trPr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03"/>
        </w:trPr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TORONTO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A6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M5C 2W5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/s/ James Ross Jackson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07/03/2024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Reminder: Report on a separate line for each class of securities beneficially owned directly or indirectly.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5"/>
          <w:szCs w:val="15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Instruction 5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028457" TargetMode="External"/><Relationship Id="rId11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2024-07-03T18:33:54Z</dcterms:created>
  <dcterms:modified xsi:type="dcterms:W3CDTF">2024-07-03T18:33:54Z</dcterms:modified>
</cp:coreProperties>
</file>