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September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right="2020" w:firstLine="8"/>
        <w:spacing w:after="0" w:line="418" w:lineRule="auto"/>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firstLine="991"/>
        <w:spacing w:after="0" w:line="274" w:lineRule="auto"/>
        <w:rPr>
          <w:sz w:val="20"/>
          <w:szCs w:val="20"/>
          <w:color w:val="auto"/>
        </w:rPr>
      </w:pPr>
      <w:r>
        <w:rPr>
          <w:rFonts w:ascii="Times New Roman" w:cs="Times New Roman" w:eastAsia="Times New Roman" w:hAnsi="Times New Roman"/>
          <w:sz w:val="17"/>
          <w:szCs w:val="17"/>
          <w:color w:val="auto"/>
        </w:rPr>
        <w:t>On September 22, 2025, California Resources Corporation (the “Company”) entered into an amendment (the “Sixth Amendment”) to the Amended and Restated Credit Agreement, dated as of April 26, 2023 (as amended, restated, amended and restated, supplemented or otherwise modified from time to time), with Citibank, N.A., as administrative agent and collateral agent, and the banks, financial institutions and other lending institutions from time to time parties thereto. The purpose of the Sixth Amendment was to facilitate certain matters with respect to the Company’s pending merger (the “Berry Merger”) with Berry Corporation (bry), a Delaware corporation. The above description of the Sixth Amendment is not complete and is qualified in its entirety by reference to the full text of the Sixth Amendment, which is filed as Exhibit 10.1 hereto and incorporated by reference herein.</w:t>
      </w:r>
    </w:p>
    <w:p>
      <w:pPr>
        <w:spacing w:after="0" w:line="31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100" w:firstLine="991"/>
        <w:spacing w:after="0" w:line="312" w:lineRule="auto"/>
        <w:rPr>
          <w:sz w:val="20"/>
          <w:szCs w:val="20"/>
          <w:color w:val="auto"/>
        </w:rPr>
      </w:pPr>
      <w:r>
        <w:rPr>
          <w:rFonts w:ascii="Times New Roman" w:cs="Times New Roman" w:eastAsia="Times New Roman" w:hAnsi="Times New Roman"/>
          <w:sz w:val="17"/>
          <w:szCs w:val="17"/>
          <w:color w:val="auto"/>
        </w:rPr>
        <w:t>To the extent the information included or incorporated into Item 8.01 below with respect to the results of operations or financial condition of the Company relates to or is presented as of or for a completed fiscal period, such information is incorporated into this Item 2.02 by reference herein.</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September 24, 2025, the Company issued a press release announcing the commencement of a proposed private offering of</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$400 million in aggregate principal amount of senior unsecured notes due 2034 (the “Notes”). A copy of the press release is included as Exhibit 99.1 hereto and incorporated herein by reference.</w:t>
      </w:r>
    </w:p>
    <w:p>
      <w:pPr>
        <w:spacing w:after="0" w:line="181"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In connection with the offering of the Notes, the Company will provide certain financial and other information with respect to the Company to prospective investors in the offering. Excerpts of such information are included as Exhibit 99.2 hereto and incorporated herein by reference.</w:t>
      </w:r>
    </w:p>
    <w:p>
      <w:pPr>
        <w:spacing w:after="0" w:line="14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the intended use of proceeds, the Berry Merger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2024 and its subsequently filed Quarterly Reports on Form 10-Q.</w:t>
      </w:r>
    </w:p>
    <w:p>
      <w:pPr>
        <w:spacing w:after="0" w:line="2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In connection with the Berry Merger, the Company will file with the Securities and Exchange Commission (the “SEC”) a registration statement on Form S-4 (the “Registration Statement”), which will include a proxy statement of Berry that also constitutes a prospectus of the Company, and any other documents in connection with the Berry Merger. The definitive proxy statement/prospectus will be sent to the holders of common stock of Berry. </w:t>
      </w:r>
      <w:r>
        <w:rPr>
          <w:rFonts w:ascii="Times New Roman" w:cs="Times New Roman" w:eastAsia="Times New Roman" w:hAnsi="Times New Roman"/>
          <w:sz w:val="17"/>
          <w:szCs w:val="17"/>
          <w:b w:val="1"/>
          <w:bCs w:val="1"/>
          <w:color w:val="auto"/>
        </w:rPr>
        <w:t>Investors and stockholders of the Company and Berry are urged to read the proxy statement/prospectus and any other documents filed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 to be filed with the SEC in connection with the Berry Merger when they become available, as they will contain important information about the Company, Berry, the Berry Merger and related matters</w:t>
      </w:r>
      <w:r>
        <w:rPr>
          <w:rFonts w:ascii="Times New Roman" w:cs="Times New Roman" w:eastAsia="Times New Roman" w:hAnsi="Times New Roman"/>
          <w:sz w:val="17"/>
          <w:szCs w:val="17"/>
          <w:color w:val="auto"/>
        </w:rPr>
        <w:t>. The Registration Statement and proxy statement/prospectus and other documents filed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Company or Berry with the SEC, when filed, will be available free of charge at the SEC’s website at https://www.sec.gov. Alternatively, investors and stockholders may obtain free copies of documents that are filed or will be filed with the SEC by the Company, including the Registration Statement and the proxy statement/prospectus, on the Company’s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the Company’s or Berry’s website is not incorporated by reference into this communication.</w:t>
      </w:r>
    </w:p>
    <w:p>
      <w:pPr>
        <w:sectPr>
          <w:pgSz w:w="11900" w:h="16838" w:orient="portrait"/>
          <w:cols w:equalWidth="0" w:num="1">
            <w:col w:w="11020"/>
          </w:cols>
          <w:pgMar w:left="440" w:top="293" w:right="439" w:bottom="1440" w:gutter="0" w:footer="0" w:header="0"/>
        </w:sectPr>
      </w:pPr>
    </w:p>
    <w:bookmarkStart w:id="2" w:name="page3"/>
    <w:bookmarkEnd w:id="2"/>
    <w:p>
      <w:pPr>
        <w:ind w:left="98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 of Proxies</w:t>
      </w:r>
    </w:p>
    <w:p>
      <w:pPr>
        <w:spacing w:after="0" w:line="121"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other employees, and Berry and its directors and certain of Berry’s executive officers and other employees, may be deemed to be participants in the solicitation of proxies from Berry’s stockholders in connection with the Berry Merger. A description of participants’ direct or indirect interests, by security holdings or otherwise, will be included in the proxy statement/prospectus relating to the transaction when it is filed with the SEC. Information regarding the Company’s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the Company’s definitive proxy statement for the Company’s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the Company’s Current Report on Form 8-K filed with the SEC on May 6, 2025; in the Company’s Current Reports on Form 8-K filed with the SEC on June 23, 2025 and November 25, 2024; and under “Our Team” accessed through the “Our Business” link on the Company’s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spacing w:after="0" w:line="30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2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in connection with the Berry Merger except by means of a prospectus meeting the requirements of Section 10 of the Securities Act of 1933, as amended.</w:t>
      </w:r>
    </w:p>
    <w:p>
      <w:pPr>
        <w:spacing w:after="0" w:line="32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Sixth Amendment to Amended and Restated Credit Agreement, entered into effective as of September 22,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24, 2025, issued by the Company.</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Offering memorandum excerpts.</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4"/>
          </w:cols>
          <w:pgMar w:left="436" w:top="293" w:right="49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24, 2025</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SIXTH AMENDMENT TO AMENDED AND RESTATED CREDIT AGREEMENT</w:t>
      </w:r>
    </w:p>
    <w:p>
      <w:pPr>
        <w:spacing w:after="0" w:line="225"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This SIXTH AMENDMENT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effective as of September 22, 2025 (the “</w:t>
      </w:r>
      <w:r>
        <w:rPr>
          <w:rFonts w:ascii="Times New Roman" w:cs="Times New Roman" w:eastAsia="Times New Roman" w:hAnsi="Times New Roman"/>
          <w:sz w:val="18"/>
          <w:szCs w:val="18"/>
          <w:u w:val="single" w:color="auto"/>
          <w:color w:val="auto"/>
        </w:rPr>
        <w:t>Sixth Amendment Effective Date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Credit Party party hereto, the Lenders party hereto and CITIBANK, N.A., as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and as amended by this Amendment,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unless otherwise defined herein, all capitalized terms used herein that are defined in the Credit Agreement shall have the meanings given such terms in the Credit Agreement);</w:t>
      </w:r>
    </w:p>
    <w:p>
      <w:pPr>
        <w:spacing w:after="0" w:line="164"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 has advised the Administrative Agent and the Lenders that it has entered into that certain Agreement and Plan of Merger, dated as of September 14, 2025, among the Borrower, Dornoch Merger Sub, LLC, a Delaware limited liability company and a Wholly owned Subsidiary of the Borrower, and Berry Corporation (bry), a Delaware corporation (“</w:t>
      </w:r>
      <w:r>
        <w:rPr>
          <w:rFonts w:ascii="Times New Roman" w:cs="Times New Roman" w:eastAsia="Times New Roman" w:hAnsi="Times New Roman"/>
          <w:sz w:val="18"/>
          <w:szCs w:val="18"/>
          <w:u w:val="single" w:color="auto"/>
          <w:color w:val="auto"/>
        </w:rPr>
        <w:t>BRY</w:t>
      </w:r>
      <w:r>
        <w:rPr>
          <w:rFonts w:ascii="Times New Roman" w:cs="Times New Roman" w:eastAsia="Times New Roman" w:hAnsi="Times New Roman"/>
          <w:sz w:val="18"/>
          <w:szCs w:val="18"/>
          <w:color w:val="auto"/>
        </w:rPr>
        <w:t>”), pursuant to which the Borrower will acquire, directly or indirectly, all of the issued and outstanding equity interests of BRY (the “</w:t>
      </w:r>
      <w:r>
        <w:rPr>
          <w:rFonts w:ascii="Times New Roman" w:cs="Times New Roman" w:eastAsia="Times New Roman" w:hAnsi="Times New Roman"/>
          <w:sz w:val="18"/>
          <w:szCs w:val="18"/>
          <w:u w:val="single" w:color="auto"/>
          <w:color w:val="auto"/>
        </w:rPr>
        <w:t>BRY Acquisition</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to this Amendment desire to enter into this Amendment to amend the Existing Credit Agreement as provided herein.</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satisfaction or waiver in writing of each of the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and in reliance upon the representations, warranties, covenants and agreements contained in this Amendment, the parties hereto hereby agree that:</w:t>
      </w:r>
    </w:p>
    <w:p>
      <w:pPr>
        <w:spacing w:after="0" w:line="54" w:lineRule="exact"/>
        <w:rPr>
          <w:sz w:val="20"/>
          <w:szCs w:val="20"/>
          <w:color w:val="auto"/>
        </w:rPr>
      </w:pPr>
    </w:p>
    <w:p>
      <w:pPr>
        <w:ind w:left="1100" w:hanging="24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inserting the following defined terms in the appropriate alphabetical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BRY</w:t>
      </w:r>
      <w:r>
        <w:rPr>
          <w:rFonts w:ascii="Times New Roman" w:cs="Times New Roman" w:eastAsia="Times New Roman" w:hAnsi="Times New Roman"/>
          <w:sz w:val="18"/>
          <w:szCs w:val="18"/>
          <w:color w:val="auto"/>
        </w:rPr>
        <w:t>” shall have the meaning given to such term in the Sixth Amendment.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BRY Acquisition</w:t>
      </w:r>
      <w:r>
        <w:rPr>
          <w:rFonts w:ascii="Times New Roman" w:cs="Times New Roman" w:eastAsia="Times New Roman" w:hAnsi="Times New Roman"/>
          <w:sz w:val="18"/>
          <w:szCs w:val="18"/>
          <w:color w:val="auto"/>
        </w:rPr>
        <w:t>” shall have the meaning given to such term in the Sixth Amendment.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BRY Escrow Indebtedness Cash Amount</w:t>
      </w:r>
      <w:r>
        <w:rPr>
          <w:rFonts w:ascii="Times New Roman" w:cs="Times New Roman" w:eastAsia="Times New Roman" w:hAnsi="Times New Roman"/>
          <w:sz w:val="18"/>
          <w:szCs w:val="18"/>
          <w:color w:val="auto"/>
        </w:rPr>
        <w:t>” shall have the meaning provided in the definition of “Excess Cash”.</w:t>
      </w:r>
    </w:p>
    <w:p>
      <w:pPr>
        <w:spacing w:after="0" w:line="117" w:lineRule="exact"/>
        <w:rPr>
          <w:sz w:val="20"/>
          <w:szCs w:val="20"/>
          <w:color w:val="auto"/>
        </w:rPr>
      </w:pPr>
    </w:p>
    <w:p>
      <w:pPr>
        <w:ind w:left="980" w:right="260" w:firstLine="40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Sixth Amendment</w:t>
      </w:r>
      <w:r>
        <w:rPr>
          <w:rFonts w:ascii="Times New Roman" w:cs="Times New Roman" w:eastAsia="Times New Roman" w:hAnsi="Times New Roman"/>
          <w:sz w:val="17"/>
          <w:szCs w:val="17"/>
          <w:color w:val="auto"/>
        </w:rPr>
        <w:t>” shall mean that certain Sixth Amendment to Amended and Restated Credit Agreement, dated as of the Sixth Amendment Effective Date, among the Borrower, the Guarantors party thereto, the Administrative Agent and the Lenders party thereto.</w:t>
      </w:r>
    </w:p>
    <w:p>
      <w:pPr>
        <w:sectPr>
          <w:pgSz w:w="11900" w:h="16838" w:orient="portrait"/>
          <w:cols w:equalWidth="0" w:num="1">
            <w:col w:w="11020"/>
          </w:cols>
          <w:pgMar w:left="440" w:top="121" w:right="439" w:bottom="1440" w:gutter="0" w:footer="0" w:header="0"/>
        </w:sectPr>
      </w:pPr>
    </w:p>
    <w:bookmarkStart w:id="5" w:name="page6"/>
    <w:bookmarkEnd w:id="5"/>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Sixth Amendment Effective Date</w:t>
      </w:r>
      <w:r>
        <w:rPr>
          <w:rFonts w:ascii="Times New Roman" w:cs="Times New Roman" w:eastAsia="Times New Roman" w:hAnsi="Times New Roman"/>
          <w:sz w:val="18"/>
          <w:szCs w:val="18"/>
          <w:color w:val="auto"/>
        </w:rPr>
        <w:t>” shall mean September 22, 2025.</w:t>
      </w:r>
    </w:p>
    <w:p>
      <w:pPr>
        <w:spacing w:after="0" w:line="117" w:lineRule="exact"/>
        <w:rPr>
          <w:sz w:val="20"/>
          <w:szCs w:val="20"/>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and restating the following definitions in their entirety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540" w:right="40" w:firstLine="40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Reduction Debt</w:t>
      </w:r>
      <w:r>
        <w:rPr>
          <w:rFonts w:ascii="Times New Roman" w:cs="Times New Roman" w:eastAsia="Times New Roman" w:hAnsi="Times New Roman"/>
          <w:sz w:val="18"/>
          <w:szCs w:val="18"/>
          <w:color w:val="auto"/>
        </w:rPr>
        <w:t xml:space="preserve">” shall mean Permitted Additional Debt issued or incurred in accordance with </w:t>
      </w:r>
      <w:r>
        <w:rPr>
          <w:rFonts w:ascii="Times New Roman" w:cs="Times New Roman" w:eastAsia="Times New Roman" w:hAnsi="Times New Roman"/>
          <w:sz w:val="18"/>
          <w:szCs w:val="18"/>
          <w:u w:val="single" w:color="auto"/>
          <w:color w:val="auto"/>
        </w:rPr>
        <w:t>Sections 10.1(j)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as applicable (other than (x) senior unsecured notes issued in connection with the Petra Acquisition and (y) senior unsecured notes incurred after the Sixth Amendment Effective Date through October 31, 2025 by any Credit Party in connection with the BRY Acquisition in an aggregate principal amount up to $500,000,000).</w:t>
      </w:r>
    </w:p>
    <w:p>
      <w:pPr>
        <w:spacing w:after="0" w:line="72" w:lineRule="exact"/>
        <w:rPr>
          <w:sz w:val="20"/>
          <w:szCs w:val="20"/>
          <w:color w:val="auto"/>
        </w:rPr>
      </w:pPr>
    </w:p>
    <w:p>
      <w:pPr>
        <w:ind w:left="540" w:right="80" w:firstLine="40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shall mean this Agreement, the First Amendment, the Second Amendment, the Third Amendment, the Fourth Amendment, the Fifth Amendment, the Sixth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spacing w:after="0" w:line="75" w:lineRule="exact"/>
        <w:rPr>
          <w:sz w:val="20"/>
          <w:szCs w:val="20"/>
          <w:color w:val="auto"/>
        </w:rPr>
      </w:pPr>
    </w:p>
    <w:p>
      <w:pPr>
        <w:ind w:right="220" w:firstLine="419"/>
        <w:spacing w:after="0" w:line="282"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the definition of “Consolidated EBITDAX” by deleting the “and” before clause (a)(ix) thereof and inserting a new clause (a)(x) as follows: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(x) fees, costs and expenses and other transaction costs incurred in connection with the BRY Acquisition”</w:t>
      </w:r>
    </w:p>
    <w:p>
      <w:pPr>
        <w:spacing w:after="0" w:line="117" w:lineRule="exact"/>
        <w:rPr>
          <w:sz w:val="20"/>
          <w:szCs w:val="20"/>
          <w:color w:val="auto"/>
        </w:rPr>
      </w:pPr>
    </w:p>
    <w:p>
      <w:pPr>
        <w:ind w:right="60" w:firstLine="419"/>
        <w:spacing w:after="0" w:line="28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the definition of “Consolidated Total Debt” by inserting a new clause (d) thereto as follows:</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BRY Escrow Indebtedness Cash Amount outstanding on such date;”</w:t>
      </w:r>
    </w:p>
    <w:p>
      <w:pPr>
        <w:spacing w:after="0" w:line="117" w:lineRule="exact"/>
        <w:rPr>
          <w:sz w:val="20"/>
          <w:szCs w:val="20"/>
          <w:color w:val="auto"/>
        </w:rPr>
      </w:pPr>
    </w:p>
    <w:p>
      <w:pPr>
        <w:ind w:right="280" w:firstLine="419"/>
        <w:spacing w:after="0" w:line="282"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the definition of “Excess Cash” by replacing the “and” before clause (f) thereof with “,” and adding a new clause (g) as follows:</w:t>
      </w:r>
    </w:p>
    <w:p>
      <w:pPr>
        <w:spacing w:after="0" w:line="5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“and (g) prior to the consummation of the BRY Acquisition, cash constituting the net proceeds of Indebtedness incurred after the Sixth Amendment Effective Date and any Indebtedness incurred to Refinance such Indebtedness (plus, in each case, cash held or placed in escrow to pay interest that accrues on such Indebtedness) so long as (i) such Indebtedness is incurred in connection with, and in contemplation of, the consummation of the BRY Acquisition and (ii) the definitive documentation relating to such Indebtedness contains “special mandatory redemption” or escrow provisions (or other similar provisions) or otherwise requires such Indebtedness to be redeemed or prepaid if the BRY Acquisition is not consummated by a date specified in such definitive documentation (the net cash proceeds of the Indebtedness under this clause (g) together with cash held or placed in escrow to pay interest thereon, the “</w:t>
      </w:r>
      <w:r>
        <w:rPr>
          <w:rFonts w:ascii="Times New Roman" w:cs="Times New Roman" w:eastAsia="Times New Roman" w:hAnsi="Times New Roman"/>
          <w:sz w:val="18"/>
          <w:szCs w:val="18"/>
          <w:u w:val="single" w:color="auto"/>
          <w:color w:val="auto"/>
        </w:rPr>
        <w:t>BRY Escrow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6" w:name="page7"/>
    <w:bookmarkEnd w:id="6"/>
    <w:p>
      <w:pPr>
        <w:ind w:left="-419" w:right="20" w:firstLine="419"/>
        <w:spacing w:after="0" w:line="282" w:lineRule="auto"/>
        <w:tabs>
          <w:tab w:leader="none" w:pos="2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of the Existing Credit Agreement is hereby amended by amending the definition of “Permitted Acquisition” by amending and restating the proviso at the end thereof in its entirety as follows:</w:t>
      </w:r>
    </w:p>
    <w:p>
      <w:pPr>
        <w:spacing w:after="0" w:line="52" w:lineRule="exact"/>
        <w:rPr>
          <w:sz w:val="20"/>
          <w:szCs w:val="20"/>
          <w:color w:val="auto"/>
        </w:rPr>
      </w:pPr>
    </w:p>
    <w:p>
      <w:pPr>
        <w:ind w:left="121"/>
        <w:spacing w:after="0" w:line="28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each of the Petra Acquisition and the BRY Acquisition shall be deemed to be a Permitted Acquisition.”</w:t>
      </w:r>
    </w:p>
    <w:p>
      <w:pPr>
        <w:spacing w:after="0" w:line="52" w:lineRule="exact"/>
        <w:rPr>
          <w:sz w:val="20"/>
          <w:szCs w:val="20"/>
          <w:color w:val="auto"/>
        </w:rPr>
      </w:pPr>
    </w:p>
    <w:p>
      <w:pPr>
        <w:ind w:left="-419" w:right="720" w:firstLine="419"/>
        <w:spacing w:after="0" w:line="282" w:lineRule="auto"/>
        <w:tabs>
          <w:tab w:leader="none" w:pos="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the definition of “Permitted Additional Debt” by amending and restating clause (a) thereof in its entirety as follows:</w:t>
      </w:r>
    </w:p>
    <w:p>
      <w:pPr>
        <w:spacing w:after="0" w:line="54" w:lineRule="exact"/>
        <w:rPr>
          <w:sz w:val="20"/>
          <w:szCs w:val="20"/>
          <w:color w:val="auto"/>
        </w:rPr>
      </w:pPr>
    </w:p>
    <w:p>
      <w:pPr>
        <w:ind w:left="121" w:right="20"/>
        <w:spacing w:after="0" w:line="237" w:lineRule="auto"/>
        <w:rPr>
          <w:sz w:val="20"/>
          <w:szCs w:val="20"/>
          <w:color w:val="auto"/>
        </w:rPr>
      </w:pPr>
      <w:r>
        <w:rPr>
          <w:rFonts w:ascii="Times New Roman" w:cs="Times New Roman" w:eastAsia="Times New Roman" w:hAnsi="Times New Roman"/>
          <w:sz w:val="18"/>
          <w:szCs w:val="18"/>
          <w:color w:val="auto"/>
        </w:rPr>
        <w:t>“(a) the terms of which do not provide for any scheduled repayment, mandatory redemption or sinking fund obligation prior to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the Latest Maturity Date (other than (i) with respect to senior unsecured notes issued in connection with the BRY Acquisition, the obligation to Redeem such Indebtedness as a result of the related Permitted Acquisition failing to occur prior to the related “outside date” (or any similar term) in respect of such Permitted Acquisition under the definitive documentation governing such Indebtedness (or such other date after such “outside date” as agreed by the lenders or other investors providing such Indebtedness) and (ii) customary offers to purchase upon a change of control (including customary offers to repurchase any Permitted Convertible Debt in connection with “fundamental change”), AHYDO payments, customary asset sale or casualty or condemnation event prepayments and customary acceleration rights after an event of default prior to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the Latest Maturity Date, any right of any holder of any Permitted Convertible Debt to convert, exchange or exercise such Permitted Convertible Debt, or any actual conversion, exchange or exercise of any Permitted Convertible Debt, in each case into or for common stock or other common equity interests of the Borrower and/or cash (in an amount determined by reference to the price of such common stock or other common equity interest), any optional right of the issuer of Permitted Convertible Debt to call such Permitted Convertible Debt for redemption or in the case of any loans or notes or other Indebtedness that are convertible into Qualified Equity Interests (including any Permitted Convertible Debt), payments in respect of any fractional shares that would otherwise be issued upon such conversion) and has a Weighted Average Life to Maturity equal to or greater than the Weighted Average Life to Maturity of the Facility, if applicable,”</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(h) Section 10.10 of the Existing Credit Agreement is hereby amended by adding a new clause (g) at the end thereof as follows:</w:t>
      </w:r>
    </w:p>
    <w:p>
      <w:pPr>
        <w:spacing w:after="0" w:line="117" w:lineRule="exact"/>
        <w:rPr>
          <w:sz w:val="20"/>
          <w:szCs w:val="20"/>
          <w:color w:val="auto"/>
        </w:rPr>
      </w:pPr>
    </w:p>
    <w:p>
      <w:pPr>
        <w:ind w:left="121"/>
        <w:spacing w:after="0" w:line="251"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Hedge Agreements entered into by BRY and its Subsidiaries prior to the consummation of the BRY Acquisition shall be permitted hereunder so long as the aggregate net notional volumes of such Hedge Agreements (when aggregated with the Hedge Agreements of the Borrower and its Restricted Subsidiaries (other than BRY and its Subsidiaries)), do not exceed, on a pro forma basis after giving effect to the BRY Acquisition, eighty-five percent (85%) of the reasonably anticipated Hydrocarbon production of crude oil, natural gas and natural gas liquids, calculated separately, from the Credit Parties’ total Proved Reserves (after giving effect to the BRY Acquisition and as forecast based on the Borrower’s most recent Reserve Report and on BRY’s most recent reserve report) for the sixty (60) month period from the date of creation of such hedging arrangements, based on daily volumes on an annual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the foregoing volume limitation, Hedge Agreements entered into by BRY and its Subsidiaries prior to the consummation of the BRY Acquisition in respect of purchased puts and floors not intended to be physically settled shall be permitted so long as the net notional volumes of all Hedge Agreements in respect of Hydrocarbons subject to this </w:t>
      </w:r>
      <w:r>
        <w:rPr>
          <w:rFonts w:ascii="Times New Roman" w:cs="Times New Roman" w:eastAsia="Times New Roman" w:hAnsi="Times New Roman"/>
          <w:sz w:val="18"/>
          <w:szCs w:val="18"/>
          <w:u w:val="single" w:color="auto"/>
          <w:color w:val="auto"/>
        </w:rPr>
        <w:t>Section 10.10(g)</w:t>
      </w:r>
      <w:r>
        <w:rPr>
          <w:rFonts w:ascii="Times New Roman" w:cs="Times New Roman" w:eastAsia="Times New Roman" w:hAnsi="Times New Roman"/>
          <w:sz w:val="18"/>
          <w:szCs w:val="18"/>
          <w:color w:val="auto"/>
        </w:rPr>
        <w:t xml:space="preserve"> do not exceed (when aggregated with the commodity Hedge Agreements of the Borrower and its Restricted Subsidiaries (other than BRY and its Subsidiaries) then in effect, other than puts, floors and basis differential swaps on volumes already hedged pursuant to other Hedge Agreements), on a pro forma basis after giving effect to the BRY Acquisition, as of the date of the consummation of the BRY Acquisition, one hundred percent (100%) of the reasonably anticipated Hydrocarbon production of crude oil, natural gas and natural gas liquids, calculated separately, from the Credit Parties’ total Proved Reserves (after giving effect to the BRY Acquisition and as forecast based on the Borrower’s most recent Reserve Report and on BRY’s most recent reserve report) for the sixty</w:t>
      </w:r>
    </w:p>
    <w:p>
      <w:pPr>
        <w:spacing w:after="0" w:line="11" w:lineRule="exact"/>
        <w:rPr>
          <w:sz w:val="20"/>
          <w:szCs w:val="20"/>
          <w:color w:val="auto"/>
        </w:rPr>
      </w:pPr>
    </w:p>
    <w:p>
      <w:pPr>
        <w:ind w:left="481" w:hanging="353"/>
        <w:spacing w:after="0"/>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from the date of creation of such hedging arrangement, based on daily volumes on an annual basis.”</w:t>
      </w:r>
    </w:p>
    <w:p>
      <w:pPr>
        <w:spacing w:after="0" w:line="139" w:lineRule="exact"/>
        <w:rPr>
          <w:rFonts w:ascii="Times New Roman" w:cs="Times New Roman" w:eastAsia="Times New Roman" w:hAnsi="Times New Roman"/>
          <w:sz w:val="18"/>
          <w:szCs w:val="18"/>
          <w:color w:val="auto"/>
        </w:rPr>
      </w:pPr>
    </w:p>
    <w:p>
      <w:pPr>
        <w:ind w:left="46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141"/>
          </w:cols>
          <w:pgMar w:left="1299"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 The effectiveness of this Amendment is subject to satisfaction of each of the following conditions precedent:</w:t>
      </w:r>
    </w:p>
    <w:p>
      <w:pPr>
        <w:spacing w:after="0" w:line="117"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Executed Amendment</w:t>
      </w:r>
      <w:r>
        <w:rPr>
          <w:rFonts w:ascii="Times New Roman" w:cs="Times New Roman" w:eastAsia="Times New Roman" w:hAnsi="Times New Roman"/>
          <w:sz w:val="18"/>
          <w:szCs w:val="18"/>
          <w:color w:val="auto"/>
        </w:rPr>
        <w:t>. The Administrative Agent shall have received counterparts of this Amendment duly executed by the Borrower, the other Credit Parties and Lenders constituting Majority Lenders.</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Accuracy of Representations and Warranties</w:t>
      </w:r>
      <w:r>
        <w:rPr>
          <w:rFonts w:ascii="Times New Roman" w:cs="Times New Roman" w:eastAsia="Times New Roman" w:hAnsi="Times New Roman"/>
          <w:sz w:val="18"/>
          <w:szCs w:val="18"/>
          <w:color w:val="auto"/>
        </w:rPr>
        <w:t xml:space="preserve">. Each representation and warranty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spacing w:after="0" w:line="176"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5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Accuracy of Representations and Warranties</w:t>
      </w:r>
      <w:r>
        <w:rPr>
          <w:rFonts w:ascii="Times New Roman" w:cs="Times New Roman" w:eastAsia="Times New Roman" w:hAnsi="Times New Roman"/>
          <w:sz w:val="18"/>
          <w:szCs w:val="18"/>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Sixth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spacing w:after="0" w:line="183"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Due Authorization</w:t>
      </w:r>
      <w:r>
        <w:rPr>
          <w:rFonts w:ascii="Times New Roman" w:cs="Times New Roman" w:eastAsia="Times New Roman" w:hAnsi="Times New Roman"/>
          <w:sz w:val="18"/>
          <w:szCs w:val="18"/>
          <w:color w:val="auto"/>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Validity and Binding Effect</w:t>
      </w:r>
      <w:r>
        <w:rPr>
          <w:rFonts w:ascii="Times New Roman" w:cs="Times New Roman" w:eastAsia="Times New Roman" w:hAnsi="Times New Roman"/>
          <w:sz w:val="18"/>
          <w:szCs w:val="18"/>
          <w:color w:val="auto"/>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Confirmation and Effect</w:t>
      </w:r>
      <w:r>
        <w:rPr>
          <w:rFonts w:ascii="Times New Roman" w:cs="Times New Roman" w:eastAsia="Times New Roman" w:hAnsi="Times New Roman"/>
          <w:sz w:val="18"/>
          <w:szCs w:val="18"/>
          <w:color w:val="auto"/>
        </w:rPr>
        <w:t>.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Ratification and Affirmation of Credit Parties</w:t>
      </w:r>
      <w:r>
        <w:rPr>
          <w:rFonts w:ascii="Times New Roman" w:cs="Times New Roman" w:eastAsia="Times New Roman" w:hAnsi="Times New Roman"/>
          <w:sz w:val="18"/>
          <w:szCs w:val="18"/>
          <w:color w:val="auto"/>
        </w:rPr>
        <w:t>. Each of the Credit Parties hereby expressly (i) acknowledges the terms of this Amendment,</w:t>
      </w:r>
    </w:p>
    <w:p>
      <w:pPr>
        <w:spacing w:after="0" w:line="31" w:lineRule="exact"/>
        <w:rPr>
          <w:sz w:val="20"/>
          <w:szCs w:val="20"/>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ratifies and affirms its obligations under the Guarantee, the Security Documents and the other Credit Documents to which it is a party,</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5"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82"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All of the terms and provisions of this Amendment shall bind and inure to the benefit of the parties hereto and their respective successors and assigns.</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Counterparts; Facsimile</w:t>
      </w:r>
      <w:r>
        <w:rPr>
          <w:rFonts w:ascii="Times New Roman" w:cs="Times New Roman" w:eastAsia="Times New Roman" w:hAnsi="Times New Roman"/>
          <w:sz w:val="18"/>
          <w:szCs w:val="18"/>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66" w:right="519" w:bottom="1440" w:gutter="0" w:footer="0" w:header="0"/>
        </w:sectPr>
      </w:pPr>
    </w:p>
    <w:bookmarkStart w:id="9" w:name="page10"/>
    <w:bookmarkEnd w:id="9"/>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Titles of Sections</w:t>
      </w:r>
      <w:r>
        <w:rPr>
          <w:rFonts w:ascii="Times New Roman" w:cs="Times New Roman" w:eastAsia="Times New Roman" w:hAnsi="Times New Roman"/>
          <w:sz w:val="18"/>
          <w:szCs w:val="18"/>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71"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71"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Credit Documents</w:t>
      </w:r>
      <w:r>
        <w:rPr>
          <w:rFonts w:ascii="Times New Roman" w:cs="Times New Roman" w:eastAsia="Times New Roman" w:hAnsi="Times New Roman"/>
          <w:sz w:val="18"/>
          <w:szCs w:val="18"/>
          <w:color w:val="auto"/>
        </w:rPr>
        <w:t>. The Borrower acknowledges and agrees that this Amendment is a Credit Document.</w:t>
      </w:r>
    </w:p>
    <w:p>
      <w:pPr>
        <w:spacing w:after="0" w:line="225" w:lineRule="exact"/>
        <w:rPr>
          <w:sz w:val="20"/>
          <w:szCs w:val="20"/>
          <w:color w:val="auto"/>
        </w:rPr>
      </w:pPr>
    </w:p>
    <w:p>
      <w:pPr>
        <w:ind w:right="600" w:firstLine="440"/>
        <w:spacing w:after="0" w:line="317"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AMENDMENT AND THE RIGHTS AND OBLIGATIONS OF THE PARTIES HEREUNDER SHALL BE GOVERNED BY, AND CONSTRUED AND INTERPRETED IN ACCORDANCE WITH, THE LAW OF THE STATE OF NEW YORK.</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66" w:right="519" w:bottom="1440" w:gutter="0" w:footer="0" w:header="0"/>
        </w:sectPr>
      </w:pPr>
    </w:p>
    <w:bookmarkStart w:id="10" w:name="page11"/>
    <w:bookmarkEnd w:id="10"/>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on the date and 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CALIFORNIA RESOURCES CORPORATION</w:t>
            </w:r>
          </w:p>
        </w:tc>
      </w:tr>
      <w:tr>
        <w:trPr>
          <w:trHeight w:val="432"/>
        </w:trPr>
        <w:tc>
          <w:tcPr>
            <w:tcW w:w="3300" w:type="dxa"/>
            <w:vAlign w:val="bottom"/>
          </w:tcPr>
          <w:p>
            <w:pPr>
              <w:spacing w:after="0"/>
              <w:rPr>
                <w:sz w:val="24"/>
                <w:szCs w:val="24"/>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Clio C. Crespy</w:t>
            </w:r>
          </w:p>
        </w:tc>
      </w:tr>
      <w:tr>
        <w:trPr>
          <w:trHeight w:val="191"/>
        </w:trPr>
        <w:tc>
          <w:tcPr>
            <w:tcW w:w="3300" w:type="dxa"/>
            <w:vAlign w:val="bottom"/>
          </w:tcPr>
          <w:p>
            <w:pPr>
              <w:spacing w:after="0"/>
              <w:rPr>
                <w:sz w:val="16"/>
                <w:szCs w:val="16"/>
                <w:color w:val="auto"/>
              </w:rPr>
            </w:pPr>
          </w:p>
        </w:tc>
        <w:tc>
          <w:tcPr>
            <w:tcW w:w="276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Clio C. Crespy</w:t>
            </w:r>
          </w:p>
        </w:tc>
      </w:tr>
      <w:tr>
        <w:trPr>
          <w:trHeight w:val="234"/>
        </w:trPr>
        <w:tc>
          <w:tcPr>
            <w:tcW w:w="3300" w:type="dxa"/>
            <w:vAlign w:val="bottom"/>
          </w:tcPr>
          <w:p>
            <w:pPr>
              <w:spacing w:after="0"/>
              <w:rPr>
                <w:sz w:val="20"/>
                <w:szCs w:val="20"/>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1020"/>
          </w:cols>
          <w:pgMar w:left="440" w:top="270"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SUBSIDIARY GRANTORS:</w:t>
            </w: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HEAVY OIL,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ELK HILLS,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PETROLEUM CORPORATION</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PRODUCTION CORPORATION</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REAL ESTATE VENTURES,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ROYALTY HOLDINGS,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TIDELANDS,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WILMINGTON,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CONSTRUCTION SERVICES,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MARKETING,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SERVICES,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SOCAL HOLDING,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SOUTHERN SAN JOAQUIN PRODUCTION,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ELK HILLS POWER,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AERA ENERGY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AERA ENERGY SERVICES COMPANY</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AERA FEDERAL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BELRIDGE FARMS &amp; PACKING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INTERMEDIATE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RESOURCES E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RESOURCES HOLDINGS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RESOURCES PARENT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RESOURCES 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GREEN GATE SAN ARDO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PETRA MERGER SUB S, LLC</w:t>
            </w:r>
          </w:p>
        </w:tc>
      </w:tr>
      <w:tr>
        <w:trPr>
          <w:trHeight w:val="234"/>
        </w:trPr>
        <w:tc>
          <w:tcPr>
            <w:tcW w:w="3820" w:type="dxa"/>
            <w:vAlign w:val="bottom"/>
          </w:tcPr>
          <w:p>
            <w:pPr>
              <w:spacing w:after="0"/>
              <w:rPr>
                <w:sz w:val="20"/>
                <w:szCs w:val="20"/>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TERRAIN TECHNOLOGY INC.</w:t>
            </w:r>
          </w:p>
        </w:tc>
      </w:tr>
      <w:tr>
        <w:trPr>
          <w:trHeight w:val="446"/>
        </w:trPr>
        <w:tc>
          <w:tcPr>
            <w:tcW w:w="3820" w:type="dxa"/>
            <w:vAlign w:val="bottom"/>
          </w:tcPr>
          <w:p>
            <w:pPr>
              <w:spacing w:after="0"/>
              <w:rPr>
                <w:sz w:val="24"/>
                <w:szCs w:val="24"/>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Clio C. Crespy</w:t>
            </w:r>
          </w:p>
        </w:tc>
      </w:tr>
      <w:tr>
        <w:trPr>
          <w:trHeight w:val="191"/>
        </w:trPr>
        <w:tc>
          <w:tcPr>
            <w:tcW w:w="3820" w:type="dxa"/>
            <w:vAlign w:val="bottom"/>
          </w:tcPr>
          <w:p>
            <w:pPr>
              <w:spacing w:after="0"/>
              <w:rPr>
                <w:sz w:val="16"/>
                <w:szCs w:val="16"/>
                <w:color w:val="auto"/>
              </w:rPr>
            </w:pPr>
          </w:p>
        </w:tc>
        <w:tc>
          <w:tcPr>
            <w:tcW w:w="224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Clio C. Crespy</w:t>
            </w:r>
          </w:p>
        </w:tc>
      </w:tr>
      <w:tr>
        <w:trPr>
          <w:trHeight w:val="216"/>
        </w:trPr>
        <w:tc>
          <w:tcPr>
            <w:tcW w:w="3820" w:type="dxa"/>
            <w:vAlign w:val="bottom"/>
          </w:tcPr>
          <w:p>
            <w:pPr>
              <w:spacing w:after="0"/>
              <w:rPr>
                <w:sz w:val="18"/>
                <w:szCs w:val="18"/>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1020"/>
          </w:cols>
          <w:pgMar w:left="440" w:top="270"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and as Collateral Agent</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Todd Mogil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Todd Mogil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Todd Mogil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Todd Mogil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70" w:right="43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KEYBANK, 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M. Bornstein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M. Bornstein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Sparks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Sparks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Edward Sacks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Drew Tolson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Drew Tolson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Evans Swann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Evans Swann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Tattersall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Tattersall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Prashant Mehra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Prashant Mehra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Harold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Harold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Priyankush Goswami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Priyankush Goswami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FINANCE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J.R. Young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J.R. Young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McLean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Aaron McLean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3" w:name="page24"/>
    <w:bookmarkEnd w:id="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MACQUARIE FUNDING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Harrison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Harrison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Jordan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Jordan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Director – CGM Legal</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BP ENERGY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 Shappley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 Shappley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Jonathan Herrick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Jonathan Herrick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Harvey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Harvey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CITADEL ENERGY MARKETING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Citadel Advisors LLC, its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Antonia Peabody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Antonia Peabody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IXTH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79930" cy="368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99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California Resources Corporation Announces Private Offering of $400 Million of Senior Unsecured Notes </w:t>
      </w:r>
      <w:r>
        <w:rPr>
          <w:rFonts w:ascii="Times New Roman" w:cs="Times New Roman" w:eastAsia="Times New Roman" w:hAnsi="Times New Roman"/>
          <w:sz w:val="18"/>
          <w:szCs w:val="18"/>
          <w:color w:val="auto"/>
        </w:rPr>
        <w:t>September 24, 2025</w:t>
      </w:r>
    </w:p>
    <w:p>
      <w:pPr>
        <w:spacing w:after="0" w:line="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LONG BEACH, Calif.—(BUSINESS WIRE)— California Resources Corporation (NYSE: CRC) (the “Company”) announced today that, subject to market and other conditions, it intends to offer and sell to eligible purchasers $400 million in aggregate principal amount of senior unsecured notes due 2034 (the “Notes”). The Notes will be guaranteed by all of the Company’s existing subsidiaries (and certain future subsidiaries) that guarantee its revolving credit facility, its 7.125% senior unsecured notes due 2026 and its 8.250% senior unsecured notes due 2029. The Company intends to use the net proceeds from this offering, together with cash on hand and borrowings under its revolving credit facility, to repay the existing indebtedness of Berry Corporation (bry) (“Berry”) in connection with the pending business combination with Berry (the “Berry Merger”), and pay fees and expenses in connection with the Berry Merger and the offering of the Notes.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(x) the consummation of the Berry Merger does not occur on or before March 14, 2026 (subject to up to two three-month extensions by either the Company or Berry upon written notice in certain circumstances) (the “Outside Date”) or (y) prior thereto, the Company notifies the trustee in writing that the merger agreement related to the Berry Merger (the “Merger Agreement”) has been terminated or the Company will not pursue the consummation of the Berry Merger or has determined in its sole discretion that the Berry Merger cannot or is not reasonably likely to be consummated by the Outside Date, the Notes will be subject to a special mandatory redemption at a redemption price equal to 100% of the initial issue price of the Notes plus accrued and unpaid interest to, but excluding, the payment date of such special mandatory redemption.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Disclosure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release regarding activities, events or developments the Company expects, believes or anticipates will or may occur in the future, such as statements regarding the proposed offering, the intended use of proceeds and the business combination with Berry,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2024 and its subsequently filed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California Resources Corporation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California Resources Corporation (NYSE: CRC) is an independent energy and carbon management company committed to energy transition. The Company is committed to environmental stewardship while safely providing local, responsibly sourced energy. CRC is also focused on maximizing the value of its land, mineral ownership, and energy expertise for decarbonization by developing carbon capture and storage (CCS) and other emissions reducing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Berry Merger, the Company will file with the Securities and Exchange Commission (“SEC”) a registration statement on Form S-4 (the “registration statement”), which will include a proxy statement of Berry that also constitutes a prospectus of the Company, and any other documents in connection with the Berry Merger. The definitive proxy statement/prospectus will be sent to the holders of common stock of</w:t>
      </w:r>
    </w:p>
    <w:p>
      <w:pPr>
        <w:sectPr>
          <w:pgSz w:w="11900" w:h="16838" w:orient="portrait"/>
          <w:cols w:equalWidth="0" w:num="1">
            <w:col w:w="11020"/>
          </w:cols>
          <w:pgMar w:left="440" w:top="117" w:right="439" w:bottom="1440" w:gutter="0" w:footer="0" w:header="0"/>
        </w:sectPr>
      </w:pPr>
    </w:p>
    <w:bookmarkStart w:id="29" w:name="page30"/>
    <w:bookmarkEnd w:id="29"/>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Berry. </w:t>
      </w:r>
      <w:r>
        <w:rPr>
          <w:rFonts w:ascii="Times New Roman" w:cs="Times New Roman" w:eastAsia="Times New Roman" w:hAnsi="Times New Roman"/>
          <w:sz w:val="17"/>
          <w:szCs w:val="17"/>
          <w:b w:val="1"/>
          <w:bCs w:val="1"/>
          <w:color w:val="auto"/>
        </w:rPr>
        <w:t>Investors and stockholders of the Company and Berry are urged to read the proxy statement/prospectus and any other documents filed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or to be filed with the SEC in connection with the Berry Merger when they become available, as they will contain important information about the Company, Berry, the Berry Merger and related matters. </w:t>
      </w:r>
      <w:r>
        <w:rPr>
          <w:rFonts w:ascii="Times New Roman" w:cs="Times New Roman" w:eastAsia="Times New Roman" w:hAnsi="Times New Roman"/>
          <w:sz w:val="17"/>
          <w:szCs w:val="17"/>
          <w:color w:val="auto"/>
        </w:rPr>
        <w:t>The registration statement and proxy statement/prospectus and other documents filed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Company or Berry with the SEC, when filed, will be available free of charge at the SEC’s website at </w:t>
      </w:r>
      <w:r>
        <w:rPr>
          <w:rFonts w:ascii="Times New Roman" w:cs="Times New Roman" w:eastAsia="Times New Roman" w:hAnsi="Times New Roman"/>
          <w:sz w:val="17"/>
          <w:szCs w:val="17"/>
          <w:u w:val="single" w:color="auto"/>
          <w:color w:val="auto"/>
        </w:rPr>
        <w:t>https://www.sec.gov</w:t>
      </w:r>
      <w:r>
        <w:rPr>
          <w:rFonts w:ascii="Times New Roman" w:cs="Times New Roman" w:eastAsia="Times New Roman" w:hAnsi="Times New Roman"/>
          <w:sz w:val="17"/>
          <w:szCs w:val="17"/>
          <w:color w:val="auto"/>
        </w:rPr>
        <w:t xml:space="preserve">. Alternatively, investors and stockholders may obtain free copies of documents that are filed or will be filed with the SEC by the Company, including the registration statement and the proxy statement/prospectus, on the Company’s website at </w:t>
      </w:r>
      <w:r>
        <w:rPr>
          <w:rFonts w:ascii="Times New Roman" w:cs="Times New Roman" w:eastAsia="Times New Roman" w:hAnsi="Times New Roman"/>
          <w:sz w:val="17"/>
          <w:szCs w:val="17"/>
          <w:u w:val="single" w:color="auto"/>
          <w:color w:val="auto"/>
        </w:rPr>
        <w:t>https://www.crc.com/investor-relations</w:t>
      </w:r>
      <w:r>
        <w:rPr>
          <w:rFonts w:ascii="Times New Roman" w:cs="Times New Roman" w:eastAsia="Times New Roman" w:hAnsi="Times New Roman"/>
          <w:sz w:val="17"/>
          <w:szCs w:val="17"/>
          <w:color w:val="auto"/>
        </w:rPr>
        <w:t xml:space="preserve">, and may obtain free copies of documents that are filed or will be filed with the SEC by Berry, including the proxy statement/prospectus, on Berry’s website at </w:t>
      </w:r>
      <w:r>
        <w:rPr>
          <w:rFonts w:ascii="Times New Roman" w:cs="Times New Roman" w:eastAsia="Times New Roman" w:hAnsi="Times New Roman"/>
          <w:sz w:val="17"/>
          <w:szCs w:val="17"/>
          <w:u w:val="single" w:color="auto"/>
          <w:color w:val="auto"/>
        </w:rPr>
        <w:t>https://ir.bry.com/reports-resources</w:t>
      </w:r>
      <w:r>
        <w:rPr>
          <w:rFonts w:ascii="Times New Roman" w:cs="Times New Roman" w:eastAsia="Times New Roman" w:hAnsi="Times New Roman"/>
          <w:sz w:val="17"/>
          <w:szCs w:val="17"/>
          <w:color w:val="auto"/>
        </w:rPr>
        <w:t>. The information included on, or accessible through, the Company’s or Berry’s website is not incorporated by reference into this communication.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and certain of its directors, executive officers and other employees, and Berry and its directors and certain of Berry’s executive officers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other employees, may be deemed to be participants in the solicitation of proxies from Berry’s stockholders in connection with the Berry Merger.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description of participants’ direct or indirect interests, by security holdings or otherwise, will be included in the proxy statement/prospectus relating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Berry Merger when it is filed with the SEC. Information regarding the Company’s directors and executive officers is contained in the “Board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Directors and Corporate Governance,” “Compensation Discussion and Analysis,” “Executive Compensation Tables,” “Director Compensation,”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Ownership Information,” and “Proposals Requiring Your Vote – Proposal 1: Election of Directors” sections of the Company’s definitive proxy statement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Company’s 2025 Annual Meeting of Stockholders, filed with the SEC on March 19, 2025; under the heading “Directors, Executive Officers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Corporate Governance” in Part III, Item 10 of the Company’s Annual Report on Form 10-K for the fiscal year ended December 31, 2024, filed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 on March 3, 2025; in Item 5.07 of the Company’s Current Report on Form 8-K filed with the SEC on May 6, 2025; in the Company’s Current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Reports on Form 8-K filed with the SEC on June 23, 2025 and November 25, 2024; and under “Our Team” accessed through the “Our Business” link on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the Company’s website at </w:t>
      </w:r>
      <w:r>
        <w:rPr>
          <w:rFonts w:ascii="Times New Roman" w:cs="Times New Roman" w:eastAsia="Times New Roman" w:hAnsi="Times New Roman"/>
          <w:sz w:val="17"/>
          <w:szCs w:val="17"/>
          <w:u w:val="single" w:color="auto"/>
          <w:color w:val="auto"/>
        </w:rPr>
        <w:t>https://www.crc.com/our-business/our-team</w:t>
      </w:r>
      <w:r>
        <w:rPr>
          <w:rFonts w:ascii="Times New Roman" w:cs="Times New Roman" w:eastAsia="Times New Roman" w:hAnsi="Times New Roman"/>
          <w:sz w:val="17"/>
          <w:szCs w:val="17"/>
          <w:color w:val="auto"/>
        </w:rPr>
        <w:t>. Information regarding Berry’s directors and executive officers is contained in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“Proposal No. 1—Election of Directors,” “Corporate Governance,” “Executive Officers,” “Executive Compensation – Compensation Discussion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Analysis,” “Director Compensation,” “Security Ownership of Certain Beneficial Owners and Management,” and “Certain Relationships and 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Transactions” sections of Berry’s definitive proxy statement for its 2025 annual meeting of stockholders, filed with the SEC on April 7,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heading “Directors, Executive Officers and Corporate Governance” in Part III, Item 10 of Berry’s Annual Report on Form 10-K for the fiscal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year ended December 31, 2024, filed with the SEC on March 13, 2025; in Item 5.07 of Berry’s Current Report on Form 8-K filed with the SEC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May 22, 2025; in Berry’s Current Reports on Form 8-K filed with the SEC on January 22, 2025 and October 25, 2024; and under “Leadership” accessed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through the “About” link on Berry’s website at </w:t>
      </w:r>
      <w:r>
        <w:rPr>
          <w:rFonts w:ascii="Times New Roman" w:cs="Times New Roman" w:eastAsia="Times New Roman" w:hAnsi="Times New Roman"/>
          <w:sz w:val="17"/>
          <w:szCs w:val="17"/>
          <w:u w:val="single" w:color="auto"/>
          <w:color w:val="auto"/>
        </w:rPr>
        <w:t>https://bry.com/about/management/</w:t>
      </w:r>
      <w:r>
        <w:rPr>
          <w:rFonts w:ascii="Times New Roman" w:cs="Times New Roman" w:eastAsia="Times New Roman" w:hAnsi="Times New Roman"/>
          <w:sz w:val="17"/>
          <w:szCs w:val="17"/>
          <w:color w:val="auto"/>
        </w:rPr>
        <w:t>. Additional information regarding ownership of Berry’s securities by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its directors and executive officers and of the Company’s securities by its directors and executive officers is included in such persons’ SEC filings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Forms 3, 4 or 5, which are available at </w:t>
      </w:r>
      <w:r>
        <w:rPr>
          <w:rFonts w:ascii="Times New Roman" w:cs="Times New Roman" w:eastAsia="Times New Roman" w:hAnsi="Times New Roman"/>
          <w:sz w:val="18"/>
          <w:szCs w:val="18"/>
          <w:u w:val="single" w:color="auto"/>
          <w:color w:val="auto"/>
        </w:rPr>
        <w:t>https://www.sec.gov/cgi-bin/own-disp?action=getissuer&amp;CIK=0001705873</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https://www.sec.gov/cgi-bin/own-disp?action=getissuer&amp;CIK=0001609253</w:t>
      </w:r>
      <w:r>
        <w:rPr>
          <w:rFonts w:ascii="Times New Roman" w:cs="Times New Roman" w:eastAsia="Times New Roman" w:hAnsi="Times New Roman"/>
          <w:sz w:val="18"/>
          <w:szCs w:val="18"/>
          <w:color w:val="auto"/>
        </w:rPr>
        <w:t>, respectively. These documents and the other SEC filings described in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paragraph may be obtained free of charge as described above under the heading “Additional Information and Where to Find It.”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in connection with the Berry Merger shall be made except by means of a prospectus meeting the requirements of Section 10 of the Securities Act of 1933, as amended.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 Contacts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Joanna Park (Investor Relations )</w:t>
      </w:r>
    </w:p>
    <w:p>
      <w:pPr>
        <w:spacing w:after="0" w:line="27" w:lineRule="exact"/>
        <w:rPr>
          <w:sz w:val="20"/>
          <w:szCs w:val="20"/>
          <w:color w:val="auto"/>
        </w:rPr>
      </w:pPr>
    </w:p>
    <w:p>
      <w:pPr>
        <w:ind w:left="4" w:right="9360" w:hanging="4"/>
        <w:spacing w:after="0" w:line="260" w:lineRule="auto"/>
        <w:tabs>
          <w:tab w:leader="none" w:pos="4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661-3731 </w:t>
      </w:r>
      <w:r>
        <w:rPr>
          <w:rFonts w:ascii="Times New Roman" w:cs="Times New Roman" w:eastAsia="Times New Roman" w:hAnsi="Times New Roman"/>
          <w:sz w:val="18"/>
          <w:szCs w:val="18"/>
          <w:u w:val="single" w:color="auto"/>
          <w:color w:val="auto"/>
        </w:rPr>
        <w:t>Joanna.Park@crc.com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Daniel Juck (Investor Relations)</w:t>
      </w:r>
    </w:p>
    <w:p>
      <w:pPr>
        <w:spacing w:after="0" w:line="27" w:lineRule="exact"/>
        <w:rPr>
          <w:sz w:val="20"/>
          <w:szCs w:val="20"/>
          <w:color w:val="auto"/>
        </w:rPr>
      </w:pPr>
    </w:p>
    <w:p>
      <w:pPr>
        <w:jc w:val="center"/>
        <w:ind w:left="4" w:right="9380" w:hanging="4"/>
        <w:spacing w:after="0" w:line="260" w:lineRule="auto"/>
        <w:tabs>
          <w:tab w:leader="none" w:pos="4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661-6045 </w:t>
      </w:r>
      <w:r>
        <w:rPr>
          <w:rFonts w:ascii="Times New Roman" w:cs="Times New Roman" w:eastAsia="Times New Roman" w:hAnsi="Times New Roman"/>
          <w:sz w:val="18"/>
          <w:szCs w:val="18"/>
          <w:u w:val="single" w:color="auto"/>
          <w:color w:val="auto"/>
        </w:rPr>
        <w:t>Daniel.Juck@crc.com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Hailey Bonus (Media)</w:t>
      </w:r>
    </w:p>
    <w:p>
      <w:pPr>
        <w:spacing w:after="0" w:line="27" w:lineRule="exact"/>
        <w:rPr>
          <w:sz w:val="20"/>
          <w:szCs w:val="20"/>
          <w:color w:val="auto"/>
        </w:rPr>
      </w:pPr>
    </w:p>
    <w:p>
      <w:pPr>
        <w:ind w:left="4" w:right="9280" w:hanging="4"/>
        <w:spacing w:after="0" w:line="290" w:lineRule="auto"/>
        <w:tabs>
          <w:tab w:leader="none" w:pos="43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874-7732 </w:t>
      </w:r>
      <w:r>
        <w:rPr>
          <w:rFonts w:ascii="Times New Roman" w:cs="Times New Roman" w:eastAsia="Times New Roman" w:hAnsi="Times New Roman"/>
          <w:sz w:val="17"/>
          <w:szCs w:val="17"/>
          <w:u w:val="single" w:color="auto"/>
          <w:color w:val="auto"/>
        </w:rPr>
        <w:t>Hailey.Bonus@crc.com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California Resources Corporation</w:t>
      </w:r>
    </w:p>
    <w:p>
      <w:pPr>
        <w:sectPr>
          <w:pgSz w:w="11900" w:h="16838" w:orient="portrait"/>
          <w:cols w:equalWidth="0" w:num="1">
            <w:col w:w="10984"/>
          </w:cols>
          <w:pgMar w:left="436" w:top="266" w:right="4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Memorandum Excerpts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 the purposes of this Exhibit: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means Aera Energy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Companies” means Aera Energy LLC and its operating affiliate Aera Energy Services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“Aera Merger” means the business combination of California Resources Corporation with the Aera Companies in an all-stock transaction.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“Berry” means Berry Corporation (bry).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“Berry Merger” means the business combination of California Resources Corporation with Berry in an all-stock transaction.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“CRC,” the “Company,” “we,” “us,” “our” or similar terms refer to California Resources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“GAAP” means U.S.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“NGL” means natural gas liquid.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“PSC” means production-sharing contracts.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“PSU” means performance stock unit.</w:t>
      </w:r>
    </w:p>
    <w:p>
      <w:pPr>
        <w:spacing w:after="0" w:line="225"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means the Credit Agreement, dated as of April 26, 2023, between CRC, Citibank, N.A., as administrative agent, collateral agent, and issuing bank, and the several lenders party thereto, as amended.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“RSU” means restricted stock unit.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“Unrestricted Subsidiaries” means certain of CRC’s subsidiaries that do not guarantee CRC’s outstanding senior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and for the six months ended June 30, 2025, and assuming the addition of all of Berry’s subsidiaries as guarantors concurrent with the closing of the Berry Merger, our subsidiaries that do not guarantee our Revolving Credit Facility accounted for approximately 7% of our pro forma property, plant and equipment, net, 9% of our pro forma average daily net production, 8% of our pro forma total operating revenues and 1% of our pro forma adjusted EBITDAX. As of and for the year ended December 31, 2024, and assuming the addition of all of Berry’s subsidiaries as guarantors concurrent with the closing of the Berry Merger, our subsidiaries that do not guarantee our Revolving Credit Facility accounted for approximately 11% of our pro forma average daily net production, 10% of our pro forma total operating revenues and 5% of our pro forma adjusted EBITDAX. In addition, our subsidiaries that do not guarantee our Revolving Credit Facility will have no long-term indebtedness.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of and for the six months ended June 30, 2025, and assuming the addition of all of Berry’s subsidiaries as guarantors concurrent with the closing of the Berry Merger, our Unrestricted Subsidiaries accounted for approximately 1% of our pro forma property, plant and equipment, net, none of our pro forma net production volumes, none of our pro forma total operating revenues and negative 4% of our pro forma adjusted EBITDAX due to operating losses. As of and for the year ended December 31, 2024, and assuming the addition of all of Berry’s subsidiaries as guarantors concurrent with the closing of the Berry Merger, our Unrestricted Subsidiaries did not account for any of our pro forma average daily net production or our total pro forma total operating revenues and did account for approximately negative 5% of our pro forma adjusted EBITDAX due to operating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5"/>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8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NGL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4,960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(1,437)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Supplementary Data (unaudited):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EBITDAX</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1,640</w:t>
            </w:r>
          </w:p>
        </w:tc>
        <w:tc>
          <w:tcPr>
            <w:tcW w:w="0" w:type="dxa"/>
            <w:vAlign w:val="bottom"/>
          </w:tcPr>
          <w:p>
            <w:pPr>
              <w:spacing w:after="0"/>
              <w:rPr>
                <w:sz w:val="1"/>
                <w:szCs w:val="1"/>
                <w:color w:val="auto"/>
              </w:rPr>
            </w:pPr>
          </w:p>
        </w:tc>
      </w:tr>
      <w:tr>
        <w:trPr>
          <w:trHeight w:val="355"/>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EBITDAX is a non-GAAP financial measure.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a non-GAAP financial measure.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reconciliation of the GAAP financial measures of net income and net cash provided by operating activities to the non-GAAP financial measure of adjusted EBITDAX.</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280" w:type="dxa"/>
            <w:vAlign w:val="bottom"/>
          </w:tcPr>
          <w:p>
            <w:pPr>
              <w:spacing w:after="0"/>
              <w:rPr>
                <w:sz w:val="15"/>
                <w:szCs w:val="15"/>
                <w:color w:val="auto"/>
              </w:rPr>
            </w:pPr>
          </w:p>
        </w:tc>
        <w:tc>
          <w:tcPr>
            <w:tcW w:w="17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Historical Berry</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1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w:t>
            </w:r>
          </w:p>
        </w:tc>
        <w:tc>
          <w:tcPr>
            <w:tcW w:w="48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2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derivative gain</w:t>
            </w: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impairment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2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46"/>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3" w:right="4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3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73"/>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9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$ 652</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121</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$ 773</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$ 351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$ 432</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31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(14)</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3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31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73"/>
              </w:rPr>
              <w:t>— </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3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73"/>
              </w:rPr>
              <w:t>— 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194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73"/>
              </w:rPr>
              <w:t>— </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31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$ 652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$ 773</w:t>
            </w:r>
          </w:p>
        </w:tc>
      </w:tr>
      <w:tr>
        <w:trPr>
          <w:trHeight w:val="20"/>
        </w:trPr>
        <w:tc>
          <w:tcPr>
            <w:tcW w:w="4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Berry</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derivative gain</w:t>
            </w: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867</w:t>
            </w:r>
          </w:p>
        </w:tc>
        <w:tc>
          <w:tcPr>
            <w:tcW w:w="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costs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 costs</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 cash portion</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on debt retirement – cash portion</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Pro Forma CRC</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Historical Berry</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300" w:type="dxa"/>
            <w:vAlign w:val="bottom"/>
          </w:tcPr>
          <w:p>
            <w:pPr>
              <w:spacing w:after="0"/>
              <w:rPr>
                <w:sz w:val="12"/>
                <w:szCs w:val="12"/>
                <w:color w:val="auto"/>
              </w:rPr>
            </w:pPr>
          </w:p>
        </w:tc>
        <w:tc>
          <w:tcPr>
            <w:tcW w:w="18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73"/>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Pr>
          <w:p>
            <w:pPr>
              <w:spacing w:after="0"/>
              <w:rPr>
                <w:sz w:val="18"/>
                <w:szCs w:val="18"/>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derivative gain</w:t>
            </w:r>
          </w:p>
        </w:tc>
        <w:tc>
          <w:tcPr>
            <w:tcW w:w="1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impairment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4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10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1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46"/>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6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8"/>
                <w:szCs w:val="18"/>
                <w:color w:val="auto"/>
              </w:rPr>
            </w:pPr>
          </w:p>
        </w:tc>
        <w:tc>
          <w:tcPr>
            <w:tcW w:w="13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1,439</w:t>
            </w:r>
          </w:p>
        </w:tc>
        <w:tc>
          <w:tcPr>
            <w:tcW w:w="4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$210</w:t>
            </w: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w:t>
            </w: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106</w:t>
            </w:r>
          </w:p>
        </w:tc>
        <w:tc>
          <w:tcPr>
            <w:tcW w:w="18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18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 – cash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on debt retirement – cash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1,439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291</w:t>
            </w:r>
          </w:p>
        </w:tc>
        <w:tc>
          <w:tcPr>
            <w:tcW w:w="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2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Aera Companies’ historical results for the period from January 1, 2024 through June 30, 2024 and related transaction accounting and financing adjustments associated with CRC’s business combination with the Aera Companies completed on July 1, 2024, as presented below:</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CRC</w:t>
            </w:r>
          </w:p>
        </w:tc>
        <w:tc>
          <w:tcPr>
            <w:tcW w:w="80" w:type="dxa"/>
            <w:vAlign w:val="bottom"/>
          </w:tcPr>
          <w:p>
            <w:pPr>
              <w:spacing w:after="0"/>
              <w:rPr>
                <w:sz w:val="15"/>
                <w:szCs w:val="15"/>
                <w:color w:val="auto"/>
              </w:rPr>
            </w:pP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Aera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4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400" w:type="dxa"/>
            <w:vAlign w:val="bottom"/>
          </w:tcPr>
          <w:p>
            <w:pPr>
              <w:spacing w:after="0"/>
              <w:rPr>
                <w:sz w:val="10"/>
                <w:szCs w:val="10"/>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2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Exploration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Unusual, infrequent and other items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derivative (gain)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impairment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Severance and termination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payments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Exploration expenditures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changes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received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EBITDAX</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tables present a reconciliation of net cash provided by operating activities to free cash flow.</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88" w:right="439"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Historical Berry</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top w:val="single" w:sz="8" w:color="auto"/>
            </w:tcBorders>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12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7"/>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investments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Integration and transaction fees</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after special items</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134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00" w:type="dxa"/>
            <w:vAlign w:val="bottom"/>
          </w:tcPr>
          <w:p>
            <w:pPr>
              <w:spacing w:after="0"/>
              <w:rPr>
                <w:sz w:val="24"/>
                <w:szCs w:val="24"/>
                <w:color w:val="auto"/>
              </w:rPr>
            </w:pPr>
          </w:p>
        </w:tc>
        <w:tc>
          <w:tcPr>
            <w:tcW w:w="10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6"/>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3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Berry</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6"/>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8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gridSpan w:val="7"/>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7"/>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6"/>
          </w:tcPr>
          <w:p>
            <w:pPr>
              <w:jc w:val="center"/>
              <w:ind w:right="22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40" w:type="dxa"/>
            <w:vAlign w:val="bottom"/>
            <w:gridSpan w:val="6"/>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10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2"/>
                <w:szCs w:val="12"/>
                <w:color w:val="auto"/>
              </w:rPr>
            </w:pPr>
          </w:p>
        </w:tc>
        <w:tc>
          <w:tcPr>
            <w:tcW w:w="960" w:type="dxa"/>
            <w:vAlign w:val="bottom"/>
            <w:gridSpan w:val="7"/>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940" w:type="dxa"/>
            <w:vAlign w:val="bottom"/>
            <w:gridSpan w:val="5"/>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6"/>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investments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center"/>
              <w:ind w:left="156"/>
              <w:spacing w:after="0"/>
              <w:rPr>
                <w:sz w:val="20"/>
                <w:szCs w:val="20"/>
                <w:color w:val="auto"/>
              </w:rPr>
            </w:pPr>
            <w:r>
              <w:rPr>
                <w:rFonts w:ascii="Times New Roman" w:cs="Times New Roman" w:eastAsia="Times New Roman" w:hAnsi="Times New Roman"/>
                <w:sz w:val="18"/>
                <w:szCs w:val="18"/>
                <w:color w:val="auto"/>
                <w:w w:val="99"/>
              </w:rPr>
              <w:t>(43)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9"/>
              </w:rPr>
              <w:t>69</w:t>
            </w:r>
          </w:p>
        </w:tc>
        <w:tc>
          <w:tcPr>
            <w:tcW w:w="3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Integration and transaction fees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after special items</w:t>
            </w: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9"/>
              </w:rPr>
              <w:t>69</w:t>
            </w:r>
          </w:p>
        </w:tc>
        <w:tc>
          <w:tcPr>
            <w:tcW w:w="7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 Forma CRC</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 Berry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5"/>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600" w:type="dxa"/>
            <w:vAlign w:val="bottom"/>
            <w:gridSpan w:val="3"/>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investments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2"/>
              </w:rPr>
              <w:t>(322)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Integration and transaction fees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after special items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600" w:type="dxa"/>
            <w:vAlign w:val="bottom"/>
            <w:gridSpan w:val="3"/>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12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Aera Companies’ historical results for the period from January 1, 2024 through June 30, 2024 and related transaction accounting and financing adjustments associated with CRC’s business combination with the Aera Companies completed on July 1, 2024, as presented below:</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8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 Aera</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4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4"/>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Twelve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Disposals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investments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Integration and transaction fees</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after special items</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3" w:right="43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2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r>
      <w:tr>
        <w:trPr>
          <w:trHeight w:val="142"/>
        </w:trPr>
        <w:tc>
          <w:tcPr>
            <w:tcW w:w="87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CRC</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Berry</w:t>
            </w: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2"/>
                <w:szCs w:val="12"/>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Average Daily Net Production:</w:t>
            </w: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(MBbl/d)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(MBbl/d)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(MMcf/d)</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production (MBoe/d)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realized prices: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hedge ($/Bbl)</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$69.39</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69.08</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hedge ($/Bbl)</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69.34</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65.44</w:t>
            </w: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68.68</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NGLs ($/Bbl)</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48.60</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47.89</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($/Mcf)</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benchmark prices: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Brent oil ($/Bbl)</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$70.84</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$70.81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70.84</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WTI oil ($/Bbl)</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67.58</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67.58</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NYMEX gas ($/MMBtu)</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costs per Boe: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$24.90</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8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Operating costs, excluding effects of PSC-type contracts</w:t>
            </w:r>
            <w:r>
              <w:rPr>
                <w:rFonts w:ascii="Times New Roman" w:cs="Times New Roman" w:eastAsia="Times New Roman" w:hAnsi="Times New Roman"/>
                <w:sz w:val="25"/>
                <w:szCs w:val="25"/>
                <w:color w:val="auto"/>
                <w:vertAlign w:val="superscript"/>
              </w:rPr>
              <w:t>(1)</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$23.80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2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excluding effects of PSCs is a non-GAAP measure. The reporting of our PSC-type contracts creates a difference between reported operating costs, which are for the full field, and reported volumes, which are only our net share, inflating the per barrel production costs. These amounts represent our operating costs after adjusting for this difference. Berry does not have any PSC-type contracts.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As of September 19, 2025, we had $251 million of available cash and cash equivalents (excluding $15 million of restricted cash) and no borrowings under our Revolving Credit Facility. As of September 19, 2025, Berry had $37 million of available cash and cash equivalents (excluding an insignificant amount of restricted cash) and $428 million of Existing Berry Indebtedness.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condensed combined financial statements of CRC and the historical condensed combined financial statements of Berry, respectively, and gives effect to (i) the merger, (ii) the extinguishment of Berry’s outstanding debt, (iii) the issuance of new debt, and (iv) the 2024 acquisition of the Aera Companies, described below, (collectively, the “pro forma events”). The unaudited pro forma condensed combined financial information was prepared in accordance with Article 11 of Regulation S-X.</w:t>
      </w:r>
    </w:p>
    <w:p>
      <w:pPr>
        <w:spacing w:after="0" w:line="183"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On September 14, 2025, CRC entered into a merger agreement with Berry, pursuant to which CRC will acquire Berry for approximately 5.8 million shares of its common stock (subject to customary adjustments in the event of stock splits, dividends paid in stock and similar items). Upon the closing of the merger, we expect to terminate and repay any outstanding indebtedness under Berry’s senior secured term loan credit agreement and its senior secured revolving credit agreement. Each party will pay its own expenses incident to preparing for, entering into and carrying out the merger agreement and the consummation of the merger and the stock issuance. In the event the merger is terminated by Berry for a superior proposal, a termination fee is payable in connection with such termination.</w:t>
      </w:r>
    </w:p>
    <w:p>
      <w:pPr>
        <w:spacing w:after="0" w:line="187"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giving effect to the pro forma events has been prepared by CRC using the acquisition method of accounting in accordance with U.S. Generally Accepted Accounting Principles (“GAAP”). CRC has been treated as the acquirer for accounting purposes, and thus accounts for the merger as a business combination in accordance with Accounting Standards Codification Topic 805, Business Combinations (“ASC 805”). The valuations of the assets acquired, and liabilities assumed, and therefore the purchase price allocations, are preliminary and have not yet been finalized as of the date of this offering memorandum. As a result of the foregoing, the pro forma adjustments are preliminary and have been made solely for the purpose of providing unaudited pro forma condensed combined financial information.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36" w:name="page37"/>
    <w:bookmarkEnd w:id="36"/>
    <w:p>
      <w:pPr>
        <w:ind w:right="1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July 1, 2024, CRC completed the acquisition of the Aera Companies as contemplated by the merger agreement described in the Current Report on Form 8-K, filed by CRC on February 9, 2024. The impact of the Aera Merger is included in CRC’s historical condensed combined financial statements as of and for the six months ended June 30, 2025; as such, no adjustments have been applied to these financial statements on a pro forma basis.</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Berry Merger as if it had occurred as of June 30, 2025. The unaudited pro forma condensed combined statements of operations for the year ended December 31, 2024 and for six months ended June 30, 2025 give effect to the pro forma events as if they had occurred on January 1, 2024 (where the financial results for the Aera Companies during the period January 1, 2024 through June 30, 2024 is included with CRC’s financial results for the twelve months ended December 31, 2024 on a pro forma basis).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and the unaudited pro forma condensed combined statements of operations have been derived from and should be read in conjunction with the following financial statements:</w:t>
      </w:r>
    </w:p>
    <w:p>
      <w:pPr>
        <w:spacing w:after="0" w:line="67"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condensed combined financial statements of CRC as of and for the year ended December 31,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combined financial statements of CRC as of and for the six months ended June 30,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condensed combined financial statements of Berry as of and for the year ended December 31,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combined financial statements of Berry as of and for the six months ended June 30, 2025; and</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and combined financial statements of the Aera Companies as of and for the six months ended June 30, 2024.</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contain certain reclassification adjustments to conform the historical financial statement presentation of the Aera Companies and Berry to that of CRC.</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CRC purchased services from Berry during the year ended December 31, 2024 in the amount of $6 million and during the six months ended June 30, 2025 in the amount of $5 million. CRC sold natural gas to and purchased natural gas from the Aera Companies during the six months ended June 30, 2024 in the amounts of $1 million and $1 million, respectively. As such, adjustments were applied to the unaudited pro forma condensed combined statements of operations to remove this activity, which would be considered intercompany activity and be eliminated upon consolidation.</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combined balance sheet and the unaudited pro forma condensed combined statements of operations.</w:t>
      </w:r>
    </w:p>
    <w:p>
      <w:pPr>
        <w:spacing w:after="0" w:line="17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pro forma events occurred on the dates assumed. The unaudited pro forma condensed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mergers and any associated costs that may be required to be incurred to achieve those synergies. The unaudited pro forma condensed combined statements of operations also exclude the effects of costs of integration activities that may result from the mergers. The unaudited pro forma condensed combined statements of operations and balance sheet should be read in conjunction with “Management’s Discussion and Analysis of Financial Condition and Results of Operations” included in CRC’s Annual Report on Form 10-K for the year ended December 31, 2024.</w:t>
      </w:r>
    </w:p>
    <w:p>
      <w:pPr>
        <w:spacing w:after="0" w:line="194"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CRC has used currently available information to determine preliminary fair value estimates for the stock consideration and its allocation to the Berry assets acquired and liabilities assumed.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CRC</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Berry</w:t>
            </w:r>
          </w:p>
        </w:tc>
        <w:tc>
          <w:tcPr>
            <w:tcW w:w="100" w:type="dxa"/>
            <w:vAlign w:val="bottom"/>
          </w:tcPr>
          <w:p>
            <w:pPr>
              <w:spacing w:after="0"/>
              <w:rPr>
                <w:sz w:val="13"/>
                <w:szCs w:val="13"/>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600" w:type="dxa"/>
            <w:vAlign w:val="bottom"/>
          </w:tcPr>
          <w:p>
            <w:pPr>
              <w:spacing w:after="0"/>
              <w:rPr>
                <w:sz w:val="13"/>
                <w:szCs w:val="13"/>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w:t>
            </w: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5"/>
                <w:szCs w:val="15"/>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  $</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affiliate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445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445</w:t>
            </w: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7,766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1,428</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(819)</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445</w:t>
            </w: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7,766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 shares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CRC</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Berry (as</w:t>
            </w:r>
          </w:p>
        </w:tc>
        <w:tc>
          <w:tcPr>
            <w:tcW w:w="10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70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60" w:type="dxa"/>
            <w:vAlign w:val="bottom"/>
          </w:tcPr>
          <w:p>
            <w:pPr>
              <w:spacing w:after="0"/>
              <w:rPr>
                <w:sz w:val="13"/>
                <w:szCs w:val="13"/>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services</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(BB)</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8"/>
        </w:trPr>
        <w:tc>
          <w:tcPr>
            <w:tcW w:w="3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Costs related to marketing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purchased commodities</w:t>
            </w:r>
          </w:p>
        </w:tc>
        <w:tc>
          <w:tcPr>
            <w:tcW w:w="1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Electricity generation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Transportation costs</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3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(gain) loss on natural gas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derivatives</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asset divestitures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income</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(FF)</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of early extinguishment of debt</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from investment in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unconsolidated subsidiaries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(EE)</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CRC</w:t>
            </w:r>
          </w:p>
        </w:tc>
        <w:tc>
          <w:tcPr>
            <w:tcW w:w="10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Berry (as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Financing</w:t>
            </w:r>
          </w:p>
        </w:tc>
        <w:tc>
          <w:tcPr>
            <w:tcW w:w="660" w:type="dxa"/>
            <w:vAlign w:val="bottom"/>
          </w:tcPr>
          <w:p>
            <w:pPr>
              <w:spacing w:after="0"/>
              <w:rPr>
                <w:sz w:val="13"/>
                <w:szCs w:val="13"/>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(DD)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(DD)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Costs of services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General &amp; administrative</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Marketing expenses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(BB)</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98"/>
        </w:trPr>
        <w:tc>
          <w:tcPr>
            <w:tcW w:w="33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Costs related to marketing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purchased commodities</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Electricity generation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Transportation costs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Accretion expense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8"/>
        </w:trPr>
        <w:tc>
          <w:tcPr>
            <w:tcW w:w="33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loss on natural gas purchase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Carbon management business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 costs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3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(income), net</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(GG)</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(HH)</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gain on asset divestitures</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income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and debt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(CC)</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(FF)</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8"/>
        </w:trPr>
        <w:tc>
          <w:tcPr>
            <w:tcW w:w="33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Loss on early extinguishment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Loss from investment in</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unconsolidated subsidiaries</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(EE)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(EE)</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94"/>
        </w:trPr>
        <w:tc>
          <w:tcPr>
            <w:tcW w:w="3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4"/>
        </w:trPr>
        <w:tc>
          <w:tcPr>
            <w:tcW w:w="3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346"/>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0" w:name="page41"/>
    <w:bookmarkEnd w:id="40"/>
    <w:p>
      <w:pPr>
        <w:ind w:left="13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PRO FORMA CONDENSED COMBINED FINANCIAL 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in accordance with Article 11 of Regulation S-X and presents the pro forma financial condition and results of operations of CRC based upon the historical financial information of CRC, Berry, and the Aera Companies after giving effect to the pro forma events and related adjustments set forth in the notes to the unaudited pro forma condensed combined financial information.</w:t>
      </w:r>
    </w:p>
    <w:p>
      <w:pPr>
        <w:spacing w:after="0" w:line="180" w:lineRule="exact"/>
        <w:rPr>
          <w:sz w:val="20"/>
          <w:szCs w:val="20"/>
          <w:color w:val="auto"/>
        </w:rPr>
      </w:pPr>
    </w:p>
    <w:p>
      <w:pPr>
        <w:ind w:left="4" w:right="9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management adjustments for expected synergies or dis-synergies of the merger.</w:t>
      </w:r>
    </w:p>
    <w:p>
      <w:pPr>
        <w:spacing w:after="0" w:line="16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pro forma events as if they had occurred on June 30, 2025. The unaudited pro forma condensed combined statements of operations for the year ended December 31, 2024, and for six months ended June 30, 2025 give effect to the pro forma events as if they had occurred on January 1, 2024.</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The Mergers</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On September 14, 2025, CRC entered into a merger agreement with Berry, pursuant to which CRC will acquire Berry for 5.8 million shares of common stock.</w:t>
      </w:r>
    </w:p>
    <w:p>
      <w:pPr>
        <w:spacing w:after="0" w:line="162"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On July 1, 2024, CRC completed the Aera Merger, as contemplated by the merger agreement described in the Current Report on Form 8-K, filed by CRC on February 9,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Financing of the Merger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total amount of funds necessary for CRC to close the merger includes the funds needed to extinguish the outstanding debt of Berry.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Notes to Unaudited Pro Forma Condensed Combined Balance Sheet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adjustments were made related to the unaudited pro forma condensed combined balance sheet as of June 30, 2025:</w:t>
      </w:r>
    </w:p>
    <w:p>
      <w:pPr>
        <w:spacing w:after="0" w:line="131"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Berry’s historical assets and liabilities to the financial statement presentation of CRC.</w:t>
      </w:r>
    </w:p>
    <w:p>
      <w:pPr>
        <w:spacing w:after="0" w:line="130"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Berry’s assets and liabilities at estimated fair value based on the consideration conveyed of $750 million, as detailed below, and to eliminate Berry’s historical equity balances.</w:t>
      </w:r>
    </w:p>
    <w:p>
      <w:pPr>
        <w:spacing w:after="0" w:line="53" w:lineRule="exact"/>
        <w:rPr>
          <w:rFonts w:ascii="Times New Roman" w:cs="Times New Roman" w:eastAsia="Times New Roman" w:hAnsi="Times New Roman"/>
          <w:sz w:val="18"/>
          <w:szCs w:val="18"/>
          <w:color w:val="auto"/>
        </w:rPr>
      </w:pPr>
    </w:p>
    <w:p>
      <w:pPr>
        <w:ind w:left="4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was allocated among the identified assets to be acquired. This was considered appropriate based on the determination that the merger would be accounted for as a business acquisition under ASC 805. The estimates of fair value are based upon preliminary valuation assumptions believed to be reasonable, but which are inherently uncertain and unpredictable; and, as a result, actual results may differ from estimates. There can be no assurances that the valuations will not result in material changes to this purchase price allocation. In determining the preliminary estimate of fair values of assets acquired and liabilities assumed of Berry, CRC used publicly available benchmarking information as well as a variety of other assumptions, including market participant assumptions, to determine that substantially all of the purchase price adjustments would impact reserves. The pro forma purchase price allocation relating to the merger is preliminary and subject to change, as additional information becomes available and as additional analyses are performed. Any increase or decrease in fair values of the net assets as compared with the unaudited pro forma condensed combined financial information may change the amount of the total acquisition consideration allocated to reserves and may impact the Unaudited Pro Forma Condensed Combined Statements of Operations due to adjustments in the expenses related to the adjusted assets.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41" w:name="page42"/>
    <w:bookmarkEnd w:id="41"/>
    <w:tbl>
      <w:tblPr>
        <w:tblLayout w:type="fixed"/>
        <w:tblInd w:w="1764"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Assets Identified</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640" w:type="dxa"/>
            <w:vAlign w:val="bottom"/>
            <w:gridSpan w:val="3"/>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(5)</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 (1)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property and equipment (1)</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 (6)</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(7)</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Value Conveyed</w:t>
            </w: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 (2)</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Berry’s outstanding debt (3)</w:t>
            </w: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of equity awards (4)</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settlement of equity awards (8)</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Berry’s principal assets are their oil and natural gas properties.</w:t>
      </w:r>
    </w:p>
    <w:p>
      <w:pPr>
        <w:spacing w:after="0" w:line="27"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consideration was provided in the form of CRC common stock and was calculated as the 5.8 million total shares to be issued, multiplied by $53.01, the closing price of shares of CRC common stock on September 12, 2025.</w:t>
      </w:r>
    </w:p>
    <w:p>
      <w:pPr>
        <w:ind w:left="424" w:right="20" w:hanging="424"/>
        <w:spacing w:after="0" w:line="265" w:lineRule="auto"/>
        <w:tabs>
          <w:tab w:leader="none" w:pos="4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purchase consideration provided in the form of common stock, $428 million of Berry’s outstanding long-term debt as of June 30, 2025 will be repaid. Berry’s outstanding debt will be repaid upon closing due to a change in control provision within their legacy debt agreement.</w:t>
      </w:r>
    </w:p>
    <w:p>
      <w:pPr>
        <w:ind w:left="424" w:right="20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consideration includes replacement of non-single trigger RSUs and PSUs of Berry with RSUs or common shares of CRC; these legacy Berry awards become fully vested due to the change in control.</w:t>
      </w: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cash and cash equivalents, Berry held an immaterial amount classified as restricted cash.</w:t>
      </w:r>
    </w:p>
    <w:p>
      <w:pPr>
        <w:spacing w:after="0" w:line="9"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preliminary assessment of tax attributes included in Berry’s historical deferred tax assets, it was determined that $76 million of tax credit carryforwards will be subject to an annual limitation since Berry will experience an ownership change in connection with the merger. These tax attributes are not expected to be recoverable in the future.</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issuance costs of $3 million related to Berry’s revolving debt facility were written off as this facility will be terminated due to a change in control provision within the legacy credit agreement.</w:t>
      </w:r>
    </w:p>
    <w:p>
      <w:pPr>
        <w:ind w:left="424" w:right="320" w:hanging="424"/>
        <w:spacing w:after="0" w:line="26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consideration includes $2 million related to the cash settlement of single trigger RSUs and PSUs of Berry; these legacy Berry awards become fully vested due to the change in control.</w:t>
      </w:r>
    </w:p>
    <w:p>
      <w:pPr>
        <w:spacing w:after="0" w:line="87" w:lineRule="exact"/>
        <w:rPr>
          <w:sz w:val="20"/>
          <w:szCs w:val="20"/>
          <w:color w:val="auto"/>
        </w:rPr>
      </w:pPr>
    </w:p>
    <w:p>
      <w:pPr>
        <w:jc w:val="both"/>
        <w:ind w:left="424" w:right="10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merger-related transaction costs are estimated to be $15 million, including certain legal, accounting, investment banking, due diligence, and other related costs. Approximately $1 million of transaction costs were incurred and accrued for on the balance sheet of CRC as of June 30, 2025. All transaction costs were unpaid as of June 30, 2025.</w:t>
      </w:r>
    </w:p>
    <w:p>
      <w:pPr>
        <w:spacing w:after="0" w:line="81" w:lineRule="exact"/>
        <w:rPr>
          <w:rFonts w:ascii="Times New Roman" w:cs="Times New Roman" w:eastAsia="Times New Roman" w:hAnsi="Times New Roman"/>
          <w:sz w:val="18"/>
          <w:szCs w:val="18"/>
          <w:color w:val="auto"/>
        </w:rPr>
      </w:pPr>
    </w:p>
    <w:p>
      <w:pPr>
        <w:ind w:left="424" w:right="78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balances between CRC and Berry that, following the merger, would be considered intercompany activity and eliminated upon consolidation.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accrual of $9 million for a retention bonus pool to be paid to certain employees of Berry.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reclassification entry to properly present both deferred tax assets and deferred tax liabilities of the combined entity by tax jurisdiction.</w:t>
      </w:r>
    </w:p>
    <w:p>
      <w:pPr>
        <w:spacing w:after="0" w:line="2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51" w:right="439" w:bottom="1440" w:gutter="0" w:footer="0" w:header="0"/>
        </w:sectPr>
      </w:pPr>
    </w:p>
    <w:bookmarkStart w:id="42" w:name="page43"/>
    <w:bookmarkEnd w:id="42"/>
    <w:p>
      <w:pPr>
        <w:ind w:left="424" w:right="22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issuance of debt in the amount of $400 million in new notes, net of debt issuance costs of $6 million, and an additional $51 million, which is expected to be drawn on CRC’s existing revolving credit facility.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Notes to Unaudited Pro Forma Condensed Combined Statement of Operations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adjustments were made to the unaudited pro forma condensed combined statements of operations:</w:t>
      </w:r>
    </w:p>
    <w:p>
      <w:pPr>
        <w:spacing w:after="0" w:line="13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Berry’s historical revenues and expenses to the financial statement presentation of CRC.</w:t>
      </w:r>
    </w:p>
    <w:p>
      <w:pPr>
        <w:spacing w:after="0" w:line="130" w:lineRule="exact"/>
        <w:rPr>
          <w:rFonts w:ascii="Times New Roman" w:cs="Times New Roman" w:eastAsia="Times New Roman" w:hAnsi="Times New Roman"/>
          <w:sz w:val="18"/>
          <w:szCs w:val="18"/>
          <w:color w:val="auto"/>
        </w:rPr>
      </w:pPr>
    </w:p>
    <w:p>
      <w:pPr>
        <w:ind w:left="424" w:right="100" w:hanging="424"/>
        <w:spacing w:after="0" w:line="312" w:lineRule="auto"/>
        <w:tabs>
          <w:tab w:leader="none" w:pos="4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estimated changes in pro forma depreciation, depletion, and amortization expense based on the preliminary purchase price allocation, resulting from the adjustment to basis associated with the property, plant, and equipment balance, which is related to proved oil and gas reserves.</w:t>
      </w:r>
    </w:p>
    <w:p>
      <w:pPr>
        <w:spacing w:after="0" w:line="45" w:lineRule="exact"/>
        <w:rPr>
          <w:rFonts w:ascii="Times New Roman" w:cs="Times New Roman" w:eastAsia="Times New Roman" w:hAnsi="Times New Roman"/>
          <w:sz w:val="17"/>
          <w:szCs w:val="17"/>
          <w:color w:val="auto"/>
        </w:rPr>
      </w:pPr>
    </w:p>
    <w:p>
      <w:pPr>
        <w:ind w:left="424" w:right="4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interest expense and amortization of debt issuance costs associated with the settlement of Berry’s outstanding debt, included in consideration as discussed at adjustment (B).</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activity between CRC and Berry that, following the merger, would be considered intercompany activity and eliminated upon consolidation.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taxes as a result of adjustments to the income statement, which was calculated using a blended U.S. federal and California statutory income tax rate of 28%.</w:t>
      </w:r>
    </w:p>
    <w:p>
      <w:pPr>
        <w:spacing w:after="0" w:line="67"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expense related to the issuance of new debt, as presented at adjustment (G). This adjustment also includes the amortization of estimated debt issuance costs of $6 million over the estimated term of the loan.</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transaction costs associated with the pro forma events, as presented at adjustment (C). This charge is not expected to recur in the twelve months following closing.</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compensation expense associated with a retention bonus pool, as presented at adjustment (E). This charge is not expected to recur in the twelve months following closing.</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pro forma statement of operations in the table below reflects CRC’s statement of operations for the twelve months ended December 31, 2024 adjusted for the Aera Merger as if it occurred on January 1, 2024. Transaction costs in the amount of $16 million are included in the historical results of the Aera Companies, and this is not expected to recur in the twelve months following closing. The following adjustments were made to the pro forma condensed combined statement of operations for the Aera Merger: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43" w:name="page44"/>
    <w:bookmarkEnd w:id="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Aera</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Companies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 reported for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the six months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20" w:type="dxa"/>
            <w:vAlign w:val="bottom"/>
          </w:tcPr>
          <w:p>
            <w:pPr>
              <w:spacing w:after="0"/>
              <w:rPr>
                <w:sz w:val="11"/>
                <w:szCs w:val="11"/>
                <w:color w:val="auto"/>
              </w:rPr>
            </w:pPr>
          </w:p>
        </w:tc>
        <w:tc>
          <w:tcPr>
            <w:tcW w:w="1060" w:type="dxa"/>
            <w:vAlign w:val="bottom"/>
            <w:gridSpan w:val="3"/>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CRC</w:t>
            </w:r>
          </w:p>
        </w:tc>
        <w:tc>
          <w:tcPr>
            <w:tcW w:w="96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June 30,</w:t>
            </w:r>
          </w:p>
        </w:tc>
        <w:tc>
          <w:tcPr>
            <w:tcW w:w="8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Presentation</w:t>
            </w:r>
          </w:p>
        </w:tc>
        <w:tc>
          <w:tcPr>
            <w:tcW w:w="460" w:type="dxa"/>
            <w:vAlign w:val="bottom"/>
          </w:tcPr>
          <w:p>
            <w:pPr>
              <w:spacing w:after="0"/>
              <w:rPr>
                <w:sz w:val="11"/>
                <w:szCs w:val="11"/>
                <w:color w:val="auto"/>
              </w:rPr>
            </w:pPr>
          </w:p>
        </w:tc>
        <w:tc>
          <w:tcPr>
            <w:tcW w:w="9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Adjustments -</w:t>
            </w:r>
          </w:p>
        </w:tc>
        <w:tc>
          <w:tcPr>
            <w:tcW w:w="4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w:t>
            </w:r>
          </w:p>
        </w:tc>
        <w:tc>
          <w:tcPr>
            <w:tcW w:w="4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9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100" w:type="dxa"/>
            <w:vAlign w:val="bottom"/>
          </w:tcPr>
          <w:p>
            <w:pPr>
              <w:spacing w:after="0"/>
              <w:rPr>
                <w:sz w:val="13"/>
                <w:szCs w:val="13"/>
                <w:color w:val="auto"/>
              </w:rPr>
            </w:pPr>
          </w:p>
        </w:tc>
        <w:tc>
          <w:tcPr>
            <w:tcW w:w="74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420" w:type="dxa"/>
            <w:vAlign w:val="bottom"/>
          </w:tcPr>
          <w:p>
            <w:pPr>
              <w:spacing w:after="0"/>
              <w:rPr>
                <w:sz w:val="13"/>
                <w:szCs w:val="13"/>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4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 Forma</w:t>
            </w:r>
          </w:p>
        </w:tc>
      </w:tr>
      <w:tr>
        <w:trPr>
          <w:trHeight w:val="183"/>
        </w:trPr>
        <w:tc>
          <w:tcPr>
            <w:tcW w:w="29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2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00" w:type="dxa"/>
            <w:vAlign w:val="bottom"/>
          </w:tcPr>
          <w:p>
            <w:pPr>
              <w:spacing w:after="0"/>
              <w:rPr>
                <w:sz w:val="17"/>
                <w:szCs w:val="17"/>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costs</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w:t>
            </w:r>
          </w:p>
        </w:tc>
        <w:tc>
          <w:tcPr>
            <w:tcW w:w="3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General &amp; administrative</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r>
      <w:tr>
        <w:trPr>
          <w:trHeight w:val="189"/>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depletion and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r>
      <w:tr>
        <w:trPr>
          <w:trHeight w:val="206"/>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Asset impairments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Taxes other than on income</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Purchased natural gas marketing</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Electricity generation expenses</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r>
      <w:tr>
        <w:trPr>
          <w:trHeight w:val="203"/>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Transportation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7"/>
                <w:szCs w:val="17"/>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Accretion expense</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w:t>
            </w:r>
          </w:p>
        </w:tc>
        <w:tc>
          <w:tcPr>
            <w:tcW w:w="3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Carbon management business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r>
      <w:tr>
        <w:trPr>
          <w:trHeight w:val="189"/>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loss on natural gas purchase</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derivatives</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r>
      <w:tr>
        <w:trPr>
          <w:trHeight w:val="205"/>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Measurement period adjustments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 (income), net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7"/>
                <w:szCs w:val="17"/>
                <w:color w:val="auto"/>
              </w:rPr>
            </w:pPr>
          </w:p>
        </w:tc>
      </w:tr>
      <w:tr>
        <w:trPr>
          <w:trHeight w:val="217"/>
        </w:trPr>
        <w:tc>
          <w:tcPr>
            <w:tcW w:w="2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94"/>
              </w:rPr>
              <w:t>2,589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00" w:type="dxa"/>
            <w:vAlign w:val="bottom"/>
          </w:tcPr>
          <w:p>
            <w:pPr>
              <w:spacing w:after="0"/>
              <w:rPr>
                <w:sz w:val="18"/>
                <w:szCs w:val="18"/>
                <w:color w:val="auto"/>
              </w:rPr>
            </w:pPr>
          </w:p>
        </w:tc>
      </w:tr>
      <w:tr>
        <w:trPr>
          <w:trHeight w:val="203"/>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gain on asset divestitures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91"/>
              </w:rPr>
              <w:t>620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7"/>
                <w:szCs w:val="17"/>
                <w:color w:val="auto"/>
              </w:rPr>
            </w:pPr>
          </w:p>
        </w:tc>
      </w:tr>
      <w:tr>
        <w:trPr>
          <w:trHeight w:val="20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Non-operating (expenses) income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and debt expenses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r>
      <w:tr>
        <w:trPr>
          <w:trHeight w:val="189"/>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early extinguishment of</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debt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189"/>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(Loss) income from investments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 unconsolidated subsidiaries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Income from equity investments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non-operating (expense)</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income,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91"/>
              </w:rPr>
              <w:t>516</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7"/>
                <w:szCs w:val="17"/>
                <w:color w:val="auto"/>
              </w:rPr>
            </w:pPr>
          </w:p>
        </w:tc>
      </w:tr>
      <w:tr>
        <w:trPr>
          <w:trHeight w:val="20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(F)</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r>
      <w:tr>
        <w:trPr>
          <w:trHeight w:val="18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Federal and state income tax</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(expense)/benefit</w:t>
            </w: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5"/>
        </w:trPr>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(G)</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91"/>
              </w:rPr>
              <w:t>376</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r>
      <w:tr>
        <w:trPr>
          <w:trHeight w:val="203"/>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7"/>
                <w:szCs w:val="17"/>
                <w:color w:val="auto"/>
              </w:rPr>
            </w:pPr>
          </w:p>
        </w:tc>
      </w:tr>
      <w:tr>
        <w:trPr>
          <w:trHeight w:val="187"/>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79.30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7"/>
                <w:szCs w:val="17"/>
                <w:color w:val="auto"/>
              </w:rPr>
            </w:pPr>
          </w:p>
        </w:tc>
      </w:tr>
      <w:tr>
        <w:trPr>
          <w:trHeight w:val="210"/>
        </w:trPr>
        <w:tc>
          <w:tcPr>
            <w:tcW w:w="2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81.40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ind w:left="424" w:right="76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certain reclassification adjustments to conform the Aera Companies’ historical revenues and expenses to the financial statement presentation of CRC.</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66" w:right="439" w:bottom="1440" w:gutter="0" w:footer="0" w:header="0"/>
        </w:sectPr>
      </w:pPr>
    </w:p>
    <w:bookmarkStart w:id="44" w:name="page45"/>
    <w:bookmarkEnd w:id="44"/>
    <w:p>
      <w:pPr>
        <w:ind w:left="424" w:right="160" w:hanging="424"/>
        <w:spacing w:after="0" w:line="261"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elimination of revenues and expenses associated with certain assets and associated liabilities, which were distributed prior to closing of the Aera Merger.</w:t>
      </w:r>
    </w:p>
    <w:p>
      <w:pPr>
        <w:ind w:left="424" w:right="40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changes in pro forma accretion expense and depreciation, depletion, and amortization expense based on the preliminary purchase price allocation.</w:t>
      </w:r>
    </w:p>
    <w:p>
      <w:pPr>
        <w:ind w:left="424" w:right="4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activity between CRC and the Aera Companies that, following the mergers, would be considered intercompany activity and eliminated upon consolidation.</w:t>
      </w:r>
    </w:p>
    <w:p>
      <w:pPr>
        <w:ind w:left="424" w:right="84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interest expense and amortization of debt issuance costs associated with the settlement of the Aera Companies’ outstanding debt.</w:t>
      </w:r>
    </w:p>
    <w:p>
      <w:pPr>
        <w:ind w:left="424" w:right="640"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tax status of the Aera Companies and certain of its subsidiaries, which were previously pass-through entities for tax purposes, to taxable entities; this impact was calculated using a blended U.S. federal and California statutory income tax rate of 28%.</w:t>
      </w:r>
    </w:p>
    <w:p>
      <w:pPr>
        <w:ind w:left="424" w:hanging="424"/>
        <w:spacing w:after="0" w:line="25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taxes as a result of adjustments to the income statement, which was calculated using a blended U.S. federal and California statutory income tax rate of 28%.</w:t>
      </w:r>
    </w:p>
    <w:p>
      <w:pPr>
        <w:ind w:left="424" w:right="24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expense related to the issuance of new debt. This adjustment also includes the amortization of debt issuance costs of $8 million over the estimated five-year period of the loan.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Unaudited Pro Forma Net Income Per Share</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 forma net income per share—basic and diluted</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(in millions except per share amounts)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$ 245</w:t>
            </w: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weighted-average number of shares outstanding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weighted-average number of shares outstanding –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 per share attributable to common shareholders:</w:t>
            </w:r>
          </w:p>
        </w:tc>
        <w:tc>
          <w:tcPr>
            <w:tcW w:w="110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4"/>
        </w:trPr>
        <w:tc>
          <w:tcPr>
            <w:tcW w:w="1760" w:type="dxa"/>
            <w:vAlign w:val="bottom"/>
          </w:tcPr>
          <w:p>
            <w:pPr>
              <w:spacing w:after="0"/>
              <w:rPr>
                <w:sz w:val="20"/>
                <w:szCs w:val="20"/>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414"/>
        </w:trPr>
        <w:tc>
          <w:tcPr>
            <w:tcW w:w="8140" w:type="dxa"/>
            <w:vAlign w:val="bottom"/>
            <w:gridSpan w:val="2"/>
          </w:tcPr>
          <w:p>
            <w:pPr>
              <w:jc w:val="right"/>
              <w:ind w:right="503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10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income - basic and 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$ 383</w:t>
            </w: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weighted-average number of shares outstanding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weighted-average number of shares outstanding –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176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 per share attributable to common shareholders:</w:t>
            </w:r>
          </w:p>
        </w:tc>
        <w:tc>
          <w:tcPr>
            <w:tcW w:w="110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4"/>
        </w:trPr>
        <w:tc>
          <w:tcPr>
            <w:tcW w:w="1760" w:type="dxa"/>
            <w:vAlign w:val="bottom"/>
          </w:tcPr>
          <w:p>
            <w:pPr>
              <w:spacing w:after="0"/>
              <w:rPr>
                <w:sz w:val="20"/>
                <w:szCs w:val="20"/>
                <w:color w:val="auto"/>
              </w:rPr>
            </w:pPr>
          </w:p>
        </w:tc>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468"/>
        </w:trPr>
        <w:tc>
          <w:tcPr>
            <w:tcW w:w="814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2"/>
    </w:lvl>
  </w:abstractNum>
  <w:abstractNum w:abstractNumId="4">
    <w:nsid w:val="41A7C4C9"/>
    <w:multiLevelType w:val="hybridMultilevel"/>
    <w:lvl w:ilvl="0">
      <w:lvlJc w:val="left"/>
      <w:lvlText w:val="(%1)"/>
      <w:numFmt w:val="lowerLetter"/>
      <w:start w:val="3"/>
    </w:lvl>
  </w:abstractNum>
  <w:abstractNum w:abstractNumId="5">
    <w:nsid w:val="6B68079A"/>
    <w:multiLevelType w:val="hybridMultilevel"/>
    <w:lvl w:ilvl="0">
      <w:lvlJc w:val="left"/>
      <w:lvlText w:val="(%1)"/>
      <w:numFmt w:val="lowerLetter"/>
      <w:start w:val="4"/>
    </w:lvl>
  </w:abstractNum>
  <w:abstractNum w:abstractNumId="6">
    <w:nsid w:val="4E6AFB66"/>
    <w:multiLevelType w:val="hybridMultilevel"/>
    <w:lvl w:ilvl="0">
      <w:lvlJc w:val="left"/>
      <w:lvlText w:val="(%1)"/>
      <w:numFmt w:val="lowerLetter"/>
      <w:start w:val="5"/>
    </w:lvl>
  </w:abstractNum>
  <w:abstractNum w:abstractNumId="7">
    <w:nsid w:val="25E45D32"/>
    <w:multiLevelType w:val="hybridMultilevel"/>
    <w:lvl w:ilvl="0">
      <w:lvlJc w:val="left"/>
      <w:lvlText w:val="(%1)"/>
      <w:numFmt w:val="lowerLetter"/>
      <w:start w:val="6"/>
    </w:lvl>
  </w:abstractNum>
  <w:abstractNum w:abstractNumId="8">
    <w:nsid w:val="519B500D"/>
    <w:multiLevelType w:val="hybridMultilevel"/>
    <w:lvl w:ilvl="0">
      <w:lvlJc w:val="left"/>
      <w:lvlText w:val="(%1)"/>
      <w:numFmt w:val="lowerLetter"/>
      <w:start w:val="7"/>
    </w:lvl>
  </w:abstractNum>
  <w:abstractNum w:abstractNumId="9">
    <w:nsid w:val="431BD7B7"/>
    <w:multiLevelType w:val="hybridMultilevel"/>
    <w:lvl w:ilvl="0">
      <w:lvlJc w:val="left"/>
      <w:lvlText w:val="(%1)"/>
      <w:numFmt w:val="decimal"/>
      <w:start w:val="60"/>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decimal"/>
      <w:start w:val="818"/>
    </w:lvl>
  </w:abstractNum>
  <w:abstractNum w:abstractNumId="12">
    <w:nsid w:val="257130A3"/>
    <w:multiLevelType w:val="hybridMultilevel"/>
    <w:lvl w:ilvl="0">
      <w:lvlJc w:val="left"/>
      <w:lvlText w:val="(%1)"/>
      <w:numFmt w:val="decimal"/>
      <w:start w:val="818"/>
    </w:lvl>
  </w:abstractNum>
  <w:abstractNum w:abstractNumId="13">
    <w:nsid w:val="62BBD95A"/>
    <w:multiLevelType w:val="hybridMultilevel"/>
    <w:lvl w:ilvl="0">
      <w:lvlJc w:val="left"/>
      <w:lvlText w:val="(%1)"/>
      <w:numFmt w:val="decimal"/>
      <w:start w:val="714"/>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upperLetter"/>
      <w:start w:val="3"/>
    </w:lvl>
  </w:abstractNum>
  <w:abstractNum w:abstractNumId="22">
    <w:nsid w:val="8EDBDAB"/>
    <w:multiLevelType w:val="hybridMultilevel"/>
    <w:lvl w:ilvl="0">
      <w:lvlJc w:val="left"/>
      <w:lvlText w:val="%1."/>
      <w:numFmt w:val="upperLetter"/>
      <w:start w:val="7"/>
    </w:lvl>
  </w:abstractNum>
  <w:abstractNum w:abstractNumId="23">
    <w:nsid w:val="79838CB2"/>
    <w:multiLevelType w:val="hybridMultilevel"/>
    <w:lvl w:ilvl="0">
      <w:lvlJc w:val="left"/>
      <w:lvlText w:val="%1."/>
      <w:numFmt w:val="upperLetter"/>
      <w:start w:val="27"/>
    </w:lvl>
  </w:abstractNum>
  <w:abstractNum w:abstractNumId="24">
    <w:nsid w:val="4353D0CD"/>
    <w:multiLevelType w:val="hybridMultilevel"/>
    <w:lvl w:ilvl="0">
      <w:lvlJc w:val="left"/>
      <w:lvlText w:val="(%1)"/>
      <w:numFmt w:val="upperLetter"/>
      <w:start w:val="1"/>
    </w:lvl>
  </w:abstractNum>
  <w:abstractNum w:abstractNumId="25">
    <w:nsid w:val="B03E0C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2025-09-24T07:25:59Z</dcterms:created>
  <dcterms:modified xsi:type="dcterms:W3CDTF">2025-09-24T07:25:59Z</dcterms:modified>
</cp:coreProperties>
</file>