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2,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 2026, California Resources Corporation (the “Company”) issued a press release announcing its financial condition and results of operations for the fiscal year ended December 31, 2025.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80" w:type="dxa"/>
            <w:vAlign w:val="bottom"/>
          </w:tcPr>
          <w:p>
            <w:pPr>
              <w:spacing w:after="0"/>
              <w:rPr>
                <w:sz w:val="20"/>
                <w:szCs w:val="20"/>
                <w:color w:val="auto"/>
              </w:rPr>
            </w:pPr>
          </w:p>
        </w:tc>
      </w:tr>
      <w:tr>
        <w:trPr>
          <w:trHeight w:val="493"/>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7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March 2, 2026, issued by California Resources Corporation.</w:t>
            </w:r>
          </w:p>
        </w:tc>
      </w:tr>
    </w:tbl>
    <w:p>
      <w:pPr>
        <w:spacing w:after="0" w:line="62" w:lineRule="exact"/>
        <w:rPr>
          <w:sz w:val="20"/>
          <w:szCs w:val="20"/>
          <w:color w:val="auto"/>
        </w:rPr>
      </w:pPr>
    </w:p>
    <w:p>
      <w:pPr>
        <w:ind w:left="2440" w:hanging="1351"/>
        <w:spacing w:after="0"/>
        <w:tabs>
          <w:tab w:leader="none" w:pos="2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2026</w:t>
      </w:r>
    </w:p>
    <w:p>
      <w:pPr>
        <w:sectPr>
          <w:pgSz w:w="11900" w:h="16838" w:orient="portrait"/>
          <w:cols w:equalWidth="0" w:num="1">
            <w:col w:w="11240"/>
          </w:cols>
          <w:pgMar w:left="320" w:top="13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4354195</wp:posOffset>
            </wp:positionH>
            <wp:positionV relativeFrom="page">
              <wp:posOffset>723900</wp:posOffset>
            </wp:positionV>
            <wp:extent cx="1785620" cy="321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85620" cy="321310"/>
                    </a:xfrm>
                    <a:prstGeom prst="rect">
                      <a:avLst/>
                    </a:prstGeom>
                    <a:noFill/>
                  </pic:spPr>
                </pic:pic>
              </a:graphicData>
            </a:graphic>
          </wp:anchor>
        </w:drawing>
      </w:r>
    </w:p>
    <w:p>
      <w:pPr>
        <w:spacing w:after="0" w:line="337" w:lineRule="exact"/>
        <w:rPr>
          <w:sz w:val="20"/>
          <w:szCs w:val="20"/>
          <w:color w:val="auto"/>
        </w:rPr>
      </w:pPr>
    </w:p>
    <w:p>
      <w:pPr>
        <w:jc w:val="center"/>
        <w:spacing w:after="0" w:line="302" w:lineRule="auto"/>
        <w:rPr>
          <w:sz w:val="20"/>
          <w:szCs w:val="20"/>
          <w:color w:val="auto"/>
        </w:rPr>
      </w:pPr>
      <w:r>
        <w:rPr>
          <w:rFonts w:ascii="Arial" w:cs="Arial" w:eastAsia="Arial" w:hAnsi="Arial"/>
          <w:sz w:val="21"/>
          <w:szCs w:val="21"/>
          <w:b w:val="1"/>
          <w:bCs w:val="1"/>
          <w:color w:val="auto"/>
        </w:rPr>
        <w:t>California Resources Corporation Reports Fourth Quarter and Full-Year 2025 Financial and Operating Results; Announces 2026 Guidance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25% Year-Over-Year Production Growth and Highest Annual Free Cash Flow Since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Receipt of New Drilling Permits Supports Planned 2026 Drilling Program</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LONG BEACH, California, March 2, 2026 </w:t>
      </w:r>
      <w:r>
        <w:rPr>
          <w:rFonts w:ascii="Arial" w:cs="Arial" w:eastAsia="Arial" w:hAnsi="Arial"/>
          <w:sz w:val="21"/>
          <w:szCs w:val="21"/>
          <w:color w:val="auto"/>
        </w:rPr>
        <w:t>- California Resources Corporation (NYSE: CRC) (CRC) today reported its</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and operating results for the fourth quarter and full-year 2025. The Company plans to host a conference call and webcast at 1 p.m. ET (10 a.m. PT) on Monday, March 2, 2026. Conference call details can be found within this release.</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Highlights</w:t>
      </w:r>
    </w:p>
    <w:p>
      <w:pPr>
        <w:spacing w:after="0" w:line="230" w:lineRule="exact"/>
        <w:rPr>
          <w:sz w:val="20"/>
          <w:szCs w:val="20"/>
          <w:color w:val="auto"/>
        </w:rPr>
      </w:pPr>
    </w:p>
    <w:p>
      <w:pPr>
        <w:ind w:left="580" w:hanging="254"/>
        <w:spacing w:after="0"/>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Reported net income of $12 million,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$40 million and $251 million of adjusted EBITDAX</w:t>
      </w:r>
      <w:r>
        <w:rPr>
          <w:rFonts w:ascii="Arial" w:cs="Arial" w:eastAsia="Arial" w:hAnsi="Arial"/>
          <w:sz w:val="27"/>
          <w:szCs w:val="27"/>
          <w:color w:val="auto"/>
          <w:vertAlign w:val="superscript"/>
        </w:rPr>
        <w:t>1</w:t>
      </w:r>
    </w:p>
    <w:p>
      <w:pPr>
        <w:ind w:left="580" w:hanging="254"/>
        <w:spacing w:after="0" w:line="195" w:lineRule="auto"/>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$235 million and $115 million of free cash flow</w:t>
      </w:r>
      <w:r>
        <w:rPr>
          <w:rFonts w:ascii="Arial" w:cs="Arial" w:eastAsia="Arial" w:hAnsi="Arial"/>
          <w:sz w:val="27"/>
          <w:szCs w:val="27"/>
          <w:color w:val="auto"/>
          <w:vertAlign w:val="superscript"/>
        </w:rPr>
        <w:t>1</w:t>
      </w:r>
    </w:p>
    <w:p>
      <w:pPr>
        <w:ind w:left="640" w:right="20" w:hanging="314"/>
        <w:spacing w:after="0" w:line="195"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Delivered an average of 137 thousand barrels of oil equivalent per day</w:t>
      </w:r>
      <w:r>
        <w:rPr>
          <w:rFonts w:ascii="Arial" w:cs="Arial" w:eastAsia="Arial" w:hAnsi="Arial"/>
          <w:sz w:val="27"/>
          <w:szCs w:val="27"/>
          <w:color w:val="auto"/>
          <w:vertAlign w:val="superscript"/>
        </w:rPr>
        <w:t>5</w:t>
      </w:r>
      <w:r>
        <w:rPr>
          <w:rFonts w:ascii="Arial" w:cs="Arial" w:eastAsia="Arial" w:hAnsi="Arial"/>
          <w:sz w:val="21"/>
          <w:szCs w:val="21"/>
          <w:color w:val="auto"/>
        </w:rPr>
        <w:t xml:space="preserve"> (MBoe/d) (80% oil); invested total capital of $120 million including drilling, completions and workover capital</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$56 million</w:t>
      </w:r>
    </w:p>
    <w:p>
      <w:pPr>
        <w:spacing w:after="0" w:line="1" w:lineRule="exact"/>
        <w:rPr>
          <w:rFonts w:ascii="Arial" w:cs="Arial" w:eastAsia="Arial" w:hAnsi="Arial"/>
          <w:sz w:val="21"/>
          <w:szCs w:val="21"/>
          <w:color w:val="auto"/>
        </w:rPr>
      </w:pPr>
    </w:p>
    <w:p>
      <w:pPr>
        <w:ind w:left="580" w:hanging="254"/>
        <w:spacing w:after="0" w:line="216" w:lineRule="auto"/>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Increased annual dividend by 5%; marking four consecutive years of dividend growth</w:t>
      </w:r>
      <w:r>
        <w:rPr>
          <w:rFonts w:ascii="Arial" w:cs="Arial" w:eastAsia="Arial" w:hAnsi="Arial"/>
          <w:sz w:val="27"/>
          <w:szCs w:val="27"/>
          <w:color w:val="auto"/>
          <w:vertAlign w:val="superscript"/>
        </w:rPr>
        <w:t>2</w:t>
      </w:r>
    </w:p>
    <w:p>
      <w:pPr>
        <w:ind w:left="580" w:hanging="254"/>
        <w:spacing w:after="0" w:line="195" w:lineRule="auto"/>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Returned $59 million to shareholders including $34 million in dividends and $25 million in share repurchases</w:t>
      </w:r>
      <w:r>
        <w:rPr>
          <w:rFonts w:ascii="Arial" w:cs="Arial" w:eastAsia="Arial" w:hAnsi="Arial"/>
          <w:sz w:val="27"/>
          <w:szCs w:val="27"/>
          <w:color w:val="auto"/>
          <w:vertAlign w:val="superscript"/>
        </w:rPr>
        <w:t>2</w:t>
      </w:r>
    </w:p>
    <w:p>
      <w:pPr>
        <w:ind w:left="580" w:hanging="254"/>
        <w:spacing w:after="0"/>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Closed all-stock combination with Berry Corporation on December 18, 2025</w:t>
      </w:r>
    </w:p>
    <w:p>
      <w:pPr>
        <w:spacing w:after="0" w:line="11" w:lineRule="exact"/>
        <w:rPr>
          <w:rFonts w:ascii="Arial" w:cs="Arial" w:eastAsia="Arial" w:hAnsi="Arial"/>
          <w:sz w:val="21"/>
          <w:szCs w:val="21"/>
          <w:color w:val="auto"/>
        </w:rPr>
      </w:pPr>
    </w:p>
    <w:p>
      <w:pPr>
        <w:jc w:val="both"/>
        <w:ind w:left="640" w:hanging="314"/>
        <w:spacing w:after="0" w:line="224"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Announced a new memorandum of understanding (MOU)</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with a leading California power producer to provide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transportation and storage and explore decarbonized power solutions near Silicon Valley. See </w:t>
      </w:r>
      <w:r>
        <w:rPr>
          <w:rFonts w:ascii="Arial" w:cs="Arial" w:eastAsia="Arial" w:hAnsi="Arial"/>
          <w:sz w:val="21"/>
          <w:szCs w:val="21"/>
          <w:i w:val="1"/>
          <w:iCs w:val="1"/>
          <w:color w:val="auto"/>
        </w:rPr>
        <w:t>California</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Resources Corporation and Middle River Power to Advance Decarbonized Power Solutions in California </w:t>
      </w:r>
      <w:r>
        <w:rPr>
          <w:rFonts w:ascii="Arial" w:cs="Arial" w:eastAsia="Arial" w:hAnsi="Arial"/>
          <w:sz w:val="21"/>
          <w:szCs w:val="21"/>
          <w:color w:val="auto"/>
        </w:rPr>
        <w:t>for</w:t>
      </w:r>
      <w:r>
        <w:rPr>
          <w:rFonts w:ascii="Arial" w:cs="Arial" w:eastAsia="Arial" w:hAnsi="Arial"/>
          <w:sz w:val="21"/>
          <w:szCs w:val="21"/>
          <w:i w:val="1"/>
          <w:iCs w:val="1"/>
          <w:color w:val="auto"/>
        </w:rPr>
        <w:t xml:space="preserve"> </w:t>
      </w:r>
      <w:r>
        <w:rPr>
          <w:rFonts w:ascii="Arial" w:cs="Arial" w:eastAsia="Arial" w:hAnsi="Arial"/>
          <w:sz w:val="21"/>
          <w:szCs w:val="21"/>
          <w:color w:val="auto"/>
        </w:rPr>
        <w:t>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2025 Highlights</w:t>
      </w:r>
    </w:p>
    <w:p>
      <w:pPr>
        <w:spacing w:after="0" w:line="254" w:lineRule="exact"/>
        <w:rPr>
          <w:sz w:val="20"/>
          <w:szCs w:val="20"/>
          <w:color w:val="auto"/>
        </w:rPr>
      </w:pPr>
    </w:p>
    <w:p>
      <w:pPr>
        <w:ind w:left="640" w:hanging="314"/>
        <w:spacing w:after="0" w:line="243"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Increased average net production by 25% year-over-year to 138 MBoe/d</w:t>
      </w:r>
      <w:r>
        <w:rPr>
          <w:rFonts w:ascii="Arial" w:cs="Arial" w:eastAsia="Arial" w:hAnsi="Arial"/>
          <w:sz w:val="27"/>
          <w:szCs w:val="27"/>
          <w:color w:val="auto"/>
          <w:vertAlign w:val="superscript"/>
        </w:rPr>
        <w:t>5</w:t>
      </w:r>
      <w:r>
        <w:rPr>
          <w:rFonts w:ascii="Arial" w:cs="Arial" w:eastAsia="Arial" w:hAnsi="Arial"/>
          <w:sz w:val="21"/>
          <w:szCs w:val="21"/>
          <w:color w:val="auto"/>
        </w:rPr>
        <w:t xml:space="preserve"> (79% oil), and realized $235 million in Aera merger-related synergies</w:t>
      </w:r>
    </w:p>
    <w:p>
      <w:pPr>
        <w:spacing w:after="0" w:line="1" w:lineRule="exact"/>
        <w:rPr>
          <w:rFonts w:ascii="Arial" w:cs="Arial" w:eastAsia="Arial" w:hAnsi="Arial"/>
          <w:sz w:val="21"/>
          <w:szCs w:val="21"/>
          <w:color w:val="auto"/>
        </w:rPr>
      </w:pPr>
    </w:p>
    <w:p>
      <w:pPr>
        <w:ind w:left="640" w:hanging="314"/>
        <w:spacing w:after="0" w:line="278"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net income of $363 million, adjusted net income¹ of $359 million and highest annual adjusted EBITDAX¹ of $1,241 million since 2021</w:t>
      </w:r>
    </w:p>
    <w:p>
      <w:pPr>
        <w:ind w:left="640" w:hanging="314"/>
        <w:spacing w:after="0" w:line="271"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$865 million of net cash provided by operating activities and free cash flow¹ of $543 million, highest annual free cash flow since 2021</w:t>
      </w:r>
    </w:p>
    <w:p>
      <w:pPr>
        <w:spacing w:after="0" w:line="1" w:lineRule="exact"/>
        <w:rPr>
          <w:rFonts w:ascii="Arial" w:cs="Arial" w:eastAsia="Arial" w:hAnsi="Arial"/>
          <w:sz w:val="21"/>
          <w:szCs w:val="21"/>
          <w:color w:val="auto"/>
        </w:rPr>
      </w:pPr>
    </w:p>
    <w:p>
      <w:pPr>
        <w:ind w:left="580" w:hanging="254"/>
        <w:spacing w:after="0" w:line="230" w:lineRule="auto"/>
        <w:tabs>
          <w:tab w:leader="none" w:pos="58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Returned $513 million to shareholders including $377 million in share repurchases and $136 million in dividends</w:t>
      </w:r>
      <w:r>
        <w:rPr>
          <w:rFonts w:ascii="Arial" w:cs="Arial" w:eastAsia="Arial" w:hAnsi="Arial"/>
          <w:sz w:val="27"/>
          <w:szCs w:val="27"/>
          <w:color w:val="auto"/>
          <w:vertAlign w:val="superscript"/>
        </w:rPr>
        <w:t>2</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4"/>
        </w:numPr>
        <w:rPr>
          <w:rFonts w:ascii="Arial" w:cs="Arial" w:eastAsia="Arial" w:hAnsi="Arial"/>
          <w:sz w:val="21"/>
          <w:szCs w:val="21"/>
          <w:color w:val="auto"/>
        </w:rPr>
      </w:pPr>
      <w:r>
        <w:rPr>
          <w:rFonts w:ascii="Arial" w:cs="Arial" w:eastAsia="Arial" w:hAnsi="Arial"/>
          <w:sz w:val="21"/>
          <w:szCs w:val="21"/>
          <w:color w:val="auto"/>
        </w:rPr>
        <w:t>Lowered base decline to 8%–13% from 10%–15% through improved reservoir management</w:t>
      </w:r>
    </w:p>
    <w:p>
      <w:pPr>
        <w:spacing w:after="0" w:line="19" w:lineRule="exact"/>
        <w:rPr>
          <w:rFonts w:ascii="Arial" w:cs="Arial" w:eastAsia="Arial" w:hAnsi="Arial"/>
          <w:sz w:val="21"/>
          <w:szCs w:val="21"/>
          <w:color w:val="auto"/>
        </w:rPr>
      </w:pPr>
    </w:p>
    <w:p>
      <w:pPr>
        <w:ind w:left="640" w:hanging="314"/>
        <w:spacing w:after="0" w:line="316"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Increased proved undeveloped reserves by 190% and total proved reserves by 20% through operational improvements and mergers, despite 14% year-over-year decline in SEC pricing for oil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ind w:left="640" w:hanging="314"/>
        <w:spacing w:after="0" w:line="245"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Exited 2025 with $117 million in available cash</w:t>
      </w:r>
      <w:r>
        <w:rPr>
          <w:rFonts w:ascii="Arial" w:cs="Arial" w:eastAsia="Arial" w:hAnsi="Arial"/>
          <w:sz w:val="27"/>
          <w:szCs w:val="27"/>
          <w:color w:val="auto"/>
          <w:vertAlign w:val="superscript"/>
        </w:rPr>
        <w:t>3</w:t>
      </w:r>
      <w:r>
        <w:rPr>
          <w:rFonts w:ascii="Arial" w:cs="Arial" w:eastAsia="Arial" w:hAnsi="Arial"/>
          <w:sz w:val="21"/>
          <w:szCs w:val="21"/>
          <w:color w:val="auto"/>
        </w:rPr>
        <w:t>, $1,284 million in available borrowing capacity and liquidity of $1,401 million</w:t>
      </w:r>
    </w:p>
    <w:p>
      <w:pPr>
        <w:spacing w:after="0" w:line="1" w:lineRule="exact"/>
        <w:rPr>
          <w:rFonts w:ascii="Arial" w:cs="Arial" w:eastAsia="Arial" w:hAnsi="Arial"/>
          <w:sz w:val="21"/>
          <w:szCs w:val="21"/>
          <w:color w:val="auto"/>
        </w:rPr>
      </w:pPr>
    </w:p>
    <w:p>
      <w:pPr>
        <w:ind w:left="640" w:hanging="314"/>
        <w:spacing w:after="0" w:line="271"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Increased aggregate elected commitment under the Revolving Credit Facility to $1,460 million in 2025 from $1,150 million</w:t>
      </w:r>
    </w:p>
    <w:p>
      <w:pPr>
        <w:spacing w:after="0" w:line="1" w:lineRule="exact"/>
        <w:rPr>
          <w:rFonts w:ascii="Arial" w:cs="Arial" w:eastAsia="Arial" w:hAnsi="Arial"/>
          <w:sz w:val="21"/>
          <w:szCs w:val="21"/>
          <w:color w:val="auto"/>
        </w:rPr>
      </w:pPr>
    </w:p>
    <w:p>
      <w:pPr>
        <w:ind w:left="640" w:hanging="314"/>
        <w:spacing w:after="0" w:line="278"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Received “Grade A” certifications under MiQ’s Methane Emissions Performance Standard for production assets across the Los Angeles, Ventura, and San Joaquin basins (excluding assets added in the Berry Merger)</w:t>
      </w:r>
    </w:p>
    <w:p>
      <w:pPr>
        <w:ind w:left="640" w:hanging="314"/>
        <w:spacing w:after="0" w:line="278"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Substantially completed construction of CRC's first carbon capture and storage (CCS) project at the Elk Hills cryogenic gas plant</w:t>
      </w:r>
    </w:p>
    <w:p>
      <w:pPr>
        <w:ind w:left="640" w:hanging="314"/>
        <w:spacing w:after="0" w:line="237"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Executed new MOUs</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with leading California industrial and power partners to evaluate decarbonized solutions. See </w:t>
      </w:r>
      <w:r>
        <w:rPr>
          <w:rFonts w:ascii="Arial" w:cs="Arial" w:eastAsia="Arial" w:hAnsi="Arial"/>
          <w:sz w:val="21"/>
          <w:szCs w:val="21"/>
          <w:i w:val="1"/>
          <w:iCs w:val="1"/>
          <w:color w:val="auto"/>
        </w:rPr>
        <w:t>Carbon TerraVault's 2025 Press Release</w:t>
      </w:r>
      <w:r>
        <w:rPr>
          <w:rFonts w:ascii="Arial" w:cs="Arial" w:eastAsia="Arial" w:hAnsi="Arial"/>
          <w:sz w:val="21"/>
          <w:szCs w:val="21"/>
          <w:color w:val="auto"/>
        </w:rPr>
        <w:t xml:space="preserve">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2026 Outlook</w:t>
      </w:r>
    </w:p>
    <w:p>
      <w:pPr>
        <w:spacing w:after="0" w:line="254" w:lineRule="exact"/>
        <w:rPr>
          <w:sz w:val="20"/>
          <w:szCs w:val="20"/>
          <w:color w:val="auto"/>
        </w:rPr>
      </w:pPr>
    </w:p>
    <w:p>
      <w:pPr>
        <w:ind w:left="640" w:hanging="314"/>
        <w:spacing w:after="0" w:line="268"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CRC is receiving new drilling permits and currently holds the majority of permits necessary to undertake its 2026 capital program</w:t>
      </w:r>
    </w:p>
    <w:p>
      <w:pPr>
        <w:ind w:left="640" w:hanging="314"/>
        <w:spacing w:after="0" w:line="251"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Targeting approximately 12% year-over-year production growth, averaging 152–157 MBoe/d (~81% oil), supported by four operated drilling rigs</w:t>
      </w:r>
    </w:p>
    <w:p>
      <w:pPr>
        <w:spacing w:after="0" w:line="1" w:lineRule="exact"/>
        <w:rPr>
          <w:rFonts w:ascii="Arial" w:cs="Arial" w:eastAsia="Arial" w:hAnsi="Arial"/>
          <w:sz w:val="21"/>
          <w:szCs w:val="21"/>
          <w:color w:val="auto"/>
        </w:rPr>
      </w:pPr>
    </w:p>
    <w:p>
      <w:pPr>
        <w:ind w:left="640" w:hanging="314"/>
        <w:spacing w:after="0" w:line="220"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Capital investments expected to range between $430–$470 million, including $280–$300 million for drilling, completions, and workovers</w:t>
      </w:r>
      <w:r>
        <w:rPr>
          <w:rFonts w:ascii="Arial" w:cs="Arial" w:eastAsia="Arial" w:hAnsi="Arial"/>
          <w:sz w:val="27"/>
          <w:szCs w:val="27"/>
          <w:color w:val="auto"/>
          <w:vertAlign w:val="superscript"/>
        </w:rPr>
        <w:t>1</w:t>
      </w:r>
      <w:r>
        <w:rPr>
          <w:rFonts w:ascii="Arial" w:cs="Arial" w:eastAsia="Arial" w:hAnsi="Arial"/>
          <w:sz w:val="21"/>
          <w:szCs w:val="21"/>
          <w:color w:val="auto"/>
        </w:rPr>
        <w:t>, and $12–$20 million for carbon management initiatives</w:t>
      </w:r>
    </w:p>
    <w:p>
      <w:pPr>
        <w:jc w:val="both"/>
        <w:ind w:left="640" w:hanging="314"/>
        <w:spacing w:after="0" w:line="256"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Expect to realize $80–$90 million of Berry merger-related synergies within 12 months of closing, including $35 to $40 million in general and administrative expenses, $25 to $30 million in operating costs and $20 million in financing costs</w:t>
      </w:r>
    </w:p>
    <w:p>
      <w:pPr>
        <w:jc w:val="both"/>
        <w:ind w:left="640" w:hanging="314"/>
        <w:spacing w:after="0" w:line="256" w:lineRule="exact"/>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Targeting first CO</w:t>
      </w:r>
      <w:r>
        <w:rPr>
          <w:rFonts w:ascii="MS PGothic" w:cs="MS PGothic" w:eastAsia="MS PGothic" w:hAnsi="MS PGothic"/>
          <w:sz w:val="21"/>
          <w:szCs w:val="21"/>
          <w:color w:val="auto"/>
        </w:rPr>
        <w:t>₂</w:t>
      </w:r>
      <w:r>
        <w:rPr>
          <w:rFonts w:ascii="Arial" w:cs="Arial" w:eastAsia="Arial" w:hAnsi="Arial"/>
          <w:sz w:val="21"/>
          <w:szCs w:val="21"/>
          <w:color w:val="auto"/>
        </w:rPr>
        <w:t xml:space="preserve"> injection at its CCS project at the Elk Hills cryogenic gas plant in spring 2026, subject to commissioning and final regulatory approval. See </w:t>
      </w:r>
      <w:r>
        <w:rPr>
          <w:rFonts w:ascii="Arial" w:cs="Arial" w:eastAsia="Arial" w:hAnsi="Arial"/>
          <w:sz w:val="21"/>
          <w:szCs w:val="21"/>
          <w:i w:val="1"/>
          <w:iCs w:val="1"/>
          <w:color w:val="auto"/>
        </w:rPr>
        <w:t>Carbon TerraVault's 2025 Press Release</w:t>
      </w:r>
      <w:r>
        <w:rPr>
          <w:rFonts w:ascii="Arial" w:cs="Arial" w:eastAsia="Arial" w:hAnsi="Arial"/>
          <w:sz w:val="21"/>
          <w:szCs w:val="21"/>
          <w:color w:val="auto"/>
        </w:rPr>
        <w:t xml:space="preserve"> for additional information</w:t>
      </w:r>
    </w:p>
    <w:p>
      <w:pPr>
        <w:spacing w:after="0" w:line="226"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“CRC delivered a landmark year in 2025, driven by strong financial performance, robust cash flow generation, and disciplined execution, while returning substantial cash to shareholders,” said Francisco Leon, CRC’s President and Chief Executive Officer. “Our teams made meaningful progress improving reservoir management across our high-quality, low-decline conventional asset base and advancing several strategic initiatives that strengthen the company’s long-term foundation.</w:t>
      </w:r>
    </w:p>
    <w:p>
      <w:pPr>
        <w:spacing w:after="0" w:line="206"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"Our 2026 priorities are clear: safely and efficiently operate our core businesses, deliver on the synergies from the Berry merger, and continue to advance high-return opportunities across our portfolio while maintaining financial discipline. With a resilient asset base and a strong hedge position, CRC is well positioned to manage near-term volatility and generate strong cash flows from which to enhance shareholder returns.”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Fourth Quarter and Total Year 2025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 Production, Price and Financial Results and Non-GAAP Measures</w:t>
            </w:r>
          </w:p>
        </w:tc>
        <w:tc>
          <w:tcPr>
            <w:tcW w:w="52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Borders>
              <w:left w:val="single" w:sz="8" w:color="DBDBDB"/>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3rd Quarter</w:t>
            </w:r>
          </w:p>
        </w:tc>
        <w:tc>
          <w:tcPr>
            <w:tcW w:w="10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w w:val="99"/>
              </w:rPr>
              <w:t>Total Year</w:t>
            </w:r>
          </w:p>
        </w:tc>
      </w:tr>
      <w:tr>
        <w:trPr>
          <w:trHeight w:val="201"/>
        </w:trPr>
        <w:tc>
          <w:tcPr>
            <w:tcW w:w="5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 except production and prices)</w:t>
            </w:r>
          </w:p>
        </w:tc>
        <w:tc>
          <w:tcPr>
            <w:tcW w:w="5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6"/>
              </w:rPr>
              <w:t>2025</w:t>
            </w:r>
          </w:p>
        </w:tc>
        <w:tc>
          <w:tcPr>
            <w:tcW w:w="140" w:type="dxa"/>
            <w:vAlign w:val="bottom"/>
            <w:tcBorders>
              <w:left w:val="single" w:sz="8" w:color="DBDBDB"/>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2024</w:t>
            </w:r>
          </w:p>
        </w:tc>
      </w:tr>
      <w:tr>
        <w:trPr>
          <w:trHeight w:val="198"/>
        </w:trPr>
        <w:tc>
          <w:tcPr>
            <w:tcW w:w="5780" w:type="dxa"/>
            <w:vAlign w:val="bottom"/>
          </w:tcPr>
          <w:p>
            <w:pPr>
              <w:ind w:left="20"/>
              <w:spacing w:after="0" w:line="198" w:lineRule="exact"/>
              <w:rPr>
                <w:sz w:val="20"/>
                <w:szCs w:val="20"/>
                <w:color w:val="auto"/>
              </w:rPr>
            </w:pPr>
            <w:r>
              <w:rPr>
                <w:rFonts w:ascii="Arial" w:cs="Arial" w:eastAsia="Arial" w:hAnsi="Arial"/>
                <w:sz w:val="14"/>
                <w:szCs w:val="14"/>
                <w:color w:val="auto"/>
              </w:rPr>
              <w:t>Net oil production per day (MBbl/d)</w:t>
            </w:r>
            <w:r>
              <w:rPr>
                <w:rFonts w:ascii="Arial" w:cs="Arial" w:eastAsia="Arial" w:hAnsi="Arial"/>
                <w:sz w:val="18"/>
                <w:szCs w:val="18"/>
                <w:color w:val="auto"/>
                <w:vertAlign w:val="superscript"/>
              </w:rPr>
              <w:t>6</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95"/>
        </w:trPr>
        <w:tc>
          <w:tcPr>
            <w:tcW w:w="5780" w:type="dxa"/>
            <w:vAlign w:val="bottom"/>
          </w:tcPr>
          <w:p>
            <w:pPr>
              <w:ind w:left="240"/>
              <w:spacing w:after="0"/>
              <w:rPr>
                <w:sz w:val="20"/>
                <w:szCs w:val="20"/>
                <w:color w:val="auto"/>
              </w:rPr>
            </w:pPr>
            <w:r>
              <w:rPr>
                <w:rFonts w:ascii="Arial" w:cs="Arial" w:eastAsia="Arial" w:hAnsi="Arial"/>
                <w:sz w:val="14"/>
                <w:szCs w:val="14"/>
                <w:color w:val="auto"/>
              </w:rPr>
              <w:t>Realized oil price without derivative settlements ($ per Bbl)</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61.14</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66.32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66.52</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76.92</w:t>
            </w:r>
          </w:p>
        </w:tc>
      </w:tr>
      <w:tr>
        <w:trPr>
          <w:trHeight w:val="203"/>
        </w:trPr>
        <w:tc>
          <w:tcPr>
            <w:tcW w:w="5780" w:type="dxa"/>
            <w:vAlign w:val="bottom"/>
          </w:tcPr>
          <w:p>
            <w:pPr>
              <w:ind w:left="240"/>
              <w:spacing w:after="0" w:line="203" w:lineRule="exact"/>
              <w:rPr>
                <w:sz w:val="20"/>
                <w:szCs w:val="20"/>
                <w:color w:val="auto"/>
              </w:rPr>
            </w:pPr>
            <w:r>
              <w:rPr>
                <w:rFonts w:ascii="Arial" w:cs="Arial" w:eastAsia="Arial" w:hAnsi="Arial"/>
                <w:sz w:val="14"/>
                <w:szCs w:val="14"/>
                <w:color w:val="auto"/>
              </w:rPr>
              <w:t>Realized oil price with derivative settlements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per Bbl)</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64.27</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67.51</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75.66</w:t>
            </w:r>
          </w:p>
        </w:tc>
      </w:tr>
      <w:tr>
        <w:trPr>
          <w:trHeight w:val="202"/>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Net NGL production per day (MBbl/d)</w:t>
            </w:r>
            <w:r>
              <w:rPr>
                <w:rFonts w:ascii="Arial" w:cs="Arial" w:eastAsia="Arial" w:hAnsi="Arial"/>
                <w:sz w:val="18"/>
                <w:szCs w:val="18"/>
                <w:color w:val="auto"/>
                <w:vertAlign w:val="superscript"/>
              </w:rPr>
              <w:t>6</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5"/>
        </w:trPr>
        <w:tc>
          <w:tcPr>
            <w:tcW w:w="578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42.86</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41.04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45.30</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48.93</w:t>
            </w:r>
          </w:p>
        </w:tc>
      </w:tr>
      <w:tr>
        <w:trPr>
          <w:trHeight w:val="205"/>
        </w:trPr>
        <w:tc>
          <w:tcPr>
            <w:tcW w:w="5780" w:type="dxa"/>
            <w:vAlign w:val="bottom"/>
          </w:tcPr>
          <w:p>
            <w:pPr>
              <w:ind w:left="20"/>
              <w:spacing w:after="0" w:line="205" w:lineRule="exact"/>
              <w:rPr>
                <w:sz w:val="20"/>
                <w:szCs w:val="20"/>
                <w:color w:val="auto"/>
              </w:rPr>
            </w:pPr>
            <w:r>
              <w:rPr>
                <w:rFonts w:ascii="Arial" w:cs="Arial" w:eastAsia="Arial" w:hAnsi="Arial"/>
                <w:sz w:val="14"/>
                <w:szCs w:val="14"/>
                <w:color w:val="auto"/>
              </w:rPr>
              <w:t>Net natural gas production per day (Mmcf/d)</w:t>
            </w:r>
            <w:r>
              <w:rPr>
                <w:rFonts w:ascii="Arial" w:cs="Arial" w:eastAsia="Arial" w:hAnsi="Arial"/>
                <w:sz w:val="18"/>
                <w:szCs w:val="18"/>
                <w:color w:val="auto"/>
                <w:vertAlign w:val="superscript"/>
              </w:rPr>
              <w:t>6</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114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95"/>
        </w:trPr>
        <w:tc>
          <w:tcPr>
            <w:tcW w:w="5780" w:type="dxa"/>
            <w:vAlign w:val="bottom"/>
          </w:tcPr>
          <w:p>
            <w:pPr>
              <w:ind w:left="240"/>
              <w:spacing w:after="0"/>
              <w:rPr>
                <w:sz w:val="20"/>
                <w:szCs w:val="20"/>
                <w:color w:val="auto"/>
              </w:rPr>
            </w:pPr>
            <w:r>
              <w:rPr>
                <w:rFonts w:ascii="Arial" w:cs="Arial" w:eastAsia="Arial" w:hAnsi="Arial"/>
                <w:sz w:val="14"/>
                <w:szCs w:val="14"/>
                <w:color w:val="auto"/>
              </w:rPr>
              <w:t>Realized natural gas price ($ per Mcf)</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3.91</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3.57</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48"/>
        </w:trPr>
        <w:tc>
          <w:tcPr>
            <w:tcW w:w="5780" w:type="dxa"/>
            <w:vAlign w:val="bottom"/>
          </w:tcPr>
          <w:p>
            <w:pPr>
              <w:ind w:left="20"/>
              <w:spacing w:after="0"/>
              <w:rPr>
                <w:sz w:val="20"/>
                <w:szCs w:val="20"/>
                <w:color w:val="auto"/>
              </w:rPr>
            </w:pPr>
            <w:r>
              <w:rPr>
                <w:rFonts w:ascii="Arial" w:cs="Arial" w:eastAsia="Arial" w:hAnsi="Arial"/>
                <w:sz w:val="14"/>
                <w:szCs w:val="14"/>
                <w:color w:val="auto"/>
              </w:rPr>
              <w:t>Net total production per day (MBoe/d)</w:t>
            </w:r>
            <w:r>
              <w:rPr>
                <w:rFonts w:ascii="Arial" w:cs="Arial" w:eastAsia="Arial" w:hAnsi="Arial"/>
                <w:sz w:val="18"/>
                <w:szCs w:val="18"/>
                <w:color w:val="auto"/>
                <w:vertAlign w:val="superscript"/>
              </w:rPr>
              <w:t>6</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48"/>
        </w:trPr>
        <w:tc>
          <w:tcPr>
            <w:tcW w:w="5780" w:type="dxa"/>
            <w:vAlign w:val="bottom"/>
          </w:tcPr>
          <w:p>
            <w:pPr>
              <w:ind w:left="20"/>
              <w:spacing w:after="0"/>
              <w:rPr>
                <w:sz w:val="20"/>
                <w:szCs w:val="20"/>
                <w:color w:val="auto"/>
              </w:rPr>
            </w:pPr>
            <w:r>
              <w:rPr>
                <w:rFonts w:ascii="Arial" w:cs="Arial" w:eastAsia="Arial" w:hAnsi="Arial"/>
                <w:sz w:val="14"/>
                <w:szCs w:val="14"/>
                <w:color w:val="auto"/>
              </w:rPr>
              <w:t>Margin from purchased commodities</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56</w:t>
            </w:r>
          </w:p>
        </w:tc>
        <w:tc>
          <w:tcPr>
            <w:tcW w:w="100" w:type="dxa"/>
            <w:vAlign w:val="bottom"/>
            <w:tcBorders>
              <w:right w:val="single" w:sz="8" w:color="auto"/>
            </w:tcBorders>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2"/>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Electricity margin</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195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95"/>
        </w:trPr>
        <w:tc>
          <w:tcPr>
            <w:tcW w:w="5780" w:type="dxa"/>
            <w:vAlign w:val="bottom"/>
          </w:tcPr>
          <w:p>
            <w:pPr>
              <w:ind w:left="20"/>
              <w:spacing w:after="0"/>
              <w:rPr>
                <w:sz w:val="20"/>
                <w:szCs w:val="20"/>
                <w:color w:val="auto"/>
              </w:rPr>
            </w:pPr>
            <w:r>
              <w:rPr>
                <w:rFonts w:ascii="Arial" w:cs="Arial" w:eastAsia="Arial" w:hAnsi="Arial"/>
                <w:sz w:val="14"/>
                <w:szCs w:val="14"/>
                <w:color w:val="auto"/>
              </w:rPr>
              <w:t>Net gain (loss) from commodity derivatives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266</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201"/>
        </w:trPr>
        <w:tc>
          <w:tcPr>
            <w:tcW w:w="5780" w:type="dxa"/>
            <w:vAlign w:val="bottom"/>
          </w:tcPr>
          <w:p>
            <w:pPr>
              <w:ind w:left="20"/>
              <w:spacing w:after="0" w:line="201" w:lineRule="exact"/>
              <w:rPr>
                <w:sz w:val="20"/>
                <w:szCs w:val="20"/>
                <w:color w:val="auto"/>
              </w:rPr>
            </w:pPr>
            <w:r>
              <w:rPr>
                <w:rFonts w:ascii="Arial" w:cs="Arial" w:eastAsia="Arial" w:hAnsi="Arial"/>
                <w:sz w:val="14"/>
                <w:szCs w:val="14"/>
                <w:color w:val="auto"/>
              </w:rPr>
              <w:t>Other operating expenses net of other revenue</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187</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20"/>
        </w:trPr>
        <w:tc>
          <w:tcPr>
            <w:tcW w:w="5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92"/>
        </w:trPr>
        <w:tc>
          <w:tcPr>
            <w:tcW w:w="57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 Financial Statement Data and Non-GAAP Measures:</w:t>
            </w:r>
          </w:p>
        </w:tc>
        <w:tc>
          <w:tcPr>
            <w:tcW w:w="520" w:type="dxa"/>
            <w:vAlign w:val="bottom"/>
            <w:tcBorders>
              <w:top w:val="single" w:sz="8" w:color="auto"/>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Borders>
              <w:right w:val="single" w:sz="8" w:color="auto"/>
            </w:tcBorders>
          </w:tcPr>
          <w:p>
            <w:pPr>
              <w:spacing w:after="0"/>
              <w:rPr>
                <w:sz w:val="16"/>
                <w:szCs w:val="16"/>
                <w:color w:val="auto"/>
              </w:rPr>
            </w:pPr>
          </w:p>
        </w:tc>
        <w:tc>
          <w:tcPr>
            <w:tcW w:w="60" w:type="dxa"/>
            <w:vAlign w:val="bottom"/>
            <w:tcBorders>
              <w:right w:val="single" w:sz="8" w:color="DBDBDB"/>
            </w:tcBorders>
          </w:tcPr>
          <w:p>
            <w:pPr>
              <w:spacing w:after="0"/>
              <w:rPr>
                <w:sz w:val="16"/>
                <w:szCs w:val="16"/>
                <w:color w:val="auto"/>
              </w:rPr>
            </w:pPr>
          </w:p>
        </w:tc>
        <w:tc>
          <w:tcPr>
            <w:tcW w:w="16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3rd Quarter</w:t>
            </w:r>
          </w:p>
        </w:tc>
        <w:tc>
          <w:tcPr>
            <w:tcW w:w="100" w:type="dxa"/>
            <w:vAlign w:val="bottom"/>
          </w:tcPr>
          <w:p>
            <w:pPr>
              <w:spacing w:after="0"/>
              <w:rPr>
                <w:sz w:val="16"/>
                <w:szCs w:val="16"/>
                <w:color w:val="auto"/>
              </w:rPr>
            </w:pPr>
          </w:p>
        </w:tc>
        <w:tc>
          <w:tcPr>
            <w:tcW w:w="16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w w:val="99"/>
              </w:rPr>
              <w:t>Total Year</w:t>
            </w:r>
          </w:p>
        </w:tc>
      </w:tr>
      <w:tr>
        <w:trPr>
          <w:trHeight w:val="201"/>
        </w:trPr>
        <w:tc>
          <w:tcPr>
            <w:tcW w:w="5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and shares in millions, except per share amounts)</w:t>
            </w:r>
          </w:p>
        </w:tc>
        <w:tc>
          <w:tcPr>
            <w:tcW w:w="5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right w:val="single" w:sz="8" w:color="auto"/>
            </w:tcBorders>
          </w:tcPr>
          <w:p>
            <w:pPr>
              <w:spacing w:after="0"/>
              <w:rPr>
                <w:sz w:val="17"/>
                <w:szCs w:val="17"/>
                <w:color w:val="auto"/>
              </w:rPr>
            </w:pPr>
          </w:p>
        </w:tc>
        <w:tc>
          <w:tcPr>
            <w:tcW w:w="60" w:type="dxa"/>
            <w:vAlign w:val="bottom"/>
            <w:tcBorders>
              <w:right w:val="single" w:sz="8" w:color="DBDBDB"/>
            </w:tcBorders>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2024</w:t>
            </w:r>
          </w:p>
        </w:tc>
      </w:tr>
      <w:tr>
        <w:trPr>
          <w:trHeight w:val="193"/>
        </w:trPr>
        <w:tc>
          <w:tcPr>
            <w:tcW w:w="578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924</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855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3,669</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3,198</w:t>
            </w:r>
          </w:p>
        </w:tc>
      </w:tr>
      <w:tr>
        <w:trPr>
          <w:trHeight w:val="307"/>
        </w:trPr>
        <w:tc>
          <w:tcPr>
            <w:tcW w:w="5780" w:type="dxa"/>
            <w:vAlign w:val="bottom"/>
          </w:tcPr>
          <w:p>
            <w:pPr>
              <w:ind w:left="20"/>
              <w:spacing w:after="0"/>
              <w:rPr>
                <w:sz w:val="20"/>
                <w:szCs w:val="20"/>
                <w:color w:val="auto"/>
              </w:rPr>
            </w:pPr>
            <w:r>
              <w:rPr>
                <w:rFonts w:ascii="Arial" w:cs="Arial" w:eastAsia="Arial" w:hAnsi="Arial"/>
                <w:sz w:val="14"/>
                <w:szCs w:val="14"/>
                <w:color w:val="auto"/>
              </w:rPr>
              <w:t>Operating costs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4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1,252</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333</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5"/>
        </w:trPr>
        <w:tc>
          <w:tcPr>
            <w:tcW w:w="5780" w:type="dxa"/>
            <w:vAlign w:val="bottom"/>
          </w:tcPr>
          <w:p>
            <w:pPr>
              <w:ind w:left="14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89</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82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309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279</w:t>
            </w:r>
          </w:p>
        </w:tc>
      </w:tr>
      <w:tr>
        <w:trPr>
          <w:trHeight w:val="195"/>
        </w:trPr>
        <w:tc>
          <w:tcPr>
            <w:tcW w:w="5780" w:type="dxa"/>
            <w:vAlign w:val="bottom"/>
          </w:tcPr>
          <w:p>
            <w:pPr>
              <w:ind w:left="20"/>
              <w:spacing w:after="0"/>
              <w:rPr>
                <w:sz w:val="20"/>
                <w:szCs w:val="20"/>
                <w:color w:val="auto"/>
              </w:rPr>
            </w:pPr>
            <w:r>
              <w:rPr>
                <w:rFonts w:ascii="Arial" w:cs="Arial" w:eastAsia="Arial" w:hAnsi="Arial"/>
                <w:sz w:val="14"/>
                <w:szCs w:val="14"/>
                <w:color w:val="auto"/>
              </w:rPr>
              <w:t>Taxes other than on income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242</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Transportation costs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598</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Interest and debt expense, net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106</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139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94"/>
        </w:trPr>
        <w:tc>
          <w:tcPr>
            <w:tcW w:w="5780" w:type="dxa"/>
            <w:vAlign w:val="bottom"/>
          </w:tcPr>
          <w:p>
            <w:pPr>
              <w:ind w:left="140"/>
              <w:spacing w:after="0"/>
              <w:rPr>
                <w:sz w:val="20"/>
                <w:szCs w:val="20"/>
                <w:color w:val="auto"/>
              </w:rPr>
            </w:pPr>
            <w:r>
              <w:rPr>
                <w:rFonts w:ascii="Arial" w:cs="Arial" w:eastAsia="Arial" w:hAnsi="Arial"/>
                <w:sz w:val="14"/>
                <w:szCs w:val="14"/>
                <w:i w:val="1"/>
                <w:iCs w:val="1"/>
                <w:color w:val="auto"/>
              </w:rPr>
              <w:t>Deferred income tax provision</w:t>
            </w: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22</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35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98</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71</w:t>
            </w:r>
          </w:p>
        </w:tc>
      </w:tr>
      <w:tr>
        <w:trPr>
          <w:trHeight w:val="20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363</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87.4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Net income per share - diluted</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0.76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4.15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310"/>
        </w:trPr>
        <w:tc>
          <w:tcPr>
            <w:tcW w:w="5780" w:type="dxa"/>
            <w:vAlign w:val="bottom"/>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4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359</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02"/>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Adjusted net income per share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diluted</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0.47</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4.11</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195"/>
        </w:trPr>
        <w:tc>
          <w:tcPr>
            <w:tcW w:w="57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40" w:type="dxa"/>
            <w:vAlign w:val="bottom"/>
            <w:tcBorders>
              <w:right w:val="single" w:sz="8" w:color="auto"/>
            </w:tcBorders>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865</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203"/>
        </w:trPr>
        <w:tc>
          <w:tcPr>
            <w:tcW w:w="5780" w:type="dxa"/>
            <w:vAlign w:val="bottom"/>
          </w:tcPr>
          <w:p>
            <w:pPr>
              <w:ind w:left="20"/>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1,241</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1,006</w:t>
            </w:r>
          </w:p>
        </w:tc>
      </w:tr>
      <w:tr>
        <w:trPr>
          <w:trHeight w:val="202"/>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543</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196"/>
        </w:trPr>
        <w:tc>
          <w:tcPr>
            <w:tcW w:w="5780" w:type="dxa"/>
            <w:vAlign w:val="bottom"/>
          </w:tcPr>
          <w:p>
            <w:pPr>
              <w:ind w:left="20"/>
              <w:spacing w:after="0"/>
              <w:rPr>
                <w:sz w:val="20"/>
                <w:szCs w:val="20"/>
                <w:color w:val="auto"/>
              </w:rPr>
            </w:pPr>
            <w:r>
              <w:rPr>
                <w:rFonts w:ascii="Arial" w:cs="Arial" w:eastAsia="Arial" w:hAnsi="Arial"/>
                <w:sz w:val="14"/>
                <w:szCs w:val="14"/>
                <w:color w:val="auto"/>
              </w:rPr>
              <w:t>Capital investments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4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322</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199"/>
        </w:trPr>
        <w:tc>
          <w:tcPr>
            <w:tcW w:w="5780" w:type="dxa"/>
            <w:vAlign w:val="bottom"/>
          </w:tcPr>
          <w:p>
            <w:pPr>
              <w:ind w:left="20"/>
              <w:spacing w:after="0"/>
              <w:rPr>
                <w:sz w:val="20"/>
                <w:szCs w:val="20"/>
                <w:color w:val="auto"/>
              </w:rPr>
            </w:pPr>
            <w:r>
              <w:rPr>
                <w:rFonts w:ascii="Arial" w:cs="Arial" w:eastAsia="Arial" w:hAnsi="Arial"/>
                <w:sz w:val="14"/>
                <w:szCs w:val="14"/>
                <w:color w:val="auto"/>
              </w:rPr>
              <w:t>Cash and cash equivalents (as of December 31, 2025 and 2024, respectively)</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132</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194"/>
        </w:trPr>
        <w:tc>
          <w:tcPr>
            <w:tcW w:w="5780" w:type="dxa"/>
            <w:vAlign w:val="bottom"/>
          </w:tcPr>
          <w:p>
            <w:pPr>
              <w:ind w:left="140"/>
              <w:spacing w:after="0"/>
              <w:rPr>
                <w:sz w:val="20"/>
                <w:szCs w:val="20"/>
                <w:color w:val="auto"/>
              </w:rPr>
            </w:pPr>
            <w:r>
              <w:rPr>
                <w:rFonts w:ascii="Arial" w:cs="Arial" w:eastAsia="Arial" w:hAnsi="Arial"/>
                <w:sz w:val="14"/>
                <w:szCs w:val="14"/>
                <w:i w:val="1"/>
                <w:iCs w:val="1"/>
                <w:color w:val="auto"/>
              </w:rPr>
              <w:t>Available cash and cash equivalents</w:t>
            </w: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117</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354</w:t>
            </w:r>
          </w:p>
        </w:tc>
      </w:tr>
      <w:tr>
        <w:trPr>
          <w:trHeight w:val="207"/>
        </w:trPr>
        <w:tc>
          <w:tcPr>
            <w:tcW w:w="5780" w:type="dxa"/>
            <w:vAlign w:val="bottom"/>
          </w:tcPr>
          <w:p>
            <w:pPr>
              <w:ind w:left="140"/>
              <w:spacing w:after="0"/>
              <w:rPr>
                <w:sz w:val="20"/>
                <w:szCs w:val="20"/>
                <w:color w:val="auto"/>
              </w:rPr>
            </w:pPr>
            <w:r>
              <w:rPr>
                <w:rFonts w:ascii="Arial" w:cs="Arial" w:eastAsia="Arial" w:hAnsi="Arial"/>
                <w:sz w:val="14"/>
                <w:szCs w:val="14"/>
                <w:i w:val="1"/>
                <w:iCs w:val="1"/>
                <w:color w:val="auto"/>
              </w:rPr>
              <w:t>Restricted cash</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15</w:t>
            </w:r>
          </w:p>
        </w:tc>
        <w:tc>
          <w:tcPr>
            <w:tcW w:w="100" w:type="dxa"/>
            <w:vAlign w:val="bottom"/>
            <w:tcBorders>
              <w:right w:val="single" w:sz="8" w:color="auto"/>
            </w:tcBorders>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84"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2025 Proved Reserves</w:t>
      </w:r>
    </w:p>
    <w:p>
      <w:pPr>
        <w:spacing w:after="0" w:line="254"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21"/>
          <w:szCs w:val="21"/>
          <w:color w:val="auto"/>
        </w:rPr>
        <w:t>As of December 31, 2025, CRC's total proved reserves were 654 million Boe (MMBoe), of which approximately 83% was oil and 541 MMBoe was proved developed. CRC added 93 MMBoe of proved reserves related to the Berry merger in 2025. Standardized measure of discounted future net cash flows were $6,666 million with a PV-10</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value of $8,717 million, based on SEC pricing, at December 31, 2025. In 2025, CRC's reserve replacement ratio</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368%. See Attachment 3 for the non-GAAP reconciliation.</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2026 Guidance</w:t>
      </w:r>
    </w:p>
    <w:p>
      <w:pPr>
        <w:spacing w:after="0" w:line="25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The following table provides key first quarter and full year 2026 financial and operating guidance</w:t>
      </w:r>
      <w:r>
        <w:rPr>
          <w:rFonts w:ascii="Arial" w:cs="Arial" w:eastAsia="Arial" w:hAnsi="Arial"/>
          <w:sz w:val="27"/>
          <w:szCs w:val="27"/>
          <w:color w:val="auto"/>
          <w:vertAlign w:val="superscript"/>
        </w:rPr>
        <w:t>6</w:t>
      </w:r>
      <w:r>
        <w:rPr>
          <w:rFonts w:ascii="Arial" w:cs="Arial" w:eastAsia="Arial" w:hAnsi="Arial"/>
          <w:sz w:val="21"/>
          <w:szCs w:val="21"/>
          <w:color w:val="auto"/>
        </w:rPr>
        <w:t>. In 2026, CRC expects to operate a four-rig program subject to commodity prices and market conditions. CRC currently holds the permits necessary to execute a majority of its planned capital program. See Attachment 2 for further information on CRC's first quarter and full year 2026 guidance.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20" w:type="dxa"/>
            <w:vAlign w:val="bottom"/>
            <w:tcBorders>
              <w:top w:val="single" w:sz="8" w:color="auto"/>
            </w:tcBorders>
            <w:shd w:val="clear" w:color="auto" w:fill="DBDBDB"/>
          </w:tcPr>
          <w:p>
            <w:pPr>
              <w:spacing w:after="0"/>
              <w:rPr>
                <w:sz w:val="15"/>
                <w:szCs w:val="15"/>
                <w:color w:val="auto"/>
              </w:rPr>
            </w:pPr>
          </w:p>
        </w:tc>
        <w:tc>
          <w:tcPr>
            <w:tcW w:w="4300" w:type="dxa"/>
            <w:vAlign w:val="bottom"/>
            <w:tcBorders>
              <w:top w:val="single" w:sz="8" w:color="auto"/>
            </w:tcBorders>
            <w:shd w:val="clear" w:color="auto" w:fill="DBDBDB"/>
          </w:tcPr>
          <w:p>
            <w:pPr>
              <w:spacing w:after="0"/>
              <w:rPr>
                <w:sz w:val="15"/>
                <w:szCs w:val="15"/>
                <w:color w:val="auto"/>
              </w:rPr>
            </w:pPr>
          </w:p>
        </w:tc>
        <w:tc>
          <w:tcPr>
            <w:tcW w:w="1720" w:type="dxa"/>
            <w:vAlign w:val="bottom"/>
            <w:tcBorders>
              <w:top w:val="single" w:sz="8" w:color="auto"/>
            </w:tcBorders>
            <w:gridSpan w:val="2"/>
            <w:shd w:val="clear" w:color="auto" w:fill="DBDBDB"/>
          </w:tcPr>
          <w:p>
            <w:pPr>
              <w:ind w:left="540"/>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5220" w:type="dxa"/>
            <w:vAlign w:val="bottom"/>
            <w:tcBorders>
              <w:bottom w:val="single" w:sz="8" w:color="auto"/>
            </w:tcBorders>
            <w:shd w:val="clear" w:color="auto" w:fill="DBDBDB"/>
          </w:tcPr>
          <w:p>
            <w:pPr>
              <w:spacing w:after="0"/>
              <w:rPr>
                <w:sz w:val="17"/>
                <w:szCs w:val="17"/>
                <w:color w:val="auto"/>
              </w:rPr>
            </w:pPr>
          </w:p>
        </w:tc>
        <w:tc>
          <w:tcPr>
            <w:tcW w:w="4300" w:type="dxa"/>
            <w:vAlign w:val="bottom"/>
            <w:tcBorders>
              <w:bottom w:val="single" w:sz="8" w:color="auto"/>
            </w:tcBorders>
            <w:shd w:val="clear" w:color="auto" w:fill="DBDBDB"/>
          </w:tcPr>
          <w:p>
            <w:pPr>
              <w:jc w:val="center"/>
              <w:ind w:left="2589"/>
              <w:spacing w:after="0"/>
              <w:rPr>
                <w:sz w:val="20"/>
                <w:szCs w:val="20"/>
                <w:color w:val="auto"/>
              </w:rPr>
            </w:pPr>
            <w:r>
              <w:rPr>
                <w:rFonts w:ascii="Arial" w:cs="Arial" w:eastAsia="Arial" w:hAnsi="Arial"/>
                <w:sz w:val="14"/>
                <w:szCs w:val="14"/>
                <w:b w:val="1"/>
                <w:bCs w:val="1"/>
                <w:color w:val="auto"/>
              </w:rPr>
              <w:t>1Q26E</w:t>
            </w:r>
          </w:p>
        </w:tc>
        <w:tc>
          <w:tcPr>
            <w:tcW w:w="172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2026E</w:t>
            </w:r>
          </w:p>
        </w:tc>
      </w:tr>
      <w:tr>
        <w:trPr>
          <w:trHeight w:val="193"/>
        </w:trPr>
        <w:tc>
          <w:tcPr>
            <w:tcW w:w="5220" w:type="dxa"/>
            <w:vAlign w:val="bottom"/>
          </w:tcPr>
          <w:p>
            <w:pPr>
              <w:ind w:left="140"/>
              <w:spacing w:after="0"/>
              <w:rPr>
                <w:sz w:val="20"/>
                <w:szCs w:val="20"/>
                <w:color w:val="auto"/>
              </w:rPr>
            </w:pPr>
            <w:r>
              <w:rPr>
                <w:rFonts w:ascii="Arial" w:cs="Arial" w:eastAsia="Arial" w:hAnsi="Arial"/>
                <w:sz w:val="14"/>
                <w:szCs w:val="14"/>
                <w:color w:val="auto"/>
              </w:rPr>
              <w:t>Net Production (MBoe/d)</w:t>
            </w:r>
          </w:p>
        </w:tc>
        <w:tc>
          <w:tcPr>
            <w:tcW w:w="4300" w:type="dxa"/>
            <w:vAlign w:val="bottom"/>
          </w:tcPr>
          <w:p>
            <w:pPr>
              <w:jc w:val="center"/>
              <w:ind w:left="2589"/>
              <w:spacing w:after="0"/>
              <w:rPr>
                <w:sz w:val="20"/>
                <w:szCs w:val="20"/>
                <w:color w:val="auto"/>
              </w:rPr>
            </w:pPr>
            <w:r>
              <w:rPr>
                <w:rFonts w:ascii="Arial" w:cs="Arial" w:eastAsia="Arial" w:hAnsi="Arial"/>
                <w:sz w:val="14"/>
                <w:szCs w:val="14"/>
                <w:color w:val="auto"/>
              </w:rPr>
              <w:t>155 - 157</w:t>
            </w:r>
          </w:p>
        </w:tc>
        <w:tc>
          <w:tcPr>
            <w:tcW w:w="820" w:type="dxa"/>
            <w:vAlign w:val="bottom"/>
          </w:tcPr>
          <w:p>
            <w:pPr>
              <w:jc w:val="right"/>
              <w:spacing w:after="0"/>
              <w:rPr>
                <w:sz w:val="20"/>
                <w:szCs w:val="20"/>
                <w:color w:val="auto"/>
              </w:rPr>
            </w:pPr>
            <w:r>
              <w:rPr>
                <w:rFonts w:ascii="Arial" w:cs="Arial" w:eastAsia="Arial" w:hAnsi="Arial"/>
                <w:sz w:val="14"/>
                <w:szCs w:val="14"/>
                <w:color w:val="auto"/>
              </w:rPr>
              <w:t>152</w:t>
            </w:r>
          </w:p>
        </w:tc>
        <w:tc>
          <w:tcPr>
            <w:tcW w:w="900" w:type="dxa"/>
            <w:vAlign w:val="bottom"/>
          </w:tcPr>
          <w:p>
            <w:pPr>
              <w:ind w:left="40"/>
              <w:spacing w:after="0"/>
              <w:rPr>
                <w:sz w:val="20"/>
                <w:szCs w:val="20"/>
                <w:color w:val="auto"/>
              </w:rPr>
            </w:pPr>
            <w:r>
              <w:rPr>
                <w:rFonts w:ascii="Arial" w:cs="Arial" w:eastAsia="Arial" w:hAnsi="Arial"/>
                <w:sz w:val="14"/>
                <w:szCs w:val="14"/>
                <w:color w:val="auto"/>
              </w:rPr>
              <w:t>- 157</w:t>
            </w:r>
          </w:p>
        </w:tc>
      </w:tr>
      <w:tr>
        <w:trPr>
          <w:trHeight w:val="213"/>
        </w:trPr>
        <w:tc>
          <w:tcPr>
            <w:tcW w:w="5220" w:type="dxa"/>
            <w:vAlign w:val="bottom"/>
          </w:tcPr>
          <w:p>
            <w:pPr>
              <w:ind w:left="140"/>
              <w:spacing w:after="0"/>
              <w:rPr>
                <w:sz w:val="20"/>
                <w:szCs w:val="20"/>
                <w:color w:val="auto"/>
              </w:rPr>
            </w:pPr>
            <w:r>
              <w:rPr>
                <w:rFonts w:ascii="Arial" w:cs="Arial" w:eastAsia="Arial" w:hAnsi="Arial"/>
                <w:sz w:val="14"/>
                <w:szCs w:val="14"/>
                <w:color w:val="auto"/>
              </w:rPr>
              <w:t>Percentage Oil</w:t>
            </w:r>
          </w:p>
        </w:tc>
        <w:tc>
          <w:tcPr>
            <w:tcW w:w="4300" w:type="dxa"/>
            <w:vAlign w:val="bottom"/>
          </w:tcPr>
          <w:p>
            <w:pPr>
              <w:jc w:val="center"/>
              <w:ind w:left="2589"/>
              <w:spacing w:after="0"/>
              <w:rPr>
                <w:sz w:val="20"/>
                <w:szCs w:val="20"/>
                <w:color w:val="auto"/>
              </w:rPr>
            </w:pPr>
            <w:r>
              <w:rPr>
                <w:rFonts w:ascii="Arial" w:cs="Arial" w:eastAsia="Arial" w:hAnsi="Arial"/>
                <w:sz w:val="14"/>
                <w:szCs w:val="14"/>
                <w:color w:val="auto"/>
                <w:w w:val="99"/>
              </w:rPr>
              <w:t>81%</w:t>
            </w:r>
          </w:p>
        </w:tc>
        <w:tc>
          <w:tcPr>
            <w:tcW w:w="820" w:type="dxa"/>
            <w:vAlign w:val="bottom"/>
          </w:tcPr>
          <w:p>
            <w:pPr>
              <w:spacing w:after="0"/>
              <w:rPr>
                <w:sz w:val="18"/>
                <w:szCs w:val="18"/>
                <w:color w:val="auto"/>
              </w:rPr>
            </w:pPr>
          </w:p>
        </w:tc>
        <w:tc>
          <w:tcPr>
            <w:tcW w:w="900" w:type="dxa"/>
            <w:vAlign w:val="bottom"/>
          </w:tcPr>
          <w:p>
            <w:pPr>
              <w:jc w:val="center"/>
              <w:ind w:right="709"/>
              <w:spacing w:after="0"/>
              <w:rPr>
                <w:sz w:val="20"/>
                <w:szCs w:val="20"/>
                <w:color w:val="auto"/>
              </w:rPr>
            </w:pPr>
            <w:r>
              <w:rPr>
                <w:rFonts w:ascii="Arial" w:cs="Arial" w:eastAsia="Arial" w:hAnsi="Arial"/>
                <w:sz w:val="14"/>
                <w:szCs w:val="14"/>
                <w:color w:val="auto"/>
              </w:rPr>
              <w:t>1</w:t>
            </w:r>
          </w:p>
        </w:tc>
      </w:tr>
      <w:tr>
        <w:trPr>
          <w:trHeight w:val="213"/>
        </w:trPr>
        <w:tc>
          <w:tcPr>
            <w:tcW w:w="5220" w:type="dxa"/>
            <w:vAlign w:val="bottom"/>
          </w:tcPr>
          <w:p>
            <w:pPr>
              <w:ind w:left="140"/>
              <w:spacing w:after="0"/>
              <w:rPr>
                <w:sz w:val="20"/>
                <w:szCs w:val="20"/>
                <w:color w:val="auto"/>
              </w:rPr>
            </w:pPr>
            <w:r>
              <w:rPr>
                <w:rFonts w:ascii="Arial" w:cs="Arial" w:eastAsia="Arial" w:hAnsi="Arial"/>
                <w:sz w:val="14"/>
                <w:szCs w:val="14"/>
                <w:color w:val="auto"/>
              </w:rPr>
              <w:t>Capital Investments ($ millions)</w:t>
            </w:r>
          </w:p>
        </w:tc>
        <w:tc>
          <w:tcPr>
            <w:tcW w:w="4300" w:type="dxa"/>
            <w:vAlign w:val="bottom"/>
          </w:tcPr>
          <w:p>
            <w:pPr>
              <w:jc w:val="center"/>
              <w:ind w:left="2589"/>
              <w:spacing w:after="0"/>
              <w:rPr>
                <w:sz w:val="20"/>
                <w:szCs w:val="20"/>
                <w:color w:val="auto"/>
              </w:rPr>
            </w:pPr>
            <w:r>
              <w:rPr>
                <w:rFonts w:ascii="Arial" w:cs="Arial" w:eastAsia="Arial" w:hAnsi="Arial"/>
                <w:sz w:val="14"/>
                <w:szCs w:val="14"/>
                <w:color w:val="auto"/>
              </w:rPr>
              <w:t>$110 - $130</w:t>
            </w:r>
          </w:p>
        </w:tc>
        <w:tc>
          <w:tcPr>
            <w:tcW w:w="820" w:type="dxa"/>
            <w:vAlign w:val="bottom"/>
          </w:tcPr>
          <w:p>
            <w:pPr>
              <w:jc w:val="right"/>
              <w:spacing w:after="0"/>
              <w:rPr>
                <w:sz w:val="20"/>
                <w:szCs w:val="20"/>
                <w:color w:val="auto"/>
              </w:rPr>
            </w:pPr>
            <w:r>
              <w:rPr>
                <w:rFonts w:ascii="Arial" w:cs="Arial" w:eastAsia="Arial" w:hAnsi="Arial"/>
                <w:sz w:val="14"/>
                <w:szCs w:val="14"/>
                <w:color w:val="auto"/>
              </w:rPr>
              <w:t>$430</w:t>
            </w:r>
          </w:p>
        </w:tc>
        <w:tc>
          <w:tcPr>
            <w:tcW w:w="900" w:type="dxa"/>
            <w:vAlign w:val="bottom"/>
          </w:tcPr>
          <w:p>
            <w:pPr>
              <w:ind w:left="40"/>
              <w:spacing w:after="0"/>
              <w:rPr>
                <w:sz w:val="20"/>
                <w:szCs w:val="20"/>
                <w:color w:val="auto"/>
              </w:rPr>
            </w:pPr>
            <w:r>
              <w:rPr>
                <w:rFonts w:ascii="Arial" w:cs="Arial" w:eastAsia="Arial" w:hAnsi="Arial"/>
                <w:sz w:val="14"/>
                <w:szCs w:val="14"/>
                <w:color w:val="auto"/>
              </w:rPr>
              <w:t>- $470</w:t>
            </w:r>
          </w:p>
        </w:tc>
      </w:tr>
      <w:tr>
        <w:trPr>
          <w:trHeight w:val="267"/>
        </w:trPr>
        <w:tc>
          <w:tcPr>
            <w:tcW w:w="5220" w:type="dxa"/>
            <w:vAlign w:val="bottom"/>
          </w:tcPr>
          <w:p>
            <w:pPr>
              <w:ind w:left="140"/>
              <w:spacing w:after="0"/>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4300" w:type="dxa"/>
            <w:vAlign w:val="bottom"/>
          </w:tcPr>
          <w:p>
            <w:pPr>
              <w:jc w:val="center"/>
              <w:ind w:left="2589"/>
              <w:spacing w:after="0"/>
              <w:rPr>
                <w:sz w:val="20"/>
                <w:szCs w:val="20"/>
                <w:color w:val="auto"/>
              </w:rPr>
            </w:pPr>
            <w:r>
              <w:rPr>
                <w:rFonts w:ascii="Arial" w:cs="Arial" w:eastAsia="Arial" w:hAnsi="Arial"/>
                <w:sz w:val="14"/>
                <w:szCs w:val="14"/>
                <w:color w:val="auto"/>
              </w:rPr>
              <w:t>$240 - $280</w:t>
            </w:r>
          </w:p>
        </w:tc>
        <w:tc>
          <w:tcPr>
            <w:tcW w:w="1720" w:type="dxa"/>
            <w:vAlign w:val="bottom"/>
            <w:gridSpan w:val="2"/>
          </w:tcPr>
          <w:p>
            <w:pPr>
              <w:jc w:val="center"/>
              <w:spacing w:after="0"/>
              <w:rPr>
                <w:sz w:val="20"/>
                <w:szCs w:val="20"/>
                <w:color w:val="auto"/>
              </w:rPr>
            </w:pPr>
            <w:r>
              <w:rPr>
                <w:rFonts w:ascii="Arial" w:cs="Arial" w:eastAsia="Arial" w:hAnsi="Arial"/>
                <w:sz w:val="14"/>
                <w:szCs w:val="14"/>
                <w:color w:val="auto"/>
              </w:rPr>
              <w:t>$970 - $1,070</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w:t>
      </w:r>
    </w:p>
    <w:p>
      <w:pPr>
        <w:spacing w:after="0" w:line="25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21"/>
          <w:szCs w:val="21"/>
          <w:color w:val="auto"/>
        </w:rPr>
        <w:t>CRC is committed to increasing shareholder returns over time. In November 2025, CRC increased its annual dividend by approximately 5% to a total annual dividend of $1.62. CRC has increased its dividend every year since 2021.</w:t>
      </w:r>
    </w:p>
    <w:p>
      <w:pPr>
        <w:spacing w:after="0" w:line="200" w:lineRule="exact"/>
        <w:rPr>
          <w:sz w:val="20"/>
          <w:szCs w:val="20"/>
          <w:color w:val="auto"/>
        </w:rPr>
      </w:pPr>
    </w:p>
    <w:p>
      <w:pPr>
        <w:spacing w:after="0" w:line="234" w:lineRule="exact"/>
        <w:rPr>
          <w:sz w:val="20"/>
          <w:szCs w:val="20"/>
          <w:color w:val="auto"/>
        </w:rPr>
      </w:pPr>
    </w:p>
    <w:p>
      <w:pPr>
        <w:jc w:val="both"/>
        <w:ind w:firstLine="320"/>
        <w:spacing w:after="0" w:line="304" w:lineRule="auto"/>
        <w:rPr>
          <w:sz w:val="20"/>
          <w:szCs w:val="20"/>
          <w:color w:val="auto"/>
        </w:rPr>
      </w:pPr>
      <w:r>
        <w:rPr>
          <w:rFonts w:ascii="Arial" w:cs="Arial" w:eastAsia="Arial" w:hAnsi="Arial"/>
          <w:sz w:val="21"/>
          <w:szCs w:val="21"/>
          <w:color w:val="auto"/>
        </w:rPr>
        <w:t>On March 1, 2026, CRC's Board of Directors declared a quarterly cash dividend of $0.405 per share of common stock, payable to shareholders of record on March 13, 2026. The dividend is expected to be paid on March 20, 2026.</w:t>
      </w:r>
    </w:p>
    <w:p>
      <w:pPr>
        <w:spacing w:after="0" w:line="143" w:lineRule="exact"/>
        <w:rPr>
          <w:sz w:val="20"/>
          <w:szCs w:val="20"/>
          <w:color w:val="auto"/>
        </w:rPr>
      </w:pPr>
    </w:p>
    <w:p>
      <w:pPr>
        <w:jc w:val="both"/>
        <w:ind w:firstLine="320"/>
        <w:spacing w:after="0"/>
        <w:rPr>
          <w:sz w:val="20"/>
          <w:szCs w:val="20"/>
          <w:color w:val="auto"/>
        </w:rPr>
      </w:pPr>
      <w:r>
        <w:rPr>
          <w:rFonts w:ascii="Arial" w:cs="Arial" w:eastAsia="Arial" w:hAnsi="Arial"/>
          <w:sz w:val="21"/>
          <w:szCs w:val="21"/>
          <w:color w:val="auto"/>
        </w:rPr>
        <w:t>In 2025, CRC repurchased 8.3 million shares of its common stock for $377 million</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at an average price of $45.29 per share and returned $136 million in dividends to shareholders. Since mid-2021, the Company has returned approximately $1,573 million to shareholders</w:t>
      </w:r>
      <w:r>
        <w:rPr>
          <w:rFonts w:ascii="Arial" w:cs="Arial" w:eastAsia="Arial" w:hAnsi="Arial"/>
          <w:sz w:val="27"/>
          <w:szCs w:val="27"/>
          <w:color w:val="auto"/>
          <w:vertAlign w:val="superscript"/>
        </w:rPr>
        <w:t>2</w:t>
      </w:r>
      <w:r>
        <w:rPr>
          <w:rFonts w:ascii="Arial" w:cs="Arial" w:eastAsia="Arial" w:hAnsi="Arial"/>
          <w:sz w:val="21"/>
          <w:szCs w:val="21"/>
          <w:color w:val="auto"/>
        </w:rPr>
        <w:t>, including $1,170 million in share repurchases and $403 million in dividends.</w:t>
      </w:r>
    </w:p>
    <w:p>
      <w:pPr>
        <w:spacing w:after="0" w:line="200" w:lineRule="exact"/>
        <w:rPr>
          <w:sz w:val="20"/>
          <w:szCs w:val="20"/>
          <w:color w:val="auto"/>
        </w:rPr>
      </w:pPr>
    </w:p>
    <w:p>
      <w:pPr>
        <w:spacing w:after="0" w:line="208"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In February 2026, CRC’s Board of Directors approved an increase of the Share Repurchase Program to $1.78 billion, an increase of $430 million and extended the program through December 31, 2027. After this increase and repurchases in January 2026, CRC has $600 million of capacity remaining under the repurchase program as of February 28,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5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In October 2025, CRC's lenders reaffirmed its $1,500 million borrowing base under its Revolving Credit Facility as part of its semi-annual redetermination. In December 2025, elected commitments under the Revolving Credit Facility increased by $10 million to $1,460 million.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84" w:right="339" w:bottom="1440" w:gutter="0" w:footer="0" w:header="0"/>
        </w:sectPr>
      </w:pPr>
    </w:p>
    <w:bookmarkStart w:id="7" w:name="page8"/>
    <w:bookmarkEnd w:id="7"/>
    <w:p>
      <w:pPr>
        <w:jc w:val="both"/>
        <w:ind w:firstLine="320"/>
        <w:spacing w:after="0" w:line="245" w:lineRule="auto"/>
        <w:rPr>
          <w:sz w:val="20"/>
          <w:szCs w:val="20"/>
          <w:color w:val="auto"/>
        </w:rPr>
      </w:pPr>
      <w:r>
        <w:rPr>
          <w:rFonts w:ascii="Arial" w:cs="Arial" w:eastAsia="Arial" w:hAnsi="Arial"/>
          <w:sz w:val="21"/>
          <w:szCs w:val="21"/>
          <w:color w:val="auto"/>
        </w:rPr>
        <w:t>At year-end 2025, CRC had liquidity of $1,401 million, consisting of $117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and $1,284 million of available borrowing capacity under its Revolving Credit Facility (which reflects $1,460 million of borrowing capacity less $176 million of outstanding letters of credit). There were no outstanding borrowings under the Revolving Credit Facility as of December 31, 2025.</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Participation in Upcoming Investor Conferences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is scheduled to participate in the following events in March 2026:</w:t>
      </w:r>
    </w:p>
    <w:p>
      <w:pPr>
        <w:spacing w:after="0" w:line="252" w:lineRule="exact"/>
        <w:rPr>
          <w:sz w:val="20"/>
          <w:szCs w:val="20"/>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2026 Jefferies Power, Energy, Clean Energy, and Utilities Conference, March 4, New York, NY</w:t>
      </w:r>
    </w:p>
    <w:p>
      <w:pPr>
        <w:spacing w:after="0" w:line="3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2026 NYSE Investor Access Day, March 20, Virtual</w:t>
      </w:r>
    </w:p>
    <w:p>
      <w:pPr>
        <w:spacing w:after="0" w:line="19"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38th Annual ROTH Conference, March 23, Dana Point, CA</w:t>
      </w:r>
    </w:p>
    <w:p>
      <w:pPr>
        <w:spacing w:after="0" w:line="237"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21"/>
          <w:szCs w:val="21"/>
          <w:color w:val="auto"/>
        </w:rPr>
        <w:t>CRC’s presentation materials will be available on the day of the event on its website. See the Events and Presentations page under the Investor Relations section on www.crc.com.</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54"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21"/>
          <w:szCs w:val="21"/>
          <w:color w:val="auto"/>
        </w:rPr>
        <w:t>A conference call and webcast is planned for 1 p.m. ET (10 a.m. PT) on Monday, March 2, 2026. To participate in the call, dial (877) 328-5505 (International calls dial +1 (412) 317-5421) or access via webcast at www.crc.com. Participants may also pre-register for the conference call at https://dpregister.com/sreg/10204776/10070090c28. A digital replay of the conference call will be available for approximately 90 days.</w:t>
      </w:r>
    </w:p>
    <w:p>
      <w:pPr>
        <w:spacing w:after="0" w:line="187" w:lineRule="exact"/>
        <w:rPr>
          <w:sz w:val="20"/>
          <w:szCs w:val="20"/>
          <w:color w:val="auto"/>
        </w:rPr>
      </w:pPr>
    </w:p>
    <w:p>
      <w:pPr>
        <w:jc w:val="both"/>
        <w:ind w:firstLine="7"/>
        <w:spacing w:after="0" w:line="246" w:lineRule="auto"/>
        <w:tabs>
          <w:tab w:leader="none" w:pos="7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See Attachment 3 for the non-GAAP financial measures of adjusted net income (loss), adjusted net income (loss) per share - basic and diluted, net cash provided by operating activities before changes in operating assets and liabilities, net, adjusted EBITDAX, free cash flow, adjusted general and administrative expenses and PV-10 including reconciliations to the most directly comparable GAAP measure without unreasonable effort. See Attachment 2 for the 1Q26 and 2026 estimates of the non-GAAP measures of adjusted EBITDAX, oil and natural gas segment adjusted EBITDAX, carbon management segment adjusted EBITDAX and adjusted general and administrative expenses, including reconciliations to its most directly comparable GAAP measure, without unreasonable effort. See Attachment 1 for a reconciliation of drilling completion and workover capital to total capital investments reported under GAAP.</w:t>
      </w:r>
    </w:p>
    <w:p>
      <w:pPr>
        <w:spacing w:after="0" w:line="2" w:lineRule="exact"/>
        <w:rPr>
          <w:rFonts w:ascii="Arial" w:cs="Arial" w:eastAsia="Arial" w:hAnsi="Arial"/>
          <w:sz w:val="18"/>
          <w:szCs w:val="18"/>
          <w:color w:val="auto"/>
          <w:vertAlign w:val="superscript"/>
        </w:rPr>
      </w:pPr>
    </w:p>
    <w:p>
      <w:pPr>
        <w:jc w:val="both"/>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All of CRC’s future quarterly dividends and share repurchases are subject to commodity prices, debt agreement covenants and Board of Directors' approval. The total value of shares purchased excludes commissions and excise taxes. Commissions paid on share repurchases were not significant in all periods presented. The total value of share repurchases excludes excise taxes of approximately $2 million in the year ended December 31, 2024. Excise taxes were insignificant in the year ended December 31, 2025. The total value of shares repurchased excludes approximately $3 million related to excise taxes and commissions paid on share repurchases since the inception of the Share Repurchase Program.</w:t>
      </w:r>
    </w:p>
    <w:p>
      <w:pPr>
        <w:spacing w:after="0" w:line="1" w:lineRule="exact"/>
        <w:rPr>
          <w:rFonts w:ascii="Arial" w:cs="Arial" w:eastAsia="Arial" w:hAnsi="Arial"/>
          <w:sz w:val="18"/>
          <w:szCs w:val="18"/>
          <w:color w:val="auto"/>
          <w:vertAlign w:val="superscript"/>
        </w:rPr>
      </w:pPr>
    </w:p>
    <w:p>
      <w:pPr>
        <w:spacing w:after="0" w:line="200"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restricted cash of $15 million.</w:t>
      </w:r>
    </w:p>
    <w:p>
      <w:pPr>
        <w:spacing w:after="0" w:line="208"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MOUs and CDMAs are non-binding agreements. The projects and transactions described in an MOU or CDMA are subject to certain conditions precedent, typically including the negotiation of definitive documents, a final investment decision by the parties and receipt of EPA Class VI permits and other regulatory approvals.</w:t>
      </w:r>
    </w:p>
    <w:p>
      <w:pPr>
        <w:ind w:right="220"/>
        <w:spacing w:after="0" w:line="223"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Net production per day for the periods presented reflects the impact of transaction timing. Aera Energy volumes contributed for the full year in 2025 and for approximately six months in 2024, while Berry Corporation volumes contributed for approximately 14 days in 2025 following the transaction close. Production amounts shown are reported results and are not presented on a pro forma basis.</w:t>
      </w:r>
    </w:p>
    <w:p>
      <w:pPr>
        <w:spacing w:after="0" w:line="1" w:lineRule="exact"/>
        <w:rPr>
          <w:rFonts w:ascii="Arial" w:cs="Arial" w:eastAsia="Arial" w:hAnsi="Arial"/>
          <w:sz w:val="18"/>
          <w:szCs w:val="18"/>
          <w:color w:val="auto"/>
          <w:vertAlign w:val="superscript"/>
        </w:rPr>
      </w:pPr>
    </w:p>
    <w:p>
      <w:pPr>
        <w:jc w:val="both"/>
        <w:spacing w:after="0" w:line="236"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1Q26 guidance assumes Brent price of $66.42 per barrel of oil, NGL realizations as a percentage of Brent consistent with prior years and a NYMEX gas price of $5.22 per mcf. Total year 2026 guidance assumes Brent price of $65.57 per barrel of oil, NGL realizations as a percentage of Brent consistent with prior years and a NYMEX gas price of $4.13 per mcf.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126"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54"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crc.com.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Carbon TerraVault (CTV), CRC’s carbon management business, is developing services to capture, transport and permanently store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for its customers. CTV is engaged in a series of proposed CCS projects to inject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captured from industrial sources into depleted reservoirs deep underground for permanent sequestration. For more information, visit carbonterravault.com.</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Information set forth in this communication, including financial estimates and statements as to the effects of the Berry Merger,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CRC's future financial position, business strategy, projected revenues, earnings, costs, capital expenditures and plans and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CRC and are subject to risks and uncertainties that could cause actual results to differ materially from those expressed in, projected in, or implied by, such statements.</w:t>
      </w:r>
    </w:p>
    <w:p>
      <w:pPr>
        <w:spacing w:after="0" w:line="200" w:lineRule="exact"/>
        <w:rPr>
          <w:sz w:val="20"/>
          <w:szCs w:val="20"/>
          <w:color w:val="auto"/>
        </w:rPr>
      </w:pPr>
    </w:p>
    <w:p>
      <w:pPr>
        <w:spacing w:after="0" w:line="256"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 These factors include, but are not limited to: fluctuations in commodity prices; production levels and/or pricing by OPEC, OPEC+ or U.S. producers; government policy, war and political conditions and events; integration efforts and projected synergies and other benefits in connection with the Berry Merger and other acquisitions; divestitures and joint ventures; regulatory actions and changes that affect the oil and gas industry generally and us in particular; the efforts of activists to delay or prevent oil and gas activities or the development of CRC’s carbon management segment; changes in business strategy and the ability and financial resources to execute our capital plan in a timely manner;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84" w:right="339" w:bottom="1440" w:gutter="0" w:footer="0" w:header="0"/>
        </w:sectPr>
      </w:pPr>
    </w:p>
    <w:bookmarkStart w:id="9" w:name="page10"/>
    <w:bookmarkEnd w:id="9"/>
    <w:p>
      <w:pPr>
        <w:jc w:val="both"/>
        <w:spacing w:after="0" w:line="247" w:lineRule="auto"/>
        <w:rPr>
          <w:sz w:val="20"/>
          <w:szCs w:val="20"/>
          <w:color w:val="auto"/>
        </w:rPr>
      </w:pPr>
      <w:r>
        <w:rPr>
          <w:rFonts w:ascii="Arial" w:cs="Arial" w:eastAsia="Arial" w:hAnsi="Arial"/>
          <w:sz w:val="21"/>
          <w:szCs w:val="21"/>
          <w:color w:val="auto"/>
        </w:rPr>
        <w:t>future efforts to reduce costs; environmental risks and liability; the benefits contemplated by its energy transition strategies and initiatives; CRC’s ability to successfully identify, develop and finance carbon capture and storage projects, power projects and other renewable energy efforts; delays from government approvals and otherwise that could affect the timing of first injection of CO</w:t>
      </w:r>
      <w:r>
        <w:rPr>
          <w:rFonts w:ascii="Arial" w:cs="Arial" w:eastAsia="Arial" w:hAnsi="Arial"/>
          <w:sz w:val="27"/>
          <w:szCs w:val="27"/>
          <w:color w:val="auto"/>
          <w:vertAlign w:val="subscript"/>
        </w:rPr>
        <w:t>2</w:t>
      </w:r>
      <w:r>
        <w:rPr>
          <w:rFonts w:ascii="Arial" w:cs="Arial" w:eastAsia="Arial" w:hAnsi="Arial"/>
          <w:sz w:val="21"/>
          <w:szCs w:val="21"/>
          <w:color w:val="auto"/>
        </w:rPr>
        <w:t>; future dividends and share repurchases and de-leveraging efforts; and natural disasters, accidents, mechanical failures, power outages, labor difficulties, cybersecurity breaches or attacks or other catastrophic events.</w:t>
      </w:r>
    </w:p>
    <w:p>
      <w:pPr>
        <w:spacing w:after="0" w:line="210"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14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21"/>
                <w:szCs w:val="21"/>
                <w:color w:val="auto"/>
              </w:rPr>
              <w:t>Daniel Juck (Investor Relations)</w:t>
            </w:r>
          </w:p>
        </w:tc>
        <w:tc>
          <w:tcPr>
            <w:tcW w:w="4520" w:type="dxa"/>
            <w:vAlign w:val="bottom"/>
            <w:gridSpan w:val="2"/>
          </w:tcPr>
          <w:p>
            <w:pPr>
              <w:ind w:left="1460"/>
              <w:spacing w:after="0"/>
              <w:rPr>
                <w:sz w:val="20"/>
                <w:szCs w:val="20"/>
                <w:color w:val="auto"/>
              </w:rPr>
            </w:pPr>
            <w:r>
              <w:rPr>
                <w:rFonts w:ascii="Arial" w:cs="Arial" w:eastAsia="Arial" w:hAnsi="Arial"/>
                <w:sz w:val="21"/>
                <w:szCs w:val="21"/>
                <w:color w:val="auto"/>
              </w:rPr>
              <w:t>Hailey Bonus (Media)</w:t>
            </w:r>
          </w:p>
        </w:tc>
      </w:tr>
      <w:tr>
        <w:trPr>
          <w:trHeight w:val="240"/>
        </w:trPr>
        <w:tc>
          <w:tcPr>
            <w:tcW w:w="4180" w:type="dxa"/>
            <w:vAlign w:val="bottom"/>
            <w:gridSpan w:val="4"/>
          </w:tcPr>
          <w:p>
            <w:pPr>
              <w:ind w:left="20"/>
              <w:spacing w:after="0" w:line="240" w:lineRule="exact"/>
              <w:rPr>
                <w:sz w:val="20"/>
                <w:szCs w:val="20"/>
                <w:color w:val="auto"/>
              </w:rPr>
            </w:pPr>
            <w:r>
              <w:rPr>
                <w:rFonts w:ascii="Arial" w:cs="Arial" w:eastAsia="Arial" w:hAnsi="Arial"/>
                <w:sz w:val="21"/>
                <w:szCs w:val="21"/>
                <w:color w:val="auto"/>
              </w:rPr>
              <w:t>818-661-3700</w:t>
            </w:r>
          </w:p>
        </w:tc>
        <w:tc>
          <w:tcPr>
            <w:tcW w:w="4520" w:type="dxa"/>
            <w:vAlign w:val="bottom"/>
            <w:gridSpan w:val="2"/>
          </w:tcPr>
          <w:p>
            <w:pPr>
              <w:ind w:left="1460"/>
              <w:spacing w:after="0" w:line="240" w:lineRule="exact"/>
              <w:rPr>
                <w:sz w:val="20"/>
                <w:szCs w:val="20"/>
                <w:color w:val="auto"/>
              </w:rPr>
            </w:pPr>
            <w:r>
              <w:rPr>
                <w:rFonts w:ascii="Arial" w:cs="Arial" w:eastAsia="Arial" w:hAnsi="Arial"/>
                <w:sz w:val="21"/>
                <w:szCs w:val="21"/>
                <w:color w:val="auto"/>
              </w:rPr>
              <w:t>714-874-7732</w:t>
            </w:r>
          </w:p>
        </w:tc>
      </w:tr>
      <w:tr>
        <w:trPr>
          <w:trHeight w:val="226"/>
        </w:trPr>
        <w:tc>
          <w:tcPr>
            <w:tcW w:w="20" w:type="dxa"/>
            <w:vAlign w:val="bottom"/>
          </w:tcPr>
          <w:p>
            <w:pPr>
              <w:spacing w:after="0"/>
              <w:rPr>
                <w:sz w:val="19"/>
                <w:szCs w:val="19"/>
                <w:color w:val="auto"/>
              </w:rPr>
            </w:pPr>
          </w:p>
        </w:tc>
        <w:tc>
          <w:tcPr>
            <w:tcW w:w="4160" w:type="dxa"/>
            <w:vAlign w:val="bottom"/>
            <w:gridSpan w:val="3"/>
          </w:tcPr>
          <w:p>
            <w:pPr>
              <w:spacing w:after="0" w:line="226" w:lineRule="exact"/>
              <w:rPr>
                <w:sz w:val="20"/>
                <w:szCs w:val="20"/>
                <w:color w:val="auto"/>
              </w:rPr>
            </w:pPr>
            <w:r>
              <w:rPr>
                <w:rFonts w:ascii="Arial" w:cs="Arial" w:eastAsia="Arial" w:hAnsi="Arial"/>
                <w:sz w:val="21"/>
                <w:szCs w:val="21"/>
                <w:color w:val="421BFF"/>
              </w:rPr>
              <w:t>IR@crc.com</w:t>
            </w:r>
          </w:p>
        </w:tc>
        <w:tc>
          <w:tcPr>
            <w:tcW w:w="4520" w:type="dxa"/>
            <w:vAlign w:val="bottom"/>
            <w:gridSpan w:val="2"/>
          </w:tcPr>
          <w:p>
            <w:pPr>
              <w:ind w:left="1460"/>
              <w:spacing w:after="0" w:line="226" w:lineRule="exact"/>
              <w:rPr>
                <w:sz w:val="20"/>
                <w:szCs w:val="20"/>
                <w:color w:val="auto"/>
              </w:rPr>
            </w:pPr>
            <w:r>
              <w:rPr>
                <w:rFonts w:ascii="Arial" w:cs="Arial" w:eastAsia="Arial" w:hAnsi="Arial"/>
                <w:sz w:val="21"/>
                <w:szCs w:val="21"/>
                <w:color w:val="421BFF"/>
              </w:rPr>
              <w:t>CRC.Communications@crc.com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shd w:val="clear" w:color="auto" w:fill="421BFF"/>
          </w:tcPr>
          <w:p>
            <w:pPr>
              <w:spacing w:after="0" w:line="20" w:lineRule="exact"/>
              <w:rPr>
                <w:sz w:val="1"/>
                <w:szCs w:val="1"/>
                <w:color w:val="auto"/>
              </w:rPr>
            </w:pPr>
          </w:p>
        </w:tc>
      </w:tr>
      <w:tr>
        <w:trPr>
          <w:trHeight w:val="90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20" w:type="dxa"/>
            <w:vAlign w:val="bottom"/>
            <w:gridSpan w:val="2"/>
          </w:tcPr>
          <w:p>
            <w:pPr>
              <w:ind w:left="1160"/>
              <w:spacing w:after="0"/>
              <w:rPr>
                <w:sz w:val="20"/>
                <w:szCs w:val="20"/>
                <w:color w:val="auto"/>
              </w:rPr>
            </w:pPr>
            <w:r>
              <w:rPr>
                <w:rFonts w:ascii="Arial" w:cs="Arial" w:eastAsia="Arial" w:hAnsi="Arial"/>
                <w:sz w:val="18"/>
                <w:szCs w:val="18"/>
                <w:color w:val="auto"/>
              </w:rPr>
              <w:t>Page 7</w:t>
            </w:r>
          </w:p>
        </w:tc>
      </w:tr>
    </w:tbl>
    <w:p>
      <w:pPr>
        <w:sectPr>
          <w:pgSz w:w="11900" w:h="16838" w:orient="portrait"/>
          <w:cols w:equalWidth="0" w:num="1">
            <w:col w:w="11240"/>
          </w:cols>
          <w:pgMar w:left="320" w:top="88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17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5500" w:type="dxa"/>
            <w:vAlign w:val="bottom"/>
            <w:gridSpan w:val="5"/>
          </w:tcPr>
          <w:p>
            <w:pPr>
              <w:spacing w:after="0"/>
              <w:rPr>
                <w:sz w:val="20"/>
                <w:szCs w:val="20"/>
                <w:color w:val="auto"/>
              </w:rPr>
            </w:pPr>
            <w:r>
              <w:rPr>
                <w:rFonts w:ascii="Arial" w:cs="Arial" w:eastAsia="Arial" w:hAnsi="Arial"/>
                <w:sz w:val="14"/>
                <w:szCs w:val="14"/>
                <w:b w:val="1"/>
                <w:bCs w:val="1"/>
                <w:color w:val="auto"/>
              </w:rPr>
              <w:t>STATEMENTS OF OPERATIONS, SELECT FINANCIAL INFORMATION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7"/>
        </w:trPr>
        <w:tc>
          <w:tcPr>
            <w:tcW w:w="1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20" w:type="dxa"/>
            <w:vAlign w:val="bottom"/>
          </w:tcPr>
          <w:p>
            <w:pPr>
              <w:spacing w:after="0"/>
              <w:rPr>
                <w:sz w:val="24"/>
                <w:szCs w:val="24"/>
                <w:color w:val="auto"/>
              </w:rPr>
            </w:pPr>
          </w:p>
        </w:tc>
        <w:tc>
          <w:tcPr>
            <w:tcW w:w="114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i w:val="1"/>
                <w:iCs w:val="1"/>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r>
      <w:tr>
        <w:trPr>
          <w:trHeight w:val="19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Oil, natural gas and natural gas liquids sales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679</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715</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826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2,910</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2,537</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241</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235</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159</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26</w:t>
            </w:r>
          </w:p>
        </w:tc>
      </w:tr>
      <w:tr>
        <w:trPr>
          <w:trHeight w:val="193"/>
        </w:trPr>
        <w:tc>
          <w:tcPr>
            <w:tcW w:w="40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855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877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3,669</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3,198</w:t>
            </w:r>
          </w:p>
        </w:tc>
      </w:tr>
      <w:tr>
        <w:trPr>
          <w:trHeight w:val="287"/>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1,252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966</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321</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388</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14</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242</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193</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40</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81</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Net loss on natural gas purchase derivatives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30</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Measurement period adjustments, net</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(12)</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239</w:t>
            </w:r>
          </w:p>
        </w:tc>
      </w:tr>
      <w:tr>
        <w:trPr>
          <w:trHeight w:val="193"/>
        </w:trPr>
        <w:tc>
          <w:tcPr>
            <w:tcW w:w="40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877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756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3,070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2,589</w:t>
            </w:r>
          </w:p>
        </w:tc>
      </w:tr>
      <w:tr>
        <w:trPr>
          <w:trHeight w:val="193"/>
        </w:trPr>
        <w:tc>
          <w:tcPr>
            <w:tcW w:w="4080" w:type="dxa"/>
            <w:vAlign w:val="bottom"/>
            <w:gridSpan w:val="2"/>
          </w:tcPr>
          <w:p>
            <w:pPr>
              <w:spacing w:after="0"/>
              <w:rPr>
                <w:sz w:val="20"/>
                <w:szCs w:val="20"/>
                <w:color w:val="auto"/>
              </w:rPr>
            </w:pPr>
            <w:r>
              <w:rPr>
                <w:rFonts w:ascii="Arial" w:cs="Arial" w:eastAsia="Arial" w:hAnsi="Arial"/>
                <w:sz w:val="14"/>
                <w:szCs w:val="14"/>
                <w:color w:val="auto"/>
              </w:rPr>
              <w:t>(Loss) gain on asset divestitures</w:t>
            </w:r>
          </w:p>
        </w:tc>
        <w:tc>
          <w:tcPr>
            <w:tcW w:w="1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r>
      <w:tr>
        <w:trPr>
          <w:trHeight w:val="193"/>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598</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620</w:t>
            </w:r>
          </w:p>
        </w:tc>
      </w:tr>
      <w:tr>
        <w:trPr>
          <w:trHeight w:val="347"/>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(87)</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Equity loss from unconsolidated subsidiaries</w:t>
            </w:r>
          </w:p>
        </w:tc>
        <w:tc>
          <w:tcPr>
            <w:tcW w:w="1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(10)</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(5)</w:t>
            </w:r>
          </w:p>
        </w:tc>
      </w:tr>
      <w:tr>
        <w:trPr>
          <w:trHeight w:val="201"/>
        </w:trPr>
        <w:tc>
          <w:tcPr>
            <w:tcW w:w="4080" w:type="dxa"/>
            <w:vAlign w:val="bottom"/>
            <w:gridSpan w:val="2"/>
          </w:tcPr>
          <w:p>
            <w:pPr>
              <w:spacing w:after="0"/>
              <w:rPr>
                <w:sz w:val="20"/>
                <w:szCs w:val="20"/>
                <w:color w:val="auto"/>
              </w:rPr>
            </w:pPr>
            <w:r>
              <w:rPr>
                <w:rFonts w:ascii="Arial" w:cs="Arial" w:eastAsia="Arial" w:hAnsi="Arial"/>
                <w:sz w:val="14"/>
                <w:szCs w:val="14"/>
                <w:color w:val="auto"/>
              </w:rPr>
              <w:t>Other non-operating income (expense),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w:t>
            </w:r>
          </w:p>
        </w:tc>
      </w:tr>
      <w:tr>
        <w:trPr>
          <w:trHeight w:val="326"/>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502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516</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(139)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(140)</w:t>
            </w:r>
          </w:p>
        </w:tc>
      </w:tr>
      <w:tr>
        <w:trPr>
          <w:trHeight w:val="16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363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376</w:t>
            </w:r>
          </w:p>
        </w:tc>
      </w:tr>
      <w:tr>
        <w:trPr>
          <w:trHeight w:val="20"/>
        </w:trPr>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2"/>
        </w:trPr>
        <w:tc>
          <w:tcPr>
            <w:tcW w:w="4080" w:type="dxa"/>
            <w:vAlign w:val="bottom"/>
            <w:gridSpan w:val="2"/>
          </w:tcPr>
          <w:p>
            <w:pPr>
              <w:spacing w:after="0"/>
              <w:rPr>
                <w:sz w:val="20"/>
                <w:szCs w:val="20"/>
                <w:color w:val="auto"/>
              </w:rPr>
            </w:pPr>
            <w:r>
              <w:rPr>
                <w:rFonts w:ascii="Arial" w:cs="Arial" w:eastAsia="Arial" w:hAnsi="Arial"/>
                <w:sz w:val="14"/>
                <w:szCs w:val="14"/>
                <w:color w:val="auto"/>
              </w:rPr>
              <w:t>Net income per share - basic</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4.17</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4.74</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Net income per share - diluted</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4.15</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4.62</w:t>
            </w:r>
          </w:p>
        </w:tc>
      </w:tr>
      <w:tr>
        <w:trPr>
          <w:trHeight w:val="347"/>
        </w:trPr>
        <w:tc>
          <w:tcPr>
            <w:tcW w:w="408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359</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317</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4.13</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4.00</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1.46</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4.11</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3.89</w:t>
            </w:r>
          </w:p>
        </w:tc>
      </w:tr>
      <w:tr>
        <w:trPr>
          <w:trHeight w:val="347"/>
        </w:trPr>
        <w:tc>
          <w:tcPr>
            <w:tcW w:w="40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87.0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79.3</w:t>
            </w:r>
          </w:p>
        </w:tc>
      </w:tr>
      <w:tr>
        <w:trPr>
          <w:trHeight w:val="200"/>
        </w:trPr>
        <w:tc>
          <w:tcPr>
            <w:tcW w:w="40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87.4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81.4</w:t>
            </w:r>
          </w:p>
        </w:tc>
      </w:tr>
      <w:tr>
        <w:trPr>
          <w:trHeight w:val="347"/>
        </w:trPr>
        <w:tc>
          <w:tcPr>
            <w:tcW w:w="40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48 %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180"/>
          </w:cols>
          <w:pgMar w:left="360" w:top="1170"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3rd Quarter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c>
          <w:tcPr>
            <w:tcW w:w="20" w:type="dxa"/>
            <w:vAlign w:val="bottom"/>
          </w:tcPr>
          <w:p>
            <w:pPr>
              <w:spacing w:after="0"/>
              <w:rPr>
                <w:sz w:val="16"/>
                <w:szCs w:val="16"/>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r>
      <w:tr>
        <w:trPr>
          <w:trHeight w:val="180"/>
        </w:trPr>
        <w:tc>
          <w:tcPr>
            <w:tcW w:w="4400" w:type="dxa"/>
            <w:vAlign w:val="bottom"/>
          </w:tcPr>
          <w:p>
            <w:pPr>
              <w:ind w:left="40"/>
              <w:spacing w:after="0"/>
              <w:rPr>
                <w:sz w:val="20"/>
                <w:szCs w:val="20"/>
                <w:color w:val="auto"/>
              </w:rPr>
            </w:pPr>
            <w:r>
              <w:rPr>
                <w:rFonts w:ascii="Arial" w:cs="Arial" w:eastAsia="Arial" w:hAnsi="Arial"/>
                <w:sz w:val="14"/>
                <w:szCs w:val="14"/>
                <w:b w:val="1"/>
                <w:bCs w:val="1"/>
                <w:color w:val="auto"/>
              </w:rPr>
              <w:t>Cash Flow Data:</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2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7"/>
                <w:szCs w:val="17"/>
                <w:color w:val="auto"/>
              </w:rPr>
            </w:pPr>
          </w:p>
        </w:tc>
        <w:tc>
          <w:tcPr>
            <w:tcW w:w="2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865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7"/>
                <w:szCs w:val="17"/>
                <w:color w:val="auto"/>
              </w:rPr>
            </w:pPr>
          </w:p>
        </w:tc>
        <w:tc>
          <w:tcPr>
            <w:tcW w:w="2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(1,077)</w:t>
            </w: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2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20" w:type="dxa"/>
            <w:vAlign w:val="bottom"/>
          </w:tcPr>
          <w:p>
            <w:pPr>
              <w:spacing w:after="0"/>
              <w:rPr>
                <w:sz w:val="17"/>
                <w:szCs w:val="17"/>
                <w:color w:val="auto"/>
              </w:rPr>
            </w:pPr>
          </w:p>
        </w:tc>
      </w:tr>
      <w:tr>
        <w:trPr>
          <w:trHeight w:val="466"/>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69"/>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4400" w:type="dxa"/>
            <w:vAlign w:val="bottom"/>
          </w:tcPr>
          <w:p>
            <w:pPr>
              <w:ind w:left="40"/>
              <w:spacing w:after="0"/>
              <w:rPr>
                <w:sz w:val="20"/>
                <w:szCs w:val="20"/>
                <w:color w:val="auto"/>
              </w:rPr>
            </w:pPr>
            <w:r>
              <w:rPr>
                <w:rFonts w:ascii="Arial" w:cs="Arial" w:eastAsia="Arial" w:hAnsi="Arial"/>
                <w:sz w:val="14"/>
                <w:szCs w:val="14"/>
                <w:b w:val="1"/>
                <w:bCs w:val="1"/>
                <w:color w:val="auto"/>
              </w:rPr>
              <w:t>Select Balance Sheet Information: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5,680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Noncurrent asset retirement obligations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400" w:type="dxa"/>
            <w:vAlign w:val="bottom"/>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4"/>
        </w:trPr>
        <w:tc>
          <w:tcPr>
            <w:tcW w:w="4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7"/>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auto"/>
              </w:rPr>
              <w:t>3rd Quarter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24"/>
                <w:szCs w:val="24"/>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Year</w:t>
            </w:r>
          </w:p>
        </w:tc>
        <w:tc>
          <w:tcPr>
            <w:tcW w:w="20" w:type="dxa"/>
            <w:vAlign w:val="bottom"/>
          </w:tcPr>
          <w:p>
            <w:pPr>
              <w:spacing w:after="0"/>
              <w:rPr>
                <w:sz w:val="24"/>
                <w:szCs w:val="24"/>
                <w:color w:val="auto"/>
              </w:rPr>
            </w:pP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r>
      <w:tr>
        <w:trPr>
          <w:trHeight w:val="233"/>
        </w:trPr>
        <w:tc>
          <w:tcPr>
            <w:tcW w:w="4400" w:type="dxa"/>
            <w:vAlign w:val="bottom"/>
          </w:tcPr>
          <w:p>
            <w:pPr>
              <w:ind w:left="20"/>
              <w:spacing w:after="0"/>
              <w:rPr>
                <w:sz w:val="20"/>
                <w:szCs w:val="20"/>
                <w:color w:val="auto"/>
              </w:rPr>
            </w:pPr>
            <w:r>
              <w:rPr>
                <w:rFonts w:ascii="Arial" w:cs="Arial" w:eastAsia="Arial" w:hAnsi="Arial"/>
                <w:sz w:val="14"/>
                <w:szCs w:val="14"/>
                <w:color w:val="auto"/>
              </w:rPr>
              <w:t>Non-cash commodity derivative gain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8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20"/>
                <w:szCs w:val="20"/>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20" w:type="dxa"/>
            <w:vAlign w:val="bottom"/>
          </w:tcPr>
          <w:p>
            <w:pPr>
              <w:spacing w:after="0"/>
              <w:rPr>
                <w:sz w:val="20"/>
                <w:szCs w:val="20"/>
                <w:color w:val="auto"/>
              </w:rPr>
            </w:pP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Net received (paid) on settled commodity derivatives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20" w:type="dxa"/>
            <w:vAlign w:val="bottom"/>
            <w:tcBorders>
              <w:bottom w:val="single" w:sz="8" w:color="auto"/>
            </w:tcBorders>
          </w:tcPr>
          <w:p>
            <w:pPr>
              <w:spacing w:after="0"/>
              <w:rPr>
                <w:sz w:val="17"/>
                <w:szCs w:val="17"/>
                <w:color w:val="auto"/>
              </w:rPr>
            </w:pPr>
          </w:p>
        </w:tc>
      </w:tr>
      <w:tr>
        <w:trPr>
          <w:trHeight w:val="194"/>
        </w:trPr>
        <w:tc>
          <w:tcPr>
            <w:tcW w:w="4400" w:type="dxa"/>
            <w:vAlign w:val="bottom"/>
          </w:tcPr>
          <w:p>
            <w:pPr>
              <w:ind w:left="260"/>
              <w:spacing w:after="0"/>
              <w:rPr>
                <w:sz w:val="20"/>
                <w:szCs w:val="20"/>
                <w:color w:val="auto"/>
              </w:rPr>
            </w:pPr>
            <w:r>
              <w:rPr>
                <w:rFonts w:ascii="Arial" w:cs="Arial" w:eastAsia="Arial" w:hAnsi="Arial"/>
                <w:sz w:val="14"/>
                <w:szCs w:val="14"/>
                <w:color w:val="auto"/>
              </w:rPr>
              <w:t>Net gain (loss) from commodity derivatives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w:t>
            </w:r>
          </w:p>
        </w:tc>
        <w:tc>
          <w:tcPr>
            <w:tcW w:w="20" w:type="dxa"/>
            <w:vAlign w:val="bottom"/>
            <w:tcBorders>
              <w:bottom w:val="single" w:sz="8" w:color="auto"/>
            </w:tcBorders>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38"/>
        </w:trPr>
        <w:tc>
          <w:tcPr>
            <w:tcW w:w="4400" w:type="dxa"/>
            <w:vAlign w:val="bottom"/>
          </w:tcPr>
          <w:p>
            <w:pPr>
              <w:ind w:left="20"/>
              <w:spacing w:after="0"/>
              <w:rPr>
                <w:sz w:val="20"/>
                <w:szCs w:val="20"/>
                <w:color w:val="auto"/>
              </w:rPr>
            </w:pPr>
            <w:r>
              <w:rPr>
                <w:rFonts w:ascii="Arial" w:cs="Arial" w:eastAsia="Arial" w:hAnsi="Arial"/>
                <w:sz w:val="14"/>
                <w:szCs w:val="14"/>
                <w:color w:val="auto"/>
              </w:rPr>
              <w:t>Non-cash derivative loss (gain)</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8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24"/>
                <w:szCs w:val="24"/>
                <w:color w:val="auto"/>
              </w:rPr>
            </w:pP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Net paid on settled commodity derivatives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20" w:type="dxa"/>
            <w:vAlign w:val="bottom"/>
            <w:tcBorders>
              <w:bottom w:val="single" w:sz="8" w:color="auto"/>
            </w:tcBorders>
          </w:tcPr>
          <w:p>
            <w:pPr>
              <w:spacing w:after="0"/>
              <w:rPr>
                <w:sz w:val="17"/>
                <w:szCs w:val="17"/>
                <w:color w:val="auto"/>
              </w:rPr>
            </w:pPr>
          </w:p>
        </w:tc>
      </w:tr>
      <w:tr>
        <w:trPr>
          <w:trHeight w:val="194"/>
        </w:trPr>
        <w:tc>
          <w:tcPr>
            <w:tcW w:w="4400" w:type="dxa"/>
            <w:vAlign w:val="bottom"/>
          </w:tcPr>
          <w:p>
            <w:pPr>
              <w:ind w:left="260"/>
              <w:spacing w:after="0"/>
              <w:rPr>
                <w:sz w:val="20"/>
                <w:szCs w:val="20"/>
                <w:color w:val="auto"/>
              </w:rPr>
            </w:pPr>
            <w:r>
              <w:rPr>
                <w:rFonts w:ascii="Arial" w:cs="Arial" w:eastAsia="Arial" w:hAnsi="Arial"/>
                <w:sz w:val="14"/>
                <w:szCs w:val="14"/>
                <w:color w:val="auto"/>
              </w:rPr>
              <w:t>Net loss on natural gas purchase derivatives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8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6"/>
                <w:szCs w:val="16"/>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14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43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CAPITAL INVESTMENTS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53"/>
        </w:trPr>
        <w:tc>
          <w:tcPr>
            <w:tcW w:w="4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22"/>
                <w:szCs w:val="22"/>
                <w:color w:val="auto"/>
              </w:rPr>
            </w:pP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36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r>
      <w:tr>
        <w:trPr>
          <w:trHeight w:val="239"/>
        </w:trPr>
        <w:tc>
          <w:tcPr>
            <w:tcW w:w="4360" w:type="dxa"/>
            <w:vAlign w:val="bottom"/>
          </w:tcPr>
          <w:p>
            <w:pPr>
              <w:ind w:left="120"/>
              <w:spacing w:after="0"/>
              <w:rPr>
                <w:sz w:val="20"/>
                <w:szCs w:val="20"/>
                <w:color w:val="auto"/>
              </w:rPr>
            </w:pPr>
            <w:r>
              <w:rPr>
                <w:rFonts w:ascii="Arial" w:cs="Arial" w:eastAsia="Arial" w:hAnsi="Arial"/>
                <w:sz w:val="14"/>
                <w:szCs w:val="14"/>
                <w:color w:val="auto"/>
              </w:rPr>
              <w:t>Facilities</w:t>
            </w:r>
            <w:r>
              <w:rPr>
                <w:rFonts w:ascii="Arial" w:cs="Arial" w:eastAsia="Arial" w:hAnsi="Arial"/>
                <w:sz w:val="18"/>
                <w:szCs w:val="18"/>
                <w:color w:val="auto"/>
                <w:vertAlign w:val="superscript"/>
              </w:rPr>
              <w:t>(1)</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0"/>
                <w:szCs w:val="20"/>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20"/>
                <w:szCs w:val="20"/>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0"/>
                <w:szCs w:val="20"/>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r>
      <w:tr>
        <w:trPr>
          <w:trHeight w:val="195"/>
        </w:trPr>
        <w:tc>
          <w:tcPr>
            <w:tcW w:w="4360" w:type="dxa"/>
            <w:vAlign w:val="bottom"/>
          </w:tcPr>
          <w:p>
            <w:pPr>
              <w:ind w:left="120"/>
              <w:spacing w:after="0"/>
              <w:rPr>
                <w:sz w:val="20"/>
                <w:szCs w:val="20"/>
                <w:color w:val="auto"/>
              </w:rPr>
            </w:pPr>
            <w:r>
              <w:rPr>
                <w:rFonts w:ascii="Arial" w:cs="Arial" w:eastAsia="Arial" w:hAnsi="Arial"/>
                <w:sz w:val="14"/>
                <w:szCs w:val="14"/>
                <w:color w:val="auto"/>
              </w:rPr>
              <w:t>Drilling and completions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00"/>
        </w:trPr>
        <w:tc>
          <w:tcPr>
            <w:tcW w:w="4360" w:type="dxa"/>
            <w:vAlign w:val="bottom"/>
          </w:tcPr>
          <w:p>
            <w:pPr>
              <w:ind w:left="120"/>
              <w:spacing w:after="0"/>
              <w:rPr>
                <w:sz w:val="20"/>
                <w:szCs w:val="20"/>
                <w:color w:val="auto"/>
              </w:rPr>
            </w:pPr>
            <w:r>
              <w:rPr>
                <w:rFonts w:ascii="Arial" w:cs="Arial" w:eastAsia="Arial" w:hAnsi="Arial"/>
                <w:sz w:val="14"/>
                <w:szCs w:val="14"/>
                <w:color w:val="auto"/>
              </w:rPr>
              <w:t>Workovers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r>
        <w:trPr>
          <w:trHeight w:val="200"/>
        </w:trPr>
        <w:tc>
          <w:tcPr>
            <w:tcW w:w="4360" w:type="dxa"/>
            <w:vAlign w:val="bottom"/>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4360" w:type="dxa"/>
            <w:vAlign w:val="bottom"/>
          </w:tcPr>
          <w:p>
            <w:pPr>
              <w:spacing w:after="0"/>
              <w:rPr>
                <w:sz w:val="20"/>
                <w:szCs w:val="20"/>
                <w:color w:val="auto"/>
              </w:rPr>
            </w:pPr>
            <w:r>
              <w:rPr>
                <w:rFonts w:ascii="Arial" w:cs="Arial" w:eastAsia="Arial" w:hAnsi="Arial"/>
                <w:sz w:val="14"/>
                <w:szCs w:val="14"/>
                <w:color w:val="auto"/>
              </w:rPr>
              <w:t>Oil and natural gas segment</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Carbon management segment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1"/>
        </w:trPr>
        <w:tc>
          <w:tcPr>
            <w:tcW w:w="4360" w:type="dxa"/>
            <w:vAlign w:val="bottom"/>
          </w:tcPr>
          <w:p>
            <w:pPr>
              <w:spacing w:after="0" w:line="201" w:lineRule="exact"/>
              <w:rPr>
                <w:sz w:val="20"/>
                <w:szCs w:val="20"/>
                <w:color w:val="auto"/>
              </w:rPr>
            </w:pPr>
            <w:r>
              <w:rPr>
                <w:rFonts w:ascii="Arial" w:cs="Arial" w:eastAsia="Arial" w:hAnsi="Arial"/>
                <w:sz w:val="14"/>
                <w:szCs w:val="14"/>
                <w:color w:val="auto"/>
              </w:rPr>
              <w:t>Corporate and other</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4360" w:type="dxa"/>
            <w:vAlign w:val="bottom"/>
          </w:tcPr>
          <w:p>
            <w:pPr>
              <w:spacing w:after="0"/>
              <w:rPr>
                <w:sz w:val="20"/>
                <w:szCs w:val="20"/>
                <w:color w:val="auto"/>
              </w:rPr>
            </w:pPr>
            <w:r>
              <w:rPr>
                <w:rFonts w:ascii="Arial" w:cs="Arial" w:eastAsia="Arial" w:hAnsi="Arial"/>
                <w:sz w:val="14"/>
                <w:szCs w:val="14"/>
                <w:color w:val="auto"/>
              </w:rPr>
              <w:t>Total capital investment</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588010</wp:posOffset>
            </wp:positionV>
            <wp:extent cx="7108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ind w:right="400" w:firstLine="4"/>
        <w:spacing w:after="0" w:line="254" w:lineRule="auto"/>
        <w:tabs>
          <w:tab w:leader="none" w:pos="186" w:val="left"/>
        </w:tabs>
        <w:numPr>
          <w:ilvl w:val="0"/>
          <w:numId w:val="9"/>
        </w:numPr>
        <w:rPr>
          <w:rFonts w:ascii="Arial" w:cs="Arial" w:eastAsia="Arial" w:hAnsi="Arial"/>
          <w:sz w:val="12"/>
          <w:szCs w:val="12"/>
          <w:color w:val="auto"/>
        </w:rPr>
      </w:pPr>
      <w:r>
        <w:rPr>
          <w:rFonts w:ascii="Arial" w:cs="Arial" w:eastAsia="Arial" w:hAnsi="Arial"/>
          <w:sz w:val="12"/>
          <w:szCs w:val="12"/>
          <w:color w:val="auto"/>
        </w:rPr>
        <w:t>Certain amounts previously reported in the Q1 2025 earnings release have been corrected. This correction relates to reporting of $8 million of capital as Corporate and other in Q1 2025 and this amount was reclassified to Facilities in Q4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-173355</wp:posOffset>
            </wp:positionV>
            <wp:extent cx="4341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1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240665</wp:posOffset>
            </wp:positionV>
            <wp:extent cx="7015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LIQUIDITY</w:t>
            </w:r>
          </w:p>
        </w:tc>
        <w:tc>
          <w:tcPr>
            <w:tcW w:w="3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93"/>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2025</w:t>
            </w:r>
          </w:p>
        </w:tc>
        <w:tc>
          <w:tcPr>
            <w:tcW w:w="400" w:type="dxa"/>
            <w:vAlign w:val="bottom"/>
          </w:tcPr>
          <w:p>
            <w:pPr>
              <w:spacing w:after="0"/>
              <w:rPr>
                <w:sz w:val="24"/>
                <w:szCs w:val="24"/>
                <w:color w:val="auto"/>
              </w:rPr>
            </w:pPr>
          </w:p>
        </w:tc>
        <w:tc>
          <w:tcPr>
            <w:tcW w:w="2240" w:type="dxa"/>
            <w:vAlign w:val="bottom"/>
          </w:tcPr>
          <w:p>
            <w:pPr>
              <w:jc w:val="right"/>
              <w:ind w:right="609"/>
              <w:spacing w:after="0"/>
              <w:rPr>
                <w:sz w:val="20"/>
                <w:szCs w:val="20"/>
                <w:color w:val="auto"/>
              </w:rPr>
            </w:pPr>
            <w:r>
              <w:rPr>
                <w:rFonts w:ascii="Arial" w:cs="Arial" w:eastAsia="Arial" w:hAnsi="Arial"/>
                <w:sz w:val="14"/>
                <w:szCs w:val="14"/>
                <w:b w:val="1"/>
                <w:bCs w:val="1"/>
                <w:color w:val="auto"/>
              </w:rPr>
              <w:t>December 31, 2024</w:t>
            </w:r>
          </w:p>
        </w:tc>
      </w:tr>
      <w:tr>
        <w:trPr>
          <w:trHeight w:val="241"/>
        </w:trPr>
        <w:tc>
          <w:tcPr>
            <w:tcW w:w="5680" w:type="dxa"/>
            <w:vAlign w:val="bottom"/>
          </w:tcPr>
          <w:p>
            <w:pPr>
              <w:ind w:left="20"/>
              <w:spacing w:after="0"/>
              <w:rPr>
                <w:sz w:val="20"/>
                <w:szCs w:val="20"/>
                <w:color w:val="auto"/>
              </w:rPr>
            </w:pPr>
            <w:r>
              <w:rPr>
                <w:rFonts w:ascii="Arial" w:cs="Arial" w:eastAsia="Arial" w:hAnsi="Arial"/>
                <w:sz w:val="14"/>
                <w:szCs w:val="14"/>
                <w:color w:val="auto"/>
              </w:rPr>
              <w:t>Available cash and cash equivalents</w:t>
            </w:r>
            <w:r>
              <w:rPr>
                <w:rFonts w:ascii="Arial" w:cs="Arial" w:eastAsia="Arial" w:hAnsi="Arial"/>
                <w:sz w:val="18"/>
                <w:szCs w:val="18"/>
                <w:color w:val="auto"/>
                <w:vertAlign w:val="superscript"/>
              </w:rPr>
              <w:t>(1)</w:t>
            </w: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354</w:t>
            </w:r>
          </w:p>
        </w:tc>
      </w:tr>
      <w:tr>
        <w:trPr>
          <w:trHeight w:val="239"/>
        </w:trPr>
        <w:tc>
          <w:tcPr>
            <w:tcW w:w="568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6"/>
        </w:trPr>
        <w:tc>
          <w:tcPr>
            <w:tcW w:w="5680" w:type="dxa"/>
            <w:vAlign w:val="bottom"/>
          </w:tcPr>
          <w:p>
            <w:pPr>
              <w:ind w:left="240"/>
              <w:spacing w:after="0"/>
              <w:rPr>
                <w:sz w:val="20"/>
                <w:szCs w:val="20"/>
                <w:color w:val="auto"/>
              </w:rPr>
            </w:pPr>
            <w:r>
              <w:rPr>
                <w:rFonts w:ascii="Arial" w:cs="Arial" w:eastAsia="Arial" w:hAnsi="Arial"/>
                <w:sz w:val="14"/>
                <w:szCs w:val="14"/>
                <w:color w:val="auto"/>
              </w:rPr>
              <w:t>Borrowing capacity</w:t>
            </w:r>
          </w:p>
        </w:tc>
        <w:tc>
          <w:tcPr>
            <w:tcW w:w="3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1,150</w:t>
            </w:r>
          </w:p>
        </w:tc>
      </w:tr>
      <w:tr>
        <w:trPr>
          <w:trHeight w:val="200"/>
        </w:trPr>
        <w:tc>
          <w:tcPr>
            <w:tcW w:w="5680" w:type="dxa"/>
            <w:vAlign w:val="bottom"/>
          </w:tcPr>
          <w:p>
            <w:pPr>
              <w:ind w:left="240"/>
              <w:spacing w:after="0"/>
              <w:rPr>
                <w:sz w:val="20"/>
                <w:szCs w:val="20"/>
                <w:color w:val="auto"/>
              </w:rPr>
            </w:pPr>
            <w:r>
              <w:rPr>
                <w:rFonts w:ascii="Arial" w:cs="Arial" w:eastAsia="Arial" w:hAnsi="Arial"/>
                <w:sz w:val="14"/>
                <w:szCs w:val="14"/>
                <w:color w:val="auto"/>
              </w:rPr>
              <w:t>Outstanding letters of credit</w:t>
            </w:r>
          </w:p>
        </w:tc>
        <w:tc>
          <w:tcPr>
            <w:tcW w:w="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r>
      <w:tr>
        <w:trPr>
          <w:trHeight w:val="194"/>
        </w:trPr>
        <w:tc>
          <w:tcPr>
            <w:tcW w:w="5680" w:type="dxa"/>
            <w:vAlign w:val="bottom"/>
          </w:tcPr>
          <w:p>
            <w:pPr>
              <w:ind w:left="20"/>
              <w:spacing w:after="0"/>
              <w:rPr>
                <w:sz w:val="20"/>
                <w:szCs w:val="20"/>
                <w:color w:val="auto"/>
              </w:rPr>
            </w:pPr>
            <w:r>
              <w:rPr>
                <w:rFonts w:ascii="Arial" w:cs="Arial" w:eastAsia="Arial" w:hAnsi="Arial"/>
                <w:sz w:val="14"/>
                <w:szCs w:val="14"/>
                <w:color w:val="auto"/>
              </w:rPr>
              <w:t>Availability</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1,284</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w:t>
            </w:r>
          </w:p>
        </w:tc>
      </w:tr>
      <w:tr>
        <w:trPr>
          <w:trHeight w:val="247"/>
        </w:trPr>
        <w:tc>
          <w:tcPr>
            <w:tcW w:w="5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Liquidity</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1,337</w:t>
            </w:r>
          </w:p>
        </w:tc>
      </w:tr>
      <w:tr>
        <w:trPr>
          <w:trHeight w:val="20"/>
        </w:trPr>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Excludes restricted cash of $15 million and $18 million at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180"/>
          </w:cols>
          <w:pgMar w:left="360" w:top="94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5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80" w:type="dxa"/>
            <w:vAlign w:val="bottom"/>
            <w:vMerge w:val="restart"/>
          </w:tcPr>
          <w:p>
            <w:pPr>
              <w:spacing w:after="0"/>
              <w:rPr>
                <w:sz w:val="12"/>
                <w:szCs w:val="12"/>
                <w:color w:val="auto"/>
              </w:rPr>
            </w:pPr>
          </w:p>
        </w:tc>
        <w:tc>
          <w:tcPr>
            <w:tcW w:w="1980" w:type="dxa"/>
            <w:vAlign w:val="bottom"/>
            <w:gridSpan w:val="3"/>
          </w:tcPr>
          <w:p>
            <w:pPr>
              <w:ind w:left="500"/>
              <w:spacing w:after="0" w:line="144" w:lineRule="exact"/>
              <w:rPr>
                <w:sz w:val="20"/>
                <w:szCs w:val="20"/>
                <w:color w:val="auto"/>
              </w:rPr>
            </w:pPr>
            <w:r>
              <w:rPr>
                <w:rFonts w:ascii="Arial" w:cs="Arial" w:eastAsia="Arial" w:hAnsi="Arial"/>
                <w:sz w:val="14"/>
                <w:szCs w:val="14"/>
                <w:b w:val="1"/>
                <w:bCs w:val="1"/>
                <w:color w:val="auto"/>
              </w:rPr>
              <w:t>Consolidated</w:t>
            </w:r>
          </w:p>
        </w:tc>
        <w:tc>
          <w:tcPr>
            <w:tcW w:w="200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rPr>
              <w:t>Oil and Natural Gas</w:t>
            </w:r>
          </w:p>
        </w:tc>
        <w:tc>
          <w:tcPr>
            <w:tcW w:w="1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1Q26E</w:t>
            </w:r>
          </w:p>
        </w:tc>
        <w:tc>
          <w:tcPr>
            <w:tcW w:w="80" w:type="dxa"/>
            <w:vAlign w:val="bottom"/>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production (MBoe/d)</w:t>
            </w: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1000" w:type="dxa"/>
            <w:vAlign w:val="bottom"/>
          </w:tcPr>
          <w:p>
            <w:pPr>
              <w:ind w:left="20"/>
              <w:spacing w:after="0"/>
              <w:rPr>
                <w:sz w:val="20"/>
                <w:szCs w:val="20"/>
                <w:color w:val="auto"/>
              </w:rPr>
            </w:pPr>
            <w:r>
              <w:rPr>
                <w:rFonts w:ascii="Arial" w:cs="Arial" w:eastAsia="Arial" w:hAnsi="Arial"/>
                <w:sz w:val="14"/>
                <w:szCs w:val="14"/>
                <w:color w:val="auto"/>
              </w:rPr>
              <w:t>- 157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oil production (%)</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$355</w:t>
            </w:r>
          </w:p>
        </w:tc>
        <w:tc>
          <w:tcPr>
            <w:tcW w:w="1000" w:type="dxa"/>
            <w:vAlign w:val="bottom"/>
          </w:tcPr>
          <w:p>
            <w:pPr>
              <w:ind w:left="20"/>
              <w:spacing w:after="0"/>
              <w:rPr>
                <w:sz w:val="20"/>
                <w:szCs w:val="20"/>
                <w:color w:val="auto"/>
              </w:rPr>
            </w:pPr>
            <w:r>
              <w:rPr>
                <w:rFonts w:ascii="Arial" w:cs="Arial" w:eastAsia="Arial" w:hAnsi="Arial"/>
                <w:sz w:val="14"/>
                <w:szCs w:val="14"/>
                <w:color w:val="auto"/>
              </w:rPr>
              <w:t>- $375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980" w:type="dxa"/>
            <w:vAlign w:val="bottom"/>
          </w:tcPr>
          <w:p>
            <w:pPr>
              <w:ind w:left="20"/>
              <w:spacing w:after="0"/>
              <w:rPr>
                <w:sz w:val="20"/>
                <w:szCs w:val="20"/>
                <w:color w:val="auto"/>
              </w:rPr>
            </w:pPr>
            <w:r>
              <w:rPr>
                <w:rFonts w:ascii="Arial" w:cs="Arial" w:eastAsia="Arial" w:hAnsi="Arial"/>
                <w:sz w:val="14"/>
                <w:szCs w:val="14"/>
                <w:color w:val="auto"/>
              </w:rPr>
              <w:t>- $375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$90 - $100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980" w:type="dxa"/>
            <w:vAlign w:val="bottom"/>
          </w:tcPr>
          <w:p>
            <w:pPr>
              <w:ind w:left="20"/>
              <w:spacing w:after="0"/>
              <w:rPr>
                <w:sz w:val="20"/>
                <w:szCs w:val="20"/>
                <w:color w:val="auto"/>
              </w:rPr>
            </w:pPr>
            <w:r>
              <w:rPr>
                <w:rFonts w:ascii="Arial" w:cs="Arial" w:eastAsia="Arial" w:hAnsi="Arial"/>
                <w:sz w:val="14"/>
                <w:szCs w:val="14"/>
                <w:color w:val="auto"/>
              </w:rPr>
              <w:t>- $16</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$2 - $4</w:t>
            </w: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$85</w:t>
            </w:r>
          </w:p>
        </w:tc>
        <w:tc>
          <w:tcPr>
            <w:tcW w:w="1000" w:type="dxa"/>
            <w:vAlign w:val="bottom"/>
          </w:tcPr>
          <w:p>
            <w:pPr>
              <w:ind w:left="20"/>
              <w:spacing w:after="0"/>
              <w:rPr>
                <w:sz w:val="20"/>
                <w:szCs w:val="20"/>
                <w:color w:val="auto"/>
              </w:rPr>
            </w:pPr>
            <w:r>
              <w:rPr>
                <w:rFonts w:ascii="Arial" w:cs="Arial" w:eastAsia="Arial" w:hAnsi="Arial"/>
                <w:sz w:val="14"/>
                <w:szCs w:val="14"/>
                <w:i w:val="1"/>
                <w:iCs w:val="1"/>
                <w:color w:val="auto"/>
              </w:rPr>
              <w:t>- $90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$16</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$2 - $4</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c>
          <w:tcPr>
            <w:tcW w:w="1000" w:type="dxa"/>
            <w:vAlign w:val="bottom"/>
          </w:tcPr>
          <w:p>
            <w:pPr>
              <w:ind w:left="20"/>
              <w:spacing w:after="0"/>
              <w:rPr>
                <w:sz w:val="20"/>
                <w:szCs w:val="20"/>
                <w:color w:val="auto"/>
              </w:rPr>
            </w:pPr>
            <w:r>
              <w:rPr>
                <w:rFonts w:ascii="Arial" w:cs="Arial" w:eastAsia="Arial" w:hAnsi="Arial"/>
                <w:sz w:val="14"/>
                <w:szCs w:val="14"/>
                <w:color w:val="auto"/>
              </w:rPr>
              <w:t>- $157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980" w:type="dxa"/>
            <w:vAlign w:val="bottom"/>
          </w:tcPr>
          <w:p>
            <w:pPr>
              <w:ind w:left="20"/>
              <w:spacing w:after="0"/>
              <w:rPr>
                <w:sz w:val="20"/>
                <w:szCs w:val="20"/>
                <w:color w:val="auto"/>
              </w:rPr>
            </w:pPr>
            <w:r>
              <w:rPr>
                <w:rFonts w:ascii="Arial" w:cs="Arial" w:eastAsia="Arial" w:hAnsi="Arial"/>
                <w:sz w:val="14"/>
                <w:szCs w:val="14"/>
                <w:color w:val="auto"/>
              </w:rPr>
              <w:t>- $150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Capital investments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$110 - $130</w:t>
            </w:r>
          </w:p>
        </w:tc>
        <w:tc>
          <w:tcPr>
            <w:tcW w:w="8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$95 - $110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$12 - $16</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$240</w:t>
            </w:r>
          </w:p>
        </w:tc>
        <w:tc>
          <w:tcPr>
            <w:tcW w:w="1000" w:type="dxa"/>
            <w:vAlign w:val="bottom"/>
          </w:tcPr>
          <w:p>
            <w:pPr>
              <w:ind w:left="20"/>
              <w:spacing w:after="0"/>
              <w:rPr>
                <w:sz w:val="20"/>
                <w:szCs w:val="20"/>
                <w:color w:val="auto"/>
              </w:rPr>
            </w:pPr>
            <w:r>
              <w:rPr>
                <w:rFonts w:ascii="Arial" w:cs="Arial" w:eastAsia="Arial" w:hAnsi="Arial"/>
                <w:sz w:val="14"/>
                <w:szCs w:val="14"/>
                <w:color w:val="auto"/>
              </w:rPr>
              <w:t>- $280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$290</w:t>
            </w:r>
          </w:p>
        </w:tc>
        <w:tc>
          <w:tcPr>
            <w:tcW w:w="980" w:type="dxa"/>
            <w:vAlign w:val="bottom"/>
          </w:tcPr>
          <w:p>
            <w:pPr>
              <w:ind w:left="20"/>
              <w:spacing w:after="0"/>
              <w:rPr>
                <w:sz w:val="20"/>
                <w:szCs w:val="20"/>
                <w:color w:val="auto"/>
              </w:rPr>
            </w:pPr>
            <w:r>
              <w:rPr>
                <w:rFonts w:ascii="Arial" w:cs="Arial" w:eastAsia="Arial" w:hAnsi="Arial"/>
                <w:sz w:val="14"/>
                <w:szCs w:val="14"/>
                <w:color w:val="auto"/>
              </w:rPr>
              <w:t>- $325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$(10) - $(5)</w:t>
            </w:r>
          </w:p>
        </w:tc>
        <w:tc>
          <w:tcPr>
            <w:tcW w:w="0" w:type="dxa"/>
            <w:vAlign w:val="bottom"/>
          </w:tcPr>
          <w:p>
            <w:pPr>
              <w:spacing w:after="0"/>
              <w:rPr>
                <w:sz w:val="1"/>
                <w:szCs w:val="1"/>
                <w:color w:val="auto"/>
              </w:rPr>
            </w:pPr>
          </w:p>
        </w:tc>
      </w:tr>
      <w:tr>
        <w:trPr>
          <w:trHeight w:val="507"/>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0" w:type="dxa"/>
            <w:vAlign w:val="bottom"/>
          </w:tcPr>
          <w:p>
            <w:pPr>
              <w:ind w:left="2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revenue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$6 - $16</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generation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0" w:type="dxa"/>
            <w:vAlign w:val="bottom"/>
          </w:tcPr>
          <w:p>
            <w:pPr>
              <w:ind w:left="20"/>
              <w:spacing w:after="0"/>
              <w:rPr>
                <w:sz w:val="20"/>
                <w:szCs w:val="20"/>
                <w:color w:val="auto"/>
              </w:rPr>
            </w:pPr>
            <w:r>
              <w:rPr>
                <w:rFonts w:ascii="Arial" w:cs="Arial" w:eastAsia="Arial" w:hAnsi="Arial"/>
                <w:sz w:val="14"/>
                <w:szCs w:val="14"/>
                <w:color w:val="auto"/>
              </w:rPr>
              <w:t>- $6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Other operating expenses net of other revenue ($ millions)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tcPr>
          <w:p>
            <w:pPr>
              <w:ind w:left="2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$2 - $10</w:t>
            </w: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Transportation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0" w:type="dxa"/>
            <w:vAlign w:val="bottom"/>
          </w:tcPr>
          <w:p>
            <w:pPr>
              <w:ind w:left="20"/>
              <w:spacing w:after="0"/>
              <w:rPr>
                <w:sz w:val="20"/>
                <w:szCs w:val="20"/>
                <w:color w:val="auto"/>
              </w:rPr>
            </w:pPr>
            <w:r>
              <w:rPr>
                <w:rFonts w:ascii="Arial" w:cs="Arial" w:eastAsia="Arial" w:hAnsi="Arial"/>
                <w:sz w:val="14"/>
                <w:szCs w:val="14"/>
                <w:color w:val="auto"/>
              </w:rPr>
              <w:t>- $30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980" w:type="dxa"/>
            <w:vAlign w:val="bottom"/>
          </w:tcPr>
          <w:p>
            <w:pPr>
              <w:ind w:left="20"/>
              <w:spacing w:after="0"/>
              <w:rPr>
                <w:sz w:val="20"/>
                <w:szCs w:val="20"/>
                <w:color w:val="auto"/>
              </w:rPr>
            </w:pPr>
            <w:r>
              <w:rPr>
                <w:rFonts w:ascii="Arial" w:cs="Arial" w:eastAsia="Arial" w:hAnsi="Arial"/>
                <w:sz w:val="14"/>
                <w:szCs w:val="14"/>
                <w:color w:val="auto"/>
              </w:rPr>
              <w:t>- $20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Taxes other than on income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000" w:type="dxa"/>
            <w:vAlign w:val="bottom"/>
          </w:tcPr>
          <w:p>
            <w:pPr>
              <w:ind w:left="20"/>
              <w:spacing w:after="0"/>
              <w:rPr>
                <w:sz w:val="20"/>
                <w:szCs w:val="20"/>
                <w:color w:val="auto"/>
              </w:rPr>
            </w:pPr>
            <w:r>
              <w:rPr>
                <w:rFonts w:ascii="Arial" w:cs="Arial" w:eastAsia="Arial" w:hAnsi="Arial"/>
                <w:sz w:val="14"/>
                <w:szCs w:val="14"/>
                <w:color w:val="auto"/>
              </w:rPr>
              <w:t>- $75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980" w:type="dxa"/>
            <w:vAlign w:val="bottom"/>
          </w:tcPr>
          <w:p>
            <w:pPr>
              <w:ind w:left="20"/>
              <w:spacing w:after="0"/>
              <w:rPr>
                <w:sz w:val="20"/>
                <w:szCs w:val="20"/>
                <w:color w:val="auto"/>
              </w:rPr>
            </w:pPr>
            <w:r>
              <w:rPr>
                <w:rFonts w:ascii="Arial" w:cs="Arial" w:eastAsia="Arial" w:hAnsi="Arial"/>
                <w:sz w:val="14"/>
                <w:szCs w:val="14"/>
                <w:color w:val="auto"/>
              </w:rPr>
              <w:t>- $65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0" w:type="dxa"/>
            <w:vAlign w:val="bottom"/>
          </w:tcPr>
          <w:p>
            <w:pPr>
              <w:ind w:left="20"/>
              <w:spacing w:after="0"/>
              <w:rPr>
                <w:sz w:val="20"/>
                <w:szCs w:val="20"/>
                <w:color w:val="auto"/>
              </w:rPr>
            </w:pPr>
            <w:r>
              <w:rPr>
                <w:rFonts w:ascii="Arial" w:cs="Arial" w:eastAsia="Arial" w:hAnsi="Arial"/>
                <w:sz w:val="14"/>
                <w:szCs w:val="14"/>
                <w:color w:val="auto"/>
              </w:rPr>
              <w:t>- $35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Other Assumptions: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Brent ($/Bbl)</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7"/>
              </w:rPr>
              <w:t>$66.42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NYMEX ($/Mcf)</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6"/>
              </w:rPr>
              <w:t>$5.22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oil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0" w:type="dxa"/>
            <w:vAlign w:val="bottom"/>
          </w:tcPr>
          <w:p>
            <w:pPr>
              <w:ind w:left="20"/>
              <w:spacing w:after="0"/>
              <w:rPr>
                <w:sz w:val="20"/>
                <w:szCs w:val="20"/>
                <w:color w:val="auto"/>
              </w:rPr>
            </w:pPr>
            <w:r>
              <w:rPr>
                <w:rFonts w:ascii="Arial" w:cs="Arial" w:eastAsia="Arial" w:hAnsi="Arial"/>
                <w:sz w:val="14"/>
                <w:szCs w:val="14"/>
                <w:color w:val="auto"/>
              </w:rPr>
              <w:t>- 98%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NGLs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1000" w:type="dxa"/>
            <w:vAlign w:val="bottom"/>
          </w:tcPr>
          <w:p>
            <w:pPr>
              <w:ind w:left="20"/>
              <w:spacing w:after="0"/>
              <w:rPr>
                <w:sz w:val="20"/>
                <w:szCs w:val="20"/>
                <w:color w:val="auto"/>
              </w:rPr>
            </w:pPr>
            <w:r>
              <w:rPr>
                <w:rFonts w:ascii="Arial" w:cs="Arial" w:eastAsia="Arial" w:hAnsi="Arial"/>
                <w:sz w:val="14"/>
                <w:szCs w:val="14"/>
                <w:color w:val="auto"/>
              </w:rPr>
              <w:t>- 66%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natural gas - % of NYMEX:</w:t>
            </w:r>
          </w:p>
        </w:tc>
        <w:tc>
          <w:tcPr>
            <w:tcW w:w="900" w:type="dxa"/>
            <w:vAlign w:val="bottom"/>
          </w:tcPr>
          <w:p>
            <w:pPr>
              <w:jc w:val="right"/>
              <w:spacing w:after="0"/>
              <w:rPr>
                <w:sz w:val="20"/>
                <w:szCs w:val="20"/>
                <w:color w:val="auto"/>
              </w:rPr>
            </w:pPr>
            <w:r>
              <w:rPr>
                <w:rFonts w:ascii="Arial" w:cs="Arial" w:eastAsia="Arial" w:hAnsi="Arial"/>
                <w:sz w:val="14"/>
                <w:szCs w:val="14"/>
                <w:color w:val="auto"/>
              </w:rPr>
              <w:t>58%</w:t>
            </w:r>
          </w:p>
        </w:tc>
        <w:tc>
          <w:tcPr>
            <w:tcW w:w="1000" w:type="dxa"/>
            <w:vAlign w:val="bottom"/>
          </w:tcPr>
          <w:p>
            <w:pPr>
              <w:ind w:left="20"/>
              <w:spacing w:after="0"/>
              <w:rPr>
                <w:sz w:val="20"/>
                <w:szCs w:val="20"/>
                <w:color w:val="auto"/>
              </w:rPr>
            </w:pPr>
            <w:r>
              <w:rPr>
                <w:rFonts w:ascii="Arial" w:cs="Arial" w:eastAsia="Arial" w:hAnsi="Arial"/>
                <w:sz w:val="14"/>
                <w:szCs w:val="14"/>
                <w:color w:val="auto"/>
              </w:rPr>
              <w:t>- 64%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0" w:type="dxa"/>
            <w:vAlign w:val="bottom"/>
          </w:tcPr>
          <w:p>
            <w:pPr>
              <w:ind w:left="20"/>
              <w:spacing w:after="0"/>
              <w:rPr>
                <w:sz w:val="20"/>
                <w:szCs w:val="20"/>
                <w:color w:val="auto"/>
              </w:rPr>
            </w:pPr>
            <w:r>
              <w:rPr>
                <w:rFonts w:ascii="Arial" w:cs="Arial" w:eastAsia="Arial" w:hAnsi="Arial"/>
                <w:sz w:val="14"/>
                <w:szCs w:val="14"/>
                <w:color w:val="auto"/>
              </w:rPr>
              <w:t>- 74%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Effective tax rate</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05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4"/>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80" w:type="dxa"/>
            <w:vAlign w:val="bottom"/>
            <w:tcBorders>
              <w:top w:val="single" w:sz="8" w:color="auto"/>
            </w:tcBorders>
            <w:vMerge w:val="restart"/>
          </w:tcPr>
          <w:p>
            <w:pPr>
              <w:spacing w:after="0"/>
              <w:rPr>
                <w:sz w:val="14"/>
                <w:szCs w:val="14"/>
                <w:color w:val="auto"/>
              </w:rPr>
            </w:pPr>
          </w:p>
        </w:tc>
        <w:tc>
          <w:tcPr>
            <w:tcW w:w="198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Consolidated</w:t>
            </w:r>
          </w:p>
        </w:tc>
        <w:tc>
          <w:tcPr>
            <w:tcW w:w="20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Oil and Natural Gas</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2026E</w:t>
            </w:r>
          </w:p>
        </w:tc>
        <w:tc>
          <w:tcPr>
            <w:tcW w:w="80" w:type="dxa"/>
            <w:vAlign w:val="bottom"/>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production (MBoe/d)</w:t>
            </w:r>
          </w:p>
        </w:tc>
        <w:tc>
          <w:tcPr>
            <w:tcW w:w="900" w:type="dxa"/>
            <w:vAlign w:val="bottom"/>
          </w:tcPr>
          <w:p>
            <w:pPr>
              <w:jc w:val="right"/>
              <w:spacing w:after="0"/>
              <w:rPr>
                <w:sz w:val="20"/>
                <w:szCs w:val="20"/>
                <w:color w:val="auto"/>
              </w:rPr>
            </w:pPr>
            <w:r>
              <w:rPr>
                <w:rFonts w:ascii="Arial" w:cs="Arial" w:eastAsia="Arial" w:hAnsi="Arial"/>
                <w:sz w:val="14"/>
                <w:szCs w:val="14"/>
                <w:color w:val="auto"/>
              </w:rPr>
              <w:t>152</w:t>
            </w:r>
          </w:p>
        </w:tc>
        <w:tc>
          <w:tcPr>
            <w:tcW w:w="1000" w:type="dxa"/>
            <w:vAlign w:val="bottom"/>
          </w:tcPr>
          <w:p>
            <w:pPr>
              <w:ind w:left="20"/>
              <w:spacing w:after="0"/>
              <w:rPr>
                <w:sz w:val="20"/>
                <w:szCs w:val="20"/>
                <w:color w:val="auto"/>
              </w:rPr>
            </w:pPr>
            <w:r>
              <w:rPr>
                <w:rFonts w:ascii="Arial" w:cs="Arial" w:eastAsia="Arial" w:hAnsi="Arial"/>
                <w:sz w:val="14"/>
                <w:szCs w:val="14"/>
                <w:color w:val="auto"/>
              </w:rPr>
              <w:t>- 157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oil production (%)</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$1,400</w:t>
            </w:r>
          </w:p>
        </w:tc>
        <w:tc>
          <w:tcPr>
            <w:tcW w:w="1000" w:type="dxa"/>
            <w:vAlign w:val="bottom"/>
          </w:tcPr>
          <w:p>
            <w:pPr>
              <w:ind w:left="20"/>
              <w:spacing w:after="0"/>
              <w:rPr>
                <w:sz w:val="20"/>
                <w:szCs w:val="20"/>
                <w:color w:val="auto"/>
              </w:rPr>
            </w:pPr>
            <w:r>
              <w:rPr>
                <w:rFonts w:ascii="Arial" w:cs="Arial" w:eastAsia="Arial" w:hAnsi="Arial"/>
                <w:sz w:val="14"/>
                <w:szCs w:val="14"/>
                <w:color w:val="auto"/>
              </w:rPr>
              <w:t>- $1,500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$1,400</w:t>
            </w:r>
          </w:p>
        </w:tc>
        <w:tc>
          <w:tcPr>
            <w:tcW w:w="980" w:type="dxa"/>
            <w:vAlign w:val="bottom"/>
          </w:tcPr>
          <w:p>
            <w:pPr>
              <w:ind w:left="20"/>
              <w:spacing w:after="0"/>
              <w:rPr>
                <w:sz w:val="20"/>
                <w:szCs w:val="20"/>
                <w:color w:val="auto"/>
              </w:rPr>
            </w:pPr>
            <w:r>
              <w:rPr>
                <w:rFonts w:ascii="Arial" w:cs="Arial" w:eastAsia="Arial" w:hAnsi="Arial"/>
                <w:sz w:val="14"/>
                <w:szCs w:val="14"/>
                <w:color w:val="auto"/>
              </w:rPr>
              <w:t>- $1,500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$350</w:t>
            </w:r>
          </w:p>
        </w:tc>
        <w:tc>
          <w:tcPr>
            <w:tcW w:w="1000" w:type="dxa"/>
            <w:vAlign w:val="bottom"/>
          </w:tcPr>
          <w:p>
            <w:pPr>
              <w:ind w:left="20"/>
              <w:spacing w:after="0"/>
              <w:rPr>
                <w:sz w:val="20"/>
                <w:szCs w:val="20"/>
                <w:color w:val="auto"/>
              </w:rPr>
            </w:pPr>
            <w:r>
              <w:rPr>
                <w:rFonts w:ascii="Arial" w:cs="Arial" w:eastAsia="Arial" w:hAnsi="Arial"/>
                <w:sz w:val="14"/>
                <w:szCs w:val="14"/>
                <w:color w:val="auto"/>
              </w:rPr>
              <w:t>- $370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980" w:type="dxa"/>
            <w:vAlign w:val="bottom"/>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$6 - $12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$315</w:t>
            </w:r>
          </w:p>
        </w:tc>
        <w:tc>
          <w:tcPr>
            <w:tcW w:w="1000" w:type="dxa"/>
            <w:vAlign w:val="bottom"/>
          </w:tcPr>
          <w:p>
            <w:pPr>
              <w:ind w:left="20"/>
              <w:spacing w:after="0"/>
              <w:rPr>
                <w:sz w:val="20"/>
                <w:szCs w:val="20"/>
                <w:color w:val="auto"/>
              </w:rPr>
            </w:pPr>
            <w:r>
              <w:rPr>
                <w:rFonts w:ascii="Arial" w:cs="Arial" w:eastAsia="Arial" w:hAnsi="Arial"/>
                <w:sz w:val="14"/>
                <w:szCs w:val="14"/>
                <w:i w:val="1"/>
                <w:iCs w:val="1"/>
                <w:color w:val="auto"/>
              </w:rPr>
              <w:t>- $330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$60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$6 - $12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$595</w:t>
            </w:r>
          </w:p>
        </w:tc>
        <w:tc>
          <w:tcPr>
            <w:tcW w:w="1000" w:type="dxa"/>
            <w:vAlign w:val="bottom"/>
          </w:tcPr>
          <w:p>
            <w:pPr>
              <w:ind w:left="20"/>
              <w:spacing w:after="0"/>
              <w:rPr>
                <w:sz w:val="20"/>
                <w:szCs w:val="20"/>
                <w:color w:val="auto"/>
              </w:rPr>
            </w:pPr>
            <w:r>
              <w:rPr>
                <w:rFonts w:ascii="Arial" w:cs="Arial" w:eastAsia="Arial" w:hAnsi="Arial"/>
                <w:sz w:val="14"/>
                <w:szCs w:val="14"/>
                <w:color w:val="auto"/>
              </w:rPr>
              <w:t>- $615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$575</w:t>
            </w:r>
          </w:p>
        </w:tc>
        <w:tc>
          <w:tcPr>
            <w:tcW w:w="980" w:type="dxa"/>
            <w:vAlign w:val="bottom"/>
          </w:tcPr>
          <w:p>
            <w:pPr>
              <w:ind w:left="20"/>
              <w:spacing w:after="0"/>
              <w:rPr>
                <w:sz w:val="20"/>
                <w:szCs w:val="20"/>
                <w:color w:val="auto"/>
              </w:rPr>
            </w:pPr>
            <w:r>
              <w:rPr>
                <w:rFonts w:ascii="Arial" w:cs="Arial" w:eastAsia="Arial" w:hAnsi="Arial"/>
                <w:sz w:val="14"/>
                <w:szCs w:val="14"/>
                <w:color w:val="auto"/>
              </w:rPr>
              <w:t>- $590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Capital investments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$430</w:t>
            </w:r>
          </w:p>
        </w:tc>
        <w:tc>
          <w:tcPr>
            <w:tcW w:w="1000" w:type="dxa"/>
            <w:vAlign w:val="bottom"/>
          </w:tcPr>
          <w:p>
            <w:pPr>
              <w:ind w:left="20"/>
              <w:spacing w:after="0"/>
              <w:rPr>
                <w:sz w:val="20"/>
                <w:szCs w:val="20"/>
                <w:color w:val="auto"/>
              </w:rPr>
            </w:pPr>
            <w:r>
              <w:rPr>
                <w:rFonts w:ascii="Arial" w:cs="Arial" w:eastAsia="Arial" w:hAnsi="Arial"/>
                <w:sz w:val="14"/>
                <w:szCs w:val="14"/>
                <w:color w:val="auto"/>
              </w:rPr>
              <w:t>- $470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$410</w:t>
            </w:r>
          </w:p>
        </w:tc>
        <w:tc>
          <w:tcPr>
            <w:tcW w:w="980" w:type="dxa"/>
            <w:vAlign w:val="bottom"/>
          </w:tcPr>
          <w:p>
            <w:pPr>
              <w:ind w:left="20"/>
              <w:spacing w:after="0"/>
              <w:rPr>
                <w:sz w:val="20"/>
                <w:szCs w:val="20"/>
                <w:color w:val="auto"/>
              </w:rPr>
            </w:pPr>
            <w:r>
              <w:rPr>
                <w:rFonts w:ascii="Arial" w:cs="Arial" w:eastAsia="Arial" w:hAnsi="Arial"/>
                <w:sz w:val="14"/>
                <w:szCs w:val="14"/>
                <w:color w:val="auto"/>
              </w:rPr>
              <w:t>- $435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$12 - $20</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9"/>
              </w:rPr>
              <w:t>$970 - $1,070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$1,215</w:t>
            </w:r>
          </w:p>
        </w:tc>
        <w:tc>
          <w:tcPr>
            <w:tcW w:w="980" w:type="dxa"/>
            <w:vAlign w:val="bottom"/>
          </w:tcPr>
          <w:p>
            <w:pPr>
              <w:ind w:left="20"/>
              <w:spacing w:after="0"/>
              <w:rPr>
                <w:sz w:val="20"/>
                <w:szCs w:val="20"/>
                <w:color w:val="auto"/>
              </w:rPr>
            </w:pPr>
            <w:r>
              <w:rPr>
                <w:rFonts w:ascii="Arial" w:cs="Arial" w:eastAsia="Arial" w:hAnsi="Arial"/>
                <w:sz w:val="14"/>
                <w:szCs w:val="14"/>
                <w:color w:val="auto"/>
              </w:rPr>
              <w:t>- $1,305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$(50) - $(10)</w:t>
            </w:r>
          </w:p>
        </w:tc>
        <w:tc>
          <w:tcPr>
            <w:tcW w:w="0" w:type="dxa"/>
            <w:vAlign w:val="bottom"/>
          </w:tcPr>
          <w:p>
            <w:pPr>
              <w:spacing w:after="0"/>
              <w:rPr>
                <w:sz w:val="1"/>
                <w:szCs w:val="1"/>
                <w:color w:val="auto"/>
              </w:rPr>
            </w:pPr>
          </w:p>
        </w:tc>
      </w:tr>
      <w:tr>
        <w:trPr>
          <w:trHeight w:val="464"/>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1000" w:type="dxa"/>
            <w:vAlign w:val="bottom"/>
          </w:tcPr>
          <w:p>
            <w:pPr>
              <w:ind w:left="20"/>
              <w:spacing w:after="0"/>
              <w:rPr>
                <w:sz w:val="20"/>
                <w:szCs w:val="20"/>
                <w:color w:val="auto"/>
              </w:rPr>
            </w:pPr>
            <w:r>
              <w:rPr>
                <w:rFonts w:ascii="Arial" w:cs="Arial" w:eastAsia="Arial" w:hAnsi="Arial"/>
                <w:sz w:val="14"/>
                <w:szCs w:val="14"/>
                <w:color w:val="auto"/>
              </w:rPr>
              <w:t>- $75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revenue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000" w:type="dxa"/>
            <w:vAlign w:val="bottom"/>
          </w:tcPr>
          <w:p>
            <w:pPr>
              <w:ind w:left="20"/>
              <w:spacing w:after="0"/>
              <w:rPr>
                <w:sz w:val="20"/>
                <w:szCs w:val="20"/>
                <w:color w:val="auto"/>
              </w:rPr>
            </w:pPr>
            <w:r>
              <w:rPr>
                <w:rFonts w:ascii="Arial" w:cs="Arial" w:eastAsia="Arial" w:hAnsi="Arial"/>
                <w:sz w:val="14"/>
                <w:szCs w:val="14"/>
                <w:color w:val="auto"/>
              </w:rPr>
              <w:t>- $85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generation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0" w:type="dxa"/>
            <w:vAlign w:val="bottom"/>
          </w:tcPr>
          <w:p>
            <w:pPr>
              <w:ind w:left="20"/>
              <w:spacing w:after="0"/>
              <w:rPr>
                <w:sz w:val="20"/>
                <w:szCs w:val="20"/>
                <w:color w:val="auto"/>
              </w:rPr>
            </w:pPr>
            <w:r>
              <w:rPr>
                <w:rFonts w:ascii="Arial" w:cs="Arial" w:eastAsia="Arial" w:hAnsi="Arial"/>
                <w:sz w:val="14"/>
                <w:szCs w:val="14"/>
                <w:color w:val="auto"/>
              </w:rPr>
              <w:t>- $25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Other operating expenses net of other revenue ($ millions)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tcPr>
          <w:p>
            <w:pPr>
              <w:ind w:left="20"/>
              <w:spacing w:after="0"/>
              <w:rPr>
                <w:sz w:val="20"/>
                <w:szCs w:val="20"/>
                <w:color w:val="auto"/>
              </w:rPr>
            </w:pPr>
            <w:r>
              <w:rPr>
                <w:rFonts w:ascii="Arial" w:cs="Arial" w:eastAsia="Arial" w:hAnsi="Arial"/>
                <w:sz w:val="14"/>
                <w:szCs w:val="14"/>
                <w:color w:val="auto"/>
              </w:rPr>
              <w:t>- $30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Transportation costs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$105 - $115</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98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Taxes other than on income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$275</w:t>
            </w:r>
          </w:p>
        </w:tc>
        <w:tc>
          <w:tcPr>
            <w:tcW w:w="1000" w:type="dxa"/>
            <w:vAlign w:val="bottom"/>
          </w:tcPr>
          <w:p>
            <w:pPr>
              <w:ind w:left="20"/>
              <w:spacing w:after="0"/>
              <w:rPr>
                <w:sz w:val="20"/>
                <w:szCs w:val="20"/>
                <w:color w:val="auto"/>
              </w:rPr>
            </w:pPr>
            <w:r>
              <w:rPr>
                <w:rFonts w:ascii="Arial" w:cs="Arial" w:eastAsia="Arial" w:hAnsi="Arial"/>
                <w:sz w:val="14"/>
                <w:szCs w:val="14"/>
                <w:color w:val="auto"/>
              </w:rPr>
              <w:t>- $285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w:t>
            </w:r>
          </w:p>
        </w:tc>
        <w:tc>
          <w:tcPr>
            <w:tcW w:w="980" w:type="dxa"/>
            <w:vAlign w:val="bottom"/>
          </w:tcPr>
          <w:p>
            <w:pPr>
              <w:ind w:left="20"/>
              <w:spacing w:after="0"/>
              <w:rPr>
                <w:sz w:val="20"/>
                <w:szCs w:val="20"/>
                <w:color w:val="auto"/>
              </w:rPr>
            </w:pPr>
            <w:r>
              <w:rPr>
                <w:rFonts w:ascii="Arial" w:cs="Arial" w:eastAsia="Arial" w:hAnsi="Arial"/>
                <w:sz w:val="14"/>
                <w:szCs w:val="14"/>
                <w:color w:val="auto"/>
              </w:rPr>
              <w:t>- $250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$125</w:t>
            </w:r>
          </w:p>
        </w:tc>
        <w:tc>
          <w:tcPr>
            <w:tcW w:w="1000" w:type="dxa"/>
            <w:vAlign w:val="bottom"/>
          </w:tcPr>
          <w:p>
            <w:pPr>
              <w:ind w:left="20"/>
              <w:spacing w:after="0"/>
              <w:rPr>
                <w:sz w:val="20"/>
                <w:szCs w:val="20"/>
                <w:color w:val="auto"/>
              </w:rPr>
            </w:pPr>
            <w:r>
              <w:rPr>
                <w:rFonts w:ascii="Arial" w:cs="Arial" w:eastAsia="Arial" w:hAnsi="Arial"/>
                <w:sz w:val="14"/>
                <w:szCs w:val="14"/>
                <w:color w:val="auto"/>
              </w:rPr>
              <w:t>- $135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Other Assumptions: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Brent ($/Bbl)</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7"/>
              </w:rPr>
              <w:t>$65.57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NYMEX ($/Mcf)</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6"/>
              </w:rPr>
              <w:t>$4.13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oil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0" w:type="dxa"/>
            <w:vAlign w:val="bottom"/>
          </w:tcPr>
          <w:p>
            <w:pPr>
              <w:ind w:left="20"/>
              <w:spacing w:after="0"/>
              <w:rPr>
                <w:sz w:val="20"/>
                <w:szCs w:val="20"/>
                <w:color w:val="auto"/>
              </w:rPr>
            </w:pPr>
            <w:r>
              <w:rPr>
                <w:rFonts w:ascii="Arial" w:cs="Arial" w:eastAsia="Arial" w:hAnsi="Arial"/>
                <w:sz w:val="14"/>
                <w:szCs w:val="14"/>
                <w:color w:val="auto"/>
              </w:rPr>
              <w:t>- 98%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NGLs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000" w:type="dxa"/>
            <w:vAlign w:val="bottom"/>
          </w:tcPr>
          <w:p>
            <w:pPr>
              <w:ind w:left="20"/>
              <w:spacing w:after="0"/>
              <w:rPr>
                <w:sz w:val="20"/>
                <w:szCs w:val="20"/>
                <w:color w:val="auto"/>
              </w:rPr>
            </w:pPr>
            <w:r>
              <w:rPr>
                <w:rFonts w:ascii="Arial" w:cs="Arial" w:eastAsia="Arial" w:hAnsi="Arial"/>
                <w:sz w:val="14"/>
                <w:szCs w:val="14"/>
                <w:color w:val="auto"/>
              </w:rPr>
              <w:t>- 60%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natural gas - % of NYMEX:</w:t>
            </w: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000" w:type="dxa"/>
            <w:vAlign w:val="bottom"/>
          </w:tcPr>
          <w:p>
            <w:pPr>
              <w:ind w:left="20"/>
              <w:spacing w:after="0"/>
              <w:rPr>
                <w:sz w:val="20"/>
                <w:szCs w:val="20"/>
                <w:color w:val="auto"/>
              </w:rPr>
            </w:pPr>
            <w:r>
              <w:rPr>
                <w:rFonts w:ascii="Arial" w:cs="Arial" w:eastAsia="Arial" w:hAnsi="Arial"/>
                <w:sz w:val="14"/>
                <w:szCs w:val="14"/>
                <w:color w:val="auto"/>
              </w:rPr>
              <w:t>- 70%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0" w:type="dxa"/>
            <w:vAlign w:val="bottom"/>
          </w:tcPr>
          <w:p>
            <w:pPr>
              <w:ind w:left="20"/>
              <w:spacing w:after="0"/>
              <w:rPr>
                <w:sz w:val="20"/>
                <w:szCs w:val="20"/>
                <w:color w:val="auto"/>
              </w:rPr>
            </w:pPr>
            <w:r>
              <w:rPr>
                <w:rFonts w:ascii="Arial" w:cs="Arial" w:eastAsia="Arial" w:hAnsi="Arial"/>
                <w:sz w:val="14"/>
                <w:szCs w:val="14"/>
                <w:color w:val="auto"/>
              </w:rPr>
              <w:t>- 74%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Effective tax rate</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647700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firstLine="7"/>
        <w:spacing w:after="0"/>
        <w:tabs>
          <w:tab w:leader="none" w:pos="138"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Margin from purchased commodities is calculated as the difference between revenue from marketing of purchased commodities and costs related to marketing of purchased commodities, and excludes costs of transportation.</w:t>
      </w:r>
    </w:p>
    <w:p>
      <w:pPr>
        <w:ind w:firstLine="7"/>
        <w:spacing w:after="0" w:line="213" w:lineRule="auto"/>
        <w:tabs>
          <w:tab w:leader="none" w:pos="152"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spacing w:after="0" w:line="258" w:lineRule="auto"/>
        <w:rPr>
          <w:rFonts w:ascii="Arial" w:cs="Arial" w:eastAsia="Arial" w:hAnsi="Arial"/>
          <w:sz w:val="17"/>
          <w:szCs w:val="17"/>
          <w:color w:val="auto"/>
          <w:vertAlign w:val="superscript"/>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09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7091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NON-GAAP RECONCILIATIONS</w:t>
      </w:r>
    </w:p>
    <w:p>
      <w:pPr>
        <w:spacing w:after="0" w:line="13"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 reconciliation of the non-GAAP measure of segment adjusted EBITDAX cannot be reconciled to the comparable measure of operating cash flow prepared in accordance with GAAP without unreasonable effort. We have included a reconciliation of the GAAP measure of segment profit to segment adjusted EBITDAX.</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1Q26E</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60"/>
              <w:spacing w:after="0" w:line="141" w:lineRule="exact"/>
              <w:rPr>
                <w:sz w:val="20"/>
                <w:szCs w:val="20"/>
                <w:color w:val="auto"/>
              </w:rPr>
            </w:pPr>
            <w:r>
              <w:rPr>
                <w:rFonts w:ascii="Arial" w:cs="Arial" w:eastAsia="Arial" w:hAnsi="Arial"/>
                <w:sz w:val="14"/>
                <w:szCs w:val="14"/>
                <w:b w:val="1"/>
                <w:bCs w:val="1"/>
                <w:color w:val="auto"/>
              </w:rPr>
              <w:t>Oil and Natural Gas</w:t>
            </w:r>
          </w:p>
        </w:tc>
        <w:tc>
          <w:tcPr>
            <w:tcW w:w="200" w:type="dxa"/>
            <w:vAlign w:val="bottom"/>
          </w:tcPr>
          <w:p>
            <w:pPr>
              <w:spacing w:after="0"/>
              <w:rPr>
                <w:sz w:val="12"/>
                <w:szCs w:val="12"/>
                <w:color w:val="auto"/>
              </w:rPr>
            </w:pPr>
          </w:p>
        </w:tc>
        <w:tc>
          <w:tcPr>
            <w:tcW w:w="1860" w:type="dxa"/>
            <w:vAlign w:val="bottom"/>
            <w:gridSpan w:val="4"/>
          </w:tcPr>
          <w:p>
            <w:pPr>
              <w:jc w:val="right"/>
              <w:ind w:right="249"/>
              <w:spacing w:after="0" w:line="141"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680" w:type="dxa"/>
            <w:vAlign w:val="bottom"/>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03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1Q26E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Interest and debt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subsidiaries</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860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4"/>
        </w:trPr>
        <w:tc>
          <w:tcPr>
            <w:tcW w:w="8600" w:type="dxa"/>
            <w:vAlign w:val="bottom"/>
          </w:tcPr>
          <w:p>
            <w:pPr>
              <w:ind w:left="220"/>
              <w:spacing w:after="0"/>
              <w:rPr>
                <w:sz w:val="20"/>
                <w:szCs w:val="20"/>
                <w:color w:val="auto"/>
              </w:rPr>
            </w:pPr>
            <w:r>
              <w:rPr>
                <w:rFonts w:ascii="Arial" w:cs="Arial" w:eastAsia="Arial" w:hAnsi="Arial"/>
                <w:sz w:val="14"/>
                <w:szCs w:val="14"/>
                <w:color w:val="auto"/>
              </w:rPr>
              <w:t>Stock-settled compensation</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59"/>
        </w:trPr>
        <w:tc>
          <w:tcPr>
            <w:tcW w:w="860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4"/>
        </w:trPr>
        <w:tc>
          <w:tcPr>
            <w:tcW w:w="860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Oil and Natural Gas Segment</w:t>
            </w:r>
          </w:p>
        </w:tc>
      </w:tr>
      <w:tr>
        <w:trPr>
          <w:trHeight w:val="193"/>
        </w:trPr>
        <w:tc>
          <w:tcPr>
            <w:tcW w:w="8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1Q26E</w:t>
            </w:r>
          </w:p>
        </w:tc>
        <w:tc>
          <w:tcPr>
            <w:tcW w:w="94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Segment profit</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860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Carbon Management Segment</w:t>
            </w:r>
          </w:p>
        </w:tc>
      </w:tr>
      <w:tr>
        <w:trPr>
          <w:trHeight w:val="193"/>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1Q26E</w:t>
            </w:r>
          </w:p>
        </w:tc>
        <w:tc>
          <w:tcPr>
            <w:tcW w:w="94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center"/>
              <w:ind w:left="78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1080" w:type="dxa"/>
            <w:vAlign w:val="bottom"/>
          </w:tcPr>
          <w:p>
            <w:pPr>
              <w:jc w:val="center"/>
              <w:ind w:left="8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4"/>
        </w:trPr>
        <w:tc>
          <w:tcPr>
            <w:tcW w:w="860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subsidiary</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8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78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1Q26E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Revenue from marketing of purchased commodities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center"/>
              <w:ind w:left="609"/>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70</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Costs related to marketing of purchased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(50)</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Margin from purchased commodities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20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1Q26E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center"/>
              <w:ind w:left="60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54</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(34)</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Operating expenses net of other revenue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20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1220"/>
          </w:cols>
          <w:pgMar w:left="340" w:top="1226"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2026E</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60"/>
              <w:spacing w:after="0" w:line="145" w:lineRule="exact"/>
              <w:rPr>
                <w:sz w:val="20"/>
                <w:szCs w:val="20"/>
                <w:color w:val="auto"/>
              </w:rPr>
            </w:pPr>
            <w:r>
              <w:rPr>
                <w:rFonts w:ascii="Arial" w:cs="Arial" w:eastAsia="Arial" w:hAnsi="Arial"/>
                <w:sz w:val="14"/>
                <w:szCs w:val="14"/>
                <w:b w:val="1"/>
                <w:bCs w:val="1"/>
                <w:color w:val="auto"/>
              </w:rPr>
              <w:t>Oil and Natural Gas</w:t>
            </w:r>
          </w:p>
        </w:tc>
        <w:tc>
          <w:tcPr>
            <w:tcW w:w="200" w:type="dxa"/>
            <w:vAlign w:val="bottom"/>
          </w:tcPr>
          <w:p>
            <w:pPr>
              <w:spacing w:after="0"/>
              <w:rPr>
                <w:sz w:val="12"/>
                <w:szCs w:val="12"/>
                <w:color w:val="auto"/>
              </w:rPr>
            </w:pPr>
          </w:p>
        </w:tc>
        <w:tc>
          <w:tcPr>
            <w:tcW w:w="1860" w:type="dxa"/>
            <w:vAlign w:val="bottom"/>
            <w:gridSpan w:val="4"/>
          </w:tcPr>
          <w:p>
            <w:pPr>
              <w:jc w:val="right"/>
              <w:ind w:right="249"/>
              <w:spacing w:after="0" w:line="145"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680" w:type="dxa"/>
            <w:vAlign w:val="bottom"/>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Interest and debt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860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4"/>
        </w:trPr>
        <w:tc>
          <w:tcPr>
            <w:tcW w:w="8600" w:type="dxa"/>
            <w:vAlign w:val="bottom"/>
          </w:tcPr>
          <w:p>
            <w:pPr>
              <w:ind w:left="220"/>
              <w:spacing w:after="0"/>
              <w:rPr>
                <w:sz w:val="20"/>
                <w:szCs w:val="20"/>
                <w:color w:val="auto"/>
              </w:rPr>
            </w:pPr>
            <w:r>
              <w:rPr>
                <w:rFonts w:ascii="Arial" w:cs="Arial" w:eastAsia="Arial" w:hAnsi="Arial"/>
                <w:sz w:val="14"/>
                <w:szCs w:val="14"/>
                <w:color w:val="auto"/>
              </w:rPr>
              <w:t>Stock-settled compensation</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59"/>
        </w:trPr>
        <w:tc>
          <w:tcPr>
            <w:tcW w:w="860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4"/>
                <w:szCs w:val="24"/>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860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Oil and Natural Gas Segment</w:t>
            </w:r>
          </w:p>
        </w:tc>
      </w:tr>
      <w:tr>
        <w:trPr>
          <w:trHeight w:val="193"/>
        </w:trPr>
        <w:tc>
          <w:tcPr>
            <w:tcW w:w="8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2026E</w:t>
            </w:r>
          </w:p>
        </w:tc>
        <w:tc>
          <w:tcPr>
            <w:tcW w:w="94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Segment profit</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860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Carbon Management Segment</w:t>
            </w:r>
          </w:p>
        </w:tc>
      </w:tr>
      <w:tr>
        <w:trPr>
          <w:trHeight w:val="193"/>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2026E</w:t>
            </w:r>
          </w:p>
        </w:tc>
        <w:tc>
          <w:tcPr>
            <w:tcW w:w="94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200"/>
        </w:trPr>
        <w:tc>
          <w:tcPr>
            <w:tcW w:w="860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1080" w:type="dxa"/>
            <w:vAlign w:val="bottom"/>
          </w:tcPr>
          <w:p>
            <w:pPr>
              <w:ind w:left="9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4"/>
        </w:trPr>
        <w:tc>
          <w:tcPr>
            <w:tcW w:w="860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subsidiary</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Revenue from marketing of purchased commodities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Costs related to marketing of purchased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Margin from purchased commodities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11220"/>
          </w:cols>
          <w:pgMar w:left="340" w:top="105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Operating expenses net of other revenue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20"/>
          </w:cols>
          <w:pgMar w:left="340" w:top="1226" w:right="339" w:bottom="1440" w:gutter="0" w:footer="0" w:header="0"/>
        </w:sectPr>
      </w:pPr>
    </w:p>
    <w:bookmarkStart w:id="18" w:name="page19"/>
    <w:bookmarkEnd w:id="18"/>
    <w:p>
      <w:pPr>
        <w:ind w:left="1030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RECONCILIATIONS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spacing w:after="0" w:line="208" w:lineRule="auto"/>
        <w:rPr>
          <w:sz w:val="20"/>
          <w:szCs w:val="20"/>
          <w:color w:val="auto"/>
        </w:rPr>
      </w:pPr>
      <w:r>
        <w:rPr>
          <w:rFonts w:ascii="Arial" w:cs="Arial" w:eastAsia="Arial" w:hAnsi="Arial"/>
          <w:sz w:val="14"/>
          <w:szCs w:val="14"/>
          <w:color w:val="auto"/>
        </w:rPr>
        <w:t>measures to assess its financial condition, results of operations and cash flows. These measures are also widely used by the industry, the investment community and CRC's lenders. Although these are non-GAAP measures, the amounts included in the calculations were computed in accordance with GAAP. Certain items excluded from these non-</w:t>
      </w:r>
    </w:p>
    <w:p>
      <w:pPr>
        <w:spacing w:after="0" w:line="219" w:lineRule="auto"/>
        <w:rPr>
          <w:sz w:val="20"/>
          <w:szCs w:val="20"/>
          <w:color w:val="auto"/>
        </w:rPr>
      </w:pPr>
      <w:r>
        <w:rPr>
          <w:rFonts w:ascii="Arial" w:cs="Arial" w:eastAsia="Arial" w:hAnsi="Arial"/>
          <w:sz w:val="14"/>
          <w:szCs w:val="14"/>
          <w:color w:val="auto"/>
        </w:rPr>
        <w:t>GAAP measures are significant components in understanding and assessing CRC's financial performance, such as CRC's cost of capital and tax structure, as well as the effect of</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4"/>
          <w:szCs w:val="14"/>
          <w:color w:val="auto"/>
        </w:rPr>
        <w:t>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measures presented herein may not be comparable to other similarly titled measures of other companies. Below are additional disclosures regarding each of these non-GAAP measures,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224790</wp:posOffset>
            </wp:positionV>
            <wp:extent cx="7108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250190</wp:posOffset>
            </wp:positionV>
            <wp:extent cx="71088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ind w:left="20"/>
        <w:spacing w:after="0" w:line="218"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CRC's</w:t>
      </w:r>
    </w:p>
    <w:p>
      <w:pPr>
        <w:ind w:left="20" w:right="20"/>
        <w:spacing w:after="0" w:line="208"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and net income attributable to common stock per share to the non-GAAP financial measures of adjusted net income and adjusted net income per share.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 except per share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20"/>
              <w:spacing w:after="0" w:line="154" w:lineRule="exact"/>
              <w:rPr>
                <w:sz w:val="20"/>
                <w:szCs w:val="20"/>
                <w:color w:val="auto"/>
              </w:rPr>
            </w:pPr>
            <w:r>
              <w:rPr>
                <w:rFonts w:ascii="Arial" w:cs="Arial" w:eastAsia="Arial" w:hAnsi="Arial"/>
                <w:sz w:val="14"/>
                <w:szCs w:val="14"/>
                <w:color w:val="auto"/>
              </w:rPr>
              <w:t>Non-cash derivative (gain) loss on Brent based commodity</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280" w:type="dxa"/>
            <w:vAlign w:val="bottom"/>
          </w:tcPr>
          <w:p>
            <w:pPr>
              <w:ind w:left="120"/>
              <w:spacing w:after="0" w:line="145" w:lineRule="exact"/>
              <w:rPr>
                <w:sz w:val="20"/>
                <w:szCs w:val="20"/>
                <w:color w:val="auto"/>
              </w:rPr>
            </w:pPr>
            <w:r>
              <w:rPr>
                <w:rFonts w:ascii="Arial" w:cs="Arial" w:eastAsia="Arial" w:hAnsi="Arial"/>
                <w:sz w:val="14"/>
                <w:szCs w:val="14"/>
                <w:color w:val="auto"/>
              </w:rPr>
              <w:t>Non-cash derivative loss (gain) on natural gas derivative</w:t>
            </w:r>
          </w:p>
        </w:tc>
        <w:tc>
          <w:tcPr>
            <w:tcW w:w="180" w:type="dxa"/>
            <w:vAlign w:val="bottom"/>
          </w:tcPr>
          <w:p>
            <w:pPr>
              <w:spacing w:after="0"/>
              <w:rPr>
                <w:sz w:val="12"/>
                <w:szCs w:val="12"/>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1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Severance and termination costs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Merger-related costs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Increased power and fuel costs due to power plant maintenance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Net loss (gain) on asset divestitures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Offshore platform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Litigation and settlements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Measurement period adjustments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93"/>
        </w:trPr>
        <w:tc>
          <w:tcPr>
            <w:tcW w:w="4280" w:type="dxa"/>
            <w:vAlign w:val="bottom"/>
          </w:tcPr>
          <w:p>
            <w:pPr>
              <w:ind w:left="200"/>
              <w:spacing w:after="0"/>
              <w:rPr>
                <w:sz w:val="20"/>
                <w:szCs w:val="20"/>
                <w:color w:val="auto"/>
              </w:rPr>
            </w:pPr>
            <w:r>
              <w:rPr>
                <w:rFonts w:ascii="Arial" w:cs="Arial" w:eastAsia="Arial" w:hAnsi="Arial"/>
                <w:sz w:val="14"/>
                <w:szCs w:val="14"/>
                <w:color w:val="auto"/>
              </w:rPr>
              <w:t>Total unusual, infrequent and other items</w:t>
            </w:r>
          </w:p>
        </w:tc>
        <w:tc>
          <w:tcPr>
            <w:tcW w:w="18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8"/>
        </w:trPr>
        <w:tc>
          <w:tcPr>
            <w:tcW w:w="4280" w:type="dxa"/>
            <w:vAlign w:val="bottom"/>
          </w:tcPr>
          <w:p>
            <w:pPr>
              <w:ind w:left="120"/>
              <w:spacing w:after="0" w:line="148" w:lineRule="exact"/>
              <w:rPr>
                <w:sz w:val="20"/>
                <w:szCs w:val="20"/>
                <w:color w:val="auto"/>
              </w:rPr>
            </w:pPr>
            <w:r>
              <w:rPr>
                <w:rFonts w:ascii="Arial" w:cs="Arial" w:eastAsia="Arial" w:hAnsi="Arial"/>
                <w:sz w:val="14"/>
                <w:szCs w:val="14"/>
                <w:color w:val="auto"/>
              </w:rPr>
              <w:t>Income tax (benefit) provision of adjustments at the combined</w:t>
            </w: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tax rate</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280" w:type="dxa"/>
            <w:vAlign w:val="bottom"/>
          </w:tcPr>
          <w:p>
            <w:pPr>
              <w:spacing w:after="0"/>
              <w:rPr>
                <w:sz w:val="20"/>
                <w:szCs w:val="20"/>
                <w:color w:val="auto"/>
              </w:rPr>
            </w:pPr>
            <w:r>
              <w:rPr>
                <w:rFonts w:ascii="Arial" w:cs="Arial" w:eastAsia="Arial" w:hAnsi="Arial"/>
                <w:sz w:val="14"/>
                <w:szCs w:val="14"/>
                <w:color w:val="auto"/>
              </w:rPr>
              <w:t>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0.14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0.76</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4.74</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0.14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0.76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0.47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1.47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0.47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1.46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00"/>
          </w:cols>
          <w:pgMar w:left="340" w:top="105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215900</wp:posOffset>
            </wp:positionH>
            <wp:positionV relativeFrom="page">
              <wp:posOffset>664210</wp:posOffset>
            </wp:positionV>
            <wp:extent cx="7117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689610</wp:posOffset>
            </wp:positionV>
            <wp:extent cx="7117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080" cy="8255"/>
                    </a:xfrm>
                    <a:prstGeom prst="rect">
                      <a:avLst/>
                    </a:prstGeom>
                    <a:noFill/>
                  </pic:spPr>
                </pic:pic>
              </a:graphicData>
            </a:graphic>
          </wp:anchor>
        </w:drawing>
        <w:t>ADJUSTED EBITDAX</w:t>
      </w:r>
    </w:p>
    <w:p>
      <w:pPr>
        <w:spacing w:after="0" w:line="9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w:t>
      </w:r>
    </w:p>
    <w:p>
      <w:pPr>
        <w:spacing w:after="0" w:line="13"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adjusted EBITDAX. CRC has included non-GAAP measures of adjusted EBITDAX for its oil and gas segment and its carbon management segment below. Management believes these segment non-GAAP measures are useful for investors to understand the results of our core businesses.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376</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388</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Income tax provision</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140</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subsidiaries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5"/>
        </w:trPr>
        <w:tc>
          <w:tcPr>
            <w:tcW w:w="428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200"/>
        </w:trPr>
        <w:tc>
          <w:tcPr>
            <w:tcW w:w="4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0"/>
        </w:trPr>
        <w:tc>
          <w:tcPr>
            <w:tcW w:w="4280" w:type="dxa"/>
            <w:vAlign w:val="bottom"/>
          </w:tcPr>
          <w:p>
            <w:pPr>
              <w:ind w:left="240"/>
              <w:spacing w:after="0"/>
              <w:rPr>
                <w:sz w:val="20"/>
                <w:szCs w:val="20"/>
                <w:color w:val="auto"/>
              </w:rPr>
            </w:pPr>
            <w:r>
              <w:rPr>
                <w:rFonts w:ascii="Arial" w:cs="Arial" w:eastAsia="Arial" w:hAnsi="Arial"/>
                <w:sz w:val="14"/>
                <w:szCs w:val="14"/>
                <w:color w:val="auto"/>
              </w:rPr>
              <w:t>Taxes related to acquisition accounting and other</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1"/>
        </w:trPr>
        <w:tc>
          <w:tcPr>
            <w:tcW w:w="4280" w:type="dxa"/>
            <w:vAlign w:val="bottom"/>
          </w:tcPr>
          <w:p>
            <w:pPr>
              <w:ind w:left="240"/>
              <w:spacing w:after="0"/>
              <w:rPr>
                <w:sz w:val="20"/>
                <w:szCs w:val="20"/>
                <w:color w:val="auto"/>
              </w:rPr>
            </w:pPr>
            <w:r>
              <w:rPr>
                <w:rFonts w:ascii="Arial" w:cs="Arial" w:eastAsia="Arial" w:hAnsi="Arial"/>
                <w:sz w:val="14"/>
                <w:szCs w:val="14"/>
                <w:color w:val="auto"/>
              </w:rPr>
              <w:t>Pension and post-retirement benefits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428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338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235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865</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610</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428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w:t>
            </w:r>
          </w:p>
        </w:tc>
      </w:tr>
      <w:tr>
        <w:trPr>
          <w:trHeight w:val="194"/>
        </w:trPr>
        <w:tc>
          <w:tcPr>
            <w:tcW w:w="428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338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4"/>
                <w:szCs w:val="14"/>
                <w:b w:val="1"/>
                <w:bCs w:val="1"/>
                <w:color w:val="auto"/>
              </w:rPr>
              <w:t>Net income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0.95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5.09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7.21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9.38</w:t>
            </w:r>
          </w:p>
        </w:tc>
      </w:tr>
      <w:tr>
        <w:trPr>
          <w:trHeight w:val="200"/>
        </w:trPr>
        <w:tc>
          <w:tcPr>
            <w:tcW w:w="4280" w:type="dxa"/>
            <w:vAlign w:val="bottom"/>
          </w:tcPr>
          <w:p>
            <w:pPr>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19.85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26.90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24.35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24.65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25.09</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80"/>
          </w:cols>
          <w:pgMar w:left="360" w:top="1103"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8825" cy="8255"/>
                    </a:xfrm>
                    <a:prstGeom prst="rect">
                      <a:avLst/>
                    </a:prstGeom>
                    <a:noFill/>
                  </pic:spPr>
                </pic:pic>
              </a:graphicData>
            </a:graphic>
          </wp:anchor>
        </w:drawing>
        <w:t>SEGMENT ADJUSTED EBITDAX</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 xml:space="preserve">This measure should be read in conjunction with Note 16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CRC’s 2024 Annual Report. A reconciliation of the non-GAAP measure of segment adjusted EBITDAX cannot be reconciled to the comparable measure of operating cash flow prepared in accordance with GAAP without unreasonable effort.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20"/>
                <w:szCs w:val="20"/>
                <w:color w:val="auto"/>
              </w:rPr>
            </w:pPr>
            <w:r>
              <w:rPr>
                <w:rFonts w:ascii="Arial" w:cs="Arial" w:eastAsia="Arial" w:hAnsi="Arial"/>
                <w:sz w:val="14"/>
                <w:szCs w:val="14"/>
                <w:b w:val="1"/>
                <w:bCs w:val="1"/>
                <w:color w:val="auto"/>
              </w:rPr>
              <w:t>Oil and Natural Gas Segment</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9"/>
              <w:spacing w:after="0" w:line="201"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4"/>
                <w:szCs w:val="14"/>
                <w:color w:val="auto"/>
              </w:rPr>
              <w:t>Segment profit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182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688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815</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354</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01"/>
        </w:trPr>
        <w:tc>
          <w:tcPr>
            <w:tcW w:w="4280" w:type="dxa"/>
            <w:vAlign w:val="bottom"/>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4"/>
                <w:szCs w:val="14"/>
                <w:b w:val="1"/>
                <w:bCs w:val="1"/>
                <w:color w:val="auto"/>
              </w:rPr>
              <w:t>Adjusted EBITDAX - Oil and Natural Gas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332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Carbon Management Segment</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Interest on contingent liability (related to Carbon TerraVault JV)</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subsidiary</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1"/>
        </w:trPr>
        <w:tc>
          <w:tcPr>
            <w:tcW w:w="4280" w:type="dxa"/>
            <w:vAlign w:val="bottom"/>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4"/>
                <w:szCs w:val="14"/>
                <w:b w:val="1"/>
                <w:bCs w:val="1"/>
                <w:color w:val="auto"/>
              </w:rPr>
              <w:t>Adjusted EBITDAX - Carbon Management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660" w:firstLine="4"/>
        <w:spacing w:after="0" w:line="242" w:lineRule="auto"/>
        <w:tabs>
          <w:tab w:leader="none" w:pos="138"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Certain amounts related to the total year 2024 previously reported in the Q4 2024 earnings release have been corrected. These corrections related to classification of expenditures by segment and have no material impact on the company's overall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232410</wp:posOffset>
            </wp:positionV>
            <wp:extent cx="71088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257810</wp:posOffset>
            </wp:positionV>
            <wp:extent cx="71088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w:t>
      </w:r>
    </w:p>
    <w:p>
      <w:pPr>
        <w:spacing w:after="0" w:line="132"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Total Year</w:t>
            </w:r>
          </w:p>
        </w:tc>
        <w:tc>
          <w:tcPr>
            <w:tcW w:w="200" w:type="dxa"/>
            <w:vAlign w:val="bottom"/>
          </w:tcPr>
          <w:p>
            <w:pPr>
              <w:spacing w:after="0"/>
              <w:rPr>
                <w:sz w:val="16"/>
                <w:szCs w:val="16"/>
                <w:color w:val="auto"/>
              </w:rPr>
            </w:pPr>
          </w:p>
        </w:tc>
        <w:tc>
          <w:tcPr>
            <w:tcW w:w="1100" w:type="dxa"/>
            <w:vAlign w:val="bottom"/>
          </w:tcPr>
          <w:p>
            <w:pPr>
              <w:jc w:val="center"/>
              <w:ind w:right="129"/>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r>
      <w:tr>
        <w:trPr>
          <w:trHeight w:val="273"/>
        </w:trPr>
        <w:tc>
          <w:tcPr>
            <w:tcW w:w="42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235</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ind w:left="669"/>
              <w:spacing w:after="0"/>
              <w:rPr>
                <w:sz w:val="20"/>
                <w:szCs w:val="20"/>
                <w:color w:val="auto"/>
              </w:rPr>
            </w:pPr>
            <w:r>
              <w:rPr>
                <w:rFonts w:ascii="Arial" w:cs="Arial" w:eastAsia="Arial" w:hAnsi="Arial"/>
                <w:sz w:val="14"/>
                <w:szCs w:val="14"/>
                <w:b w:val="1"/>
                <w:bCs w:val="1"/>
                <w:color w:val="auto"/>
              </w:rPr>
              <w:t>865</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ind w:left="669"/>
              <w:spacing w:after="0"/>
              <w:rPr>
                <w:sz w:val="20"/>
                <w:szCs w:val="20"/>
                <w:color w:val="auto"/>
              </w:rPr>
            </w:pPr>
            <w:r>
              <w:rPr>
                <w:rFonts w:ascii="Arial" w:cs="Arial" w:eastAsia="Arial" w:hAnsi="Arial"/>
                <w:sz w:val="14"/>
                <w:szCs w:val="14"/>
                <w:b w:val="1"/>
                <w:bCs w:val="1"/>
                <w:color w:val="auto"/>
              </w:rPr>
              <w:t>610</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b w:val="1"/>
                <w:bCs w:val="1"/>
                <w:color w:val="auto"/>
              </w:rPr>
              <w:t>(322)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b w:val="1"/>
                <w:bCs w:val="1"/>
                <w:color w:val="auto"/>
              </w:rPr>
              <w:t>(255)</w:t>
            </w:r>
          </w:p>
        </w:tc>
      </w:tr>
      <w:tr>
        <w:trPr>
          <w:trHeight w:val="168"/>
        </w:trPr>
        <w:tc>
          <w:tcPr>
            <w:tcW w:w="4280" w:type="dxa"/>
            <w:vAlign w:val="bottom"/>
          </w:tcPr>
          <w:p>
            <w:pPr>
              <w:spacing w:after="0"/>
              <w:rPr>
                <w:sz w:val="20"/>
                <w:szCs w:val="20"/>
                <w:color w:val="auto"/>
              </w:rPr>
            </w:pPr>
            <w:r>
              <w:rPr>
                <w:rFonts w:ascii="Arial" w:cs="Arial" w:eastAsia="Arial" w:hAnsi="Arial"/>
                <w:sz w:val="14"/>
                <w:szCs w:val="14"/>
                <w:color w:val="auto"/>
              </w:rPr>
              <w:t>Free cash flow</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b w:val="1"/>
                <w:bCs w:val="1"/>
                <w:color w:val="auto"/>
              </w:rPr>
              <w:t>355</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80"/>
          </w:cols>
          <w:pgMar w:left="360" w:top="1103"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8825"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Management uses a measure called adjusted general and administrative (G&amp;A) expenses and adjusted G&amp;A per BOE to provide useful information to investors interested in comparing CRC's costs between periods and performance to its peers.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333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321</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Information technology infrastructure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Accelerated vesting</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Retention awards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428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4"/>
        </w:trPr>
        <w:tc>
          <w:tcPr>
            <w:tcW w:w="4280" w:type="dxa"/>
            <w:vAlign w:val="bottom"/>
          </w:tcPr>
          <w:p>
            <w:pPr>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8"/>
        </w:trPr>
        <w:tc>
          <w:tcPr>
            <w:tcW w:w="4280" w:type="dxa"/>
            <w:vAlign w:val="bottom"/>
          </w:tcPr>
          <w:p>
            <w:pPr>
              <w:spacing w:after="0"/>
              <w:rPr>
                <w:sz w:val="20"/>
                <w:szCs w:val="20"/>
                <w:color w:val="auto"/>
              </w:rPr>
            </w:pPr>
            <w:r>
              <w:rPr>
                <w:rFonts w:ascii="Arial" w:cs="Arial" w:eastAsia="Arial" w:hAnsi="Arial"/>
                <w:sz w:val="14"/>
                <w:szCs w:val="14"/>
                <w:color w:val="auto"/>
              </w:rPr>
              <w:t>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7.51</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6.92</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7.32</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8.01</w:t>
            </w: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7.04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6.52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364490</wp:posOffset>
            </wp:positionV>
            <wp:extent cx="7117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389890</wp:posOffset>
            </wp:positionV>
            <wp:extent cx="7117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MARGIN FROM PURCHASED COMMODITIES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margin from purchased commodities, which is calculated as the difference between revenue from purchased commodities and costs related to purchased commodities. This non-GAAP measure excludes transportation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3rd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Revenue from purchased commodities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49"/>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49"/>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235</w:t>
            </w:r>
          </w:p>
        </w:tc>
      </w:tr>
      <w:tr>
        <w:trPr>
          <w:trHeight w:val="201"/>
        </w:trPr>
        <w:tc>
          <w:tcPr>
            <w:tcW w:w="4280" w:type="dxa"/>
            <w:vAlign w:val="bottom"/>
          </w:tcPr>
          <w:p>
            <w:pPr>
              <w:spacing w:after="0"/>
              <w:rPr>
                <w:sz w:val="20"/>
                <w:szCs w:val="20"/>
                <w:color w:val="auto"/>
              </w:rPr>
            </w:pPr>
            <w:r>
              <w:rPr>
                <w:rFonts w:ascii="Arial" w:cs="Arial" w:eastAsia="Arial" w:hAnsi="Arial"/>
                <w:sz w:val="14"/>
                <w:szCs w:val="14"/>
                <w:color w:val="auto"/>
              </w:rPr>
              <w:t>Costs related to purchased commodities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w w:val="96"/>
              </w:rPr>
              <w:t>(47)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w w:val="96"/>
              </w:rPr>
              <w:t>(44)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w:t>
            </w:r>
          </w:p>
        </w:tc>
      </w:tr>
      <w:tr>
        <w:trPr>
          <w:trHeight w:val="194"/>
        </w:trPr>
        <w:tc>
          <w:tcPr>
            <w:tcW w:w="4280" w:type="dxa"/>
            <w:vAlign w:val="bottom"/>
          </w:tcPr>
          <w:p>
            <w:pPr>
              <w:spacing w:after="0"/>
              <w:rPr>
                <w:sz w:val="20"/>
                <w:szCs w:val="20"/>
                <w:color w:val="auto"/>
              </w:rPr>
            </w:pPr>
            <w:r>
              <w:rPr>
                <w:rFonts w:ascii="Arial" w:cs="Arial" w:eastAsia="Arial" w:hAnsi="Arial"/>
                <w:sz w:val="14"/>
                <w:szCs w:val="14"/>
                <w:color w:val="auto"/>
              </w:rPr>
              <w:t>Margin from purchased commodities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389255</wp:posOffset>
            </wp:positionV>
            <wp:extent cx="7117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414655</wp:posOffset>
            </wp:positionV>
            <wp:extent cx="7117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ELECTRICITY MARGIN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a measure called electricity margin, which is calculated as the difference between electricity sales and electricity generation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49"/>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101</w:t>
            </w:r>
          </w:p>
        </w:tc>
        <w:tc>
          <w:tcPr>
            <w:tcW w:w="8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r>
      <w:tr>
        <w:trPr>
          <w:trHeight w:val="201"/>
        </w:trPr>
        <w:tc>
          <w:tcPr>
            <w:tcW w:w="4280" w:type="dxa"/>
            <w:vAlign w:val="bottom"/>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w w:val="96"/>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r>
      <w:tr>
        <w:trPr>
          <w:trHeight w:val="194"/>
        </w:trPr>
        <w:tc>
          <w:tcPr>
            <w:tcW w:w="4280" w:type="dxa"/>
            <w:vAlign w:val="bottom"/>
          </w:tcPr>
          <w:p>
            <w:pPr>
              <w:spacing w:after="0"/>
              <w:rPr>
                <w:sz w:val="20"/>
                <w:szCs w:val="20"/>
                <w:color w:val="auto"/>
              </w:rPr>
            </w:pPr>
            <w:r>
              <w:rPr>
                <w:rFonts w:ascii="Arial" w:cs="Arial" w:eastAsia="Arial" w:hAnsi="Arial"/>
                <w:sz w:val="14"/>
                <w:szCs w:val="14"/>
                <w:color w:val="auto"/>
              </w:rPr>
              <w:t>Electricity margin</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80"/>
          </w:cols>
          <w:pgMar w:left="360" w:top="1103"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17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17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080" cy="8255"/>
                    </a:xfrm>
                    <a:prstGeom prst="rect">
                      <a:avLst/>
                    </a:prstGeom>
                    <a:noFill/>
                  </pic:spPr>
                </pic:pic>
              </a:graphicData>
            </a:graphic>
          </wp:anchor>
        </w:drawing>
        <w:t>OTHER OPERATING EXPENSES NET OF OTHER REVENUE</w:t>
      </w:r>
    </w:p>
    <w:p>
      <w:pPr>
        <w:spacing w:after="0" w:line="132" w:lineRule="exact"/>
        <w:rPr>
          <w:sz w:val="20"/>
          <w:szCs w:val="20"/>
          <w:color w:val="auto"/>
        </w:rPr>
      </w:pPr>
    </w:p>
    <w:p>
      <w:pPr>
        <w:ind w:left="20" w:right="40"/>
        <w:spacing w:after="0" w:line="259" w:lineRule="auto"/>
        <w:rPr>
          <w:sz w:val="20"/>
          <w:szCs w:val="20"/>
          <w:color w:val="auto"/>
        </w:rPr>
      </w:pPr>
      <w:r>
        <w:rPr>
          <w:rFonts w:ascii="Arial" w:cs="Arial" w:eastAsia="Arial" w:hAnsi="Arial"/>
          <w:sz w:val="14"/>
          <w:szCs w:val="14"/>
          <w:color w:val="auto"/>
        </w:rPr>
        <w:t>Management uses a measure called other operating expenses net of other revenue, which is calculated as the difference between other operating expenses, net and other revenue.</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Total Year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0"/>
        </w:trPr>
        <w:tc>
          <w:tcPr>
            <w:tcW w:w="43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4"/>
                <w:szCs w:val="14"/>
                <w:color w:val="auto"/>
              </w:rPr>
              <w:t>Other operating expenses, net</w:t>
            </w:r>
            <w:r>
              <w:rPr>
                <w:rFonts w:ascii="Arial" w:cs="Arial" w:eastAsia="Arial" w:hAnsi="Arial"/>
                <w:sz w:val="18"/>
                <w:szCs w:val="18"/>
                <w:color w:val="auto"/>
                <w:vertAlign w:val="superscript"/>
              </w:rPr>
              <w:t>(1)</w:t>
            </w:r>
          </w:p>
        </w:tc>
        <w:tc>
          <w:tcPr>
            <w:tcW w:w="1060" w:type="dxa"/>
            <w:vAlign w:val="bottom"/>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7"/>
                <w:szCs w:val="17"/>
                <w:color w:val="auto"/>
              </w:rPr>
            </w:pPr>
          </w:p>
        </w:tc>
        <w:tc>
          <w:tcPr>
            <w:tcW w:w="1000" w:type="dxa"/>
            <w:vAlign w:val="bottom"/>
          </w:tcPr>
          <w:p>
            <w:pPr>
              <w:jc w:val="right"/>
              <w:ind w:right="82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209</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239</w:t>
            </w:r>
          </w:p>
        </w:tc>
      </w:tr>
      <w:tr>
        <w:trPr>
          <w:trHeight w:val="195"/>
        </w:trPr>
        <w:tc>
          <w:tcPr>
            <w:tcW w:w="4300" w:type="dxa"/>
            <w:vAlign w:val="bottom"/>
          </w:tcPr>
          <w:p>
            <w:pPr>
              <w:spacing w:after="0"/>
              <w:rPr>
                <w:sz w:val="20"/>
                <w:szCs w:val="20"/>
                <w:color w:val="auto"/>
              </w:rPr>
            </w:pPr>
            <w:r>
              <w:rPr>
                <w:rFonts w:ascii="Arial" w:cs="Arial" w:eastAsia="Arial" w:hAnsi="Arial"/>
                <w:sz w:val="14"/>
                <w:szCs w:val="14"/>
                <w:color w:val="auto"/>
              </w:rPr>
              <w:t>Other revenue</w:t>
            </w: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r>
      <w:tr>
        <w:trPr>
          <w:trHeight w:val="194"/>
        </w:trPr>
        <w:tc>
          <w:tcPr>
            <w:tcW w:w="4300" w:type="dxa"/>
            <w:vAlign w:val="bottom"/>
          </w:tcPr>
          <w:p>
            <w:pPr>
              <w:spacing w:after="0"/>
              <w:rPr>
                <w:sz w:val="20"/>
                <w:szCs w:val="20"/>
                <w:color w:val="auto"/>
              </w:rPr>
            </w:pPr>
            <w:r>
              <w:rPr>
                <w:rFonts w:ascii="Arial" w:cs="Arial" w:eastAsia="Arial" w:hAnsi="Arial"/>
                <w:sz w:val="14"/>
                <w:szCs w:val="14"/>
                <w:color w:val="auto"/>
              </w:rPr>
              <w:t>Other operating expenses net of other revenue</w:t>
            </w: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187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213</w:t>
            </w: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Other operating expenses, net includes carbon management expenses beginning in 2025. Amounts from 2024 have been represented to conform to the 2025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PV-10 AND STANDARDIZED MEASURE</w:t>
      </w:r>
    </w:p>
    <w:p>
      <w:pPr>
        <w:spacing w:after="0" w:line="265" w:lineRule="exact"/>
        <w:rPr>
          <w:sz w:val="20"/>
          <w:szCs w:val="20"/>
          <w:color w:val="auto"/>
        </w:rPr>
      </w:pPr>
    </w:p>
    <w:p>
      <w:pPr>
        <w:ind w:left="20" w:right="140"/>
        <w:spacing w:after="0" w:line="279" w:lineRule="auto"/>
        <w:rPr>
          <w:sz w:val="20"/>
          <w:szCs w:val="20"/>
          <w:color w:val="auto"/>
        </w:rPr>
      </w:pPr>
      <w:r>
        <w:rPr>
          <w:rFonts w:ascii="Arial" w:cs="Arial" w:eastAsia="Arial" w:hAnsi="Arial"/>
          <w:sz w:val="14"/>
          <w:szCs w:val="14"/>
          <w:color w:val="auto"/>
        </w:rPr>
        <w:t>The following table presents a reconciliation of the standardized measure of discounted future net cash flows (Standardized Measure) to the non-GAAP financial measure of PV-10 of 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 millions)</w:t>
            </w:r>
          </w:p>
        </w:tc>
        <w:tc>
          <w:tcPr>
            <w:tcW w:w="360" w:type="dxa"/>
            <w:vAlign w:val="bottom"/>
          </w:tcPr>
          <w:p>
            <w:pPr>
              <w:spacing w:after="0"/>
              <w:rPr>
                <w:sz w:val="16"/>
                <w:szCs w:val="16"/>
                <w:color w:val="auto"/>
              </w:rPr>
            </w:pPr>
          </w:p>
        </w:tc>
        <w:tc>
          <w:tcPr>
            <w:tcW w:w="2520" w:type="dxa"/>
            <w:vAlign w:val="bottom"/>
          </w:tcPr>
          <w:p>
            <w:pPr>
              <w:jc w:val="right"/>
              <w:ind w:right="569"/>
              <w:spacing w:after="0"/>
              <w:rPr>
                <w:sz w:val="20"/>
                <w:szCs w:val="20"/>
                <w:color w:val="auto"/>
              </w:rPr>
            </w:pPr>
            <w:r>
              <w:rPr>
                <w:rFonts w:ascii="Arial" w:cs="Arial" w:eastAsia="Arial" w:hAnsi="Arial"/>
                <w:sz w:val="14"/>
                <w:szCs w:val="14"/>
                <w:color w:val="auto"/>
              </w:rPr>
              <w:t>As of December 31, 2025</w:t>
            </w:r>
          </w:p>
        </w:tc>
      </w:tr>
      <w:tr>
        <w:trPr>
          <w:trHeight w:val="21"/>
        </w:trPr>
        <w:tc>
          <w:tcPr>
            <w:tcW w:w="8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r>
        <w:trPr>
          <w:trHeight w:val="199"/>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Standardized Measure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2520" w:type="dxa"/>
            <w:vAlign w:val="bottom"/>
          </w:tcPr>
          <w:p>
            <w:pPr>
              <w:jc w:val="right"/>
              <w:spacing w:after="0"/>
              <w:rPr>
                <w:sz w:val="20"/>
                <w:szCs w:val="20"/>
                <w:color w:val="auto"/>
              </w:rPr>
            </w:pPr>
            <w:r>
              <w:rPr>
                <w:rFonts w:ascii="Arial" w:cs="Arial" w:eastAsia="Arial" w:hAnsi="Arial"/>
                <w:sz w:val="14"/>
                <w:szCs w:val="14"/>
                <w:color w:val="auto"/>
              </w:rPr>
              <w:t>6,666</w:t>
            </w:r>
          </w:p>
        </w:tc>
      </w:tr>
      <w:tr>
        <w:trPr>
          <w:trHeight w:val="214"/>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Present value of future income taxes discounted at 10%</w:t>
            </w:r>
          </w:p>
        </w:tc>
        <w:tc>
          <w:tcPr>
            <w:tcW w:w="3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r>
      <w:tr>
        <w:trPr>
          <w:trHeight w:val="200"/>
        </w:trPr>
        <w:tc>
          <w:tcPr>
            <w:tcW w:w="8360" w:type="dxa"/>
            <w:vAlign w:val="bottom"/>
            <w:gridSpan w:val="2"/>
          </w:tcPr>
          <w:p>
            <w:pPr>
              <w:ind w:left="20"/>
              <w:spacing w:after="0" w:line="200"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22"/>
                <w:szCs w:val="22"/>
                <w:color w:val="auto"/>
                <w:vertAlign w:val="superscript"/>
              </w:rPr>
              <w:t>(*)</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8,717</w:t>
            </w: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0" w:right="20" w:firstLine="4"/>
        <w:spacing w:after="0" w:line="229" w:lineRule="auto"/>
        <w:tabs>
          <w:tab w:leader="none" w:pos="157"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70916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268605</wp:posOffset>
            </wp:positionV>
            <wp:extent cx="70916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RESERVE REPLACEMENT RATIO</w:t>
      </w:r>
    </w:p>
    <w:p>
      <w:pPr>
        <w:spacing w:after="0" w:line="265" w:lineRule="exact"/>
        <w:rPr>
          <w:sz w:val="20"/>
          <w:szCs w:val="20"/>
          <w:color w:val="auto"/>
        </w:rPr>
      </w:pPr>
    </w:p>
    <w:p>
      <w:pPr>
        <w:ind w:left="20" w:right="300"/>
        <w:spacing w:after="0" w:line="248" w:lineRule="auto"/>
        <w:rPr>
          <w:sz w:val="20"/>
          <w:szCs w:val="20"/>
          <w:color w:val="auto"/>
        </w:rPr>
      </w:pPr>
      <w:r>
        <w:rPr>
          <w:rFonts w:ascii="Arial" w:cs="Arial" w:eastAsia="Arial" w:hAnsi="Arial"/>
          <w:sz w:val="14"/>
          <w:szCs w:val="14"/>
          <w:color w:val="auto"/>
        </w:rPr>
        <w:t>The reserve replacement ratio is a measure that management uses to gauge the growth of its reserves relative to production over the same period. There is no guarantee that historical sources of reserve additions will continue as many factors fully or partially outside management's control, including commodity prices, availability of capital and the underlying geology, affect reserves additions. We calculate the reserve replacement ratio considering reserve additions resulting from extensions and discoveries, improved recovery, revisions in previous estimates related to performance and acquisitions and divestitures. Other oil and gas producers may use different methods to calculate the replacement ratio, which may affect comparability.</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980" w:type="dxa"/>
            <w:vAlign w:val="bottom"/>
          </w:tcPr>
          <w:p>
            <w:pPr>
              <w:jc w:val="right"/>
              <w:ind w:right="1269"/>
              <w:spacing w:after="0"/>
              <w:rPr>
                <w:sz w:val="20"/>
                <w:szCs w:val="20"/>
                <w:color w:val="auto"/>
              </w:rPr>
            </w:pPr>
            <w:r>
              <w:rPr>
                <w:rFonts w:ascii="Arial" w:cs="Arial" w:eastAsia="Arial" w:hAnsi="Arial"/>
                <w:sz w:val="14"/>
                <w:szCs w:val="14"/>
                <w:color w:val="auto"/>
              </w:rPr>
              <w:t>2025</w:t>
            </w:r>
          </w:p>
        </w:tc>
      </w:tr>
      <w:tr>
        <w:trPr>
          <w:trHeight w:val="21"/>
        </w:trPr>
        <w:tc>
          <w:tcPr>
            <w:tcW w:w="818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r>
        <w:trPr>
          <w:trHeight w:val="186"/>
        </w:trPr>
        <w:tc>
          <w:tcPr>
            <w:tcW w:w="8180" w:type="dxa"/>
            <w:vAlign w:val="bottom"/>
          </w:tcPr>
          <w:p>
            <w:pPr>
              <w:spacing w:after="0"/>
              <w:rPr>
                <w:sz w:val="16"/>
                <w:szCs w:val="16"/>
                <w:color w:val="auto"/>
              </w:rPr>
            </w:pPr>
          </w:p>
        </w:tc>
        <w:tc>
          <w:tcPr>
            <w:tcW w:w="2980" w:type="dxa"/>
            <w:vAlign w:val="bottom"/>
          </w:tcPr>
          <w:p>
            <w:pPr>
              <w:jc w:val="right"/>
              <w:ind w:right="1129"/>
              <w:spacing w:after="0"/>
              <w:rPr>
                <w:sz w:val="20"/>
                <w:szCs w:val="20"/>
                <w:color w:val="auto"/>
              </w:rPr>
            </w:pPr>
            <w:r>
              <w:rPr>
                <w:rFonts w:ascii="Arial" w:cs="Arial" w:eastAsia="Arial" w:hAnsi="Arial"/>
                <w:sz w:val="14"/>
                <w:szCs w:val="14"/>
                <w:color w:val="auto"/>
              </w:rPr>
              <w:t>(MMBoe)</w:t>
            </w:r>
          </w:p>
        </w:tc>
      </w:tr>
      <w:tr>
        <w:trPr>
          <w:trHeight w:val="213"/>
        </w:trPr>
        <w:tc>
          <w:tcPr>
            <w:tcW w:w="8180" w:type="dxa"/>
            <w:vAlign w:val="bottom"/>
          </w:tcPr>
          <w:p>
            <w:pPr>
              <w:spacing w:after="0"/>
              <w:rPr>
                <w:sz w:val="20"/>
                <w:szCs w:val="20"/>
                <w:color w:val="auto"/>
              </w:rPr>
            </w:pPr>
            <w:r>
              <w:rPr>
                <w:rFonts w:ascii="Arial" w:cs="Arial" w:eastAsia="Arial" w:hAnsi="Arial"/>
                <w:sz w:val="14"/>
                <w:szCs w:val="14"/>
                <w:color w:val="auto"/>
              </w:rPr>
              <w:t>Net performance-related revisions</w:t>
            </w:r>
          </w:p>
        </w:tc>
        <w:tc>
          <w:tcPr>
            <w:tcW w:w="2980" w:type="dxa"/>
            <w:vAlign w:val="bottom"/>
          </w:tcPr>
          <w:p>
            <w:pPr>
              <w:jc w:val="right"/>
              <w:ind w:right="129"/>
              <w:spacing w:after="0"/>
              <w:rPr>
                <w:sz w:val="20"/>
                <w:szCs w:val="20"/>
                <w:color w:val="auto"/>
              </w:rPr>
            </w:pPr>
            <w:r>
              <w:rPr>
                <w:rFonts w:ascii="Arial" w:cs="Arial" w:eastAsia="Arial" w:hAnsi="Arial"/>
                <w:sz w:val="14"/>
                <w:szCs w:val="14"/>
                <w:color w:val="auto"/>
              </w:rPr>
              <w:t>61</w:t>
            </w:r>
          </w:p>
        </w:tc>
      </w:tr>
      <w:tr>
        <w:trPr>
          <w:trHeight w:val="213"/>
        </w:trPr>
        <w:tc>
          <w:tcPr>
            <w:tcW w:w="8180" w:type="dxa"/>
            <w:vAlign w:val="bottom"/>
          </w:tcPr>
          <w:p>
            <w:pPr>
              <w:spacing w:after="0"/>
              <w:rPr>
                <w:sz w:val="20"/>
                <w:szCs w:val="20"/>
                <w:color w:val="auto"/>
              </w:rPr>
            </w:pPr>
            <w:r>
              <w:rPr>
                <w:rFonts w:ascii="Arial" w:cs="Arial" w:eastAsia="Arial" w:hAnsi="Arial"/>
                <w:sz w:val="14"/>
                <w:szCs w:val="14"/>
                <w:color w:val="auto"/>
              </w:rPr>
              <w:t>Extensions and discoveries</w:t>
            </w:r>
          </w:p>
        </w:tc>
        <w:tc>
          <w:tcPr>
            <w:tcW w:w="2980" w:type="dxa"/>
            <w:vAlign w:val="bottom"/>
          </w:tcPr>
          <w:p>
            <w:pPr>
              <w:jc w:val="right"/>
              <w:ind w:right="129"/>
              <w:spacing w:after="0"/>
              <w:rPr>
                <w:sz w:val="20"/>
                <w:szCs w:val="20"/>
                <w:color w:val="auto"/>
              </w:rPr>
            </w:pPr>
            <w:r>
              <w:rPr>
                <w:rFonts w:ascii="Arial" w:cs="Arial" w:eastAsia="Arial" w:hAnsi="Arial"/>
                <w:sz w:val="14"/>
                <w:szCs w:val="14"/>
                <w:color w:val="auto"/>
              </w:rPr>
              <w:t>3</w:t>
            </w:r>
          </w:p>
        </w:tc>
      </w:tr>
      <w:tr>
        <w:trPr>
          <w:trHeight w:val="213"/>
        </w:trPr>
        <w:tc>
          <w:tcPr>
            <w:tcW w:w="8180" w:type="dxa"/>
            <w:vAlign w:val="bottom"/>
          </w:tcPr>
          <w:p>
            <w:pPr>
              <w:spacing w:after="0"/>
              <w:rPr>
                <w:sz w:val="20"/>
                <w:szCs w:val="20"/>
                <w:color w:val="auto"/>
              </w:rPr>
            </w:pPr>
            <w:r>
              <w:rPr>
                <w:rFonts w:ascii="Arial" w:cs="Arial" w:eastAsia="Arial" w:hAnsi="Arial"/>
                <w:sz w:val="14"/>
                <w:szCs w:val="14"/>
                <w:color w:val="auto"/>
              </w:rPr>
              <w:t>Improved recovery</w:t>
            </w:r>
          </w:p>
        </w:tc>
        <w:tc>
          <w:tcPr>
            <w:tcW w:w="2980" w:type="dxa"/>
            <w:vAlign w:val="bottom"/>
          </w:tcPr>
          <w:p>
            <w:pPr>
              <w:jc w:val="right"/>
              <w:ind w:right="129"/>
              <w:spacing w:after="0"/>
              <w:rPr>
                <w:sz w:val="20"/>
                <w:szCs w:val="20"/>
                <w:color w:val="auto"/>
              </w:rPr>
            </w:pPr>
            <w:r>
              <w:rPr>
                <w:rFonts w:ascii="Arial" w:cs="Arial" w:eastAsia="Arial" w:hAnsi="Arial"/>
                <w:sz w:val="14"/>
                <w:szCs w:val="14"/>
                <w:color w:val="auto"/>
              </w:rPr>
              <w:t>27</w:t>
            </w:r>
          </w:p>
        </w:tc>
      </w:tr>
      <w:tr>
        <w:trPr>
          <w:trHeight w:val="214"/>
        </w:trPr>
        <w:tc>
          <w:tcPr>
            <w:tcW w:w="8180" w:type="dxa"/>
            <w:vAlign w:val="bottom"/>
          </w:tcPr>
          <w:p>
            <w:pPr>
              <w:spacing w:after="0"/>
              <w:rPr>
                <w:sz w:val="20"/>
                <w:szCs w:val="20"/>
                <w:color w:val="auto"/>
              </w:rPr>
            </w:pPr>
            <w:r>
              <w:rPr>
                <w:rFonts w:ascii="Arial" w:cs="Arial" w:eastAsia="Arial" w:hAnsi="Arial"/>
                <w:sz w:val="14"/>
                <w:szCs w:val="14"/>
                <w:color w:val="auto"/>
              </w:rPr>
              <w:t>Acquisitions</w:t>
            </w:r>
          </w:p>
        </w:tc>
        <w:tc>
          <w:tcPr>
            <w:tcW w:w="2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93</w:t>
            </w:r>
          </w:p>
        </w:tc>
      </w:tr>
      <w:tr>
        <w:trPr>
          <w:trHeight w:val="196"/>
        </w:trPr>
        <w:tc>
          <w:tcPr>
            <w:tcW w:w="8180" w:type="dxa"/>
            <w:vAlign w:val="bottom"/>
          </w:tcPr>
          <w:p>
            <w:pPr>
              <w:ind w:left="120"/>
              <w:spacing w:after="0"/>
              <w:rPr>
                <w:sz w:val="20"/>
                <w:szCs w:val="20"/>
                <w:color w:val="auto"/>
              </w:rPr>
            </w:pPr>
            <w:r>
              <w:rPr>
                <w:rFonts w:ascii="Arial" w:cs="Arial" w:eastAsia="Arial" w:hAnsi="Arial"/>
                <w:sz w:val="14"/>
                <w:szCs w:val="14"/>
                <w:color w:val="auto"/>
              </w:rPr>
              <w:t>Reserve additions</w:t>
            </w:r>
          </w:p>
        </w:tc>
        <w:tc>
          <w:tcPr>
            <w:tcW w:w="2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184</w:t>
            </w:r>
          </w:p>
        </w:tc>
      </w:tr>
      <w:tr>
        <w:trPr>
          <w:trHeight w:val="443"/>
        </w:trPr>
        <w:tc>
          <w:tcPr>
            <w:tcW w:w="8180" w:type="dxa"/>
            <w:vAlign w:val="bottom"/>
          </w:tcPr>
          <w:p>
            <w:pPr>
              <w:spacing w:after="0"/>
              <w:rPr>
                <w:sz w:val="20"/>
                <w:szCs w:val="20"/>
                <w:color w:val="auto"/>
              </w:rPr>
            </w:pPr>
            <w:r>
              <w:rPr>
                <w:rFonts w:ascii="Arial" w:cs="Arial" w:eastAsia="Arial" w:hAnsi="Arial"/>
                <w:sz w:val="14"/>
                <w:szCs w:val="14"/>
                <w:color w:val="auto"/>
              </w:rPr>
              <w:t>Production (MMboe)</w:t>
            </w:r>
          </w:p>
        </w:tc>
        <w:tc>
          <w:tcPr>
            <w:tcW w:w="29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4"/>
        </w:trPr>
        <w:tc>
          <w:tcPr>
            <w:tcW w:w="8180" w:type="dxa"/>
            <w:vAlign w:val="bottom"/>
          </w:tcPr>
          <w:p>
            <w:pPr>
              <w:spacing w:after="0"/>
              <w:rPr>
                <w:sz w:val="23"/>
                <w:szCs w:val="23"/>
                <w:color w:val="auto"/>
              </w:rPr>
            </w:pPr>
          </w:p>
        </w:tc>
        <w:tc>
          <w:tcPr>
            <w:tcW w:w="2980" w:type="dxa"/>
            <w:vAlign w:val="bottom"/>
            <w:tcBorders>
              <w:bottom w:val="single" w:sz="8" w:color="auto"/>
            </w:tcBorders>
          </w:tcPr>
          <w:p>
            <w:pPr>
              <w:spacing w:after="0"/>
              <w:rPr>
                <w:sz w:val="23"/>
                <w:szCs w:val="23"/>
                <w:color w:val="auto"/>
              </w:rPr>
            </w:pPr>
          </w:p>
        </w:tc>
      </w:tr>
      <w:tr>
        <w:trPr>
          <w:trHeight w:val="193"/>
        </w:trPr>
        <w:tc>
          <w:tcPr>
            <w:tcW w:w="8180" w:type="dxa"/>
            <w:vAlign w:val="bottom"/>
          </w:tcPr>
          <w:p>
            <w:pPr>
              <w:spacing w:after="0"/>
              <w:rPr>
                <w:sz w:val="20"/>
                <w:szCs w:val="20"/>
                <w:color w:val="auto"/>
              </w:rPr>
            </w:pPr>
            <w:r>
              <w:rPr>
                <w:rFonts w:ascii="Arial" w:cs="Arial" w:eastAsia="Arial" w:hAnsi="Arial"/>
                <w:sz w:val="14"/>
                <w:szCs w:val="14"/>
                <w:color w:val="auto"/>
              </w:rPr>
              <w:t>Reserve Replacement Ratio</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368 %</w:t>
            </w:r>
          </w:p>
        </w:tc>
      </w:tr>
      <w:tr>
        <w:trPr>
          <w:trHeight w:val="20"/>
        </w:trPr>
        <w:tc>
          <w:tcPr>
            <w:tcW w:w="818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10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PRODUCTION STATISTICS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Year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20" w:type="dxa"/>
            <w:vAlign w:val="bottom"/>
          </w:tcPr>
          <w:p>
            <w:pPr>
              <w:spacing w:after="0"/>
              <w:rPr>
                <w:sz w:val="17"/>
                <w:szCs w:val="17"/>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Production Per Day</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r>
      <w:tr>
        <w:trPr>
          <w:trHeight w:val="193"/>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Uinta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109</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360"/>
        </w:trPr>
        <w:tc>
          <w:tcPr>
            <w:tcW w:w="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360"/>
        </w:trPr>
        <w:tc>
          <w:tcPr>
            <w:tcW w:w="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Sacramento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Uinta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113</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Total Net Production (MBoe/d)</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137</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45"/>
        </w:trPr>
        <w:tc>
          <w:tcPr>
            <w:tcW w:w="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Gross Operated and Net Non-Operated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3rd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Year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Production Per Day</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193"/>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86</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Uinta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120</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r>
        <w:trPr>
          <w:trHeight w:val="360"/>
        </w:trPr>
        <w:tc>
          <w:tcPr>
            <w:tcW w:w="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133</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Sacramento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Uinta Basin</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20" w:type="dxa"/>
            <w:vAlign w:val="bottom"/>
          </w:tcPr>
          <w:p>
            <w:pPr>
              <w:spacing w:after="0"/>
              <w:rPr>
                <w:sz w:val="16"/>
                <w:szCs w:val="16"/>
                <w:color w:val="auto"/>
              </w:rPr>
            </w:pPr>
          </w:p>
        </w:tc>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157</w:t>
            </w:r>
          </w:p>
        </w:tc>
      </w:tr>
      <w:tr>
        <w:trPr>
          <w:trHeight w:val="161"/>
        </w:trPr>
        <w:tc>
          <w:tcPr>
            <w:tcW w:w="20" w:type="dxa"/>
            <w:vAlign w:val="bottom"/>
          </w:tcPr>
          <w:p>
            <w:pPr>
              <w:spacing w:after="0"/>
              <w:rPr>
                <w:sz w:val="14"/>
                <w:szCs w:val="14"/>
                <w:color w:val="auto"/>
              </w:rPr>
            </w:pPr>
          </w:p>
        </w:tc>
        <w:tc>
          <w:tcPr>
            <w:tcW w:w="4280" w:type="dxa"/>
            <w:vAlign w:val="bottom"/>
            <w:gridSpan w:val="2"/>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Total Gross Production (MBoe/d)</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00"/>
          </w:cols>
          <w:pgMar w:left="340" w:top="1050"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20" w:type="dxa"/>
            <w:vAlign w:val="bottom"/>
          </w:tcPr>
          <w:p>
            <w:pPr>
              <w:spacing w:after="0"/>
              <w:rPr>
                <w:sz w:val="17"/>
                <w:szCs w:val="17"/>
                <w:color w:val="auto"/>
              </w:rPr>
            </w:pPr>
          </w:p>
        </w:tc>
        <w:tc>
          <w:tcPr>
            <w:tcW w:w="1180" w:type="dxa"/>
            <w:vAlign w:val="bottom"/>
          </w:tcPr>
          <w:p>
            <w:pPr>
              <w:jc w:val="right"/>
              <w:ind w:right="30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64.27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67.04</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73.00</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67.51</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75.66</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61.14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66.32</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72.82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66.52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76.92</w:t>
            </w:r>
          </w:p>
        </w:tc>
        <w:tc>
          <w:tcPr>
            <w:tcW w:w="0" w:type="dxa"/>
            <w:vAlign w:val="bottom"/>
          </w:tcPr>
          <w:p>
            <w:pPr>
              <w:spacing w:after="0"/>
              <w:rPr>
                <w:sz w:val="1"/>
                <w:szCs w:val="1"/>
                <w:color w:val="auto"/>
              </w:rPr>
            </w:pPr>
          </w:p>
        </w:tc>
      </w:tr>
      <w:tr>
        <w:trPr>
          <w:trHeight w:val="253"/>
        </w:trPr>
        <w:tc>
          <w:tcPr>
            <w:tcW w:w="390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42.86</w:t>
            </w:r>
          </w:p>
        </w:tc>
        <w:tc>
          <w:tcPr>
            <w:tcW w:w="1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41.04</w:t>
            </w:r>
          </w:p>
        </w:tc>
        <w:tc>
          <w:tcPr>
            <w:tcW w:w="100" w:type="dxa"/>
            <w:vAlign w:val="bottom"/>
          </w:tcPr>
          <w:p>
            <w:pPr>
              <w:spacing w:after="0"/>
              <w:rPr>
                <w:sz w:val="22"/>
                <w:szCs w:val="22"/>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52.62</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45.30</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48.93</w:t>
            </w:r>
          </w:p>
        </w:tc>
        <w:tc>
          <w:tcPr>
            <w:tcW w:w="0" w:type="dxa"/>
            <w:vAlign w:val="bottom"/>
          </w:tcPr>
          <w:p>
            <w:pPr>
              <w:spacing w:after="0"/>
              <w:rPr>
                <w:sz w:val="1"/>
                <w:szCs w:val="1"/>
                <w:color w:val="auto"/>
              </w:rPr>
            </w:pPr>
          </w:p>
        </w:tc>
      </w:tr>
      <w:tr>
        <w:trPr>
          <w:trHeight w:val="247"/>
        </w:trPr>
        <w:tc>
          <w:tcPr>
            <w:tcW w:w="39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3.91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3.57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3.91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3.57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41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0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63.08</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68.13</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73.97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68.22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79.84</w:t>
            </w:r>
          </w:p>
        </w:tc>
        <w:tc>
          <w:tcPr>
            <w:tcW w:w="0" w:type="dxa"/>
            <w:vAlign w:val="bottom"/>
          </w:tcPr>
          <w:p>
            <w:pPr>
              <w:spacing w:after="0"/>
              <w:rPr>
                <w:sz w:val="1"/>
                <w:szCs w:val="1"/>
                <w:color w:val="auto"/>
              </w:rPr>
            </w:pPr>
          </w:p>
        </w:tc>
      </w:tr>
      <w:tr>
        <w:trPr>
          <w:trHeight w:val="200"/>
        </w:trPr>
        <w:tc>
          <w:tcPr>
            <w:tcW w:w="390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59.14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64.93</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70.27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64.81</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75.72</w:t>
            </w:r>
          </w:p>
        </w:tc>
        <w:tc>
          <w:tcPr>
            <w:tcW w:w="0" w:type="dxa"/>
            <w:vAlign w:val="bottom"/>
          </w:tcPr>
          <w:p>
            <w:pPr>
              <w:spacing w:after="0"/>
              <w:rPr>
                <w:sz w:val="1"/>
                <w:szCs w:val="1"/>
                <w:color w:val="auto"/>
              </w:rPr>
            </w:pPr>
          </w:p>
        </w:tc>
      </w:tr>
      <w:tr>
        <w:trPr>
          <w:trHeight w:val="200"/>
        </w:trPr>
        <w:tc>
          <w:tcPr>
            <w:tcW w:w="3900" w:type="dxa"/>
            <w:vAlign w:val="bottom"/>
          </w:tcPr>
          <w:p>
            <w:pPr>
              <w:ind w:left="60"/>
              <w:spacing w:after="0"/>
              <w:rPr>
                <w:sz w:val="20"/>
                <w:szCs w:val="20"/>
                <w:color w:val="auto"/>
              </w:rPr>
            </w:pPr>
            <w:r>
              <w:rPr>
                <w:rFonts w:ascii="Arial" w:cs="Arial" w:eastAsia="Arial" w:hAnsi="Arial"/>
                <w:sz w:val="14"/>
                <w:szCs w:val="14"/>
                <w:color w:val="auto"/>
              </w:rPr>
              <w:t>NYMEX average monthly settled price ($/MMBtu)</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3.07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3.43</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2.27</w:t>
            </w:r>
          </w:p>
        </w:tc>
        <w:tc>
          <w:tcPr>
            <w:tcW w:w="0" w:type="dxa"/>
            <w:vAlign w:val="bottom"/>
          </w:tcPr>
          <w:p>
            <w:pPr>
              <w:spacing w:after="0"/>
              <w:rPr>
                <w:sz w:val="1"/>
                <w:szCs w:val="1"/>
                <w:color w:val="auto"/>
              </w:rPr>
            </w:pPr>
          </w:p>
        </w:tc>
      </w:tr>
      <w:tr>
        <w:trPr>
          <w:trHeight w:val="41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95 %</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0" w:type="dxa"/>
            <w:vAlign w:val="bottom"/>
          </w:tcPr>
          <w:p>
            <w:pPr>
              <w:spacing w:after="0"/>
              <w:rPr>
                <w:sz w:val="1"/>
                <w:szCs w:val="1"/>
                <w:color w:val="auto"/>
              </w:rPr>
            </w:pPr>
          </w:p>
        </w:tc>
      </w:tr>
      <w:tr>
        <w:trPr>
          <w:trHeight w:val="253"/>
        </w:trPr>
        <w:tc>
          <w:tcPr>
            <w:tcW w:w="39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0" w:type="dxa"/>
            <w:vAlign w:val="bottom"/>
          </w:tcPr>
          <w:p>
            <w:pPr>
              <w:spacing w:after="0"/>
              <w:rPr>
                <w:sz w:val="1"/>
                <w:szCs w:val="1"/>
                <w:color w:val="auto"/>
              </w:rPr>
            </w:pPr>
          </w:p>
        </w:tc>
      </w:tr>
      <w:tr>
        <w:trPr>
          <w:trHeight w:val="253"/>
        </w:trPr>
        <w:tc>
          <w:tcPr>
            <w:tcW w:w="390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0" w:type="dxa"/>
            <w:vAlign w:val="bottom"/>
          </w:tcPr>
          <w:p>
            <w:pPr>
              <w:spacing w:after="0"/>
              <w:rPr>
                <w:sz w:val="1"/>
                <w:szCs w:val="1"/>
                <w:color w:val="auto"/>
              </w:rPr>
            </w:pPr>
          </w:p>
        </w:tc>
      </w:tr>
      <w:tr>
        <w:trPr>
          <w:trHeight w:val="205"/>
        </w:trPr>
        <w:tc>
          <w:tcPr>
            <w:tcW w:w="390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132 %</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132 %</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of NYMEX contract month average</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100"/>
          </w:cols>
          <w:pgMar w:left="400" w:top="1050" w:right="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4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420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FOURTH QUARTER 2025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Ventura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4"/>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7"/>
        </w:trPr>
        <w:tc>
          <w:tcPr>
            <w:tcW w:w="4200" w:type="dxa"/>
            <w:vAlign w:val="bottom"/>
            <w:gridSpan w:val="2"/>
          </w:tcPr>
          <w:p>
            <w:pPr>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YEAR 2025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2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Ventura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0"/>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4"/>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7"/>
        </w:trPr>
        <w:tc>
          <w:tcPr>
            <w:tcW w:w="4200" w:type="dxa"/>
            <w:vAlign w:val="bottom"/>
            <w:gridSpan w:val="2"/>
          </w:tcPr>
          <w:p>
            <w:pPr>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60" w:hanging="156"/>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sectPr>
      <w:pgSz w:w="11900" w:h="16838" w:orient="portrait"/>
      <w:cols w:equalWidth="0" w:num="1">
        <w:col w:w="11180"/>
      </w:cols>
      <w:pgMar w:left="360" w:top="10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2026-03-02T07:47:56Z</dcterms:created>
  <dcterms:modified xsi:type="dcterms:W3CDTF">2026-03-02T07:47:56Z</dcterms:modified>
</cp:coreProperties>
</file>