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605155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6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March 3, 2025</w:t>
      </w:r>
    </w:p>
    <w:p>
      <w:pPr>
        <w:spacing w:after="0" w:line="18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California Resources Corporation</w:t>
      </w:r>
    </w:p>
    <w:p>
      <w:pPr>
        <w:spacing w:after="0" w:line="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60"/>
          </w:cols>
          <w:pgMar w:left="320" w:top="1399" w:right="419" w:bottom="1440" w:gutter="0" w:footer="0" w:header="0"/>
        </w:sectPr>
      </w:pPr>
    </w:p>
    <w:p>
      <w:pPr>
        <w:spacing w:after="0" w:line="11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5"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2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color w:val="auto"/>
        </w:rPr>
        <w:t>(Commission</w:t>
      </w:r>
    </w:p>
    <w:p>
      <w:pPr>
        <w:jc w:val="center"/>
        <w:ind w:right="190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2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2" w:lineRule="exact"/>
        <w:rPr>
          <w:sz w:val="24"/>
          <w:szCs w:val="24"/>
          <w:color w:val="auto"/>
        </w:rPr>
      </w:pPr>
    </w:p>
    <w:p>
      <w:pPr>
        <w:sectPr>
          <w:pgSz w:w="11900" w:h="16838" w:orient="portrait"/>
          <w:cols w:equalWidth="0" w:num="3">
            <w:col w:w="4380" w:space="720"/>
            <w:col w:w="2880" w:space="720"/>
            <w:col w:w="2460"/>
          </w:cols>
          <w:pgMar w:left="320" w:top="1399" w:right="41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 World Trade Center</w:t>
      </w:r>
    </w:p>
    <w:p>
      <w:pPr>
        <w:spacing w:after="0" w:line="27"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90831</w:t>
      </w:r>
    </w:p>
    <w:p>
      <w:pPr>
        <w:spacing w:after="0" w:line="27"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170" w:lineRule="exact"/>
        <w:rPr>
          <w:sz w:val="24"/>
          <w:szCs w:val="24"/>
          <w:color w:val="auto"/>
        </w:rPr>
      </w:pPr>
    </w:p>
    <w:p>
      <w:pPr>
        <w:sectPr>
          <w:pgSz w:w="11900" w:h="16838" w:orient="portrait"/>
          <w:cols w:equalWidth="0" w:num="2">
            <w:col w:w="7300" w:space="720"/>
            <w:col w:w="3140"/>
          </w:cols>
          <w:pgMar w:left="320" w:top="1399" w:right="41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6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66" w:lineRule="exact"/>
        <w:rPr>
          <w:sz w:val="24"/>
          <w:szCs w:val="24"/>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0"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2"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60"/>
          </w:cols>
          <w:pgMar w:left="320" w:top="1399" w:right="419" w:bottom="1440" w:gutter="0" w:footer="0" w:header="0"/>
          <w:type w:val="continuous"/>
        </w:sectPr>
      </w:pPr>
    </w:p>
    <w:p>
      <w:pPr>
        <w:spacing w:after="0" w:line="12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3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3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0" w:lineRule="exact"/>
        <w:rPr>
          <w:sz w:val="24"/>
          <w:szCs w:val="24"/>
          <w:color w:val="auto"/>
        </w:rPr>
      </w:pPr>
    </w:p>
    <w:p>
      <w:pPr>
        <w:sectPr>
          <w:pgSz w:w="11900" w:h="16838" w:orient="portrait"/>
          <w:cols w:equalWidth="0" w:num="3">
            <w:col w:w="3480" w:space="720"/>
            <w:col w:w="2280" w:space="720"/>
            <w:col w:w="3960"/>
          </w:cols>
          <w:pgMar w:left="320" w:top="1399" w:right="419" w:bottom="1440" w:gutter="0" w:footer="0" w:header="0"/>
          <w:type w:val="continuous"/>
        </w:sect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63"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29" w:lineRule="exact"/>
        <w:rPr>
          <w:sz w:val="24"/>
          <w:szCs w:val="24"/>
          <w:color w:val="auto"/>
        </w:rPr>
      </w:pPr>
    </w:p>
    <w:p>
      <w:pPr>
        <w:ind w:right="40"/>
        <w:spacing w:after="0" w:line="24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759460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205105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230505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1399" w:right="419" w:bottom="1440" w:gutter="0" w:footer="0" w:header="0"/>
          <w:type w:val="continuous"/>
        </w:sectPr>
      </w:pPr>
    </w:p>
    <w:bookmarkStart w:id="1" w:name="page2"/>
    <w:bookmarkEnd w:id="1"/>
    <w:p>
      <w:pPr>
        <w:spacing w:after="0" w:line="30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March 3, 2025, California Resources Corporation (the “Company”) issued a press release announcing its financial condition and results of operations for the three and twelve months ended December 31, 2024. A copy of the press release is furnished as Exhibit 99.1 to this report on Form 8-K, and is incorporated herein by reference.</w:t>
      </w:r>
    </w:p>
    <w:p>
      <w:pPr>
        <w:spacing w:after="0" w:line="1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and the exhibit hereto shall not be deemed to be “filed” for purposes of Section 18 of the Securities Exchange Act of 1934, as amended (the “Exchange Act”), and shall not be incorporated by reference into any filings made by the Company under the Securities Act of 1933, as amended, or the Exchange Act, except as may be expressly set forth by specific reference in such filing.</w:t>
      </w:r>
    </w:p>
    <w:p>
      <w:pPr>
        <w:spacing w:after="0" w:line="38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48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506"/>
        </w:trPr>
        <w:tc>
          <w:tcPr>
            <w:tcW w:w="24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80" w:type="dxa"/>
            <w:vAlign w:val="bottom"/>
          </w:tcPr>
          <w:p>
            <w:pPr>
              <w:spacing w:after="0"/>
              <w:rPr>
                <w:sz w:val="24"/>
                <w:szCs w:val="24"/>
                <w:color w:val="auto"/>
              </w:rPr>
            </w:pPr>
          </w:p>
        </w:tc>
        <w:tc>
          <w:tcPr>
            <w:tcW w:w="326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6"/>
        </w:trPr>
        <w:tc>
          <w:tcPr>
            <w:tcW w:w="2440" w:type="dxa"/>
            <w:vAlign w:val="bottom"/>
          </w:tcPr>
          <w:p>
            <w:pPr>
              <w:jc w:val="right"/>
              <w:ind w:right="971"/>
              <w:spacing w:after="0"/>
              <w:rPr>
                <w:sz w:val="20"/>
                <w:szCs w:val="20"/>
                <w:color w:val="auto"/>
              </w:rPr>
            </w:pPr>
            <w:r>
              <w:rPr>
                <w:rFonts w:ascii="Times New Roman" w:cs="Times New Roman" w:eastAsia="Times New Roman" w:hAnsi="Times New Roman"/>
                <w:sz w:val="18"/>
                <w:szCs w:val="18"/>
                <w:color w:val="auto"/>
              </w:rPr>
              <w:t>99.1</w:t>
            </w: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March 3, 2025</w:t>
            </w:r>
          </w:p>
        </w:tc>
      </w:tr>
      <w:tr>
        <w:trPr>
          <w:trHeight w:val="20"/>
        </w:trPr>
        <w:tc>
          <w:tcPr>
            <w:tcW w:w="244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287"/>
        </w:trPr>
        <w:tc>
          <w:tcPr>
            <w:tcW w:w="2440" w:type="dxa"/>
            <w:vAlign w:val="bottom"/>
          </w:tcPr>
          <w:p>
            <w:pPr>
              <w:jc w:val="right"/>
              <w:ind w:right="991"/>
              <w:spacing w:after="0"/>
              <w:rPr>
                <w:sz w:val="20"/>
                <w:szCs w:val="20"/>
                <w:color w:val="auto"/>
              </w:rPr>
            </w:pPr>
            <w:r>
              <w:rPr>
                <w:rFonts w:ascii="Times New Roman" w:cs="Times New Roman" w:eastAsia="Times New Roman" w:hAnsi="Times New Roman"/>
                <w:sz w:val="18"/>
                <w:szCs w:val="18"/>
                <w:color w:val="auto"/>
              </w:rPr>
              <w:t>104</w:t>
            </w: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1" w:lineRule="exact"/>
        <w:rPr>
          <w:sz w:val="20"/>
          <w:szCs w:val="20"/>
          <w:color w:val="auto"/>
        </w:rPr>
      </w:pPr>
    </w:p>
    <w:p>
      <w:pPr>
        <w:ind w:right="460" w:firstLine="64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5" w:lineRule="exact"/>
        <w:rPr>
          <w:sz w:val="20"/>
          <w:szCs w:val="20"/>
          <w:color w:val="auto"/>
        </w:rPr>
      </w:pPr>
    </w:p>
    <w:tbl>
      <w:tblPr>
        <w:tblLayout w:type="fixed"/>
        <w:tblInd w:w="4800" w:type="dxa"/>
        <w:tblCellMar>
          <w:top w:w="0" w:type="dxa"/>
          <w:left w:w="0" w:type="dxa"/>
          <w:bottom w:w="0" w:type="dxa"/>
          <w:right w:w="0" w:type="dxa"/>
        </w:tblCellMar>
      </w:tblPr>
      <w:tr>
        <w:trPr>
          <w:trHeight w:val="215"/>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46"/>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 2025</w:t>
      </w:r>
    </w:p>
    <w:p>
      <w:pPr>
        <w:sectPr>
          <w:pgSz w:w="11900" w:h="16838" w:orient="portrait"/>
          <w:cols w:equalWidth="0" w:num="1">
            <w:col w:w="11240"/>
          </w:cols>
          <w:pgMar w:left="320" w:top="1399"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4514850</wp:posOffset>
            </wp:positionH>
            <wp:positionV relativeFrom="page">
              <wp:posOffset>723900</wp:posOffset>
            </wp:positionV>
            <wp:extent cx="1624965" cy="4737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24965" cy="473710"/>
                    </a:xfrm>
                    <a:prstGeom prst="rect">
                      <a:avLst/>
                    </a:prstGeom>
                    <a:noFill/>
                  </pic:spPr>
                </pic:pic>
              </a:graphicData>
            </a:graphic>
          </wp:anchor>
        </w:drawing>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California Resources Reports Fourth Quarter and Full Year 2024 Financial and Operating Results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Achieves Meaningful Capital Efficiency</w:t>
      </w:r>
      <w:r>
        <w:rPr>
          <w:rFonts w:ascii="Arial" w:cs="Arial" w:eastAsia="Arial" w:hAnsi="Arial"/>
          <w:sz w:val="25"/>
          <w:szCs w:val="25"/>
          <w:i w:val="1"/>
          <w:iCs w:val="1"/>
          <w:color w:val="auto"/>
          <w:vertAlign w:val="superscript"/>
        </w:rPr>
        <w:t>1</w:t>
      </w:r>
      <w:r>
        <w:rPr>
          <w:rFonts w:ascii="Arial" w:cs="Arial" w:eastAsia="Arial" w:hAnsi="Arial"/>
          <w:sz w:val="20"/>
          <w:szCs w:val="20"/>
          <w:i w:val="1"/>
          <w:iCs w:val="1"/>
          <w:color w:val="auto"/>
        </w:rPr>
        <w:t xml:space="preserve"> Improvements and Significant Cost Reductions Following Aera Merger</w:t>
      </w:r>
    </w:p>
    <w:p>
      <w:pPr>
        <w:spacing w:after="0" w:line="15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color w:val="auto"/>
        </w:rPr>
        <w:t xml:space="preserve">LONG BEACH, California, March 3, 2025 </w:t>
      </w:r>
      <w:r>
        <w:rPr>
          <w:rFonts w:ascii="Arial" w:cs="Arial" w:eastAsia="Arial" w:hAnsi="Arial"/>
          <w:sz w:val="21"/>
          <w:szCs w:val="21"/>
          <w:color w:val="auto"/>
        </w:rPr>
        <w:t>- California Resources Corporation (NYSE: CRC) today reported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and operating results for the fourth quarter and full year 2024, as well as its guidance for 2025. The Company plans to host a conference call and webcast at 1 p.m. ET (10 a.m. PT) on Monday, March 3, 2025. Participation details can be found within this release. Supplemental slides are available on CRC’s website at www.crc.com.</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Fourth Quarter 2024 Highlights</w:t>
      </w:r>
    </w:p>
    <w:p>
      <w:pPr>
        <w:spacing w:after="0" w:line="280" w:lineRule="exact"/>
        <w:rPr>
          <w:sz w:val="20"/>
          <w:szCs w:val="20"/>
          <w:color w:val="auto"/>
        </w:rPr>
      </w:pPr>
    </w:p>
    <w:p>
      <w:pPr>
        <w:ind w:left="640" w:right="20" w:hanging="314"/>
        <w:spacing w:after="0" w:line="278" w:lineRule="auto"/>
        <w:tabs>
          <w:tab w:leader="none" w:pos="635" w:val="left"/>
        </w:tabs>
        <w:numPr>
          <w:ilvl w:val="0"/>
          <w:numId w:val="2"/>
        </w:numPr>
        <w:rPr>
          <w:rFonts w:ascii="Arial" w:cs="Arial" w:eastAsia="Arial" w:hAnsi="Arial"/>
          <w:sz w:val="21"/>
          <w:szCs w:val="21"/>
          <w:color w:val="auto"/>
        </w:rPr>
      </w:pPr>
      <w:r>
        <w:rPr>
          <w:rFonts w:ascii="Arial" w:cs="Arial" w:eastAsia="Arial" w:hAnsi="Arial"/>
          <w:sz w:val="21"/>
          <w:szCs w:val="21"/>
          <w:color w:val="auto"/>
        </w:rPr>
        <w:t>Generated $206 million of net cash flow provided by operating activities, $258 million of operating cash flow before changes in operating assets and liabilities¹ and $118 million in free cash flow¹</w:t>
      </w:r>
    </w:p>
    <w:p>
      <w:pPr>
        <w:spacing w:after="0" w:line="1" w:lineRule="exact"/>
        <w:rPr>
          <w:rFonts w:ascii="Arial" w:cs="Arial" w:eastAsia="Arial" w:hAnsi="Arial"/>
          <w:sz w:val="21"/>
          <w:szCs w:val="21"/>
          <w:color w:val="auto"/>
        </w:rPr>
      </w:pPr>
    </w:p>
    <w:p>
      <w:pPr>
        <w:ind w:left="640" w:hanging="314"/>
        <w:spacing w:after="0"/>
        <w:tabs>
          <w:tab w:leader="none" w:pos="640" w:val="left"/>
        </w:tabs>
        <w:numPr>
          <w:ilvl w:val="0"/>
          <w:numId w:val="2"/>
        </w:numPr>
        <w:rPr>
          <w:rFonts w:ascii="Arial" w:cs="Arial" w:eastAsia="Arial" w:hAnsi="Arial"/>
          <w:sz w:val="21"/>
          <w:szCs w:val="21"/>
          <w:color w:val="auto"/>
        </w:rPr>
      </w:pPr>
      <w:r>
        <w:rPr>
          <w:rFonts w:ascii="Arial" w:cs="Arial" w:eastAsia="Arial" w:hAnsi="Arial"/>
          <w:sz w:val="21"/>
          <w:szCs w:val="21"/>
          <w:color w:val="auto"/>
        </w:rPr>
        <w:t>Reported net income of $33 million, adjusted net income¹ of $84 million and adjusted EBITDAX¹ of $316 million</w:t>
      </w:r>
    </w:p>
    <w:p>
      <w:pPr>
        <w:spacing w:after="0" w:line="25" w:lineRule="exact"/>
        <w:rPr>
          <w:rFonts w:ascii="Arial" w:cs="Arial" w:eastAsia="Arial" w:hAnsi="Arial"/>
          <w:sz w:val="21"/>
          <w:szCs w:val="21"/>
          <w:color w:val="auto"/>
        </w:rPr>
      </w:pPr>
    </w:p>
    <w:p>
      <w:pPr>
        <w:ind w:left="640" w:hanging="314"/>
        <w:spacing w:after="0" w:line="278" w:lineRule="auto"/>
        <w:tabs>
          <w:tab w:leader="none" w:pos="635" w:val="left"/>
        </w:tabs>
        <w:numPr>
          <w:ilvl w:val="0"/>
          <w:numId w:val="2"/>
        </w:numPr>
        <w:rPr>
          <w:rFonts w:ascii="Arial" w:cs="Arial" w:eastAsia="Arial" w:hAnsi="Arial"/>
          <w:sz w:val="21"/>
          <w:szCs w:val="21"/>
          <w:color w:val="auto"/>
        </w:rPr>
      </w:pPr>
      <w:r>
        <w:rPr>
          <w:rFonts w:ascii="Arial" w:cs="Arial" w:eastAsia="Arial" w:hAnsi="Arial"/>
          <w:sz w:val="21"/>
          <w:szCs w:val="21"/>
          <w:color w:val="auto"/>
        </w:rPr>
        <w:t>Delivered average net production of 141 thousand barrels of oil equivalent per day (MBoe/d) (79% oil); exited 2024 with 163 MBoe/d of gross production</w:t>
      </w:r>
    </w:p>
    <w:p>
      <w:pPr>
        <w:ind w:left="640" w:hanging="314"/>
        <w:spacing w:after="0" w:line="245" w:lineRule="auto"/>
        <w:tabs>
          <w:tab w:leader="none" w:pos="635" w:val="left"/>
        </w:tabs>
        <w:numPr>
          <w:ilvl w:val="0"/>
          <w:numId w:val="2"/>
        </w:numPr>
        <w:rPr>
          <w:rFonts w:ascii="Arial" w:cs="Arial" w:eastAsia="Arial" w:hAnsi="Arial"/>
          <w:sz w:val="21"/>
          <w:szCs w:val="21"/>
          <w:color w:val="auto"/>
        </w:rPr>
      </w:pPr>
      <w:r>
        <w:rPr>
          <w:rFonts w:ascii="Arial" w:cs="Arial" w:eastAsia="Arial" w:hAnsi="Arial"/>
          <w:sz w:val="21"/>
          <w:szCs w:val="21"/>
          <w:color w:val="auto"/>
        </w:rPr>
        <w:t>Returned $92 million to shareholders (~78% of fourth quarter free cash flow¹) via share repurchases and dividends</w:t>
      </w:r>
      <w:r>
        <w:rPr>
          <w:rFonts w:ascii="Arial" w:cs="Arial" w:eastAsia="Arial" w:hAnsi="Arial"/>
          <w:sz w:val="27"/>
          <w:szCs w:val="27"/>
          <w:color w:val="auto"/>
          <w:vertAlign w:val="superscript"/>
        </w:rPr>
        <w:t>2</w:t>
      </w:r>
    </w:p>
    <w:p>
      <w:pPr>
        <w:spacing w:after="0" w:line="1" w:lineRule="exact"/>
        <w:rPr>
          <w:rFonts w:ascii="Arial" w:cs="Arial" w:eastAsia="Arial" w:hAnsi="Arial"/>
          <w:sz w:val="21"/>
          <w:szCs w:val="21"/>
          <w:color w:val="auto"/>
        </w:rPr>
      </w:pPr>
    </w:p>
    <w:p>
      <w:pPr>
        <w:jc w:val="both"/>
        <w:ind w:left="640" w:hanging="314"/>
        <w:spacing w:after="0" w:line="253" w:lineRule="auto"/>
        <w:tabs>
          <w:tab w:leader="none" w:pos="635" w:val="left"/>
        </w:tabs>
        <w:numPr>
          <w:ilvl w:val="0"/>
          <w:numId w:val="2"/>
        </w:numPr>
        <w:rPr>
          <w:rFonts w:ascii="Arial" w:cs="Arial" w:eastAsia="Arial" w:hAnsi="Arial"/>
          <w:sz w:val="21"/>
          <w:szCs w:val="21"/>
          <w:color w:val="auto"/>
        </w:rPr>
      </w:pPr>
      <w:r>
        <w:rPr>
          <w:rFonts w:ascii="Arial" w:cs="Arial" w:eastAsia="Arial" w:hAnsi="Arial"/>
          <w:sz w:val="21"/>
          <w:szCs w:val="21"/>
          <w:color w:val="auto"/>
        </w:rPr>
        <w:t>Received California’s first Environmental Protection Agency (EPA) Class VI well permits for underground carbon dioxide (CO</w:t>
      </w:r>
      <w:r>
        <w:rPr>
          <w:rFonts w:ascii="Arial" w:cs="Arial" w:eastAsia="Arial" w:hAnsi="Arial"/>
          <w:sz w:val="27"/>
          <w:szCs w:val="27"/>
          <w:color w:val="auto"/>
          <w:vertAlign w:val="subscript"/>
        </w:rPr>
        <w:t>2</w:t>
      </w:r>
      <w:r>
        <w:rPr>
          <w:rFonts w:ascii="Arial" w:cs="Arial" w:eastAsia="Arial" w:hAnsi="Arial"/>
          <w:sz w:val="21"/>
          <w:szCs w:val="21"/>
          <w:color w:val="auto"/>
        </w:rPr>
        <w:t xml:space="preserve">) injection and storage into the 26R reservoir. </w:t>
      </w:r>
      <w:r>
        <w:rPr>
          <w:rFonts w:ascii="Arial" w:cs="Arial" w:eastAsia="Arial" w:hAnsi="Arial"/>
          <w:sz w:val="21"/>
          <w:szCs w:val="21"/>
          <w:i w:val="1"/>
          <w:iCs w:val="1"/>
          <w:color w:val="auto"/>
        </w:rPr>
        <w:t>See Carbon TerraVault's 2024 Update for additional</w:t>
      </w:r>
      <w:r>
        <w:rPr>
          <w:rFonts w:ascii="Arial" w:cs="Arial" w:eastAsia="Arial" w:hAnsi="Arial"/>
          <w:sz w:val="21"/>
          <w:szCs w:val="21"/>
          <w:color w:val="auto"/>
        </w:rPr>
        <w:t xml:space="preserve"> </w:t>
      </w:r>
      <w:r>
        <w:rPr>
          <w:rFonts w:ascii="Arial" w:cs="Arial" w:eastAsia="Arial" w:hAnsi="Arial"/>
          <w:sz w:val="21"/>
          <w:szCs w:val="21"/>
          <w:i w:val="1"/>
          <w:iCs w:val="1"/>
          <w:color w:val="auto"/>
        </w:rPr>
        <w:t>information</w:t>
      </w: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Full Year 2024 Highlights</w:t>
      </w:r>
    </w:p>
    <w:p>
      <w:pPr>
        <w:spacing w:after="0" w:line="280" w:lineRule="exact"/>
        <w:rPr>
          <w:sz w:val="20"/>
          <w:szCs w:val="20"/>
          <w:color w:val="auto"/>
        </w:rPr>
      </w:pPr>
    </w:p>
    <w:p>
      <w:pPr>
        <w:ind w:left="640" w:hanging="314"/>
        <w:spacing w:after="0" w:line="272"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21"/>
          <w:szCs w:val="21"/>
          <w:color w:val="auto"/>
        </w:rPr>
        <w:t>Transformed and scaled the business through successful Aera merger, and achieved more than 70% of its targeted $235 million in merger-related synergies</w:t>
      </w:r>
    </w:p>
    <w:p>
      <w:pPr>
        <w:ind w:left="640" w:hanging="314"/>
        <w:spacing w:after="0" w:line="251"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21"/>
          <w:szCs w:val="21"/>
          <w:color w:val="auto"/>
        </w:rPr>
        <w:t>Generated net cash flow provided by operating activities of $610 million, $707 million before changes in operating assets and liabilities</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and $355 million in free cash flow¹</w:t>
      </w:r>
    </w:p>
    <w:p>
      <w:pPr>
        <w:spacing w:after="0" w:line="1" w:lineRule="exact"/>
        <w:rPr>
          <w:rFonts w:ascii="Arial" w:cs="Arial" w:eastAsia="Arial" w:hAnsi="Arial"/>
          <w:sz w:val="21"/>
          <w:szCs w:val="21"/>
          <w:color w:val="auto"/>
        </w:rPr>
      </w:pPr>
    </w:p>
    <w:p>
      <w:pPr>
        <w:ind w:left="640" w:hanging="314"/>
        <w:spacing w:after="0" w:line="268"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21"/>
          <w:szCs w:val="21"/>
          <w:color w:val="auto"/>
        </w:rPr>
        <w:t>Posted net income of $376 million, adjusted net income¹ of $317 million and adjusted EBITDAX¹ of $1,006 million</w:t>
      </w:r>
    </w:p>
    <w:p>
      <w:pPr>
        <w:spacing w:after="0" w:line="271" w:lineRule="exact"/>
        <w:rPr>
          <w:rFonts w:ascii="Arial" w:cs="Arial" w:eastAsia="Arial" w:hAnsi="Arial"/>
          <w:sz w:val="21"/>
          <w:szCs w:val="21"/>
          <w:color w:val="auto"/>
        </w:rPr>
      </w:pPr>
    </w:p>
    <w:p>
      <w:pPr>
        <w:ind w:left="640" w:hanging="314"/>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21"/>
          <w:szCs w:val="21"/>
          <w:color w:val="auto"/>
        </w:rPr>
        <w:t>Delivered average net production of 110 MBoe/d (73% oil)</w:t>
      </w:r>
    </w:p>
    <w:p>
      <w:pPr>
        <w:spacing w:after="0" w:line="25" w:lineRule="exact"/>
        <w:rPr>
          <w:rFonts w:ascii="Arial" w:cs="Arial" w:eastAsia="Arial" w:hAnsi="Arial"/>
          <w:sz w:val="21"/>
          <w:szCs w:val="21"/>
          <w:color w:val="auto"/>
        </w:rPr>
      </w:pPr>
    </w:p>
    <w:p>
      <w:pPr>
        <w:ind w:left="640" w:hanging="314"/>
        <w:spacing w:after="0" w:line="278"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21"/>
          <w:szCs w:val="21"/>
          <w:color w:val="auto"/>
        </w:rPr>
        <w:t>Enhanced capital efficiency after deploying $123 million of drilling, completions and workover capital to achieve an entry-to-exit gross production decline of approximately 6%</w:t>
      </w:r>
    </w:p>
    <w:p>
      <w:pPr>
        <w:ind w:left="640" w:hanging="314"/>
        <w:spacing w:after="0" w:line="245"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21"/>
          <w:szCs w:val="21"/>
          <w:color w:val="auto"/>
        </w:rPr>
        <w:t>Returned $303 million to shareholders (approximately 85% of free cash flow¹) via share repurchases and dividends</w:t>
      </w:r>
      <w:r>
        <w:rPr>
          <w:rFonts w:ascii="Arial" w:cs="Arial" w:eastAsia="Arial" w:hAnsi="Arial"/>
          <w:sz w:val="27"/>
          <w:szCs w:val="27"/>
          <w:color w:val="auto"/>
          <w:vertAlign w:val="superscript"/>
        </w:rPr>
        <w:t>2</w:t>
      </w:r>
    </w:p>
    <w:p>
      <w:pPr>
        <w:spacing w:after="0" w:line="1" w:lineRule="exact"/>
        <w:rPr>
          <w:rFonts w:ascii="Arial" w:cs="Arial" w:eastAsia="Arial" w:hAnsi="Arial"/>
          <w:sz w:val="21"/>
          <w:szCs w:val="21"/>
          <w:color w:val="auto"/>
        </w:rPr>
      </w:pPr>
    </w:p>
    <w:p>
      <w:pPr>
        <w:ind w:left="640" w:hanging="314"/>
        <w:spacing w:after="0" w:line="216"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21"/>
          <w:szCs w:val="21"/>
          <w:color w:val="auto"/>
        </w:rPr>
        <w:t>Exited 2024 with $354 million in available cash</w:t>
      </w:r>
      <w:r>
        <w:rPr>
          <w:rFonts w:ascii="Arial" w:cs="Arial" w:eastAsia="Arial" w:hAnsi="Arial"/>
          <w:sz w:val="27"/>
          <w:szCs w:val="27"/>
          <w:color w:val="auto"/>
          <w:vertAlign w:val="superscript"/>
        </w:rPr>
        <w:t>3</w:t>
      </w:r>
      <w:r>
        <w:rPr>
          <w:rFonts w:ascii="Arial" w:cs="Arial" w:eastAsia="Arial" w:hAnsi="Arial"/>
          <w:sz w:val="21"/>
          <w:szCs w:val="21"/>
          <w:color w:val="auto"/>
        </w:rPr>
        <w:t>, $983 million in available borrowing capacity and liquidity</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$1,337 million</w:t>
      </w:r>
      <w:r>
        <w:rPr>
          <w:rFonts w:ascii="Arial" w:cs="Arial" w:eastAsia="Arial" w:hAnsi="Arial"/>
          <w:sz w:val="27"/>
          <w:szCs w:val="27"/>
          <w:color w:val="auto"/>
          <w:vertAlign w:val="superscript"/>
        </w:rPr>
        <w:t>3</w:t>
      </w:r>
    </w:p>
    <w:p>
      <w:pPr>
        <w:ind w:left="640" w:hanging="314"/>
        <w:spacing w:after="0"/>
        <w:tabs>
          <w:tab w:leader="none" w:pos="640" w:val="left"/>
        </w:tabs>
        <w:numPr>
          <w:ilvl w:val="0"/>
          <w:numId w:val="3"/>
        </w:numPr>
        <w:rPr>
          <w:rFonts w:ascii="Times New Roman" w:cs="Times New Roman" w:eastAsia="Times New Roman" w:hAnsi="Times New Roman"/>
          <w:sz w:val="21"/>
          <w:szCs w:val="21"/>
          <w:color w:val="auto"/>
        </w:rPr>
      </w:pPr>
      <w:r>
        <w:rPr>
          <w:rFonts w:ascii="Arial" w:cs="Arial" w:eastAsia="Arial" w:hAnsi="Arial"/>
          <w:sz w:val="21"/>
          <w:szCs w:val="21"/>
          <w:color w:val="auto"/>
        </w:rPr>
        <w:t>Sold 0.9 acre Fort Apache real estate property in Huntington Beach for approximately $10 million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240"/>
          </w:cols>
          <w:pgMar w:left="320" w:top="1440" w:right="339" w:bottom="1440" w:gutter="0" w:footer="0" w:header="0"/>
        </w:sectPr>
      </w:pPr>
    </w:p>
    <w:bookmarkStart w:id="4" w:name="page5"/>
    <w:bookmarkEnd w:id="4"/>
    <w:p>
      <w:pPr>
        <w:jc w:val="both"/>
        <w:ind w:left="640" w:hanging="314"/>
        <w:spacing w:after="0" w:line="287" w:lineRule="auto"/>
        <w:tabs>
          <w:tab w:leader="none" w:pos="635" w:val="left"/>
        </w:tabs>
        <w:numPr>
          <w:ilvl w:val="0"/>
          <w:numId w:val="4"/>
        </w:numPr>
        <w:rPr>
          <w:rFonts w:ascii="Times New Roman" w:cs="Times New Roman" w:eastAsia="Times New Roman" w:hAnsi="Times New Roman"/>
          <w:sz w:val="21"/>
          <w:szCs w:val="21"/>
          <w:color w:val="auto"/>
        </w:rPr>
      </w:pPr>
      <w:r>
        <w:rPr>
          <w:rFonts w:ascii="Arial" w:cs="Arial" w:eastAsia="Arial" w:hAnsi="Arial"/>
          <w:sz w:val="21"/>
          <w:szCs w:val="21"/>
          <w:color w:val="auto"/>
        </w:rPr>
        <w:t>Signed new CO</w:t>
      </w:r>
      <w:r>
        <w:rPr>
          <w:rFonts w:ascii="Arial" w:cs="Arial" w:eastAsia="Arial" w:hAnsi="Arial"/>
          <w:sz w:val="27"/>
          <w:szCs w:val="27"/>
          <w:color w:val="auto"/>
          <w:vertAlign w:val="subscript"/>
        </w:rPr>
        <w:t>2</w:t>
      </w:r>
      <w:r>
        <w:rPr>
          <w:rFonts w:ascii="Arial" w:cs="Arial" w:eastAsia="Arial" w:hAnsi="Arial"/>
          <w:sz w:val="21"/>
          <w:szCs w:val="21"/>
          <w:color w:val="auto"/>
        </w:rPr>
        <w:t xml:space="preserve"> management agreements</w:t>
      </w:r>
      <w:r>
        <w:rPr>
          <w:rFonts w:ascii="Arial" w:cs="Arial" w:eastAsia="Arial" w:hAnsi="Arial"/>
          <w:sz w:val="27"/>
          <w:szCs w:val="27"/>
          <w:color w:val="auto"/>
          <w:vertAlign w:val="superscript"/>
        </w:rPr>
        <w:t>4</w:t>
      </w:r>
      <w:r>
        <w:rPr>
          <w:rFonts w:ascii="Arial" w:cs="Arial" w:eastAsia="Arial" w:hAnsi="Arial"/>
          <w:sz w:val="21"/>
          <w:szCs w:val="21"/>
          <w:color w:val="auto"/>
        </w:rPr>
        <w:t xml:space="preserve"> (CDMA) and memoranda of understanding</w:t>
      </w:r>
      <w:r>
        <w:rPr>
          <w:rFonts w:ascii="Arial" w:cs="Arial" w:eastAsia="Arial" w:hAnsi="Arial"/>
          <w:sz w:val="27"/>
          <w:szCs w:val="27"/>
          <w:color w:val="auto"/>
          <w:vertAlign w:val="superscript"/>
        </w:rPr>
        <w:t>4</w:t>
      </w:r>
      <w:r>
        <w:rPr>
          <w:rFonts w:ascii="Arial" w:cs="Arial" w:eastAsia="Arial" w:hAnsi="Arial"/>
          <w:sz w:val="21"/>
          <w:szCs w:val="21"/>
          <w:color w:val="auto"/>
        </w:rPr>
        <w:t xml:space="preserve"> (MOU) to sequester up to 5.4 million metric tons per annum (MMTPA) of CO</w:t>
      </w:r>
      <w:r>
        <w:rPr>
          <w:rFonts w:ascii="Arial" w:cs="Arial" w:eastAsia="Arial" w:hAnsi="Arial"/>
          <w:sz w:val="21"/>
          <w:szCs w:val="21"/>
          <w:color w:val="auto"/>
          <w:vertAlign w:val="subscript"/>
        </w:rPr>
        <w:t>2</w:t>
      </w:r>
      <w:r>
        <w:rPr>
          <w:rFonts w:ascii="Arial" w:cs="Arial" w:eastAsia="Arial" w:hAnsi="Arial"/>
          <w:sz w:val="21"/>
          <w:szCs w:val="21"/>
          <w:color w:val="auto"/>
        </w:rPr>
        <w:t xml:space="preserve"> emissions with reputable national partners and approved California’s first carbon capture and storage (CCS) project. </w:t>
      </w:r>
      <w:r>
        <w:rPr>
          <w:rFonts w:ascii="Arial" w:cs="Arial" w:eastAsia="Arial" w:hAnsi="Arial"/>
          <w:sz w:val="21"/>
          <w:szCs w:val="21"/>
          <w:i w:val="1"/>
          <w:iCs w:val="1"/>
          <w:color w:val="auto"/>
        </w:rPr>
        <w:t>See Carbon TerraVault's 2024 Update for additional</w:t>
      </w:r>
      <w:r>
        <w:rPr>
          <w:rFonts w:ascii="Arial" w:cs="Arial" w:eastAsia="Arial" w:hAnsi="Arial"/>
          <w:sz w:val="21"/>
          <w:szCs w:val="21"/>
          <w:color w:val="auto"/>
        </w:rPr>
        <w:t xml:space="preserve"> </w:t>
      </w:r>
      <w:r>
        <w:rPr>
          <w:rFonts w:ascii="Arial" w:cs="Arial" w:eastAsia="Arial" w:hAnsi="Arial"/>
          <w:sz w:val="21"/>
          <w:szCs w:val="21"/>
          <w:i w:val="1"/>
          <w:iCs w:val="1"/>
          <w:color w:val="auto"/>
        </w:rPr>
        <w:t>information</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2025 Outlook and Highlights</w:t>
      </w:r>
    </w:p>
    <w:p>
      <w:pPr>
        <w:spacing w:after="0" w:line="280" w:lineRule="exact"/>
        <w:rPr>
          <w:sz w:val="20"/>
          <w:szCs w:val="20"/>
          <w:color w:val="auto"/>
        </w:rPr>
      </w:pPr>
    </w:p>
    <w:p>
      <w:pPr>
        <w:ind w:left="640" w:hanging="314"/>
        <w:spacing w:after="0" w:line="278"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21"/>
          <w:szCs w:val="21"/>
          <w:color w:val="auto"/>
        </w:rPr>
        <w:t>Capital investments expected to range between $285 - $335 million, including drilling, completions and workover capital of $165 - $180 million and carbon management capital of $20 - $30 million</w:t>
      </w:r>
    </w:p>
    <w:p>
      <w:pPr>
        <w:spacing w:after="0" w:line="1" w:lineRule="exact"/>
        <w:rPr>
          <w:rFonts w:ascii="Arial" w:cs="Arial" w:eastAsia="Arial" w:hAnsi="Arial"/>
          <w:sz w:val="21"/>
          <w:szCs w:val="21"/>
          <w:color w:val="auto"/>
        </w:rPr>
      </w:pPr>
    </w:p>
    <w:p>
      <w:pPr>
        <w:ind w:left="640" w:right="20" w:hanging="314"/>
        <w:spacing w:after="0" w:line="271"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21"/>
          <w:szCs w:val="21"/>
          <w:color w:val="auto"/>
        </w:rPr>
        <w:t>Net production expected to be 132 - 138 MBoe/d (79% oil), with an expected range between 5% – 8% entry-to-exit gross production decline</w:t>
      </w:r>
    </w:p>
    <w:p>
      <w:pPr>
        <w:spacing w:after="0" w:line="1" w:lineRule="exact"/>
        <w:rPr>
          <w:rFonts w:ascii="Arial" w:cs="Arial" w:eastAsia="Arial" w:hAnsi="Arial"/>
          <w:sz w:val="21"/>
          <w:szCs w:val="21"/>
          <w:color w:val="auto"/>
        </w:rPr>
      </w:pPr>
    </w:p>
    <w:p>
      <w:pPr>
        <w:ind w:left="640" w:hanging="314"/>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21"/>
          <w:szCs w:val="21"/>
          <w:color w:val="auto"/>
        </w:rPr>
        <w:t>On track to achieve the remaining $65 million in Aera-related synergies by year-end</w:t>
      </w:r>
    </w:p>
    <w:p>
      <w:pPr>
        <w:spacing w:after="0" w:line="38" w:lineRule="exact"/>
        <w:rPr>
          <w:rFonts w:ascii="Arial" w:cs="Arial" w:eastAsia="Arial" w:hAnsi="Arial"/>
          <w:sz w:val="21"/>
          <w:szCs w:val="21"/>
          <w:color w:val="auto"/>
        </w:rPr>
      </w:pPr>
    </w:p>
    <w:p>
      <w:pPr>
        <w:ind w:left="640" w:hanging="314"/>
        <w:spacing w:after="0" w:line="278"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21"/>
          <w:szCs w:val="21"/>
          <w:color w:val="auto"/>
        </w:rPr>
        <w:t>Redeemed $123 million of 2026 Senior Notes at par in February 2025 with the remaining balance of $122 million slated for redemption later this year</w:t>
      </w:r>
    </w:p>
    <w:p>
      <w:pPr>
        <w:jc w:val="both"/>
        <w:ind w:left="640" w:hanging="314"/>
        <w:spacing w:after="0" w:line="276" w:lineRule="exact"/>
        <w:tabs>
          <w:tab w:leader="none" w:pos="635" w:val="left"/>
        </w:tabs>
        <w:numPr>
          <w:ilvl w:val="0"/>
          <w:numId w:val="5"/>
        </w:numPr>
        <w:rPr>
          <w:rFonts w:ascii="Arial" w:cs="Arial" w:eastAsia="Arial" w:hAnsi="Arial"/>
          <w:sz w:val="21"/>
          <w:szCs w:val="21"/>
          <w:color w:val="auto"/>
        </w:rPr>
      </w:pPr>
      <w:r>
        <w:rPr>
          <w:rFonts w:ascii="Arial" w:cs="Arial" w:eastAsia="Arial" w:hAnsi="Arial"/>
          <w:sz w:val="21"/>
          <w:szCs w:val="21"/>
          <w:color w:val="auto"/>
        </w:rPr>
        <w:t>Announced a new up to 1.0 MMTPA of CO</w:t>
      </w:r>
      <w:r>
        <w:rPr>
          <w:rFonts w:ascii="Arial" w:cs="Arial" w:eastAsia="Arial" w:hAnsi="Arial"/>
          <w:sz w:val="27"/>
          <w:szCs w:val="27"/>
          <w:color w:val="auto"/>
          <w:vertAlign w:val="subscript"/>
        </w:rPr>
        <w:t>2</w:t>
      </w:r>
      <w:r>
        <w:rPr>
          <w:rFonts w:ascii="Arial" w:cs="Arial" w:eastAsia="Arial" w:hAnsi="Arial"/>
          <w:sz w:val="21"/>
          <w:szCs w:val="21"/>
          <w:color w:val="auto"/>
        </w:rPr>
        <w:t xml:space="preserve"> emissions brownfield MOU</w:t>
      </w:r>
      <w:r>
        <w:rPr>
          <w:rFonts w:ascii="Arial" w:cs="Arial" w:eastAsia="Arial" w:hAnsi="Arial"/>
          <w:sz w:val="27"/>
          <w:szCs w:val="27"/>
          <w:color w:val="auto"/>
          <w:vertAlign w:val="superscript"/>
        </w:rPr>
        <w:t>4</w:t>
      </w:r>
      <w:r>
        <w:rPr>
          <w:rFonts w:ascii="Arial" w:cs="Arial" w:eastAsia="Arial" w:hAnsi="Arial"/>
          <w:sz w:val="21"/>
          <w:szCs w:val="21"/>
          <w:color w:val="auto"/>
        </w:rPr>
        <w:t xml:space="preserve"> with National Cement Company of California Inc. (National Cement); Targeting first CO</w:t>
      </w:r>
      <w:r>
        <w:rPr>
          <w:rFonts w:ascii="MS PGothic" w:cs="MS PGothic" w:eastAsia="MS PGothic" w:hAnsi="MS PGothic"/>
          <w:sz w:val="21"/>
          <w:szCs w:val="21"/>
          <w:color w:val="auto"/>
        </w:rPr>
        <w:t>₂</w:t>
      </w:r>
      <w:r>
        <w:rPr>
          <w:rFonts w:ascii="Arial" w:cs="Arial" w:eastAsia="Arial" w:hAnsi="Arial"/>
          <w:sz w:val="21"/>
          <w:szCs w:val="21"/>
          <w:color w:val="auto"/>
        </w:rPr>
        <w:t xml:space="preserve"> sequestration and cash flow from CCS project at Elk Hills Cryogenic Gas Plant. </w:t>
      </w:r>
      <w:r>
        <w:rPr>
          <w:rFonts w:ascii="Arial" w:cs="Arial" w:eastAsia="Arial" w:hAnsi="Arial"/>
          <w:sz w:val="21"/>
          <w:szCs w:val="21"/>
          <w:i w:val="1"/>
          <w:iCs w:val="1"/>
          <w:color w:val="auto"/>
        </w:rPr>
        <w:t>See Carbon TerraVault and National Cement Sign MOU for California's First Net Zero</w:t>
      </w:r>
      <w:r>
        <w:rPr>
          <w:rFonts w:ascii="Arial" w:cs="Arial" w:eastAsia="Arial" w:hAnsi="Arial"/>
          <w:sz w:val="21"/>
          <w:szCs w:val="21"/>
          <w:color w:val="auto"/>
        </w:rPr>
        <w:t xml:space="preserve"> </w:t>
      </w:r>
      <w:r>
        <w:rPr>
          <w:rFonts w:ascii="Arial" w:cs="Arial" w:eastAsia="Arial" w:hAnsi="Arial"/>
          <w:sz w:val="21"/>
          <w:szCs w:val="21"/>
          <w:i w:val="1"/>
          <w:iCs w:val="1"/>
          <w:color w:val="auto"/>
        </w:rPr>
        <w:t>Cement Facility for additional information</w:t>
      </w:r>
    </w:p>
    <w:p>
      <w:pPr>
        <w:spacing w:after="0" w:line="228" w:lineRule="exact"/>
        <w:rPr>
          <w:sz w:val="20"/>
          <w:szCs w:val="20"/>
          <w:color w:val="auto"/>
        </w:rPr>
      </w:pPr>
    </w:p>
    <w:p>
      <w:pPr>
        <w:jc w:val="both"/>
        <w:ind w:firstLine="240"/>
        <w:spacing w:after="0" w:line="242" w:lineRule="auto"/>
        <w:rPr>
          <w:sz w:val="20"/>
          <w:szCs w:val="20"/>
          <w:color w:val="auto"/>
        </w:rPr>
      </w:pPr>
      <w:r>
        <w:rPr>
          <w:rFonts w:ascii="Arial" w:cs="Arial" w:eastAsia="Arial" w:hAnsi="Arial"/>
          <w:sz w:val="21"/>
          <w:szCs w:val="21"/>
          <w:color w:val="auto"/>
        </w:rPr>
        <w:t>"We delivered exceptional results in 2024, while successfully completing our transformative merger with Aera Energy. We proved our ability to seamlessly integrate assets and drive synergies. Today we have the right people, portfolio, and business plan to help lead California’s decarbonization efforts,” said CRC President and CEO Francisco Leon. “In 2025, we are focused on delivering value through our integrated asset portfolio, combining conventional oil and gas, carbon management and an expanding power solutions business. We will maintain financial strength to generate sustainable cash flow, while returning significant capital through dividends and opportunistic share buybacks to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240"/>
          </w:cols>
          <w:pgMar w:left="320" w:top="800" w:right="339" w:bottom="1440" w:gutter="0" w:footer="0" w:header="0"/>
        </w:sectPr>
      </w:pPr>
    </w:p>
    <w:bookmarkStart w:id="5" w:name="page6"/>
    <w:bookmarkEnd w:id="5"/>
    <w:p>
      <w:pPr>
        <w:spacing w:after="0"/>
        <w:rPr>
          <w:sz w:val="20"/>
          <w:szCs w:val="20"/>
          <w:color w:val="auto"/>
        </w:rPr>
      </w:pPr>
      <w:r>
        <w:rPr>
          <w:rFonts w:ascii="Arial" w:cs="Arial" w:eastAsia="Arial" w:hAnsi="Arial"/>
          <w:sz w:val="21"/>
          <w:szCs w:val="21"/>
          <w:b w:val="1"/>
          <w:bCs w:val="1"/>
          <w:u w:val="single" w:color="auto"/>
          <w:color w:val="auto"/>
        </w:rPr>
        <w:t>Fourth Quarter and Full Year 2024 Financial Results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Selected Production, Price Information and Results of Operations</w:t>
            </w:r>
          </w:p>
        </w:tc>
        <w:tc>
          <w:tcPr>
            <w:tcW w:w="540" w:type="dxa"/>
            <w:vAlign w:val="bottom"/>
            <w:tcBorders>
              <w:top w:val="single" w:sz="8" w:color="auto"/>
            </w:tcBorders>
            <w:shd w:val="clear" w:color="auto" w:fill="DBDBDB"/>
          </w:tcPr>
          <w:p>
            <w:pPr>
              <w:spacing w:after="0"/>
              <w:rPr>
                <w:sz w:val="16"/>
                <w:szCs w:val="16"/>
                <w:color w:val="auto"/>
              </w:rPr>
            </w:pPr>
          </w:p>
        </w:tc>
        <w:tc>
          <w:tcPr>
            <w:tcW w:w="1000" w:type="dxa"/>
            <w:vAlign w:val="bottom"/>
            <w:tcBorders>
              <w:top w:val="single" w:sz="8" w:color="auto"/>
            </w:tcBorders>
            <w:shd w:val="clear" w:color="auto" w:fill="DBDBDB"/>
          </w:tcPr>
          <w:p>
            <w:pPr>
              <w:jc w:val="right"/>
              <w:ind w:right="129"/>
              <w:spacing w:after="0"/>
              <w:rPr>
                <w:sz w:val="20"/>
                <w:szCs w:val="20"/>
                <w:color w:val="auto"/>
              </w:rPr>
            </w:pPr>
            <w:r>
              <w:rPr>
                <w:rFonts w:ascii="Arial" w:cs="Arial" w:eastAsia="Arial" w:hAnsi="Arial"/>
                <w:sz w:val="14"/>
                <w:szCs w:val="14"/>
                <w:b w:val="1"/>
                <w:bCs w:val="1"/>
                <w:color w:val="auto"/>
              </w:rPr>
              <w:t>4th Quarter</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shd w:val="clear" w:color="auto" w:fill="DBDBDB"/>
          </w:tcPr>
          <w:p>
            <w:pPr>
              <w:spacing w:after="0"/>
              <w:rPr>
                <w:sz w:val="16"/>
                <w:szCs w:val="16"/>
                <w:color w:val="auto"/>
              </w:rPr>
            </w:pPr>
          </w:p>
        </w:tc>
        <w:tc>
          <w:tcPr>
            <w:tcW w:w="980" w:type="dxa"/>
            <w:vAlign w:val="bottom"/>
            <w:tcBorders>
              <w:top w:val="single" w:sz="8" w:color="auto"/>
            </w:tcBorders>
            <w:shd w:val="clear" w:color="auto" w:fill="DBDBDB"/>
          </w:tcPr>
          <w:p>
            <w:pPr>
              <w:jc w:val="right"/>
              <w:ind w:right="129"/>
              <w:spacing w:after="0"/>
              <w:rPr>
                <w:sz w:val="20"/>
                <w:szCs w:val="20"/>
                <w:color w:val="auto"/>
              </w:rPr>
            </w:pPr>
            <w:r>
              <w:rPr>
                <w:rFonts w:ascii="Arial" w:cs="Arial" w:eastAsia="Arial" w:hAnsi="Arial"/>
                <w:sz w:val="14"/>
                <w:szCs w:val="14"/>
                <w:color w:val="auto"/>
              </w:rPr>
              <w:t>3rd Quarter</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shd w:val="clear" w:color="auto" w:fill="DBDBDB"/>
          </w:tcPr>
          <w:p>
            <w:pPr>
              <w:spacing w:after="0"/>
              <w:rPr>
                <w:sz w:val="16"/>
                <w:szCs w:val="16"/>
                <w:color w:val="auto"/>
              </w:rPr>
            </w:pPr>
          </w:p>
        </w:tc>
        <w:tc>
          <w:tcPr>
            <w:tcW w:w="840" w:type="dxa"/>
            <w:vAlign w:val="bottom"/>
            <w:tcBorders>
              <w:top w:val="single" w:sz="8" w:color="auto"/>
            </w:tcBorders>
            <w:shd w:val="clear" w:color="auto" w:fill="DBDBDB"/>
          </w:tcPr>
          <w:p>
            <w:pPr>
              <w:jc w:val="right"/>
              <w:ind w:right="89"/>
              <w:spacing w:after="0"/>
              <w:rPr>
                <w:sz w:val="20"/>
                <w:szCs w:val="20"/>
                <w:color w:val="auto"/>
              </w:rPr>
            </w:pPr>
            <w:r>
              <w:rPr>
                <w:rFonts w:ascii="Arial" w:cs="Arial" w:eastAsia="Arial" w:hAnsi="Arial"/>
                <w:sz w:val="14"/>
                <w:szCs w:val="14"/>
                <w:b w:val="1"/>
                <w:bCs w:val="1"/>
                <w:color w:val="auto"/>
                <w:w w:val="97"/>
              </w:rPr>
              <w:t>Total Year</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shd w:val="clear" w:color="auto" w:fill="DBDBDB"/>
          </w:tcPr>
          <w:p>
            <w:pPr>
              <w:spacing w:after="0"/>
              <w:rPr>
                <w:sz w:val="16"/>
                <w:szCs w:val="16"/>
                <w:color w:val="auto"/>
              </w:rPr>
            </w:pPr>
          </w:p>
        </w:tc>
        <w:tc>
          <w:tcPr>
            <w:tcW w:w="820" w:type="dxa"/>
            <w:vAlign w:val="bottom"/>
            <w:tcBorders>
              <w:top w:val="single" w:sz="8" w:color="auto"/>
            </w:tcBorders>
            <w:shd w:val="clear" w:color="auto" w:fill="DBDBDB"/>
          </w:tcPr>
          <w:p>
            <w:pPr>
              <w:jc w:val="right"/>
              <w:ind w:right="89"/>
              <w:spacing w:after="0"/>
              <w:rPr>
                <w:sz w:val="20"/>
                <w:szCs w:val="20"/>
                <w:color w:val="auto"/>
              </w:rPr>
            </w:pPr>
            <w:r>
              <w:rPr>
                <w:rFonts w:ascii="Arial" w:cs="Arial" w:eastAsia="Arial" w:hAnsi="Arial"/>
                <w:sz w:val="14"/>
                <w:szCs w:val="14"/>
                <w:color w:val="auto"/>
                <w:w w:val="99"/>
              </w:rPr>
              <w:t>Total Year</w:t>
            </w:r>
          </w:p>
        </w:tc>
      </w:tr>
      <w:tr>
        <w:trPr>
          <w:trHeight w:val="200"/>
        </w:trPr>
        <w:tc>
          <w:tcPr>
            <w:tcW w:w="60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 in millions)</w:t>
            </w:r>
          </w:p>
        </w:tc>
        <w:tc>
          <w:tcPr>
            <w:tcW w:w="54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34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ind w:right="329"/>
              <w:spacing w:after="0"/>
              <w:rPr>
                <w:sz w:val="20"/>
                <w:szCs w:val="20"/>
                <w:color w:val="auto"/>
              </w:rPr>
            </w:pPr>
            <w:r>
              <w:rPr>
                <w:rFonts w:ascii="Arial" w:cs="Arial" w:eastAsia="Arial" w:hAnsi="Arial"/>
                <w:sz w:val="14"/>
                <w:szCs w:val="14"/>
                <w:color w:val="auto"/>
              </w:rPr>
              <w:t>2024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jc w:val="right"/>
              <w:ind w:right="24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820" w:type="dxa"/>
            <w:vAlign w:val="bottom"/>
            <w:tcBorders>
              <w:bottom w:val="single" w:sz="8" w:color="auto"/>
            </w:tcBorders>
            <w:shd w:val="clear" w:color="auto" w:fill="DBDBDB"/>
          </w:tcPr>
          <w:p>
            <w:pPr>
              <w:jc w:val="right"/>
              <w:ind w:right="249"/>
              <w:spacing w:after="0"/>
              <w:rPr>
                <w:sz w:val="20"/>
                <w:szCs w:val="20"/>
                <w:color w:val="auto"/>
              </w:rPr>
            </w:pPr>
            <w:r>
              <w:rPr>
                <w:rFonts w:ascii="Arial" w:cs="Arial" w:eastAsia="Arial" w:hAnsi="Arial"/>
                <w:sz w:val="14"/>
                <w:szCs w:val="14"/>
                <w:color w:val="auto"/>
              </w:rPr>
              <w:t>2023</w:t>
            </w:r>
          </w:p>
        </w:tc>
      </w:tr>
      <w:tr>
        <w:trPr>
          <w:trHeight w:val="326"/>
        </w:trPr>
        <w:tc>
          <w:tcPr>
            <w:tcW w:w="6080" w:type="dxa"/>
            <w:vAlign w:val="bottom"/>
          </w:tcPr>
          <w:p>
            <w:pPr>
              <w:ind w:left="20"/>
              <w:spacing w:after="0"/>
              <w:rPr>
                <w:sz w:val="20"/>
                <w:szCs w:val="20"/>
                <w:color w:val="auto"/>
              </w:rPr>
            </w:pPr>
            <w:r>
              <w:rPr>
                <w:rFonts w:ascii="Arial" w:cs="Arial" w:eastAsia="Arial" w:hAnsi="Arial"/>
                <w:sz w:val="14"/>
                <w:szCs w:val="14"/>
                <w:color w:val="auto"/>
              </w:rPr>
              <w:t>Net oil production per day (MBbl/d)</w:t>
            </w:r>
          </w:p>
        </w:tc>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112</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80</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00"/>
        </w:trPr>
        <w:tc>
          <w:tcPr>
            <w:tcW w:w="6080" w:type="dxa"/>
            <w:vAlign w:val="bottom"/>
          </w:tcPr>
          <w:p>
            <w:pPr>
              <w:ind w:left="240"/>
              <w:spacing w:after="0"/>
              <w:rPr>
                <w:sz w:val="20"/>
                <w:szCs w:val="20"/>
                <w:color w:val="auto"/>
              </w:rPr>
            </w:pPr>
            <w:r>
              <w:rPr>
                <w:rFonts w:ascii="Arial" w:cs="Arial" w:eastAsia="Arial" w:hAnsi="Arial"/>
                <w:sz w:val="14"/>
                <w:szCs w:val="14"/>
                <w:color w:val="auto"/>
              </w:rPr>
              <w:t>Realized oil price with derivative settlements ($ per Bbl)</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73.00</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75.38</w:t>
            </w:r>
          </w:p>
        </w:tc>
        <w:tc>
          <w:tcPr>
            <w:tcW w:w="120" w:type="dxa"/>
            <w:vAlign w:val="bottom"/>
            <w:tcBorders>
              <w:right w:val="single" w:sz="8" w:color="auto"/>
            </w:tcBorders>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75.66</w:t>
            </w:r>
          </w:p>
        </w:tc>
        <w:tc>
          <w:tcPr>
            <w:tcW w:w="100" w:type="dxa"/>
            <w:vAlign w:val="bottom"/>
            <w:tcBorders>
              <w:right w:val="single" w:sz="8" w:color="auto"/>
            </w:tcBorders>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65.97</w:t>
            </w:r>
          </w:p>
        </w:tc>
      </w:tr>
      <w:tr>
        <w:trPr>
          <w:trHeight w:val="200"/>
        </w:trPr>
        <w:tc>
          <w:tcPr>
            <w:tcW w:w="6080" w:type="dxa"/>
            <w:vAlign w:val="bottom"/>
          </w:tcPr>
          <w:p>
            <w:pPr>
              <w:ind w:left="20"/>
              <w:spacing w:after="0"/>
              <w:rPr>
                <w:sz w:val="20"/>
                <w:szCs w:val="20"/>
                <w:color w:val="auto"/>
              </w:rPr>
            </w:pPr>
            <w:r>
              <w:rPr>
                <w:rFonts w:ascii="Arial" w:cs="Arial" w:eastAsia="Arial" w:hAnsi="Arial"/>
                <w:sz w:val="14"/>
                <w:szCs w:val="14"/>
                <w:color w:val="auto"/>
              </w:rPr>
              <w:t>Net NGL production per day (MBbl/d)</w:t>
            </w:r>
          </w:p>
        </w:tc>
        <w:tc>
          <w:tcPr>
            <w:tcW w:w="5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10</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0"/>
        </w:trPr>
        <w:tc>
          <w:tcPr>
            <w:tcW w:w="6080" w:type="dxa"/>
            <w:vAlign w:val="bottom"/>
          </w:tcPr>
          <w:p>
            <w:pPr>
              <w:ind w:left="240"/>
              <w:spacing w:after="0"/>
              <w:rPr>
                <w:sz w:val="20"/>
                <w:szCs w:val="20"/>
                <w:color w:val="auto"/>
              </w:rPr>
            </w:pPr>
            <w:r>
              <w:rPr>
                <w:rFonts w:ascii="Arial" w:cs="Arial" w:eastAsia="Arial" w:hAnsi="Arial"/>
                <w:sz w:val="14"/>
                <w:szCs w:val="14"/>
                <w:color w:val="auto"/>
              </w:rPr>
              <w:t>Realized NGL price ($ per Bbl)</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52.62</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45.77</w:t>
            </w:r>
          </w:p>
        </w:tc>
        <w:tc>
          <w:tcPr>
            <w:tcW w:w="120" w:type="dxa"/>
            <w:vAlign w:val="bottom"/>
            <w:tcBorders>
              <w:right w:val="single" w:sz="8" w:color="auto"/>
            </w:tcBorders>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48.93</w:t>
            </w:r>
          </w:p>
        </w:tc>
        <w:tc>
          <w:tcPr>
            <w:tcW w:w="100" w:type="dxa"/>
            <w:vAlign w:val="bottom"/>
            <w:tcBorders>
              <w:right w:val="single" w:sz="8" w:color="auto"/>
            </w:tcBorders>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48.94</w:t>
            </w:r>
          </w:p>
        </w:tc>
      </w:tr>
      <w:tr>
        <w:trPr>
          <w:trHeight w:val="200"/>
        </w:trPr>
        <w:tc>
          <w:tcPr>
            <w:tcW w:w="6080" w:type="dxa"/>
            <w:vAlign w:val="bottom"/>
          </w:tcPr>
          <w:p>
            <w:pPr>
              <w:ind w:left="20"/>
              <w:spacing w:after="0"/>
              <w:rPr>
                <w:sz w:val="20"/>
                <w:szCs w:val="20"/>
                <w:color w:val="auto"/>
              </w:rPr>
            </w:pPr>
            <w:r>
              <w:rPr>
                <w:rFonts w:ascii="Arial" w:cs="Arial" w:eastAsia="Arial" w:hAnsi="Arial"/>
                <w:sz w:val="14"/>
                <w:szCs w:val="14"/>
                <w:color w:val="auto"/>
              </w:rPr>
              <w:t>Net natural gas production per day (Mmcf/d)</w:t>
            </w:r>
          </w:p>
        </w:tc>
        <w:tc>
          <w:tcPr>
            <w:tcW w:w="5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115</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117</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200"/>
        </w:trPr>
        <w:tc>
          <w:tcPr>
            <w:tcW w:w="6080" w:type="dxa"/>
            <w:vAlign w:val="bottom"/>
          </w:tcPr>
          <w:p>
            <w:pPr>
              <w:ind w:left="240"/>
              <w:spacing w:after="0"/>
              <w:rPr>
                <w:sz w:val="20"/>
                <w:szCs w:val="20"/>
                <w:color w:val="auto"/>
              </w:rPr>
            </w:pPr>
            <w:r>
              <w:rPr>
                <w:rFonts w:ascii="Arial" w:cs="Arial" w:eastAsia="Arial" w:hAnsi="Arial"/>
                <w:sz w:val="14"/>
                <w:szCs w:val="14"/>
                <w:color w:val="auto"/>
              </w:rPr>
              <w:t>Realized natural gas price with derivative settlements ($ per Mcf)</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3.65</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2.68</w:t>
            </w:r>
          </w:p>
        </w:tc>
        <w:tc>
          <w:tcPr>
            <w:tcW w:w="120" w:type="dxa"/>
            <w:vAlign w:val="bottom"/>
            <w:tcBorders>
              <w:right w:val="single" w:sz="8" w:color="auto"/>
            </w:tcBorders>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2.99</w:t>
            </w:r>
          </w:p>
        </w:tc>
        <w:tc>
          <w:tcPr>
            <w:tcW w:w="100" w:type="dxa"/>
            <w:vAlign w:val="bottom"/>
            <w:tcBorders>
              <w:right w:val="single" w:sz="8" w:color="auto"/>
            </w:tcBorders>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8.59</w:t>
            </w:r>
          </w:p>
        </w:tc>
      </w:tr>
      <w:tr>
        <w:trPr>
          <w:trHeight w:val="200"/>
        </w:trPr>
        <w:tc>
          <w:tcPr>
            <w:tcW w:w="6080" w:type="dxa"/>
            <w:vAlign w:val="bottom"/>
          </w:tcPr>
          <w:p>
            <w:pPr>
              <w:ind w:left="20"/>
              <w:spacing w:after="0"/>
              <w:rPr>
                <w:sz w:val="20"/>
                <w:szCs w:val="20"/>
                <w:color w:val="auto"/>
              </w:rPr>
            </w:pPr>
            <w:r>
              <w:rPr>
                <w:rFonts w:ascii="Arial" w:cs="Arial" w:eastAsia="Arial" w:hAnsi="Arial"/>
                <w:sz w:val="14"/>
                <w:szCs w:val="14"/>
                <w:color w:val="auto"/>
              </w:rPr>
              <w:t>Net total production per day (MBoe/d)</w:t>
            </w:r>
          </w:p>
        </w:tc>
        <w:tc>
          <w:tcPr>
            <w:tcW w:w="5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141</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110</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296"/>
        </w:trPr>
        <w:tc>
          <w:tcPr>
            <w:tcW w:w="6080" w:type="dxa"/>
            <w:vAlign w:val="bottom"/>
          </w:tcPr>
          <w:p>
            <w:pPr>
              <w:ind w:left="20"/>
              <w:spacing w:after="0"/>
              <w:rPr>
                <w:sz w:val="20"/>
                <w:szCs w:val="20"/>
                <w:color w:val="auto"/>
              </w:rPr>
            </w:pPr>
            <w:r>
              <w:rPr>
                <w:rFonts w:ascii="Arial" w:cs="Arial" w:eastAsia="Arial" w:hAnsi="Arial"/>
                <w:sz w:val="14"/>
                <w:szCs w:val="14"/>
                <w:color w:val="auto"/>
              </w:rPr>
              <w:t>Margin from purchased commodities</w:t>
            </w:r>
            <w:r>
              <w:rPr>
                <w:rFonts w:ascii="Arial" w:cs="Arial" w:eastAsia="Arial" w:hAnsi="Arial"/>
                <w:sz w:val="18"/>
                <w:szCs w:val="18"/>
                <w:color w:val="auto"/>
                <w:vertAlign w:val="superscript"/>
              </w:rPr>
              <w:t>5</w:t>
            </w:r>
            <w:r>
              <w:rPr>
                <w:rFonts w:ascii="Arial" w:cs="Arial" w:eastAsia="Arial" w:hAnsi="Arial"/>
                <w:sz w:val="14"/>
                <w:szCs w:val="14"/>
                <w:color w:val="auto"/>
              </w:rPr>
              <w:t xml:space="preserve"> ($ millions)</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Borders>
              <w:right w:val="single" w:sz="8" w:color="auto"/>
            </w:tcBorders>
          </w:tcPr>
          <w:p>
            <w:pPr>
              <w:spacing w:after="0"/>
              <w:rPr>
                <w:sz w:val="24"/>
                <w:szCs w:val="2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right w:val="single" w:sz="8" w:color="auto"/>
            </w:tcBorders>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42</w:t>
            </w:r>
          </w:p>
        </w:tc>
        <w:tc>
          <w:tcPr>
            <w:tcW w:w="100" w:type="dxa"/>
            <w:vAlign w:val="bottom"/>
            <w:tcBorders>
              <w:right w:val="single" w:sz="8" w:color="auto"/>
            </w:tcBorders>
          </w:tcPr>
          <w:p>
            <w:pPr>
              <w:spacing w:after="0"/>
              <w:rPr>
                <w:sz w:val="24"/>
                <w:szCs w:val="2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183</w:t>
            </w:r>
          </w:p>
        </w:tc>
      </w:tr>
      <w:tr>
        <w:trPr>
          <w:trHeight w:val="202"/>
        </w:trPr>
        <w:tc>
          <w:tcPr>
            <w:tcW w:w="6080" w:type="dxa"/>
            <w:vAlign w:val="bottom"/>
          </w:tcPr>
          <w:p>
            <w:pPr>
              <w:ind w:left="20"/>
              <w:spacing w:after="0" w:line="202" w:lineRule="exact"/>
              <w:rPr>
                <w:sz w:val="20"/>
                <w:szCs w:val="20"/>
                <w:color w:val="auto"/>
              </w:rPr>
            </w:pPr>
            <w:r>
              <w:rPr>
                <w:rFonts w:ascii="Arial" w:cs="Arial" w:eastAsia="Arial" w:hAnsi="Arial"/>
                <w:sz w:val="14"/>
                <w:szCs w:val="14"/>
                <w:color w:val="auto"/>
              </w:rPr>
              <w:t>Electricity margin</w:t>
            </w:r>
            <w:r>
              <w:rPr>
                <w:rFonts w:ascii="Arial" w:cs="Arial" w:eastAsia="Arial" w:hAnsi="Arial"/>
                <w:sz w:val="18"/>
                <w:szCs w:val="18"/>
                <w:color w:val="auto"/>
                <w:vertAlign w:val="superscript"/>
              </w:rPr>
              <w:t>6</w:t>
            </w:r>
            <w:r>
              <w:rPr>
                <w:rFonts w:ascii="Arial" w:cs="Arial" w:eastAsia="Arial" w:hAnsi="Arial"/>
                <w:sz w:val="14"/>
                <w:szCs w:val="14"/>
                <w:color w:val="auto"/>
              </w:rPr>
              <w:t xml:space="preserve"> ($ millions)</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right w:val="single" w:sz="8" w:color="auto"/>
            </w:tcBorders>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119</w:t>
            </w:r>
          </w:p>
        </w:tc>
        <w:tc>
          <w:tcPr>
            <w:tcW w:w="100" w:type="dxa"/>
            <w:vAlign w:val="bottom"/>
            <w:tcBorders>
              <w:right w:val="single" w:sz="8" w:color="auto"/>
            </w:tcBorders>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196"/>
        </w:trPr>
        <w:tc>
          <w:tcPr>
            <w:tcW w:w="6080" w:type="dxa"/>
            <w:vAlign w:val="bottom"/>
          </w:tcPr>
          <w:p>
            <w:pPr>
              <w:ind w:left="20"/>
              <w:spacing w:after="0"/>
              <w:rPr>
                <w:sz w:val="20"/>
                <w:szCs w:val="20"/>
                <w:color w:val="auto"/>
              </w:rPr>
            </w:pPr>
            <w:r>
              <w:rPr>
                <w:rFonts w:ascii="Arial" w:cs="Arial" w:eastAsia="Arial" w:hAnsi="Arial"/>
                <w:sz w:val="14"/>
                <w:szCs w:val="14"/>
                <w:color w:val="auto"/>
              </w:rPr>
              <w:t>Net gain from commodity derivatives ($ millions)</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356</w:t>
            </w:r>
          </w:p>
        </w:tc>
        <w:tc>
          <w:tcPr>
            <w:tcW w:w="120" w:type="dxa"/>
            <w:vAlign w:val="bottom"/>
            <w:tcBorders>
              <w:right w:val="single" w:sz="8" w:color="auto"/>
            </w:tcBorders>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241</w:t>
            </w:r>
          </w:p>
        </w:tc>
        <w:tc>
          <w:tcPr>
            <w:tcW w:w="100" w:type="dxa"/>
            <w:vAlign w:val="bottom"/>
            <w:tcBorders>
              <w:right w:val="single" w:sz="8" w:color="auto"/>
            </w:tcBorders>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240"/>
          </w:cols>
          <w:pgMar w:left="320" w:top="135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2"/>
        </w:trPr>
        <w:tc>
          <w:tcPr>
            <w:tcW w:w="20" w:type="dxa"/>
            <w:vAlign w:val="bottom"/>
            <w:tcBorders>
              <w:top w:val="single" w:sz="8" w:color="auto"/>
            </w:tcBorders>
            <w:shd w:val="clear" w:color="auto" w:fill="DBDBDB"/>
          </w:tcPr>
          <w:p>
            <w:pPr>
              <w:spacing w:after="0"/>
              <w:rPr>
                <w:sz w:val="18"/>
                <w:szCs w:val="18"/>
                <w:color w:val="auto"/>
              </w:rPr>
            </w:pPr>
          </w:p>
        </w:tc>
        <w:tc>
          <w:tcPr>
            <w:tcW w:w="5980" w:type="dxa"/>
            <w:vAlign w:val="bottom"/>
            <w:tcBorders>
              <w:top w:val="single" w:sz="8" w:color="auto"/>
            </w:tcBorders>
            <w:gridSpan w:val="4"/>
            <w:shd w:val="clear" w:color="auto" w:fill="DBDBDB"/>
          </w:tcPr>
          <w:p>
            <w:pPr>
              <w:spacing w:after="0"/>
              <w:rPr>
                <w:sz w:val="20"/>
                <w:szCs w:val="20"/>
                <w:color w:val="auto"/>
              </w:rPr>
            </w:pPr>
            <w:r>
              <w:rPr>
                <w:rFonts w:ascii="Arial" w:cs="Arial" w:eastAsia="Arial" w:hAnsi="Arial"/>
                <w:sz w:val="14"/>
                <w:szCs w:val="14"/>
                <w:b w:val="1"/>
                <w:bCs w:val="1"/>
                <w:color w:val="auto"/>
              </w:rPr>
              <w:t>Selected Financial Statement Data and non-GAAP measures:</w:t>
            </w:r>
          </w:p>
        </w:tc>
        <w:tc>
          <w:tcPr>
            <w:tcW w:w="480" w:type="dxa"/>
            <w:vAlign w:val="bottom"/>
            <w:tcBorders>
              <w:top w:val="single" w:sz="8" w:color="auto"/>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1000" w:type="dxa"/>
            <w:vAlign w:val="bottom"/>
            <w:tcBorders>
              <w:top w:val="single" w:sz="8" w:color="auto"/>
            </w:tcBorders>
            <w:shd w:val="clear" w:color="auto" w:fill="DBDBDB"/>
          </w:tcPr>
          <w:p>
            <w:pPr>
              <w:jc w:val="right"/>
              <w:ind w:right="129"/>
              <w:spacing w:after="0"/>
              <w:rPr>
                <w:sz w:val="20"/>
                <w:szCs w:val="20"/>
                <w:color w:val="auto"/>
              </w:rPr>
            </w:pPr>
            <w:r>
              <w:rPr>
                <w:rFonts w:ascii="Arial" w:cs="Arial" w:eastAsia="Arial" w:hAnsi="Arial"/>
                <w:sz w:val="14"/>
                <w:szCs w:val="14"/>
                <w:b w:val="1"/>
                <w:bCs w:val="1"/>
                <w:color w:val="auto"/>
              </w:rPr>
              <w:t>4th Quarter</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980" w:type="dxa"/>
            <w:vAlign w:val="bottom"/>
            <w:tcBorders>
              <w:top w:val="single" w:sz="8" w:color="auto"/>
            </w:tcBorders>
            <w:shd w:val="clear" w:color="auto" w:fill="DBDBDB"/>
          </w:tcPr>
          <w:p>
            <w:pPr>
              <w:jc w:val="right"/>
              <w:ind w:right="129"/>
              <w:spacing w:after="0"/>
              <w:rPr>
                <w:sz w:val="20"/>
                <w:szCs w:val="20"/>
                <w:color w:val="auto"/>
              </w:rPr>
            </w:pPr>
            <w:r>
              <w:rPr>
                <w:rFonts w:ascii="Arial" w:cs="Arial" w:eastAsia="Arial" w:hAnsi="Arial"/>
                <w:sz w:val="14"/>
                <w:szCs w:val="14"/>
                <w:color w:val="auto"/>
              </w:rPr>
              <w:t>3rd Quarter</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shd w:val="clear" w:color="auto" w:fill="DBDBDB"/>
          </w:tcPr>
          <w:p>
            <w:pPr>
              <w:spacing w:after="0"/>
              <w:rPr>
                <w:sz w:val="18"/>
                <w:szCs w:val="18"/>
                <w:color w:val="auto"/>
              </w:rPr>
            </w:pPr>
          </w:p>
        </w:tc>
        <w:tc>
          <w:tcPr>
            <w:tcW w:w="840" w:type="dxa"/>
            <w:vAlign w:val="bottom"/>
            <w:tcBorders>
              <w:top w:val="single" w:sz="8" w:color="auto"/>
            </w:tcBorders>
            <w:shd w:val="clear" w:color="auto" w:fill="DBDBDB"/>
          </w:tcPr>
          <w:p>
            <w:pPr>
              <w:jc w:val="right"/>
              <w:ind w:right="89"/>
              <w:spacing w:after="0"/>
              <w:rPr>
                <w:sz w:val="20"/>
                <w:szCs w:val="20"/>
                <w:color w:val="auto"/>
              </w:rPr>
            </w:pPr>
            <w:r>
              <w:rPr>
                <w:rFonts w:ascii="Arial" w:cs="Arial" w:eastAsia="Arial" w:hAnsi="Arial"/>
                <w:sz w:val="14"/>
                <w:szCs w:val="14"/>
                <w:b w:val="1"/>
                <w:bCs w:val="1"/>
                <w:color w:val="auto"/>
                <w:w w:val="97"/>
              </w:rPr>
              <w:t>Total Year</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shd w:val="clear" w:color="auto" w:fill="DBDBDB"/>
          </w:tcPr>
          <w:p>
            <w:pPr>
              <w:spacing w:after="0"/>
              <w:rPr>
                <w:sz w:val="18"/>
                <w:szCs w:val="18"/>
                <w:color w:val="auto"/>
              </w:rPr>
            </w:pPr>
          </w:p>
        </w:tc>
        <w:tc>
          <w:tcPr>
            <w:tcW w:w="780" w:type="dxa"/>
            <w:vAlign w:val="bottom"/>
            <w:tcBorders>
              <w:top w:val="single" w:sz="8" w:color="auto"/>
            </w:tcBorders>
            <w:shd w:val="clear" w:color="auto" w:fill="DBDBDB"/>
          </w:tcPr>
          <w:p>
            <w:pPr>
              <w:jc w:val="right"/>
              <w:ind w:right="69"/>
              <w:spacing w:after="0"/>
              <w:rPr>
                <w:sz w:val="20"/>
                <w:szCs w:val="20"/>
                <w:color w:val="auto"/>
              </w:rPr>
            </w:pPr>
            <w:r>
              <w:rPr>
                <w:rFonts w:ascii="Arial" w:cs="Arial" w:eastAsia="Arial" w:hAnsi="Arial"/>
                <w:sz w:val="14"/>
                <w:szCs w:val="14"/>
                <w:color w:val="auto"/>
                <w:w w:val="95"/>
              </w:rPr>
              <w:t>Total Year</w:t>
            </w:r>
          </w:p>
        </w:tc>
        <w:tc>
          <w:tcPr>
            <w:tcW w:w="0" w:type="dxa"/>
            <w:vAlign w:val="bottom"/>
          </w:tcPr>
          <w:p>
            <w:pPr>
              <w:spacing w:after="0"/>
              <w:rPr>
                <w:sz w:val="1"/>
                <w:szCs w:val="1"/>
                <w:color w:val="auto"/>
              </w:rPr>
            </w:pPr>
          </w:p>
        </w:tc>
      </w:tr>
      <w:tr>
        <w:trPr>
          <w:trHeight w:val="201"/>
        </w:trPr>
        <w:tc>
          <w:tcPr>
            <w:tcW w:w="20" w:type="dxa"/>
            <w:vAlign w:val="bottom"/>
            <w:tcBorders>
              <w:bottom w:val="single" w:sz="8" w:color="auto"/>
            </w:tcBorders>
            <w:shd w:val="clear" w:color="auto" w:fill="DBDBDB"/>
          </w:tcPr>
          <w:p>
            <w:pPr>
              <w:spacing w:after="0"/>
              <w:rPr>
                <w:sz w:val="17"/>
                <w:szCs w:val="17"/>
                <w:color w:val="auto"/>
              </w:rPr>
            </w:pPr>
          </w:p>
        </w:tc>
        <w:tc>
          <w:tcPr>
            <w:tcW w:w="5980" w:type="dxa"/>
            <w:vAlign w:val="bottom"/>
            <w:tcBorders>
              <w:bottom w:val="single" w:sz="8" w:color="auto"/>
            </w:tcBorders>
            <w:gridSpan w:val="4"/>
            <w:shd w:val="clear" w:color="auto" w:fill="DBDBDB"/>
          </w:tcPr>
          <w:p>
            <w:pPr>
              <w:spacing w:after="0"/>
              <w:rPr>
                <w:sz w:val="20"/>
                <w:szCs w:val="20"/>
                <w:color w:val="auto"/>
              </w:rPr>
            </w:pPr>
            <w:r>
              <w:rPr>
                <w:rFonts w:ascii="Arial" w:cs="Arial" w:eastAsia="Arial" w:hAnsi="Arial"/>
                <w:sz w:val="14"/>
                <w:szCs w:val="14"/>
                <w:color w:val="auto"/>
              </w:rPr>
              <w:t>($ and shares in millions, except per share amounts)</w:t>
            </w:r>
          </w:p>
        </w:tc>
        <w:tc>
          <w:tcPr>
            <w:tcW w:w="480" w:type="dxa"/>
            <w:vAlign w:val="bottom"/>
            <w:tcBorders>
              <w:bottom w:val="single" w:sz="8" w:color="auto"/>
            </w:tcBorders>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34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ind w:right="329"/>
              <w:spacing w:after="0"/>
              <w:rPr>
                <w:sz w:val="20"/>
                <w:szCs w:val="20"/>
                <w:color w:val="auto"/>
              </w:rPr>
            </w:pPr>
            <w:r>
              <w:rPr>
                <w:rFonts w:ascii="Arial" w:cs="Arial" w:eastAsia="Arial" w:hAnsi="Arial"/>
                <w:sz w:val="14"/>
                <w:szCs w:val="14"/>
                <w:color w:val="auto"/>
              </w:rPr>
              <w:t>2024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jc w:val="right"/>
              <w:ind w:right="24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ind w:right="229"/>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Statements of Operations:</w:t>
            </w:r>
          </w:p>
        </w:tc>
        <w:tc>
          <w:tcPr>
            <w:tcW w:w="420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80" w:type="dxa"/>
            <w:vAlign w:val="bottom"/>
            <w:gridSpan w:val="4"/>
          </w:tcPr>
          <w:p>
            <w:pPr>
              <w:spacing w:after="0"/>
              <w:rPr>
                <w:sz w:val="20"/>
                <w:szCs w:val="20"/>
                <w:color w:val="auto"/>
              </w:rPr>
            </w:pPr>
            <w:r>
              <w:rPr>
                <w:rFonts w:ascii="Arial" w:cs="Arial" w:eastAsia="Arial" w:hAnsi="Arial"/>
                <w:sz w:val="14"/>
                <w:szCs w:val="14"/>
                <w:b w:val="1"/>
                <w:bCs w:val="1"/>
                <w:color w:val="auto"/>
              </w:rPr>
              <w:t>Revenues</w:t>
            </w: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980" w:type="dxa"/>
            <w:vAlign w:val="bottom"/>
            <w:gridSpan w:val="4"/>
          </w:tcPr>
          <w:p>
            <w:pPr>
              <w:ind w:left="200"/>
              <w:spacing w:after="0"/>
              <w:rPr>
                <w:sz w:val="20"/>
                <w:szCs w:val="20"/>
                <w:color w:val="auto"/>
              </w:rPr>
            </w:pPr>
            <w:r>
              <w:rPr>
                <w:rFonts w:ascii="Arial" w:cs="Arial" w:eastAsia="Arial" w:hAnsi="Arial"/>
                <w:sz w:val="14"/>
                <w:szCs w:val="14"/>
                <w:color w:val="auto"/>
              </w:rPr>
              <w:t>Total operating revenues</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877</w:t>
            </w:r>
          </w:p>
        </w:tc>
        <w:tc>
          <w:tcPr>
            <w:tcW w:w="100" w:type="dxa"/>
            <w:vAlign w:val="bottom"/>
            <w:tcBorders>
              <w:right w:val="single" w:sz="8" w:color="auto"/>
            </w:tcBorders>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1,353</w:t>
            </w:r>
          </w:p>
        </w:tc>
        <w:tc>
          <w:tcPr>
            <w:tcW w:w="120" w:type="dxa"/>
            <w:vAlign w:val="bottom"/>
            <w:tcBorders>
              <w:right w:val="single" w:sz="8" w:color="auto"/>
            </w:tcBorders>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3,198</w:t>
            </w:r>
          </w:p>
        </w:tc>
        <w:tc>
          <w:tcPr>
            <w:tcW w:w="100" w:type="dxa"/>
            <w:vAlign w:val="bottom"/>
            <w:tcBorders>
              <w:right w:val="single" w:sz="8" w:color="auto"/>
            </w:tcBorders>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2,801</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Selected Expenses</w:t>
            </w:r>
          </w:p>
        </w:tc>
        <w:tc>
          <w:tcPr>
            <w:tcW w:w="4680" w:type="dxa"/>
            <w:vAlign w:val="bottom"/>
            <w:gridSpan w:val="3"/>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80" w:type="dxa"/>
            <w:vAlign w:val="bottom"/>
            <w:gridSpan w:val="4"/>
          </w:tcPr>
          <w:p>
            <w:pPr>
              <w:spacing w:after="0"/>
              <w:rPr>
                <w:sz w:val="20"/>
                <w:szCs w:val="20"/>
                <w:color w:val="auto"/>
              </w:rPr>
            </w:pPr>
            <w:r>
              <w:rPr>
                <w:rFonts w:ascii="Arial" w:cs="Arial" w:eastAsia="Arial" w:hAnsi="Arial"/>
                <w:sz w:val="14"/>
                <w:szCs w:val="14"/>
                <w:color w:val="auto"/>
              </w:rPr>
              <w:t>Operating costs</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323</w:t>
            </w:r>
          </w:p>
        </w:tc>
        <w:tc>
          <w:tcPr>
            <w:tcW w:w="100" w:type="dxa"/>
            <w:vAlign w:val="bottom"/>
            <w:tcBorders>
              <w:right w:val="single" w:sz="8" w:color="auto"/>
            </w:tcBorders>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311</w:t>
            </w:r>
          </w:p>
        </w:tc>
        <w:tc>
          <w:tcPr>
            <w:tcW w:w="12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966</w:t>
            </w:r>
          </w:p>
        </w:tc>
        <w:tc>
          <w:tcPr>
            <w:tcW w:w="10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822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80" w:type="dxa"/>
            <w:vAlign w:val="bottom"/>
            <w:gridSpan w:val="4"/>
          </w:tcPr>
          <w:p>
            <w:pPr>
              <w:spacing w:after="0"/>
              <w:rPr>
                <w:sz w:val="20"/>
                <w:szCs w:val="20"/>
                <w:color w:val="auto"/>
              </w:rPr>
            </w:pPr>
            <w:r>
              <w:rPr>
                <w:rFonts w:ascii="Arial" w:cs="Arial" w:eastAsia="Arial" w:hAnsi="Arial"/>
                <w:sz w:val="14"/>
                <w:szCs w:val="14"/>
                <w:color w:val="auto"/>
              </w:rPr>
              <w:t>General and administrative expenses</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Borders>
              <w:right w:val="single" w:sz="8" w:color="auto"/>
            </w:tcBorders>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321</w:t>
            </w:r>
          </w:p>
        </w:tc>
        <w:tc>
          <w:tcPr>
            <w:tcW w:w="100" w:type="dxa"/>
            <w:vAlign w:val="bottom"/>
            <w:tcBorders>
              <w:right w:val="single" w:sz="8" w:color="auto"/>
            </w:tcBorders>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80" w:type="dxa"/>
            <w:vAlign w:val="bottom"/>
            <w:gridSpan w:val="4"/>
          </w:tcPr>
          <w:p>
            <w:pPr>
              <w:ind w:left="120"/>
              <w:spacing w:after="0" w:line="205" w:lineRule="exact"/>
              <w:rPr>
                <w:sz w:val="20"/>
                <w:szCs w:val="20"/>
                <w:color w:val="auto"/>
              </w:rPr>
            </w:pPr>
            <w:r>
              <w:rPr>
                <w:rFonts w:ascii="Arial" w:cs="Arial" w:eastAsia="Arial" w:hAnsi="Arial"/>
                <w:sz w:val="14"/>
                <w:szCs w:val="14"/>
                <w:i w:val="1"/>
                <w:iCs w:val="1"/>
                <w:color w:val="auto"/>
              </w:rPr>
              <w:t>Adjusted general and administrative expenses</w:t>
            </w:r>
            <w:r>
              <w:rPr>
                <w:rFonts w:ascii="Arial" w:cs="Arial" w:eastAsia="Arial" w:hAnsi="Arial"/>
                <w:sz w:val="18"/>
                <w:szCs w:val="18"/>
                <w:i w:val="1"/>
                <w:iCs w:val="1"/>
                <w:color w:val="auto"/>
                <w:vertAlign w:val="superscript"/>
              </w:rPr>
              <w:t>1</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85</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i w:val="1"/>
                <w:i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89</w:t>
            </w:r>
          </w:p>
        </w:tc>
        <w:tc>
          <w:tcPr>
            <w:tcW w:w="120" w:type="dxa"/>
            <w:vAlign w:val="bottom"/>
            <w:tcBorders>
              <w:right w:val="single" w:sz="8" w:color="auto"/>
            </w:tcBorders>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i w:val="1"/>
                <w:iCs w:val="1"/>
                <w:color w:val="auto"/>
              </w:rPr>
              <w:t>279</w:t>
            </w:r>
          </w:p>
        </w:tc>
        <w:tc>
          <w:tcPr>
            <w:tcW w:w="100" w:type="dxa"/>
            <w:vAlign w:val="bottom"/>
            <w:tcBorders>
              <w:right w:val="single" w:sz="8" w:color="auto"/>
            </w:tcBorders>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i w:val="1"/>
                <w:iCs w:val="1"/>
                <w:color w:val="auto"/>
              </w:rPr>
              <w:t>$</w:t>
            </w:r>
          </w:p>
        </w:tc>
        <w:tc>
          <w:tcPr>
            <w:tcW w:w="780" w:type="dxa"/>
            <w:vAlign w:val="bottom"/>
          </w:tcPr>
          <w:p>
            <w:pPr>
              <w:jc w:val="right"/>
              <w:ind w:right="9"/>
              <w:spacing w:after="0"/>
              <w:rPr>
                <w:sz w:val="20"/>
                <w:szCs w:val="20"/>
                <w:color w:val="auto"/>
              </w:rPr>
            </w:pPr>
            <w:r>
              <w:rPr>
                <w:rFonts w:ascii="Arial" w:cs="Arial" w:eastAsia="Arial" w:hAnsi="Arial"/>
                <w:sz w:val="14"/>
                <w:szCs w:val="14"/>
                <w:i w:val="1"/>
                <w:iCs w:val="1"/>
                <w:color w:val="auto"/>
              </w:rPr>
              <w:t>218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80" w:type="dxa"/>
            <w:vAlign w:val="bottom"/>
            <w:gridSpan w:val="4"/>
          </w:tcPr>
          <w:p>
            <w:pPr>
              <w:spacing w:after="0"/>
              <w:rPr>
                <w:sz w:val="20"/>
                <w:szCs w:val="20"/>
                <w:color w:val="auto"/>
              </w:rPr>
            </w:pPr>
            <w:r>
              <w:rPr>
                <w:rFonts w:ascii="Arial" w:cs="Arial" w:eastAsia="Arial" w:hAnsi="Arial"/>
                <w:sz w:val="14"/>
                <w:szCs w:val="14"/>
                <w:color w:val="auto"/>
              </w:rPr>
              <w:t>Taxes other than on income</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80</w:t>
            </w:r>
          </w:p>
        </w:tc>
        <w:tc>
          <w:tcPr>
            <w:tcW w:w="100" w:type="dxa"/>
            <w:vAlign w:val="bottom"/>
            <w:tcBorders>
              <w:right w:val="single" w:sz="8" w:color="auto"/>
            </w:tcBorders>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Borders>
              <w:right w:val="single" w:sz="8" w:color="auto"/>
            </w:tcBorders>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242</w:t>
            </w:r>
          </w:p>
        </w:tc>
        <w:tc>
          <w:tcPr>
            <w:tcW w:w="100" w:type="dxa"/>
            <w:vAlign w:val="bottom"/>
            <w:tcBorders>
              <w:right w:val="single" w:sz="8" w:color="auto"/>
            </w:tcBorders>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80" w:type="dxa"/>
            <w:vAlign w:val="bottom"/>
            <w:gridSpan w:val="4"/>
          </w:tcPr>
          <w:p>
            <w:pPr>
              <w:spacing w:after="0"/>
              <w:rPr>
                <w:sz w:val="20"/>
                <w:szCs w:val="20"/>
                <w:color w:val="auto"/>
              </w:rPr>
            </w:pPr>
            <w:r>
              <w:rPr>
                <w:rFonts w:ascii="Arial" w:cs="Arial" w:eastAsia="Arial" w:hAnsi="Arial"/>
                <w:sz w:val="14"/>
                <w:szCs w:val="14"/>
                <w:color w:val="auto"/>
              </w:rPr>
              <w:t>Transportation costs</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right w:val="single" w:sz="8" w:color="auto"/>
            </w:tcBorders>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81</w:t>
            </w:r>
          </w:p>
        </w:tc>
        <w:tc>
          <w:tcPr>
            <w:tcW w:w="100" w:type="dxa"/>
            <w:vAlign w:val="bottom"/>
            <w:tcBorders>
              <w:right w:val="single" w:sz="8" w:color="auto"/>
            </w:tcBorders>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80" w:type="dxa"/>
            <w:vAlign w:val="bottom"/>
            <w:gridSpan w:val="4"/>
          </w:tcPr>
          <w:p>
            <w:pPr>
              <w:spacing w:after="0"/>
              <w:rPr>
                <w:sz w:val="20"/>
                <w:szCs w:val="20"/>
                <w:color w:val="auto"/>
              </w:rPr>
            </w:pPr>
            <w:r>
              <w:rPr>
                <w:rFonts w:ascii="Arial" w:cs="Arial" w:eastAsia="Arial" w:hAnsi="Arial"/>
                <w:sz w:val="14"/>
                <w:szCs w:val="14"/>
                <w:b w:val="1"/>
                <w:bCs w:val="1"/>
                <w:color w:val="auto"/>
              </w:rPr>
              <w:t>Operating Income</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68</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518</w:t>
            </w:r>
          </w:p>
        </w:tc>
        <w:tc>
          <w:tcPr>
            <w:tcW w:w="120" w:type="dxa"/>
            <w:vAlign w:val="bottom"/>
            <w:tcBorders>
              <w:right w:val="single" w:sz="8" w:color="auto"/>
            </w:tcBorders>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620</w:t>
            </w:r>
          </w:p>
        </w:tc>
        <w:tc>
          <w:tcPr>
            <w:tcW w:w="100" w:type="dxa"/>
            <w:vAlign w:val="bottom"/>
            <w:tcBorders>
              <w:right w:val="single" w:sz="8" w:color="auto"/>
            </w:tcBorders>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808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80" w:type="dxa"/>
            <w:vAlign w:val="bottom"/>
            <w:gridSpan w:val="4"/>
          </w:tcPr>
          <w:p>
            <w:pPr>
              <w:spacing w:after="0"/>
              <w:rPr>
                <w:sz w:val="20"/>
                <w:szCs w:val="20"/>
                <w:color w:val="auto"/>
              </w:rPr>
            </w:pPr>
            <w:r>
              <w:rPr>
                <w:rFonts w:ascii="Arial" w:cs="Arial" w:eastAsia="Arial" w:hAnsi="Arial"/>
                <w:sz w:val="14"/>
                <w:szCs w:val="14"/>
                <w:color w:val="auto"/>
              </w:rPr>
              <w:t>Interest and debt expense</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Borders>
              <w:right w:val="single" w:sz="8" w:color="auto"/>
            </w:tcBorders>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100" w:type="dxa"/>
            <w:vAlign w:val="bottom"/>
            <w:tcBorders>
              <w:right w:val="single" w:sz="8" w:color="auto"/>
            </w:tcBorders>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80" w:type="dxa"/>
            <w:vAlign w:val="bottom"/>
            <w:gridSpan w:val="4"/>
          </w:tcPr>
          <w:p>
            <w:pPr>
              <w:spacing w:after="0"/>
              <w:rPr>
                <w:sz w:val="20"/>
                <w:szCs w:val="20"/>
                <w:color w:val="auto"/>
              </w:rPr>
            </w:pPr>
            <w:r>
              <w:rPr>
                <w:rFonts w:ascii="Arial" w:cs="Arial" w:eastAsia="Arial" w:hAnsi="Arial"/>
                <w:sz w:val="14"/>
                <w:szCs w:val="14"/>
                <w:color w:val="auto"/>
              </w:rPr>
              <w:t>Income tax (provision) benefit</w:t>
            </w:r>
          </w:p>
        </w:tc>
        <w:tc>
          <w:tcPr>
            <w:tcW w:w="4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980" w:type="dxa"/>
            <w:vAlign w:val="bottom"/>
            <w:gridSpan w:val="4"/>
          </w:tcPr>
          <w:p>
            <w:pPr>
              <w:spacing w:after="0"/>
              <w:rPr>
                <w:sz w:val="20"/>
                <w:szCs w:val="20"/>
                <w:color w:val="auto"/>
              </w:rPr>
            </w:pPr>
            <w:r>
              <w:rPr>
                <w:rFonts w:ascii="Arial" w:cs="Arial" w:eastAsia="Arial" w:hAnsi="Arial"/>
                <w:sz w:val="14"/>
                <w:szCs w:val="14"/>
                <w:b w:val="1"/>
                <w:bCs w:val="1"/>
                <w:color w:val="auto"/>
              </w:rPr>
              <w:t>Net income</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100" w:type="dxa"/>
            <w:vAlign w:val="bottom"/>
            <w:tcBorders>
              <w:right w:val="single" w:sz="8" w:color="auto"/>
            </w:tcBorders>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345</w:t>
            </w:r>
          </w:p>
        </w:tc>
        <w:tc>
          <w:tcPr>
            <w:tcW w:w="120" w:type="dxa"/>
            <w:vAlign w:val="bottom"/>
            <w:tcBorders>
              <w:right w:val="single" w:sz="8" w:color="auto"/>
            </w:tcBorders>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376</w:t>
            </w:r>
          </w:p>
        </w:tc>
        <w:tc>
          <w:tcPr>
            <w:tcW w:w="100" w:type="dxa"/>
            <w:vAlign w:val="bottom"/>
            <w:tcBorders>
              <w:right w:val="single" w:sz="8" w:color="auto"/>
            </w:tcBorders>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980" w:type="dxa"/>
            <w:vAlign w:val="bottom"/>
            <w:gridSpan w:val="4"/>
          </w:tcPr>
          <w:p>
            <w:pPr>
              <w:spacing w:after="0"/>
              <w:rPr>
                <w:sz w:val="20"/>
                <w:szCs w:val="20"/>
                <w:color w:val="auto"/>
              </w:rPr>
            </w:pPr>
            <w:r>
              <w:rPr>
                <w:rFonts w:ascii="Arial" w:cs="Arial" w:eastAsia="Arial" w:hAnsi="Arial"/>
                <w:sz w:val="14"/>
                <w:szCs w:val="14"/>
                <w:b w:val="1"/>
                <w:bCs w:val="1"/>
                <w:color w:val="auto"/>
              </w:rPr>
              <w:t>EPS, Non-GAAP Measures and Select Balance Sheet Data</w:t>
            </w:r>
          </w:p>
        </w:tc>
        <w:tc>
          <w:tcPr>
            <w:tcW w:w="4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p>
        </w:tc>
        <w:tc>
          <w:tcPr>
            <w:tcW w:w="20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84</w:t>
            </w:r>
          </w:p>
        </w:tc>
        <w:tc>
          <w:tcPr>
            <w:tcW w:w="100" w:type="dxa"/>
            <w:vAlign w:val="bottom"/>
            <w:tcBorders>
              <w:right w:val="single" w:sz="8" w:color="auto"/>
            </w:tcBorders>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317</w:t>
            </w:r>
          </w:p>
        </w:tc>
        <w:tc>
          <w:tcPr>
            <w:tcW w:w="100" w:type="dxa"/>
            <w:vAlign w:val="bottom"/>
            <w:tcBorders>
              <w:right w:val="single" w:sz="8" w:color="auto"/>
            </w:tcBorders>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80" w:type="dxa"/>
            <w:vAlign w:val="bottom"/>
            <w:gridSpan w:val="4"/>
          </w:tcPr>
          <w:p>
            <w:pPr>
              <w:spacing w:after="0"/>
              <w:rPr>
                <w:sz w:val="20"/>
                <w:szCs w:val="20"/>
                <w:color w:val="auto"/>
              </w:rPr>
            </w:pPr>
            <w:r>
              <w:rPr>
                <w:rFonts w:ascii="Arial" w:cs="Arial" w:eastAsia="Arial" w:hAnsi="Arial"/>
                <w:sz w:val="14"/>
                <w:szCs w:val="14"/>
                <w:color w:val="auto"/>
              </w:rPr>
              <w:t>Weighted-average common shares outstanding - diluted</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92.2</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91.2</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81.4</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980" w:type="dxa"/>
            <w:vAlign w:val="bottom"/>
            <w:gridSpan w:val="4"/>
          </w:tcPr>
          <w:p>
            <w:pPr>
              <w:spacing w:after="0"/>
              <w:rPr>
                <w:sz w:val="20"/>
                <w:szCs w:val="20"/>
                <w:color w:val="auto"/>
              </w:rPr>
            </w:pPr>
            <w:r>
              <w:rPr>
                <w:rFonts w:ascii="Arial" w:cs="Arial" w:eastAsia="Arial" w:hAnsi="Arial"/>
                <w:sz w:val="14"/>
                <w:szCs w:val="14"/>
                <w:color w:val="auto"/>
              </w:rPr>
              <w:t>Net income per share - diluted</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0.36</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3.78</w:t>
            </w:r>
          </w:p>
        </w:tc>
        <w:tc>
          <w:tcPr>
            <w:tcW w:w="120" w:type="dxa"/>
            <w:vAlign w:val="bottom"/>
            <w:tcBorders>
              <w:right w:val="single" w:sz="8" w:color="auto"/>
            </w:tcBorders>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4.62</w:t>
            </w:r>
          </w:p>
        </w:tc>
        <w:tc>
          <w:tcPr>
            <w:tcW w:w="100" w:type="dxa"/>
            <w:vAlign w:val="bottom"/>
            <w:tcBorders>
              <w:right w:val="single" w:sz="8" w:color="auto"/>
            </w:tcBorders>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gridSpan w:val="4"/>
          </w:tcPr>
          <w:p>
            <w:pPr>
              <w:spacing w:after="0" w:line="203" w:lineRule="exact"/>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per share - diluted</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0.91</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Borders>
              <w:right w:val="single" w:sz="8" w:color="auto"/>
            </w:tcBorders>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3.89</w:t>
            </w:r>
          </w:p>
        </w:tc>
        <w:tc>
          <w:tcPr>
            <w:tcW w:w="100" w:type="dxa"/>
            <w:vAlign w:val="bottom"/>
            <w:tcBorders>
              <w:right w:val="single" w:sz="8" w:color="auto"/>
            </w:tcBorders>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gridSpan w:val="4"/>
          </w:tcPr>
          <w:p>
            <w:pPr>
              <w:spacing w:after="0" w:line="202" w:lineRule="exact"/>
              <w:rPr>
                <w:sz w:val="20"/>
                <w:szCs w:val="20"/>
                <w:color w:val="auto"/>
              </w:rPr>
            </w:pPr>
            <w:r>
              <w:rPr>
                <w:rFonts w:ascii="Arial" w:cs="Arial" w:eastAsia="Arial" w:hAnsi="Arial"/>
                <w:sz w:val="14"/>
                <w:szCs w:val="14"/>
                <w:color w:val="auto"/>
              </w:rPr>
              <w:t>Adjusted EBITDAX</w:t>
            </w:r>
            <w:r>
              <w:rPr>
                <w:rFonts w:ascii="Arial" w:cs="Arial" w:eastAsia="Arial" w:hAnsi="Arial"/>
                <w:sz w:val="18"/>
                <w:szCs w:val="18"/>
                <w:color w:val="auto"/>
                <w:vertAlign w:val="superscript"/>
              </w:rPr>
              <w:t>1</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316</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402</w:t>
            </w:r>
          </w:p>
        </w:tc>
        <w:tc>
          <w:tcPr>
            <w:tcW w:w="120" w:type="dxa"/>
            <w:vAlign w:val="bottom"/>
            <w:tcBorders>
              <w:right w:val="single" w:sz="8" w:color="auto"/>
            </w:tcBorders>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1,006</w:t>
            </w:r>
          </w:p>
        </w:tc>
        <w:tc>
          <w:tcPr>
            <w:tcW w:w="100" w:type="dxa"/>
            <w:vAlign w:val="bottom"/>
            <w:tcBorders>
              <w:right w:val="single" w:sz="8" w:color="auto"/>
            </w:tcBorders>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862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80" w:type="dxa"/>
            <w:vAlign w:val="bottom"/>
            <w:gridSpan w:val="4"/>
          </w:tcPr>
          <w:p>
            <w:pPr>
              <w:spacing w:after="0"/>
              <w:rPr>
                <w:sz w:val="20"/>
                <w:szCs w:val="20"/>
                <w:color w:val="auto"/>
              </w:rPr>
            </w:pPr>
            <w:r>
              <w:rPr>
                <w:rFonts w:ascii="Arial" w:cs="Arial" w:eastAsia="Arial" w:hAnsi="Arial"/>
                <w:sz w:val="14"/>
                <w:szCs w:val="14"/>
                <w:color w:val="auto"/>
              </w:rPr>
              <w:t>Net cash provided by operating activities</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206</w:t>
            </w:r>
          </w:p>
        </w:tc>
        <w:tc>
          <w:tcPr>
            <w:tcW w:w="100" w:type="dxa"/>
            <w:vAlign w:val="bottom"/>
            <w:tcBorders>
              <w:right w:val="single" w:sz="8" w:color="auto"/>
            </w:tcBorders>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220</w:t>
            </w:r>
          </w:p>
        </w:tc>
        <w:tc>
          <w:tcPr>
            <w:tcW w:w="120" w:type="dxa"/>
            <w:vAlign w:val="bottom"/>
            <w:tcBorders>
              <w:right w:val="single" w:sz="8" w:color="auto"/>
            </w:tcBorders>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610</w:t>
            </w:r>
          </w:p>
        </w:tc>
        <w:tc>
          <w:tcPr>
            <w:tcW w:w="100" w:type="dxa"/>
            <w:vAlign w:val="bottom"/>
            <w:tcBorders>
              <w:right w:val="single" w:sz="8" w:color="auto"/>
            </w:tcBorders>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653</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980" w:type="dxa"/>
            <w:vAlign w:val="bottom"/>
            <w:gridSpan w:val="4"/>
          </w:tcPr>
          <w:p>
            <w:pPr>
              <w:spacing w:after="0" w:line="150" w:lineRule="exact"/>
              <w:rPr>
                <w:sz w:val="20"/>
                <w:szCs w:val="20"/>
                <w:color w:val="auto"/>
              </w:rPr>
            </w:pPr>
            <w:r>
              <w:rPr>
                <w:rFonts w:ascii="Arial" w:cs="Arial" w:eastAsia="Arial" w:hAnsi="Arial"/>
                <w:sz w:val="14"/>
                <w:szCs w:val="14"/>
                <w:color w:val="auto"/>
              </w:rPr>
              <w:t>Net cash provided by operating activities before changes in operating assets and liabilities,</w:t>
            </w: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258</w:t>
            </w:r>
          </w:p>
        </w:tc>
        <w:tc>
          <w:tcPr>
            <w:tcW w:w="100" w:type="dxa"/>
            <w:vAlign w:val="bottom"/>
            <w:tcBorders>
              <w:right w:val="single" w:sz="8" w:color="auto"/>
            </w:tcBorders>
          </w:tcPr>
          <w:p>
            <w:pPr>
              <w:spacing w:after="0"/>
              <w:rPr>
                <w:sz w:val="13"/>
                <w:szCs w:val="13"/>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249</w:t>
            </w:r>
          </w:p>
        </w:tc>
        <w:tc>
          <w:tcPr>
            <w:tcW w:w="120" w:type="dxa"/>
            <w:vAlign w:val="bottom"/>
            <w:tcBorders>
              <w:right w:val="single" w:sz="8" w:color="auto"/>
            </w:tcBorders>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707</w:t>
            </w:r>
          </w:p>
        </w:tc>
        <w:tc>
          <w:tcPr>
            <w:tcW w:w="100" w:type="dxa"/>
            <w:vAlign w:val="bottom"/>
            <w:tcBorders>
              <w:right w:val="single" w:sz="8" w:color="auto"/>
            </w:tcBorders>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gridSpan w:val="4"/>
          </w:tcPr>
          <w:p>
            <w:pPr>
              <w:spacing w:after="0" w:line="202" w:lineRule="exact"/>
              <w:rPr>
                <w:sz w:val="20"/>
                <w:szCs w:val="20"/>
                <w:color w:val="auto"/>
              </w:rPr>
            </w:pPr>
            <w:r>
              <w:rPr>
                <w:rFonts w:ascii="Arial" w:cs="Arial" w:eastAsia="Arial" w:hAnsi="Arial"/>
                <w:sz w:val="14"/>
                <w:szCs w:val="14"/>
                <w:color w:val="auto"/>
              </w:rPr>
              <w:t>net</w:t>
            </w:r>
            <w:r>
              <w:rPr>
                <w:rFonts w:ascii="Arial" w:cs="Arial" w:eastAsia="Arial" w:hAnsi="Arial"/>
                <w:sz w:val="18"/>
                <w:szCs w:val="18"/>
                <w:color w:val="auto"/>
                <w:vertAlign w:val="superscript"/>
              </w:rPr>
              <w:t>1</w:t>
            </w:r>
          </w:p>
        </w:tc>
        <w:tc>
          <w:tcPr>
            <w:tcW w:w="62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80" w:type="dxa"/>
            <w:vAlign w:val="bottom"/>
            <w:gridSpan w:val="4"/>
          </w:tcPr>
          <w:p>
            <w:pPr>
              <w:spacing w:after="0"/>
              <w:rPr>
                <w:sz w:val="20"/>
                <w:szCs w:val="20"/>
                <w:color w:val="auto"/>
              </w:rPr>
            </w:pPr>
            <w:r>
              <w:rPr>
                <w:rFonts w:ascii="Arial" w:cs="Arial" w:eastAsia="Arial" w:hAnsi="Arial"/>
                <w:sz w:val="14"/>
                <w:szCs w:val="14"/>
                <w:color w:val="auto"/>
              </w:rPr>
              <w:t>Capital investments</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88</w:t>
            </w:r>
          </w:p>
        </w:tc>
        <w:tc>
          <w:tcPr>
            <w:tcW w:w="100" w:type="dxa"/>
            <w:vAlign w:val="bottom"/>
            <w:tcBorders>
              <w:right w:val="single" w:sz="8" w:color="auto"/>
            </w:tcBorders>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79</w:t>
            </w:r>
          </w:p>
        </w:tc>
        <w:tc>
          <w:tcPr>
            <w:tcW w:w="120" w:type="dxa"/>
            <w:vAlign w:val="bottom"/>
            <w:tcBorders>
              <w:right w:val="single" w:sz="8" w:color="auto"/>
            </w:tcBorders>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255</w:t>
            </w:r>
          </w:p>
        </w:tc>
        <w:tc>
          <w:tcPr>
            <w:tcW w:w="100" w:type="dxa"/>
            <w:vAlign w:val="bottom"/>
            <w:tcBorders>
              <w:right w:val="single" w:sz="8" w:color="auto"/>
            </w:tcBorders>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980" w:type="dxa"/>
            <w:vAlign w:val="bottom"/>
            <w:gridSpan w:val="4"/>
          </w:tcPr>
          <w:p>
            <w:pPr>
              <w:spacing w:after="0" w:line="205" w:lineRule="exact"/>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1</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118</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Borders>
              <w:right w:val="single" w:sz="8" w:color="auto"/>
            </w:tcBorders>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355</w:t>
            </w:r>
          </w:p>
        </w:tc>
        <w:tc>
          <w:tcPr>
            <w:tcW w:w="100" w:type="dxa"/>
            <w:vAlign w:val="bottom"/>
            <w:tcBorders>
              <w:right w:val="single" w:sz="8" w:color="auto"/>
            </w:tcBorders>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gridSpan w:val="4"/>
          </w:tcPr>
          <w:p>
            <w:pPr>
              <w:spacing w:after="0"/>
              <w:rPr>
                <w:sz w:val="20"/>
                <w:szCs w:val="20"/>
                <w:color w:val="auto"/>
              </w:rPr>
            </w:pPr>
            <w:r>
              <w:rPr>
                <w:rFonts w:ascii="Arial" w:cs="Arial" w:eastAsia="Arial" w:hAnsi="Arial"/>
                <w:sz w:val="14"/>
                <w:szCs w:val="14"/>
                <w:color w:val="auto"/>
              </w:rPr>
              <w:t>Cash and cash equivalents</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372</w:t>
            </w:r>
          </w:p>
        </w:tc>
        <w:tc>
          <w:tcPr>
            <w:tcW w:w="10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1,031</w:t>
            </w:r>
          </w:p>
        </w:tc>
        <w:tc>
          <w:tcPr>
            <w:tcW w:w="120" w:type="dxa"/>
            <w:vAlign w:val="bottom"/>
            <w:tcBorders>
              <w:right w:val="single" w:sz="8" w:color="auto"/>
            </w:tcBorders>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372</w:t>
            </w:r>
          </w:p>
        </w:tc>
        <w:tc>
          <w:tcPr>
            <w:tcW w:w="100" w:type="dxa"/>
            <w:vAlign w:val="bottom"/>
            <w:tcBorders>
              <w:right w:val="single" w:sz="8" w:color="auto"/>
            </w:tcBorders>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496</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2024 Proved Reserves</w:t>
      </w:r>
    </w:p>
    <w:p>
      <w:pPr>
        <w:spacing w:after="0" w:line="240" w:lineRule="exact"/>
        <w:rPr>
          <w:sz w:val="20"/>
          <w:szCs w:val="20"/>
          <w:color w:val="auto"/>
        </w:rPr>
      </w:pPr>
    </w:p>
    <w:p>
      <w:pPr>
        <w:jc w:val="both"/>
        <w:ind w:firstLine="320"/>
        <w:spacing w:after="0" w:line="230" w:lineRule="auto"/>
        <w:rPr>
          <w:sz w:val="20"/>
          <w:szCs w:val="20"/>
          <w:color w:val="auto"/>
        </w:rPr>
      </w:pPr>
      <w:r>
        <w:rPr>
          <w:rFonts w:ascii="Arial" w:cs="Arial" w:eastAsia="Arial" w:hAnsi="Arial"/>
          <w:sz w:val="21"/>
          <w:szCs w:val="21"/>
          <w:color w:val="auto"/>
        </w:rPr>
        <w:t>As of December 31, 2024, CRC's total proved reserves were 545 million Boe (MMBoe), of which approximately 81% was oil and 506 MMBoe was proved developed. CRC added 236 MMBoe of proved reserves related to the Aera merger in 2024. Estimated future net cash flows had a PV-10</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value of $8,877 million based on SEC pricing of Brent spot price of $80.42 per barrel of oil and NYMEX gas price of $2.13 per MMBtu for natural gas. See Attachment 3 for complete information on CRC's Non-GAAP Financial Measures and Reconciliations.</w:t>
      </w: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2025 Guidance</w:t>
      </w:r>
    </w:p>
    <w:p>
      <w:pPr>
        <w:spacing w:after="0" w:line="240"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21"/>
          <w:szCs w:val="21"/>
          <w:color w:val="auto"/>
        </w:rPr>
        <w:t>The following table provides key first quarter and full year 2025 financial and operating guidance. CRC expects to run a one rig program in the first half of 2025, increasing to two rigs in the second half of 2025. See Attachment 2 for complete information on CRC's first quarter and full year 2025 guidance.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240"/>
          </w:cols>
          <w:pgMar w:left="320" w:top="906" w:right="339" w:bottom="1440" w:gutter="0" w:footer="0" w:header="0"/>
        </w:sectPr>
      </w:pPr>
    </w:p>
    <w:bookmarkStart w:id="7" w:name="page8"/>
    <w:bookmarkEnd w:id="7"/>
    <w:tbl>
      <w:tblPr>
        <w:tblLayout w:type="fixed"/>
        <w:tblInd w:w="800" w:type="dxa"/>
        <w:tblCellMar>
          <w:top w:w="0" w:type="dxa"/>
          <w:left w:w="0" w:type="dxa"/>
          <w:bottom w:w="0" w:type="dxa"/>
          <w:right w:w="0" w:type="dxa"/>
        </w:tblCellMar>
      </w:tblPr>
      <w:tr>
        <w:trPr>
          <w:trHeight w:val="177"/>
        </w:trPr>
        <w:tc>
          <w:tcPr>
            <w:tcW w:w="4340" w:type="dxa"/>
            <w:vAlign w:val="bottom"/>
            <w:tcBorders>
              <w:top w:val="single" w:sz="8" w:color="auto"/>
            </w:tcBorders>
            <w:shd w:val="clear" w:color="auto" w:fill="DBDBDB"/>
          </w:tcPr>
          <w:p>
            <w:pPr>
              <w:spacing w:after="0" w:line="177" w:lineRule="exact"/>
              <w:rPr>
                <w:sz w:val="20"/>
                <w:szCs w:val="20"/>
                <w:color w:val="auto"/>
              </w:rPr>
            </w:pPr>
            <w:r>
              <w:rPr>
                <w:rFonts w:ascii="Arial" w:cs="Arial" w:eastAsia="Arial" w:hAnsi="Arial"/>
                <w:sz w:val="14"/>
                <w:szCs w:val="14"/>
                <w:b w:val="1"/>
                <w:bCs w:val="1"/>
                <w:color w:val="auto"/>
              </w:rPr>
              <w:t>CRC Guidance</w:t>
            </w:r>
            <w:r>
              <w:rPr>
                <w:rFonts w:ascii="Arial" w:cs="Arial" w:eastAsia="Arial" w:hAnsi="Arial"/>
                <w:sz w:val="18"/>
                <w:szCs w:val="18"/>
                <w:b w:val="1"/>
                <w:bCs w:val="1"/>
                <w:color w:val="auto"/>
                <w:vertAlign w:val="superscript"/>
              </w:rPr>
              <w:t>7</w:t>
            </w:r>
          </w:p>
        </w:tc>
        <w:tc>
          <w:tcPr>
            <w:tcW w:w="2600" w:type="dxa"/>
            <w:vAlign w:val="bottom"/>
            <w:tcBorders>
              <w:top w:val="single" w:sz="8" w:color="auto"/>
            </w:tcBorders>
            <w:shd w:val="clear" w:color="auto" w:fill="DBDBDB"/>
          </w:tcPr>
          <w:p>
            <w:pPr>
              <w:spacing w:after="0"/>
              <w:rPr>
                <w:sz w:val="15"/>
                <w:szCs w:val="15"/>
                <w:color w:val="auto"/>
              </w:rPr>
            </w:pPr>
          </w:p>
        </w:tc>
        <w:tc>
          <w:tcPr>
            <w:tcW w:w="880" w:type="dxa"/>
            <w:vAlign w:val="bottom"/>
            <w:tcBorders>
              <w:top w:val="single" w:sz="8" w:color="auto"/>
            </w:tcBorders>
            <w:shd w:val="clear" w:color="auto" w:fill="DBDBDB"/>
          </w:tcPr>
          <w:p>
            <w:pPr>
              <w:spacing w:after="0"/>
              <w:rPr>
                <w:sz w:val="15"/>
                <w:szCs w:val="15"/>
                <w:color w:val="auto"/>
              </w:rPr>
            </w:pPr>
          </w:p>
        </w:tc>
        <w:tc>
          <w:tcPr>
            <w:tcW w:w="1840" w:type="dxa"/>
            <w:vAlign w:val="bottom"/>
            <w:tcBorders>
              <w:top w:val="single" w:sz="8" w:color="auto"/>
            </w:tcBorders>
            <w:gridSpan w:val="2"/>
            <w:shd w:val="clear" w:color="auto" w:fill="DBDBDB"/>
          </w:tcPr>
          <w:p>
            <w:pPr>
              <w:ind w:left="620"/>
              <w:spacing w:after="0"/>
              <w:rPr>
                <w:sz w:val="20"/>
                <w:szCs w:val="20"/>
                <w:color w:val="auto"/>
              </w:rPr>
            </w:pPr>
            <w:r>
              <w:rPr>
                <w:rFonts w:ascii="Arial" w:cs="Arial" w:eastAsia="Arial" w:hAnsi="Arial"/>
                <w:sz w:val="14"/>
                <w:szCs w:val="14"/>
                <w:b w:val="1"/>
                <w:bCs w:val="1"/>
                <w:color w:val="auto"/>
              </w:rPr>
              <w:t>Total Year</w:t>
            </w:r>
          </w:p>
        </w:tc>
        <w:tc>
          <w:tcPr>
            <w:tcW w:w="0" w:type="dxa"/>
            <w:vAlign w:val="bottom"/>
          </w:tcPr>
          <w:p>
            <w:pPr>
              <w:spacing w:after="0"/>
              <w:rPr>
                <w:sz w:val="1"/>
                <w:szCs w:val="1"/>
                <w:color w:val="auto"/>
              </w:rPr>
            </w:pPr>
          </w:p>
        </w:tc>
      </w:tr>
      <w:tr>
        <w:trPr>
          <w:trHeight w:val="195"/>
        </w:trPr>
        <w:tc>
          <w:tcPr>
            <w:tcW w:w="4340" w:type="dxa"/>
            <w:vAlign w:val="bottom"/>
            <w:shd w:val="clear" w:color="auto" w:fill="DBDBDB"/>
          </w:tcPr>
          <w:p>
            <w:pPr>
              <w:spacing w:after="0"/>
              <w:rPr>
                <w:sz w:val="16"/>
                <w:szCs w:val="16"/>
                <w:color w:val="auto"/>
              </w:rPr>
            </w:pPr>
          </w:p>
        </w:tc>
        <w:tc>
          <w:tcPr>
            <w:tcW w:w="3480" w:type="dxa"/>
            <w:vAlign w:val="bottom"/>
            <w:gridSpan w:val="2"/>
            <w:vMerge w:val="restart"/>
            <w:shd w:val="clear" w:color="auto" w:fill="DBDBDB"/>
          </w:tcPr>
          <w:p>
            <w:pPr>
              <w:jc w:val="center"/>
              <w:ind w:left="1729"/>
              <w:spacing w:after="0"/>
              <w:rPr>
                <w:sz w:val="20"/>
                <w:szCs w:val="20"/>
                <w:color w:val="auto"/>
              </w:rPr>
            </w:pPr>
            <w:r>
              <w:rPr>
                <w:rFonts w:ascii="Arial" w:cs="Arial" w:eastAsia="Arial" w:hAnsi="Arial"/>
                <w:sz w:val="14"/>
                <w:szCs w:val="14"/>
                <w:b w:val="1"/>
                <w:bCs w:val="1"/>
                <w:color w:val="auto"/>
              </w:rPr>
              <w:t>1Q25E</w:t>
            </w:r>
          </w:p>
        </w:tc>
        <w:tc>
          <w:tcPr>
            <w:tcW w:w="1840" w:type="dxa"/>
            <w:vAlign w:val="bottom"/>
            <w:gridSpan w:val="2"/>
            <w:shd w:val="clear" w:color="auto" w:fill="DBDBDB"/>
          </w:tcPr>
          <w:p>
            <w:pPr>
              <w:jc w:val="center"/>
              <w:spacing w:after="0"/>
              <w:rPr>
                <w:sz w:val="20"/>
                <w:szCs w:val="20"/>
                <w:color w:val="auto"/>
              </w:rPr>
            </w:pPr>
            <w:r>
              <w:rPr>
                <w:rFonts w:ascii="Arial" w:cs="Arial" w:eastAsia="Arial" w:hAnsi="Arial"/>
                <w:sz w:val="14"/>
                <w:szCs w:val="14"/>
                <w:b w:val="1"/>
                <w:bCs w:val="1"/>
                <w:color w:val="auto"/>
              </w:rPr>
              <w:t>2025E</w:t>
            </w:r>
          </w:p>
        </w:tc>
        <w:tc>
          <w:tcPr>
            <w:tcW w:w="0" w:type="dxa"/>
            <w:vAlign w:val="bottom"/>
          </w:tcPr>
          <w:p>
            <w:pPr>
              <w:spacing w:after="0"/>
              <w:rPr>
                <w:sz w:val="1"/>
                <w:szCs w:val="1"/>
                <w:color w:val="auto"/>
              </w:rPr>
            </w:pPr>
          </w:p>
        </w:tc>
      </w:tr>
      <w:tr>
        <w:trPr>
          <w:trHeight w:val="88"/>
        </w:trPr>
        <w:tc>
          <w:tcPr>
            <w:tcW w:w="4340" w:type="dxa"/>
            <w:vAlign w:val="bottom"/>
            <w:tcBorders>
              <w:bottom w:val="single" w:sz="8" w:color="auto"/>
            </w:tcBorders>
            <w:shd w:val="clear" w:color="auto" w:fill="DBDBDB"/>
          </w:tcPr>
          <w:p>
            <w:pPr>
              <w:spacing w:after="0"/>
              <w:rPr>
                <w:sz w:val="7"/>
                <w:szCs w:val="7"/>
                <w:color w:val="auto"/>
              </w:rPr>
            </w:pPr>
          </w:p>
        </w:tc>
        <w:tc>
          <w:tcPr>
            <w:tcW w:w="3480" w:type="dxa"/>
            <w:vAlign w:val="bottom"/>
            <w:tcBorders>
              <w:bottom w:val="single" w:sz="8" w:color="auto"/>
            </w:tcBorders>
            <w:gridSpan w:val="2"/>
            <w:vMerge w:val="continue"/>
            <w:shd w:val="clear" w:color="auto" w:fill="DBDBDB"/>
          </w:tcPr>
          <w:p>
            <w:pPr>
              <w:spacing w:after="0"/>
              <w:rPr>
                <w:sz w:val="7"/>
                <w:szCs w:val="7"/>
                <w:color w:val="auto"/>
              </w:rPr>
            </w:pPr>
          </w:p>
        </w:tc>
        <w:tc>
          <w:tcPr>
            <w:tcW w:w="900" w:type="dxa"/>
            <w:vAlign w:val="bottom"/>
            <w:tcBorders>
              <w:bottom w:val="single" w:sz="8" w:color="auto"/>
            </w:tcBorders>
            <w:shd w:val="clear" w:color="auto" w:fill="DBDBDB"/>
          </w:tcPr>
          <w:p>
            <w:pPr>
              <w:spacing w:after="0"/>
              <w:rPr>
                <w:sz w:val="7"/>
                <w:szCs w:val="7"/>
                <w:color w:val="auto"/>
              </w:rPr>
            </w:pPr>
          </w:p>
        </w:tc>
        <w:tc>
          <w:tcPr>
            <w:tcW w:w="940" w:type="dxa"/>
            <w:vAlign w:val="bottom"/>
            <w:tcBorders>
              <w:bottom w:val="single" w:sz="8" w:color="auto"/>
            </w:tcBorders>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4340" w:type="dxa"/>
            <w:vAlign w:val="bottom"/>
          </w:tcPr>
          <w:p>
            <w:pPr>
              <w:ind w:left="120"/>
              <w:spacing w:after="0"/>
              <w:rPr>
                <w:sz w:val="20"/>
                <w:szCs w:val="20"/>
                <w:color w:val="auto"/>
              </w:rPr>
            </w:pPr>
            <w:r>
              <w:rPr>
                <w:rFonts w:ascii="Arial" w:cs="Arial" w:eastAsia="Arial" w:hAnsi="Arial"/>
                <w:sz w:val="14"/>
                <w:szCs w:val="14"/>
                <w:color w:val="auto"/>
              </w:rPr>
              <w:t>Net Production (MBoe/d)</w:t>
            </w:r>
          </w:p>
        </w:tc>
        <w:tc>
          <w:tcPr>
            <w:tcW w:w="2600" w:type="dxa"/>
            <w:vAlign w:val="bottom"/>
          </w:tcPr>
          <w:p>
            <w:pPr>
              <w:jc w:val="right"/>
              <w:spacing w:after="0"/>
              <w:rPr>
                <w:sz w:val="20"/>
                <w:szCs w:val="20"/>
                <w:color w:val="auto"/>
              </w:rPr>
            </w:pPr>
            <w:r>
              <w:rPr>
                <w:rFonts w:ascii="Arial" w:cs="Arial" w:eastAsia="Arial" w:hAnsi="Arial"/>
                <w:sz w:val="14"/>
                <w:szCs w:val="14"/>
                <w:color w:val="auto"/>
              </w:rPr>
              <w:t>138</w:t>
            </w:r>
          </w:p>
        </w:tc>
        <w:tc>
          <w:tcPr>
            <w:tcW w:w="880" w:type="dxa"/>
            <w:vAlign w:val="bottom"/>
          </w:tcPr>
          <w:p>
            <w:pPr>
              <w:ind w:left="20"/>
              <w:spacing w:after="0"/>
              <w:rPr>
                <w:sz w:val="20"/>
                <w:szCs w:val="20"/>
                <w:color w:val="auto"/>
              </w:rPr>
            </w:pPr>
            <w:r>
              <w:rPr>
                <w:rFonts w:ascii="Arial" w:cs="Arial" w:eastAsia="Arial" w:hAnsi="Arial"/>
                <w:sz w:val="14"/>
                <w:szCs w:val="14"/>
                <w:color w:val="auto"/>
              </w:rPr>
              <w:t>- 142</w:t>
            </w:r>
          </w:p>
        </w:tc>
        <w:tc>
          <w:tcPr>
            <w:tcW w:w="900" w:type="dxa"/>
            <w:vAlign w:val="bottom"/>
          </w:tcPr>
          <w:p>
            <w:pPr>
              <w:jc w:val="right"/>
              <w:spacing w:after="0"/>
              <w:rPr>
                <w:sz w:val="20"/>
                <w:szCs w:val="20"/>
                <w:color w:val="auto"/>
              </w:rPr>
            </w:pPr>
            <w:r>
              <w:rPr>
                <w:rFonts w:ascii="Arial" w:cs="Arial" w:eastAsia="Arial" w:hAnsi="Arial"/>
                <w:sz w:val="14"/>
                <w:szCs w:val="14"/>
                <w:color w:val="auto"/>
              </w:rPr>
              <w:t>132</w:t>
            </w:r>
          </w:p>
        </w:tc>
        <w:tc>
          <w:tcPr>
            <w:tcW w:w="940" w:type="dxa"/>
            <w:vAlign w:val="bottom"/>
          </w:tcPr>
          <w:p>
            <w:pPr>
              <w:ind w:left="20"/>
              <w:spacing w:after="0"/>
              <w:rPr>
                <w:sz w:val="20"/>
                <w:szCs w:val="20"/>
                <w:color w:val="auto"/>
              </w:rPr>
            </w:pPr>
            <w:r>
              <w:rPr>
                <w:rFonts w:ascii="Arial" w:cs="Arial" w:eastAsia="Arial" w:hAnsi="Arial"/>
                <w:sz w:val="14"/>
                <w:szCs w:val="14"/>
                <w:color w:val="auto"/>
              </w:rPr>
              <w:t>- 138</w:t>
            </w:r>
          </w:p>
        </w:tc>
        <w:tc>
          <w:tcPr>
            <w:tcW w:w="0" w:type="dxa"/>
            <w:vAlign w:val="bottom"/>
          </w:tcPr>
          <w:p>
            <w:pPr>
              <w:spacing w:after="0"/>
              <w:rPr>
                <w:sz w:val="1"/>
                <w:szCs w:val="1"/>
                <w:color w:val="auto"/>
              </w:rPr>
            </w:pPr>
          </w:p>
        </w:tc>
      </w:tr>
      <w:tr>
        <w:trPr>
          <w:trHeight w:val="213"/>
        </w:trPr>
        <w:tc>
          <w:tcPr>
            <w:tcW w:w="4340" w:type="dxa"/>
            <w:vAlign w:val="bottom"/>
          </w:tcPr>
          <w:p>
            <w:pPr>
              <w:ind w:left="120"/>
              <w:spacing w:after="0"/>
              <w:rPr>
                <w:sz w:val="20"/>
                <w:szCs w:val="20"/>
                <w:color w:val="auto"/>
              </w:rPr>
            </w:pPr>
            <w:r>
              <w:rPr>
                <w:rFonts w:ascii="Arial" w:cs="Arial" w:eastAsia="Arial" w:hAnsi="Arial"/>
                <w:sz w:val="14"/>
                <w:szCs w:val="14"/>
                <w:color w:val="auto"/>
              </w:rPr>
              <w:t>Net Oil Production (%)</w:t>
            </w:r>
          </w:p>
        </w:tc>
        <w:tc>
          <w:tcPr>
            <w:tcW w:w="3480" w:type="dxa"/>
            <w:vAlign w:val="bottom"/>
            <w:gridSpan w:val="2"/>
          </w:tcPr>
          <w:p>
            <w:pPr>
              <w:jc w:val="right"/>
              <w:ind w:right="589"/>
              <w:spacing w:after="0"/>
              <w:rPr>
                <w:sz w:val="20"/>
                <w:szCs w:val="20"/>
                <w:color w:val="auto"/>
              </w:rPr>
            </w:pPr>
            <w:r>
              <w:rPr>
                <w:rFonts w:ascii="Arial" w:cs="Arial" w:eastAsia="Arial" w:hAnsi="Arial"/>
                <w:sz w:val="14"/>
                <w:szCs w:val="14"/>
                <w:color w:val="auto"/>
              </w:rPr>
              <w:t>~79%</w:t>
            </w:r>
          </w:p>
        </w:tc>
        <w:tc>
          <w:tcPr>
            <w:tcW w:w="1840" w:type="dxa"/>
            <w:vAlign w:val="bottom"/>
            <w:gridSpan w:val="2"/>
          </w:tcPr>
          <w:p>
            <w:pPr>
              <w:jc w:val="right"/>
              <w:ind w:right="629"/>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13"/>
        </w:trPr>
        <w:tc>
          <w:tcPr>
            <w:tcW w:w="4340" w:type="dxa"/>
            <w:vAlign w:val="bottom"/>
          </w:tcPr>
          <w:p>
            <w:pPr>
              <w:ind w:left="120"/>
              <w:spacing w:after="0"/>
              <w:rPr>
                <w:sz w:val="20"/>
                <w:szCs w:val="20"/>
                <w:color w:val="auto"/>
              </w:rPr>
            </w:pPr>
            <w:r>
              <w:rPr>
                <w:rFonts w:ascii="Arial" w:cs="Arial" w:eastAsia="Arial" w:hAnsi="Arial"/>
                <w:sz w:val="14"/>
                <w:szCs w:val="14"/>
                <w:color w:val="auto"/>
              </w:rPr>
              <w:t>Capital ($ millions)</w:t>
            </w:r>
          </w:p>
        </w:tc>
        <w:tc>
          <w:tcPr>
            <w:tcW w:w="2600" w:type="dxa"/>
            <w:vAlign w:val="bottom"/>
          </w:tcPr>
          <w:p>
            <w:pPr>
              <w:jc w:val="right"/>
              <w:spacing w:after="0"/>
              <w:rPr>
                <w:sz w:val="20"/>
                <w:szCs w:val="20"/>
                <w:color w:val="auto"/>
              </w:rPr>
            </w:pPr>
            <w:r>
              <w:rPr>
                <w:rFonts w:ascii="Arial" w:cs="Arial" w:eastAsia="Arial" w:hAnsi="Arial"/>
                <w:sz w:val="14"/>
                <w:szCs w:val="14"/>
                <w:color w:val="auto"/>
              </w:rPr>
              <w:t>$60</w:t>
            </w:r>
          </w:p>
        </w:tc>
        <w:tc>
          <w:tcPr>
            <w:tcW w:w="880" w:type="dxa"/>
            <w:vAlign w:val="bottom"/>
          </w:tcPr>
          <w:p>
            <w:pPr>
              <w:ind w:left="20"/>
              <w:spacing w:after="0"/>
              <w:rPr>
                <w:sz w:val="20"/>
                <w:szCs w:val="20"/>
                <w:color w:val="auto"/>
              </w:rPr>
            </w:pPr>
            <w:r>
              <w:rPr>
                <w:rFonts w:ascii="Arial" w:cs="Arial" w:eastAsia="Arial" w:hAnsi="Arial"/>
                <w:sz w:val="14"/>
                <w:szCs w:val="14"/>
                <w:color w:val="auto"/>
              </w:rPr>
              <w:t>- $70</w:t>
            </w:r>
          </w:p>
        </w:tc>
        <w:tc>
          <w:tcPr>
            <w:tcW w:w="900" w:type="dxa"/>
            <w:vAlign w:val="bottom"/>
          </w:tcPr>
          <w:p>
            <w:pPr>
              <w:jc w:val="right"/>
              <w:spacing w:after="0"/>
              <w:rPr>
                <w:sz w:val="20"/>
                <w:szCs w:val="20"/>
                <w:color w:val="auto"/>
              </w:rPr>
            </w:pPr>
            <w:r>
              <w:rPr>
                <w:rFonts w:ascii="Arial" w:cs="Arial" w:eastAsia="Arial" w:hAnsi="Arial"/>
                <w:sz w:val="14"/>
                <w:szCs w:val="14"/>
                <w:color w:val="auto"/>
              </w:rPr>
              <w:t>$285</w:t>
            </w:r>
          </w:p>
        </w:tc>
        <w:tc>
          <w:tcPr>
            <w:tcW w:w="940" w:type="dxa"/>
            <w:vAlign w:val="bottom"/>
          </w:tcPr>
          <w:p>
            <w:pPr>
              <w:ind w:left="20"/>
              <w:spacing w:after="0"/>
              <w:rPr>
                <w:sz w:val="20"/>
                <w:szCs w:val="20"/>
                <w:color w:val="auto"/>
              </w:rPr>
            </w:pPr>
            <w:r>
              <w:rPr>
                <w:rFonts w:ascii="Arial" w:cs="Arial" w:eastAsia="Arial" w:hAnsi="Arial"/>
                <w:sz w:val="14"/>
                <w:szCs w:val="14"/>
                <w:color w:val="auto"/>
              </w:rPr>
              <w:t>- $335</w:t>
            </w:r>
          </w:p>
        </w:tc>
        <w:tc>
          <w:tcPr>
            <w:tcW w:w="0" w:type="dxa"/>
            <w:vAlign w:val="bottom"/>
          </w:tcPr>
          <w:p>
            <w:pPr>
              <w:spacing w:after="0"/>
              <w:rPr>
                <w:sz w:val="1"/>
                <w:szCs w:val="1"/>
                <w:color w:val="auto"/>
              </w:rPr>
            </w:pPr>
          </w:p>
        </w:tc>
      </w:tr>
      <w:tr>
        <w:trPr>
          <w:trHeight w:val="267"/>
        </w:trPr>
        <w:tc>
          <w:tcPr>
            <w:tcW w:w="4340" w:type="dxa"/>
            <w:vAlign w:val="bottom"/>
          </w:tcPr>
          <w:p>
            <w:pPr>
              <w:ind w:left="120"/>
              <w:spacing w:after="0"/>
              <w:rPr>
                <w:sz w:val="20"/>
                <w:szCs w:val="20"/>
                <w:color w:val="auto"/>
              </w:rPr>
            </w:pPr>
            <w:r>
              <w:rPr>
                <w:rFonts w:ascii="Arial" w:cs="Arial" w:eastAsia="Arial" w:hAnsi="Arial"/>
                <w:sz w:val="14"/>
                <w:szCs w:val="14"/>
                <w:color w:val="auto"/>
              </w:rPr>
              <w:t>Adjusted EBITDAX</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millions)</w:t>
            </w:r>
          </w:p>
        </w:tc>
        <w:tc>
          <w:tcPr>
            <w:tcW w:w="2600" w:type="dxa"/>
            <w:vAlign w:val="bottom"/>
          </w:tcPr>
          <w:p>
            <w:pPr>
              <w:jc w:val="right"/>
              <w:spacing w:after="0"/>
              <w:rPr>
                <w:sz w:val="20"/>
                <w:szCs w:val="20"/>
                <w:color w:val="auto"/>
              </w:rPr>
            </w:pPr>
            <w:r>
              <w:rPr>
                <w:rFonts w:ascii="Arial" w:cs="Arial" w:eastAsia="Arial" w:hAnsi="Arial"/>
                <w:sz w:val="14"/>
                <w:szCs w:val="14"/>
                <w:color w:val="auto"/>
              </w:rPr>
              <w:t>$275</w:t>
            </w:r>
          </w:p>
        </w:tc>
        <w:tc>
          <w:tcPr>
            <w:tcW w:w="880" w:type="dxa"/>
            <w:vAlign w:val="bottom"/>
          </w:tcPr>
          <w:p>
            <w:pPr>
              <w:ind w:left="20"/>
              <w:spacing w:after="0"/>
              <w:rPr>
                <w:sz w:val="20"/>
                <w:szCs w:val="20"/>
                <w:color w:val="auto"/>
              </w:rPr>
            </w:pPr>
            <w:r>
              <w:rPr>
                <w:rFonts w:ascii="Arial" w:cs="Arial" w:eastAsia="Arial" w:hAnsi="Arial"/>
                <w:sz w:val="14"/>
                <w:szCs w:val="14"/>
                <w:color w:val="auto"/>
              </w:rPr>
              <w:t>- $295</w:t>
            </w:r>
          </w:p>
        </w:tc>
        <w:tc>
          <w:tcPr>
            <w:tcW w:w="900" w:type="dxa"/>
            <w:vAlign w:val="bottom"/>
          </w:tcPr>
          <w:p>
            <w:pPr>
              <w:jc w:val="right"/>
              <w:spacing w:after="0"/>
              <w:rPr>
                <w:sz w:val="20"/>
                <w:szCs w:val="20"/>
                <w:color w:val="auto"/>
              </w:rPr>
            </w:pPr>
            <w:r>
              <w:rPr>
                <w:rFonts w:ascii="Arial" w:cs="Arial" w:eastAsia="Arial" w:hAnsi="Arial"/>
                <w:sz w:val="14"/>
                <w:szCs w:val="14"/>
                <w:color w:val="auto"/>
              </w:rPr>
              <w:t>$1,100</w:t>
            </w:r>
          </w:p>
        </w:tc>
        <w:tc>
          <w:tcPr>
            <w:tcW w:w="940" w:type="dxa"/>
            <w:vAlign w:val="bottom"/>
          </w:tcPr>
          <w:p>
            <w:pPr>
              <w:ind w:left="20"/>
              <w:spacing w:after="0"/>
              <w:rPr>
                <w:sz w:val="20"/>
                <w:szCs w:val="20"/>
                <w:color w:val="auto"/>
              </w:rPr>
            </w:pPr>
            <w:r>
              <w:rPr>
                <w:rFonts w:ascii="Arial" w:cs="Arial" w:eastAsia="Arial" w:hAnsi="Arial"/>
                <w:sz w:val="14"/>
                <w:szCs w:val="14"/>
                <w:color w:val="auto"/>
              </w:rPr>
              <w:t>- $1,200</w:t>
            </w: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Shareholder Returns and Dividend Announcements</w:t>
      </w:r>
    </w:p>
    <w:p>
      <w:pPr>
        <w:spacing w:after="0" w:line="240" w:lineRule="exact"/>
        <w:rPr>
          <w:sz w:val="20"/>
          <w:szCs w:val="20"/>
          <w:color w:val="auto"/>
        </w:rPr>
      </w:pPr>
    </w:p>
    <w:p>
      <w:pPr>
        <w:jc w:val="both"/>
        <w:ind w:firstLine="320"/>
        <w:spacing w:after="0" w:line="226" w:lineRule="auto"/>
        <w:rPr>
          <w:sz w:val="20"/>
          <w:szCs w:val="20"/>
          <w:color w:val="auto"/>
        </w:rPr>
      </w:pPr>
      <w:r>
        <w:rPr>
          <w:rFonts w:ascii="Arial" w:cs="Arial" w:eastAsia="Arial" w:hAnsi="Arial"/>
          <w:sz w:val="21"/>
          <w:szCs w:val="21"/>
          <w:color w:val="auto"/>
        </w:rPr>
        <w:t>CRC is committed to sustainably returning cash to shareholders through dividends and repurchases of its outstanding common stock. Since mid-2021, the Company has returned approximately $1,060 million to shareholders</w:t>
      </w:r>
      <w:r>
        <w:rPr>
          <w:rFonts w:ascii="Arial" w:cs="Arial" w:eastAsia="Arial" w:hAnsi="Arial"/>
          <w:sz w:val="27"/>
          <w:szCs w:val="27"/>
          <w:color w:val="auto"/>
          <w:vertAlign w:val="superscript"/>
        </w:rPr>
        <w:t>2</w:t>
      </w:r>
      <w:r>
        <w:rPr>
          <w:rFonts w:ascii="Arial" w:cs="Arial" w:eastAsia="Arial" w:hAnsi="Arial"/>
          <w:sz w:val="21"/>
          <w:szCs w:val="21"/>
          <w:color w:val="auto"/>
        </w:rPr>
        <w:t>, including $793 million in share repurchases and $267 million in dividends.</w:t>
      </w:r>
    </w:p>
    <w:p>
      <w:pPr>
        <w:spacing w:after="0" w:line="199" w:lineRule="exact"/>
        <w:rPr>
          <w:sz w:val="20"/>
          <w:szCs w:val="20"/>
          <w:color w:val="auto"/>
        </w:rPr>
      </w:pPr>
    </w:p>
    <w:p>
      <w:pPr>
        <w:jc w:val="both"/>
        <w:ind w:firstLine="320"/>
        <w:spacing w:after="0" w:line="230" w:lineRule="auto"/>
        <w:rPr>
          <w:sz w:val="20"/>
          <w:szCs w:val="20"/>
          <w:color w:val="auto"/>
        </w:rPr>
      </w:pPr>
      <w:r>
        <w:rPr>
          <w:rFonts w:ascii="Arial" w:cs="Arial" w:eastAsia="Arial" w:hAnsi="Arial"/>
          <w:sz w:val="21"/>
          <w:szCs w:val="21"/>
          <w:color w:val="auto"/>
        </w:rPr>
        <w:t>In 2024, CRC repurchased 3.6 million shares of its common stock for $190 million</w:t>
      </w:r>
      <w:r>
        <w:rPr>
          <w:rFonts w:ascii="Arial" w:cs="Arial" w:eastAsia="Arial" w:hAnsi="Arial"/>
          <w:sz w:val="27"/>
          <w:szCs w:val="27"/>
          <w:color w:val="auto"/>
          <w:vertAlign w:val="superscript"/>
        </w:rPr>
        <w:t>2</w:t>
      </w:r>
      <w:r>
        <w:rPr>
          <w:rFonts w:ascii="Arial" w:cs="Arial" w:eastAsia="Arial" w:hAnsi="Arial"/>
          <w:sz w:val="21"/>
          <w:szCs w:val="21"/>
          <w:color w:val="auto"/>
        </w:rPr>
        <w:t xml:space="preserve"> at an average price of $52.12 per share and returned $113 million to shareholders in dividends. As of December 31, 2024, CRC had approximately $557 million of capacity remaining under its share repurchase authorization.</w:t>
      </w:r>
    </w:p>
    <w:p>
      <w:pPr>
        <w:spacing w:after="0" w:line="199" w:lineRule="exact"/>
        <w:rPr>
          <w:sz w:val="20"/>
          <w:szCs w:val="20"/>
          <w:color w:val="auto"/>
        </w:rPr>
      </w:pPr>
    </w:p>
    <w:p>
      <w:pPr>
        <w:jc w:val="both"/>
        <w:ind w:firstLine="320"/>
        <w:spacing w:after="0" w:line="277" w:lineRule="auto"/>
        <w:rPr>
          <w:sz w:val="20"/>
          <w:szCs w:val="20"/>
          <w:color w:val="auto"/>
        </w:rPr>
      </w:pPr>
      <w:r>
        <w:rPr>
          <w:rFonts w:ascii="Arial" w:cs="Arial" w:eastAsia="Arial" w:hAnsi="Arial"/>
          <w:sz w:val="21"/>
          <w:szCs w:val="21"/>
          <w:color w:val="auto"/>
        </w:rPr>
        <w:t>On March 2, 2025, CRC's Board of Directors declared a quarterly cash dividend of $0.3875 per share of common stock, payable to shareholders of record on March 10, 2025. The dividend is expected to be paid on March 21, 2025.</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Balance Sheet and Liquidity</w:t>
      </w:r>
    </w:p>
    <w:p>
      <w:pPr>
        <w:spacing w:after="0" w:line="240"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21"/>
          <w:szCs w:val="21"/>
          <w:color w:val="auto"/>
        </w:rPr>
        <w:t>In November 2024, CRC reaffirmed its $1,500 million borrowing base under its Revolving Credit Facility (the Facility), extended its maturity date to March 16, 2029, amended the springing maturity to allow the 2026 Senior Notes to remain outstanding past October 31, 2025 subject to certain conditions, and increased elected commitments by $50 million, as well as other technical amendments.</w:t>
      </w:r>
    </w:p>
    <w:p>
      <w:pPr>
        <w:spacing w:after="0" w:line="192" w:lineRule="exact"/>
        <w:rPr>
          <w:sz w:val="20"/>
          <w:szCs w:val="20"/>
          <w:color w:val="auto"/>
        </w:rPr>
      </w:pPr>
    </w:p>
    <w:p>
      <w:pPr>
        <w:jc w:val="both"/>
        <w:ind w:firstLine="320"/>
        <w:spacing w:after="0" w:line="238" w:lineRule="auto"/>
        <w:rPr>
          <w:sz w:val="20"/>
          <w:szCs w:val="20"/>
          <w:color w:val="auto"/>
        </w:rPr>
      </w:pPr>
      <w:r>
        <w:rPr>
          <w:rFonts w:ascii="Arial" w:cs="Arial" w:eastAsia="Arial" w:hAnsi="Arial"/>
          <w:sz w:val="21"/>
          <w:szCs w:val="21"/>
          <w:color w:val="auto"/>
        </w:rPr>
        <w:t>At year-end 2024, CRC had $354 million in available cash and cash equivalents</w:t>
      </w:r>
      <w:r>
        <w:rPr>
          <w:rFonts w:ascii="Arial" w:cs="Arial" w:eastAsia="Arial" w:hAnsi="Arial"/>
          <w:sz w:val="27"/>
          <w:szCs w:val="27"/>
          <w:color w:val="auto"/>
          <w:vertAlign w:val="superscript"/>
        </w:rPr>
        <w:t>3</w:t>
      </w:r>
      <w:r>
        <w:rPr>
          <w:rFonts w:ascii="Arial" w:cs="Arial" w:eastAsia="Arial" w:hAnsi="Arial"/>
          <w:sz w:val="21"/>
          <w:szCs w:val="21"/>
          <w:color w:val="auto"/>
        </w:rPr>
        <w:t>, $983 million of available borrowing capacity under its Facility (which reflects $1,150 million of borrowing capacity less $167 million of outstanding letters of credit) and liquidity</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$1,337 million</w:t>
      </w:r>
      <w:r>
        <w:rPr>
          <w:rFonts w:ascii="Arial" w:cs="Arial" w:eastAsia="Arial" w:hAnsi="Arial"/>
          <w:sz w:val="27"/>
          <w:szCs w:val="27"/>
          <w:color w:val="auto"/>
          <w:vertAlign w:val="superscript"/>
        </w:rPr>
        <w:t>3</w:t>
      </w:r>
      <w:r>
        <w:rPr>
          <w:rFonts w:ascii="Arial" w:cs="Arial" w:eastAsia="Arial" w:hAnsi="Arial"/>
          <w:sz w:val="21"/>
          <w:szCs w:val="21"/>
          <w:color w:val="auto"/>
        </w:rPr>
        <w:t>.</w:t>
      </w:r>
    </w:p>
    <w:p>
      <w:pPr>
        <w:spacing w:after="0" w:line="10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2024 Sustainability Highlights</w:t>
      </w:r>
    </w:p>
    <w:p>
      <w:pPr>
        <w:spacing w:after="0" w:line="240"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21"/>
          <w:szCs w:val="21"/>
          <w:color w:val="auto"/>
        </w:rPr>
        <w:t>“In 2024, CRC demonstrated its unwavering commitment to sustainability by achieving significant milestones in environmental stewardship, safety, and community engagement,” said Leon. “We are proud that our assets in the Los Angeles Basin were MiQ 'Grade A' certified and we plan to continue investing in the Kern County community through our Community Benefits Plan. These are just two examples of our dedication to the communities and areas where we live and work.”</w:t>
      </w:r>
    </w:p>
    <w:p>
      <w:pPr>
        <w:spacing w:after="0" w:line="205" w:lineRule="exact"/>
        <w:rPr>
          <w:sz w:val="20"/>
          <w:szCs w:val="20"/>
          <w:color w:val="auto"/>
        </w:rPr>
      </w:pPr>
    </w:p>
    <w:p>
      <w:pPr>
        <w:ind w:left="640" w:hanging="314"/>
        <w:spacing w:after="0" w:line="278" w:lineRule="auto"/>
        <w:tabs>
          <w:tab w:leader="none" w:pos="635" w:val="left"/>
        </w:tabs>
        <w:numPr>
          <w:ilvl w:val="0"/>
          <w:numId w:val="6"/>
        </w:numPr>
        <w:rPr>
          <w:rFonts w:ascii="Arial" w:cs="Arial" w:eastAsia="Arial" w:hAnsi="Arial"/>
          <w:sz w:val="21"/>
          <w:szCs w:val="21"/>
          <w:color w:val="auto"/>
        </w:rPr>
      </w:pPr>
      <w:r>
        <w:rPr>
          <w:rFonts w:ascii="Arial" w:cs="Arial" w:eastAsia="Arial" w:hAnsi="Arial"/>
          <w:sz w:val="21"/>
          <w:szCs w:val="21"/>
          <w:color w:val="auto"/>
        </w:rPr>
        <w:t>Achieved a 'Grade A' certification from MiQ for methane emissions performance in the Los Angeles Basin, marking the first such certification for oil and gas operations in California and the Rocky Mountain region.</w:t>
      </w:r>
    </w:p>
    <w:p>
      <w:pPr>
        <w:spacing w:after="0" w:line="1" w:lineRule="exact"/>
        <w:rPr>
          <w:rFonts w:ascii="Arial" w:cs="Arial" w:eastAsia="Arial" w:hAnsi="Arial"/>
          <w:sz w:val="21"/>
          <w:szCs w:val="21"/>
          <w:color w:val="auto"/>
        </w:rPr>
      </w:pPr>
    </w:p>
    <w:p>
      <w:pPr>
        <w:jc w:val="both"/>
        <w:ind w:left="640" w:hanging="314"/>
        <w:spacing w:after="0" w:line="290" w:lineRule="auto"/>
        <w:tabs>
          <w:tab w:leader="none" w:pos="635" w:val="left"/>
        </w:tabs>
        <w:numPr>
          <w:ilvl w:val="0"/>
          <w:numId w:val="6"/>
        </w:numPr>
        <w:rPr>
          <w:rFonts w:ascii="Arial" w:cs="Arial" w:eastAsia="Arial" w:hAnsi="Arial"/>
          <w:sz w:val="21"/>
          <w:szCs w:val="21"/>
          <w:color w:val="auto"/>
        </w:rPr>
      </w:pPr>
      <w:r>
        <w:rPr>
          <w:rFonts w:ascii="Arial" w:cs="Arial" w:eastAsia="Arial" w:hAnsi="Arial"/>
          <w:sz w:val="21"/>
          <w:szCs w:val="21"/>
          <w:color w:val="auto"/>
        </w:rPr>
        <w:t>Eliminated 311 gas venting pneumatics, aligning with 2030 methane reduction goals and demonstrating a proactive approach to minimizing environmental impact by reducing methane emissions by over 260 metric tons per year.</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240"/>
          </w:cols>
          <w:pgMar w:left="320" w:top="906" w:right="339" w:bottom="1440" w:gutter="0" w:footer="0" w:header="0"/>
        </w:sectPr>
      </w:pPr>
    </w:p>
    <w:bookmarkStart w:id="8" w:name="page9"/>
    <w:bookmarkEnd w:id="8"/>
    <w:p>
      <w:pPr>
        <w:ind w:left="640" w:hanging="314"/>
        <w:spacing w:after="0" w:line="278" w:lineRule="auto"/>
        <w:tabs>
          <w:tab w:leader="none" w:pos="635" w:val="left"/>
        </w:tabs>
        <w:numPr>
          <w:ilvl w:val="0"/>
          <w:numId w:val="7"/>
        </w:numPr>
        <w:rPr>
          <w:rFonts w:ascii="Arial" w:cs="Arial" w:eastAsia="Arial" w:hAnsi="Arial"/>
          <w:sz w:val="21"/>
          <w:szCs w:val="21"/>
          <w:color w:val="auto"/>
        </w:rPr>
      </w:pPr>
      <w:r>
        <w:rPr>
          <w:rFonts w:ascii="Arial" w:cs="Arial" w:eastAsia="Arial" w:hAnsi="Arial"/>
          <w:sz w:val="21"/>
          <w:szCs w:val="21"/>
          <w:color w:val="auto"/>
        </w:rPr>
        <w:t>Delivered more than 112 million barrels of water for agricultural use, exceeding internal consumption and supporting local agriculture.</w:t>
      </w:r>
    </w:p>
    <w:p>
      <w:pPr>
        <w:spacing w:after="0" w:line="1" w:lineRule="exact"/>
        <w:rPr>
          <w:rFonts w:ascii="Arial" w:cs="Arial" w:eastAsia="Arial" w:hAnsi="Arial"/>
          <w:sz w:val="21"/>
          <w:szCs w:val="21"/>
          <w:color w:val="auto"/>
        </w:rPr>
      </w:pPr>
    </w:p>
    <w:p>
      <w:pPr>
        <w:ind w:left="640" w:hanging="314"/>
        <w:spacing w:after="0" w:line="303" w:lineRule="auto"/>
        <w:tabs>
          <w:tab w:leader="none" w:pos="635" w:val="left"/>
        </w:tabs>
        <w:numPr>
          <w:ilvl w:val="0"/>
          <w:numId w:val="7"/>
        </w:numPr>
        <w:rPr>
          <w:rFonts w:ascii="Arial" w:cs="Arial" w:eastAsia="Arial" w:hAnsi="Arial"/>
          <w:sz w:val="21"/>
          <w:szCs w:val="21"/>
          <w:color w:val="auto"/>
        </w:rPr>
      </w:pPr>
      <w:r>
        <w:rPr>
          <w:rFonts w:ascii="Arial" w:cs="Arial" w:eastAsia="Arial" w:hAnsi="Arial"/>
          <w:sz w:val="21"/>
          <w:szCs w:val="21"/>
          <w:color w:val="auto"/>
        </w:rPr>
        <w:t>Launched the Carbon TerraVault I Elk Hills Community Benefits Plan, committing 1% of each project investment toward programs and partnerships that provide transformative benefits to local communities in Kern County.</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Upcoming Investor Conference Participation</w:t>
      </w:r>
    </w:p>
    <w:p>
      <w:pPr>
        <w:spacing w:after="0" w:line="240" w:lineRule="exact"/>
        <w:rPr>
          <w:sz w:val="20"/>
          <w:szCs w:val="20"/>
          <w:color w:val="auto"/>
        </w:rPr>
      </w:pPr>
    </w:p>
    <w:p>
      <w:pPr>
        <w:ind w:left="320"/>
        <w:spacing w:after="0"/>
        <w:rPr>
          <w:sz w:val="20"/>
          <w:szCs w:val="20"/>
          <w:color w:val="auto"/>
        </w:rPr>
      </w:pPr>
      <w:r>
        <w:rPr>
          <w:rFonts w:ascii="Arial" w:cs="Arial" w:eastAsia="Arial" w:hAnsi="Arial"/>
          <w:sz w:val="21"/>
          <w:szCs w:val="21"/>
          <w:color w:val="auto"/>
        </w:rPr>
        <w:t>CRC will be participating in the following events in March 2025:</w:t>
      </w:r>
    </w:p>
    <w:p>
      <w:pPr>
        <w:spacing w:after="0" w:line="252" w:lineRule="exact"/>
        <w:rPr>
          <w:sz w:val="20"/>
          <w:szCs w:val="20"/>
          <w:color w:val="auto"/>
        </w:rPr>
      </w:pPr>
    </w:p>
    <w:p>
      <w:pPr>
        <w:ind w:left="640" w:hanging="314"/>
        <w:spacing w:after="0"/>
        <w:tabs>
          <w:tab w:leader="none" w:pos="640" w:val="left"/>
        </w:tabs>
        <w:numPr>
          <w:ilvl w:val="0"/>
          <w:numId w:val="8"/>
        </w:numPr>
        <w:rPr>
          <w:rFonts w:ascii="Arial" w:cs="Arial" w:eastAsia="Arial" w:hAnsi="Arial"/>
          <w:sz w:val="21"/>
          <w:szCs w:val="21"/>
          <w:color w:val="auto"/>
        </w:rPr>
      </w:pPr>
      <w:r>
        <w:rPr>
          <w:rFonts w:ascii="Arial" w:cs="Arial" w:eastAsia="Arial" w:hAnsi="Arial"/>
          <w:sz w:val="21"/>
          <w:szCs w:val="21"/>
          <w:color w:val="auto"/>
        </w:rPr>
        <w:t>DEP THRIVE Energy Conference on March 5 in Houston, TX</w:t>
      </w:r>
    </w:p>
    <w:p>
      <w:pPr>
        <w:spacing w:after="0" w:line="39" w:lineRule="exact"/>
        <w:rPr>
          <w:rFonts w:ascii="Arial" w:cs="Arial" w:eastAsia="Arial" w:hAnsi="Arial"/>
          <w:sz w:val="21"/>
          <w:szCs w:val="21"/>
          <w:color w:val="auto"/>
        </w:rPr>
      </w:pPr>
    </w:p>
    <w:p>
      <w:pPr>
        <w:ind w:left="640" w:hanging="314"/>
        <w:spacing w:after="0"/>
        <w:tabs>
          <w:tab w:leader="none" w:pos="640" w:val="left"/>
        </w:tabs>
        <w:numPr>
          <w:ilvl w:val="0"/>
          <w:numId w:val="8"/>
        </w:numPr>
        <w:rPr>
          <w:rFonts w:ascii="Arial" w:cs="Arial" w:eastAsia="Arial" w:hAnsi="Arial"/>
          <w:sz w:val="21"/>
          <w:szCs w:val="21"/>
          <w:color w:val="auto"/>
        </w:rPr>
      </w:pPr>
      <w:r>
        <w:rPr>
          <w:rFonts w:ascii="Arial" w:cs="Arial" w:eastAsia="Arial" w:hAnsi="Arial"/>
          <w:sz w:val="21"/>
          <w:szCs w:val="21"/>
          <w:color w:val="auto"/>
        </w:rPr>
        <w:t>Morgan Stanley Global Energy &amp; Power Conference on March 6 in New York, NY</w:t>
      </w:r>
    </w:p>
    <w:p>
      <w:pPr>
        <w:spacing w:after="0" w:line="38" w:lineRule="exact"/>
        <w:rPr>
          <w:rFonts w:ascii="Arial" w:cs="Arial" w:eastAsia="Arial" w:hAnsi="Arial"/>
          <w:sz w:val="21"/>
          <w:szCs w:val="21"/>
          <w:color w:val="auto"/>
        </w:rPr>
      </w:pPr>
    </w:p>
    <w:p>
      <w:pPr>
        <w:ind w:left="640" w:hanging="314"/>
        <w:spacing w:after="0"/>
        <w:tabs>
          <w:tab w:leader="none" w:pos="640" w:val="left"/>
        </w:tabs>
        <w:numPr>
          <w:ilvl w:val="0"/>
          <w:numId w:val="8"/>
        </w:numPr>
        <w:rPr>
          <w:rFonts w:ascii="Arial" w:cs="Arial" w:eastAsia="Arial" w:hAnsi="Arial"/>
          <w:sz w:val="21"/>
          <w:szCs w:val="21"/>
          <w:color w:val="auto"/>
        </w:rPr>
      </w:pPr>
      <w:r>
        <w:rPr>
          <w:rFonts w:ascii="Arial" w:cs="Arial" w:eastAsia="Arial" w:hAnsi="Arial"/>
          <w:sz w:val="21"/>
          <w:szCs w:val="21"/>
          <w:color w:val="auto"/>
        </w:rPr>
        <w:t>CERAWeek 2025 on March 10 to 12 in Houston, TX</w:t>
      </w:r>
    </w:p>
    <w:p>
      <w:pPr>
        <w:spacing w:after="0" w:line="38" w:lineRule="exact"/>
        <w:rPr>
          <w:rFonts w:ascii="Arial" w:cs="Arial" w:eastAsia="Arial" w:hAnsi="Arial"/>
          <w:sz w:val="21"/>
          <w:szCs w:val="21"/>
          <w:color w:val="auto"/>
        </w:rPr>
      </w:pPr>
    </w:p>
    <w:p>
      <w:pPr>
        <w:ind w:left="640" w:hanging="314"/>
        <w:spacing w:after="0"/>
        <w:tabs>
          <w:tab w:leader="none" w:pos="640" w:val="left"/>
        </w:tabs>
        <w:numPr>
          <w:ilvl w:val="0"/>
          <w:numId w:val="8"/>
        </w:numPr>
        <w:rPr>
          <w:rFonts w:ascii="Arial" w:cs="Arial" w:eastAsia="Arial" w:hAnsi="Arial"/>
          <w:sz w:val="21"/>
          <w:szCs w:val="21"/>
          <w:color w:val="auto"/>
        </w:rPr>
      </w:pPr>
      <w:r>
        <w:rPr>
          <w:rFonts w:ascii="Arial" w:cs="Arial" w:eastAsia="Arial" w:hAnsi="Arial"/>
          <w:sz w:val="21"/>
          <w:szCs w:val="21"/>
          <w:color w:val="auto"/>
        </w:rPr>
        <w:t>37th Annual ROTH Conference on March 17 in Dana Point, CA</w:t>
      </w:r>
    </w:p>
    <w:p>
      <w:pPr>
        <w:spacing w:after="0" w:line="25" w:lineRule="exact"/>
        <w:rPr>
          <w:rFonts w:ascii="Arial" w:cs="Arial" w:eastAsia="Arial" w:hAnsi="Arial"/>
          <w:sz w:val="21"/>
          <w:szCs w:val="21"/>
          <w:color w:val="auto"/>
        </w:rPr>
      </w:pPr>
    </w:p>
    <w:p>
      <w:pPr>
        <w:ind w:left="640" w:hanging="314"/>
        <w:spacing w:after="0"/>
        <w:tabs>
          <w:tab w:leader="none" w:pos="640" w:val="left"/>
        </w:tabs>
        <w:numPr>
          <w:ilvl w:val="0"/>
          <w:numId w:val="8"/>
        </w:numPr>
        <w:rPr>
          <w:rFonts w:ascii="Arial" w:cs="Arial" w:eastAsia="Arial" w:hAnsi="Arial"/>
          <w:sz w:val="21"/>
          <w:szCs w:val="21"/>
          <w:color w:val="auto"/>
        </w:rPr>
      </w:pPr>
      <w:r>
        <w:rPr>
          <w:rFonts w:ascii="Arial" w:cs="Arial" w:eastAsia="Arial" w:hAnsi="Arial"/>
          <w:sz w:val="21"/>
          <w:szCs w:val="21"/>
          <w:color w:val="auto"/>
        </w:rPr>
        <w:t>2025 NYSE Investor Access Day on March 20, Virtual</w:t>
      </w:r>
    </w:p>
    <w:p>
      <w:pPr>
        <w:spacing w:after="0" w:line="264" w:lineRule="exact"/>
        <w:rPr>
          <w:sz w:val="20"/>
          <w:szCs w:val="20"/>
          <w:color w:val="auto"/>
        </w:rPr>
      </w:pPr>
    </w:p>
    <w:p>
      <w:pPr>
        <w:jc w:val="both"/>
        <w:ind w:firstLine="320"/>
        <w:spacing w:after="0" w:line="277" w:lineRule="auto"/>
        <w:rPr>
          <w:sz w:val="20"/>
          <w:szCs w:val="20"/>
          <w:color w:val="auto"/>
        </w:rPr>
      </w:pPr>
      <w:r>
        <w:rPr>
          <w:rFonts w:ascii="Arial" w:cs="Arial" w:eastAsia="Arial" w:hAnsi="Arial"/>
          <w:sz w:val="21"/>
          <w:szCs w:val="21"/>
          <w:color w:val="auto"/>
        </w:rPr>
        <w:t>CRC’s presentation materials will be available on the day of the event on its website. See the Events and Presentations page under the Investor Relations section on www.crc.com.</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Conference Call Details</w:t>
      </w:r>
    </w:p>
    <w:p>
      <w:pPr>
        <w:spacing w:after="0" w:line="240" w:lineRule="exact"/>
        <w:rPr>
          <w:sz w:val="20"/>
          <w:szCs w:val="20"/>
          <w:color w:val="auto"/>
        </w:rPr>
      </w:pPr>
    </w:p>
    <w:p>
      <w:pPr>
        <w:jc w:val="both"/>
        <w:ind w:firstLine="320"/>
        <w:spacing w:after="0" w:line="247" w:lineRule="auto"/>
        <w:rPr>
          <w:sz w:val="20"/>
          <w:szCs w:val="20"/>
          <w:color w:val="auto"/>
        </w:rPr>
      </w:pPr>
      <w:r>
        <w:rPr>
          <w:rFonts w:ascii="Arial" w:cs="Arial" w:eastAsia="Arial" w:hAnsi="Arial"/>
          <w:sz w:val="21"/>
          <w:szCs w:val="21"/>
          <w:color w:val="auto"/>
        </w:rPr>
        <w:t xml:space="preserve">A conference call and webcast is planned for 1 p.m. ET (10 a.m. PT) on Monday, March 3, 2025. To participate in the call, dial (877) 328-5505 (International calls dial +1 (412) 317-5421) or access via webcast at www.crc.com. Participants may also pre-register for the conference call at </w:t>
      </w:r>
      <w:r>
        <w:rPr>
          <w:rFonts w:ascii="Arial" w:cs="Arial" w:eastAsia="Arial" w:hAnsi="Arial"/>
          <w:sz w:val="19"/>
          <w:szCs w:val="19"/>
          <w:color w:val="auto"/>
        </w:rPr>
        <w:t>https://dpregister.com/sreg/10194600/fe015c8aa0</w:t>
      </w:r>
      <w:r>
        <w:rPr>
          <w:rFonts w:ascii="Arial" w:cs="Arial" w:eastAsia="Arial" w:hAnsi="Arial"/>
          <w:sz w:val="21"/>
          <w:szCs w:val="21"/>
          <w:color w:val="auto"/>
        </w:rPr>
        <w:t>. A digital replay of the conference call will be available for approximately 90 days.</w:t>
      </w:r>
    </w:p>
    <w:p>
      <w:pPr>
        <w:spacing w:after="0" w:line="197" w:lineRule="exact"/>
        <w:rPr>
          <w:sz w:val="20"/>
          <w:szCs w:val="20"/>
          <w:color w:val="auto"/>
        </w:rPr>
      </w:pPr>
    </w:p>
    <w:p>
      <w:pPr>
        <w:jc w:val="both"/>
        <w:ind w:firstLine="7"/>
        <w:spacing w:after="0" w:line="235" w:lineRule="auto"/>
        <w:tabs>
          <w:tab w:leader="none" w:pos="62"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See Attachment 3 for the non-GAAP financial measures of operating costs per BOE (excluding effects of PSCs), adjusted net income (loss), adjusted net income (loss) per share - basic and diluted, net cash provided by operating activities before changes in operating assets and liabilities, net, adjusted EBITDAX, free cash flow, adjusted general and administrative expenses and capital efficiency including reconciliations to their most directly comparable GAAP measure, where applicable. See Attachment 2 for the 1Q25 and 2025 estimates of the non-GAAP measures of adjusted EBITDAX and adjusted general and administrative expenses, including reconciliations to its most directly comparable GAAP measure.</w:t>
      </w:r>
    </w:p>
    <w:p>
      <w:pPr>
        <w:spacing w:after="0" w:line="213"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2</w:t>
      </w:r>
      <w:r>
        <w:rPr>
          <w:rFonts w:ascii="Arial" w:cs="Arial" w:eastAsia="Arial" w:hAnsi="Arial"/>
          <w:sz w:val="12"/>
          <w:szCs w:val="12"/>
          <w:color w:val="auto"/>
        </w:rPr>
        <w:t xml:space="preserve"> The total value of shares purchased includes approximately $2 million and $1 million in both the years ended December 31, 2024 and 2023 related to excise taxes on share repurchases, which was effective beginning in 2023. Commissions paid were not significant in all periods presented.</w:t>
      </w:r>
    </w:p>
    <w:p>
      <w:pPr>
        <w:spacing w:after="0" w:line="1" w:lineRule="exact"/>
        <w:rPr>
          <w:rFonts w:ascii="Arial" w:cs="Arial" w:eastAsia="Arial" w:hAnsi="Arial"/>
          <w:sz w:val="14"/>
          <w:szCs w:val="14"/>
          <w:color w:val="auto"/>
          <w:vertAlign w:val="superscript"/>
        </w:rPr>
      </w:pPr>
    </w:p>
    <w:p>
      <w:pPr>
        <w:spacing w:after="0" w:line="192" w:lineRule="auto"/>
        <w:rPr>
          <w:rFonts w:ascii="Arial" w:cs="Arial" w:eastAsia="Arial" w:hAnsi="Arial"/>
          <w:sz w:val="14"/>
          <w:szCs w:val="14"/>
          <w:color w:val="auto"/>
          <w:vertAlign w:val="superscript"/>
        </w:rPr>
      </w:pPr>
      <w:r>
        <w:rPr>
          <w:rFonts w:ascii="Arial" w:cs="Arial" w:eastAsia="Arial" w:hAnsi="Arial"/>
          <w:sz w:val="13"/>
          <w:szCs w:val="13"/>
          <w:color w:val="auto"/>
          <w:vertAlign w:val="superscript"/>
        </w:rPr>
        <w:t>3</w:t>
      </w:r>
      <w:r>
        <w:rPr>
          <w:rFonts w:ascii="Arial" w:cs="Arial" w:eastAsia="Arial" w:hAnsi="Arial"/>
          <w:sz w:val="11"/>
          <w:szCs w:val="11"/>
          <w:color w:val="auto"/>
        </w:rPr>
        <w:t xml:space="preserve"> Excludes restricted cash of $18 million.</w:t>
      </w:r>
    </w:p>
    <w:p>
      <w:pPr>
        <w:spacing w:after="0" w:line="219"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4</w:t>
      </w:r>
      <w:r>
        <w:rPr>
          <w:rFonts w:ascii="Arial" w:cs="Arial" w:eastAsia="Arial" w:hAnsi="Arial"/>
          <w:sz w:val="12"/>
          <w:szCs w:val="12"/>
          <w:color w:val="auto"/>
        </w:rPr>
        <w:t xml:space="preserve"> MOUs and CDMAs are non-binding agreements. The projects and transactions described in an MOU or CDMA are subject to certain conditions precedent, typically including the negotiation of definitive documents, a final investment decision by the parties and receipt of EPA Class VI permits and other regulatory approvals.</w:t>
      </w:r>
    </w:p>
    <w:p>
      <w:pPr>
        <w:spacing w:after="0" w:line="187"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5</w:t>
      </w:r>
      <w:r>
        <w:rPr>
          <w:rFonts w:ascii="Arial" w:cs="Arial" w:eastAsia="Arial" w:hAnsi="Arial"/>
          <w:sz w:val="12"/>
          <w:szCs w:val="12"/>
          <w:color w:val="auto"/>
        </w:rPr>
        <w:t xml:space="preserve"> Margin from purchased commodities is calculated as the difference between revenue from purchased commodities and costs related to purchased commodities, and excludes costs of transportation.</w:t>
      </w:r>
    </w:p>
    <w:p>
      <w:pPr>
        <w:spacing w:after="0" w:line="198"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6</w:t>
      </w:r>
      <w:r>
        <w:rPr>
          <w:rFonts w:ascii="Arial" w:cs="Arial" w:eastAsia="Arial" w:hAnsi="Arial"/>
          <w:sz w:val="12"/>
          <w:szCs w:val="12"/>
          <w:color w:val="auto"/>
        </w:rPr>
        <w:t xml:space="preserve"> Electricity margin is calculated as the difference between electricity sales and electricity generation expenses.</w:t>
      </w:r>
    </w:p>
    <w:p>
      <w:pPr>
        <w:jc w:val="both"/>
        <w:spacing w:after="0" w:line="216"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7</w:t>
      </w:r>
      <w:r>
        <w:rPr>
          <w:rFonts w:ascii="Arial" w:cs="Arial" w:eastAsia="Arial" w:hAnsi="Arial"/>
          <w:sz w:val="12"/>
          <w:szCs w:val="12"/>
          <w:color w:val="auto"/>
        </w:rPr>
        <w:t xml:space="preserve"> 1Q25 guidance assumes Brent price of $76.54 per barrel of oil, NGL realizations as a percentage of Brent consistent with prior years and a NYMEX gas price of $3.38 per mcf. Total year 2025 guidance assumes Brent price of $73.05 per barrel of oil, NGL realizations as a percentage of Brent consistent with prior years and a NYMEX gas price of $3.49 per mcf. CRC's share of production under PSC contracts decreases when commodity prices rise and increases when prices fall.</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About California Resources Corporation</w:t>
      </w:r>
    </w:p>
    <w:p>
      <w:pPr>
        <w:spacing w:after="0" w:line="240"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21"/>
          <w:szCs w:val="21"/>
          <w:color w:val="auto"/>
        </w:rPr>
        <w:t>California Resources Corporation (CRC) is an independent energy and carbon management company committed to energy transition. CRC is committed to environmental stewardship while safely providing local, responsibly sourced energy. CRC is also focused on maximizing the value of its land, mineral ownership, and energy expertise for decarbonization by developing CCS and other emissions reducing projects. For more information about CRC, please visit www.crc.com.</w:t>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About Carbon TerraVault</w:t>
      </w:r>
    </w:p>
    <w:p>
      <w:pPr>
        <w:spacing w:after="0" w:line="240"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21"/>
          <w:szCs w:val="21"/>
          <w:color w:val="auto"/>
        </w:rPr>
        <w:t>Carbon TerraVault (CTV), CRC’s carbon management business, is developing services to capture, transport and permanently store CO2 for its customers. CTV is engaged in a series of proposed CCS projects that if developed will inject CO2 captured from industrial sources into</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240"/>
          </w:cols>
          <w:pgMar w:left="320" w:top="886" w:right="339" w:bottom="1440" w:gutter="0" w:footer="0" w:header="0"/>
        </w:sectPr>
      </w:pPr>
    </w:p>
    <w:bookmarkStart w:id="9" w:name="page10"/>
    <w:bookmarkEnd w:id="9"/>
    <w:p>
      <w:pPr>
        <w:ind w:right="180"/>
        <w:spacing w:after="0" w:line="476" w:lineRule="auto"/>
        <w:rPr>
          <w:sz w:val="20"/>
          <w:szCs w:val="20"/>
          <w:color w:val="auto"/>
        </w:rPr>
      </w:pPr>
      <w:r>
        <w:rPr>
          <w:rFonts w:ascii="Arial" w:cs="Arial" w:eastAsia="Arial" w:hAnsi="Arial"/>
          <w:sz w:val="21"/>
          <w:szCs w:val="21"/>
          <w:color w:val="auto"/>
        </w:rPr>
        <w:t xml:space="preserve">depleted reservoirs deep underground for permanent sequestration. For more information, visit carbonterravault.com. </w:t>
      </w:r>
      <w:r>
        <w:rPr>
          <w:rFonts w:ascii="Arial" w:cs="Arial" w:eastAsia="Arial" w:hAnsi="Arial"/>
          <w:sz w:val="21"/>
          <w:szCs w:val="21"/>
          <w:b w:val="1"/>
          <w:bCs w:val="1"/>
          <w:u w:val="single" w:color="auto"/>
          <w:color w:val="auto"/>
        </w:rPr>
        <w:t>Forward-Looking Statements</w:t>
      </w:r>
    </w:p>
    <w:p>
      <w:pPr>
        <w:spacing w:after="0" w:line="2" w:lineRule="exact"/>
        <w:rPr>
          <w:sz w:val="20"/>
          <w:szCs w:val="20"/>
          <w:color w:val="auto"/>
        </w:rPr>
      </w:pPr>
    </w:p>
    <w:p>
      <w:pPr>
        <w:jc w:val="both"/>
        <w:ind w:firstLine="320"/>
        <w:spacing w:after="0" w:line="241" w:lineRule="auto"/>
        <w:rPr>
          <w:sz w:val="20"/>
          <w:szCs w:val="20"/>
          <w:color w:val="auto"/>
        </w:rPr>
      </w:pPr>
      <w:r>
        <w:rPr>
          <w:rFonts w:ascii="Arial" w:cs="Arial" w:eastAsia="Arial" w:hAnsi="Arial"/>
          <w:sz w:val="21"/>
          <w:szCs w:val="21"/>
          <w:color w:val="auto"/>
        </w:rPr>
        <w:t>This document contains statements that CRC believes to be “forward-looking statements” within the meaning of Section 27A of the Securities Act of 1933 and Section 21E of the Securities Exchange Act of 1934. All statements other than historical facts are forward-looking statements, and include statements regarding CRC's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 Additionally, the information in this report contains forward-looking statements related to the recently announced Aera merger.</w:t>
      </w:r>
    </w:p>
    <w:p>
      <w:pPr>
        <w:spacing w:after="0" w:line="214" w:lineRule="exact"/>
        <w:rPr>
          <w:sz w:val="20"/>
          <w:szCs w:val="20"/>
          <w:color w:val="auto"/>
        </w:rPr>
      </w:pPr>
    </w:p>
    <w:p>
      <w:pPr>
        <w:jc w:val="both"/>
        <w:ind w:firstLine="320"/>
        <w:spacing w:after="0" w:line="264" w:lineRule="auto"/>
        <w:rPr>
          <w:sz w:val="20"/>
          <w:szCs w:val="20"/>
          <w:color w:val="auto"/>
        </w:rPr>
      </w:pPr>
      <w:r>
        <w:rPr>
          <w:rFonts w:ascii="Arial" w:cs="Arial" w:eastAsia="Arial" w:hAnsi="Arial"/>
          <w:sz w:val="21"/>
          <w:szCs w:val="21"/>
          <w:color w:val="auto"/>
        </w:rPr>
        <w:t>Although CRC believes the expectations and forecasts reflected in its forward-looking statements are reasonable, they are inherently subject to numerous risks and uncertainties, most of which are difficult to predict and many of which are beyond its control. No assurance can be given that such forward-looking statements will be correct or achieved or that the assumptions are accurate or will not change over time. Particular uncertainties that could cause CRC's actual results to be materially different than those expressed in its forward-looking statements include:</w:t>
      </w:r>
    </w:p>
    <w:p>
      <w:pPr>
        <w:spacing w:after="0" w:line="178" w:lineRule="exact"/>
        <w:rPr>
          <w:sz w:val="20"/>
          <w:szCs w:val="20"/>
          <w:color w:val="auto"/>
        </w:rPr>
      </w:pPr>
    </w:p>
    <w:p>
      <w:pPr>
        <w:ind w:left="640" w:hanging="314"/>
        <w:spacing w:after="0" w:line="248" w:lineRule="auto"/>
        <w:tabs>
          <w:tab w:leader="none" w:pos="635" w:val="left"/>
        </w:tabs>
        <w:numPr>
          <w:ilvl w:val="0"/>
          <w:numId w:val="10"/>
        </w:numPr>
        <w:rPr>
          <w:rFonts w:ascii="Arial" w:cs="Arial" w:eastAsia="Arial" w:hAnsi="Arial"/>
          <w:sz w:val="21"/>
          <w:szCs w:val="21"/>
          <w:color w:val="auto"/>
        </w:rPr>
      </w:pPr>
      <w:r>
        <w:rPr>
          <w:rFonts w:ascii="Arial" w:cs="Arial" w:eastAsia="Arial" w:hAnsi="Arial"/>
          <w:sz w:val="21"/>
          <w:szCs w:val="21"/>
          <w:color w:val="auto"/>
        </w:rPr>
        <w:t>fluctuations in commodity prices, including supply and demand considerations for CRC's products and services, and the impact of such fluctuations on revenues and operating expenses;</w:t>
      </w:r>
    </w:p>
    <w:p>
      <w:pPr>
        <w:ind w:left="640" w:hanging="314"/>
        <w:spacing w:after="0" w:line="238" w:lineRule="auto"/>
        <w:tabs>
          <w:tab w:leader="none" w:pos="6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decisions as to production levels and/or pricing by OPEC or U.S. producers in future periods;</w:t>
      </w:r>
    </w:p>
    <w:p>
      <w:pPr>
        <w:ind w:left="640" w:hanging="314"/>
        <w:spacing w:after="0" w:line="231" w:lineRule="auto"/>
        <w:tabs>
          <w:tab w:leader="none" w:pos="635" w:val="left"/>
        </w:tabs>
        <w:numPr>
          <w:ilvl w:val="0"/>
          <w:numId w:val="10"/>
        </w:numPr>
        <w:rPr>
          <w:rFonts w:ascii="Arial" w:cs="Arial" w:eastAsia="Arial" w:hAnsi="Arial"/>
          <w:sz w:val="21"/>
          <w:szCs w:val="21"/>
          <w:color w:val="auto"/>
        </w:rPr>
      </w:pPr>
      <w:r>
        <w:rPr>
          <w:rFonts w:ascii="Arial" w:cs="Arial" w:eastAsia="Arial" w:hAnsi="Arial"/>
          <w:sz w:val="21"/>
          <w:szCs w:val="21"/>
          <w:color w:val="auto"/>
        </w:rPr>
        <w:t>government policy, war and political conditions and events, including the military conflicts in Israel, Lebanon, Ukraine and the Middle East;</w:t>
      </w:r>
    </w:p>
    <w:p>
      <w:pPr>
        <w:spacing w:after="0" w:line="1" w:lineRule="exact"/>
        <w:rPr>
          <w:rFonts w:ascii="Arial" w:cs="Arial" w:eastAsia="Arial" w:hAnsi="Arial"/>
          <w:sz w:val="21"/>
          <w:szCs w:val="21"/>
          <w:color w:val="auto"/>
        </w:rPr>
      </w:pPr>
    </w:p>
    <w:p>
      <w:pPr>
        <w:ind w:left="640" w:hanging="314"/>
        <w:spacing w:after="0" w:line="238" w:lineRule="auto"/>
        <w:tabs>
          <w:tab w:leader="none" w:pos="635"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ability to successfully execute integration efforts in connection with the Aera Merger, and achieve projected synergies and ensure that such synergies are sustainable;</w:t>
      </w:r>
    </w:p>
    <w:p>
      <w:pPr>
        <w:jc w:val="both"/>
        <w:ind w:left="640" w:hanging="314"/>
        <w:spacing w:after="0" w:line="238" w:lineRule="auto"/>
        <w:tabs>
          <w:tab w:leader="none" w:pos="635" w:val="left"/>
        </w:tabs>
        <w:numPr>
          <w:ilvl w:val="0"/>
          <w:numId w:val="10"/>
        </w:numPr>
        <w:rPr>
          <w:rFonts w:ascii="Arial" w:cs="Arial" w:eastAsia="Arial" w:hAnsi="Arial"/>
          <w:sz w:val="21"/>
          <w:szCs w:val="21"/>
          <w:color w:val="auto"/>
        </w:rPr>
      </w:pPr>
      <w:r>
        <w:rPr>
          <w:rFonts w:ascii="Arial" w:cs="Arial" w:eastAsia="Arial" w:hAnsi="Arial"/>
          <w:sz w:val="21"/>
          <w:szCs w:val="21"/>
          <w:color w:val="auto"/>
        </w:rPr>
        <w:t>regulatory actions and changes that affect the oil and gas industry generally and us in particular, including (1) the availability or timing of, or conditions imposed on, EPA and other governmental permits and approvals necessary for drilling or development activities or its carbon management segment; (2) the management of energy, water, land, greenhouse gases (GHGs) or other emissions, (3) the protection of health, safety and the environment, or (4) the transportation, marketing and sale of its products;</w:t>
      </w:r>
    </w:p>
    <w:p>
      <w:pPr>
        <w:spacing w:after="0" w:line="2" w:lineRule="exact"/>
        <w:rPr>
          <w:rFonts w:ascii="Arial" w:cs="Arial" w:eastAsia="Arial" w:hAnsi="Arial"/>
          <w:sz w:val="21"/>
          <w:szCs w:val="21"/>
          <w:color w:val="auto"/>
        </w:rPr>
      </w:pPr>
    </w:p>
    <w:p>
      <w:pPr>
        <w:ind w:left="640" w:right="20" w:hanging="314"/>
        <w:spacing w:after="0" w:line="238" w:lineRule="auto"/>
        <w:tabs>
          <w:tab w:leader="none" w:pos="635"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efforts of activists to delay prevent oil and gas activities or the development of CRC's carbon management segment through a variety of tactics, including litigation;</w:t>
      </w:r>
    </w:p>
    <w:p>
      <w:pPr>
        <w:ind w:left="640" w:hanging="314"/>
        <w:spacing w:after="0" w:line="225" w:lineRule="auto"/>
        <w:tabs>
          <w:tab w:leader="none" w:pos="6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impact of inflation on future expenses and changes generally in the prices of goods and services;</w:t>
      </w:r>
    </w:p>
    <w:p>
      <w:pPr>
        <w:ind w:left="640" w:hanging="314"/>
        <w:spacing w:after="0" w:line="238" w:lineRule="auto"/>
        <w:tabs>
          <w:tab w:leader="none" w:pos="6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changes in business strategy and capital plan;</w:t>
      </w:r>
    </w:p>
    <w:p>
      <w:pPr>
        <w:ind w:left="640" w:hanging="314"/>
        <w:spacing w:after="0" w:line="238" w:lineRule="auto"/>
        <w:tabs>
          <w:tab w:leader="none" w:pos="6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lower-than-expected production or higher-than-expected production decline rates;</w:t>
      </w:r>
    </w:p>
    <w:p>
      <w:pPr>
        <w:ind w:left="640" w:right="20" w:hanging="314"/>
        <w:spacing w:after="0" w:line="238" w:lineRule="auto"/>
        <w:tabs>
          <w:tab w:leader="none" w:pos="635" w:val="left"/>
        </w:tabs>
        <w:numPr>
          <w:ilvl w:val="0"/>
          <w:numId w:val="10"/>
        </w:numPr>
        <w:rPr>
          <w:rFonts w:ascii="Arial" w:cs="Arial" w:eastAsia="Arial" w:hAnsi="Arial"/>
          <w:sz w:val="21"/>
          <w:szCs w:val="21"/>
          <w:color w:val="auto"/>
        </w:rPr>
      </w:pPr>
      <w:r>
        <w:rPr>
          <w:rFonts w:ascii="Arial" w:cs="Arial" w:eastAsia="Arial" w:hAnsi="Arial"/>
          <w:sz w:val="21"/>
          <w:szCs w:val="21"/>
          <w:color w:val="auto"/>
        </w:rPr>
        <w:t>changes to estimates of reserves and related future cash flows, including changes arising from CRC's inability to develop such reserves in a timely manner, and any inability to replace such reserves;</w:t>
      </w:r>
    </w:p>
    <w:p>
      <w:pPr>
        <w:ind w:left="640" w:hanging="314"/>
        <w:spacing w:after="0" w:line="238" w:lineRule="auto"/>
        <w:tabs>
          <w:tab w:leader="none" w:pos="6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recoverability of resources and unexpected geologic conditions;</w:t>
      </w:r>
    </w:p>
    <w:p>
      <w:pPr>
        <w:ind w:left="640" w:hanging="314"/>
        <w:spacing w:after="0" w:line="248" w:lineRule="auto"/>
        <w:tabs>
          <w:tab w:leader="none" w:pos="635" w:val="left"/>
        </w:tabs>
        <w:numPr>
          <w:ilvl w:val="0"/>
          <w:numId w:val="10"/>
        </w:numPr>
        <w:rPr>
          <w:rFonts w:ascii="Arial" w:cs="Arial" w:eastAsia="Arial" w:hAnsi="Arial"/>
          <w:sz w:val="21"/>
          <w:szCs w:val="21"/>
          <w:color w:val="auto"/>
        </w:rPr>
      </w:pPr>
      <w:r>
        <w:rPr>
          <w:rFonts w:ascii="Arial" w:cs="Arial" w:eastAsia="Arial" w:hAnsi="Arial"/>
          <w:sz w:val="21"/>
          <w:szCs w:val="21"/>
          <w:color w:val="auto"/>
        </w:rPr>
        <w:t>general economic conditions and trends, including conditions in the worldwide financial, trade and credit markets;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240"/>
          </w:cols>
          <w:pgMar w:left="320" w:top="873" w:right="339" w:bottom="1440" w:gutter="0" w:footer="0" w:header="0"/>
        </w:sectPr>
      </w:pPr>
    </w:p>
    <w:bookmarkStart w:id="10" w:name="page11"/>
    <w:bookmarkEnd w:id="10"/>
    <w:p>
      <w:pPr>
        <w:ind w:left="320" w:hanging="314"/>
        <w:spacing w:after="0"/>
        <w:tabs>
          <w:tab w:leader="none" w:pos="320" w:val="left"/>
        </w:tabs>
        <w:numPr>
          <w:ilvl w:val="0"/>
          <w:numId w:val="11"/>
        </w:numPr>
        <w:rPr>
          <w:rFonts w:ascii="Arial" w:cs="Arial" w:eastAsia="Arial" w:hAnsi="Arial"/>
          <w:sz w:val="21"/>
          <w:szCs w:val="21"/>
          <w:color w:val="auto"/>
        </w:rPr>
      </w:pPr>
      <w:r>
        <w:rPr>
          <w:rFonts w:ascii="Arial" w:cs="Arial" w:eastAsia="Arial" w:hAnsi="Arial"/>
          <w:sz w:val="21"/>
          <w:szCs w:val="21"/>
          <w:color w:val="auto"/>
        </w:rPr>
        <w:t>production-sharing contracts' effects on production and operating costs;</w:t>
      </w:r>
    </w:p>
    <w:p>
      <w:pPr>
        <w:spacing w:after="0" w:line="18" w:lineRule="exact"/>
        <w:rPr>
          <w:rFonts w:ascii="Arial" w:cs="Arial" w:eastAsia="Arial" w:hAnsi="Arial"/>
          <w:sz w:val="21"/>
          <w:szCs w:val="21"/>
          <w:color w:val="auto"/>
        </w:rPr>
      </w:pPr>
    </w:p>
    <w:p>
      <w:pPr>
        <w:ind w:left="320" w:hanging="314"/>
        <w:spacing w:after="0" w:line="238" w:lineRule="auto"/>
        <w:tabs>
          <w:tab w:leader="none" w:pos="320" w:val="left"/>
        </w:tabs>
        <w:numPr>
          <w:ilvl w:val="0"/>
          <w:numId w:val="11"/>
        </w:numPr>
        <w:rPr>
          <w:rFonts w:ascii="Arial" w:cs="Arial" w:eastAsia="Arial" w:hAnsi="Arial"/>
          <w:sz w:val="21"/>
          <w:szCs w:val="21"/>
          <w:color w:val="auto"/>
        </w:rPr>
      </w:pPr>
      <w:r>
        <w:rPr>
          <w:rFonts w:ascii="Arial" w:cs="Arial" w:eastAsia="Arial" w:hAnsi="Arial"/>
          <w:sz w:val="21"/>
          <w:szCs w:val="21"/>
          <w:color w:val="auto"/>
        </w:rPr>
        <w:t>the lack of available equipment, service or labor price inflation;</w:t>
      </w:r>
    </w:p>
    <w:p>
      <w:pPr>
        <w:ind w:left="320" w:hanging="314"/>
        <w:spacing w:after="0" w:line="238" w:lineRule="auto"/>
        <w:tabs>
          <w:tab w:leader="none" w:pos="320" w:val="left"/>
        </w:tabs>
        <w:numPr>
          <w:ilvl w:val="0"/>
          <w:numId w:val="11"/>
        </w:numPr>
        <w:rPr>
          <w:rFonts w:ascii="Arial" w:cs="Arial" w:eastAsia="Arial" w:hAnsi="Arial"/>
          <w:sz w:val="21"/>
          <w:szCs w:val="21"/>
          <w:color w:val="auto"/>
        </w:rPr>
      </w:pPr>
      <w:r>
        <w:rPr>
          <w:rFonts w:ascii="Arial" w:cs="Arial" w:eastAsia="Arial" w:hAnsi="Arial"/>
          <w:sz w:val="21"/>
          <w:szCs w:val="21"/>
          <w:color w:val="auto"/>
        </w:rPr>
        <w:t>limitations on transportation or storage capacity and the need to shut-in wells;</w:t>
      </w:r>
    </w:p>
    <w:p>
      <w:pPr>
        <w:ind w:left="320" w:hanging="314"/>
        <w:spacing w:after="0" w:line="238" w:lineRule="auto"/>
        <w:tabs>
          <w:tab w:leader="none" w:pos="320" w:val="left"/>
        </w:tabs>
        <w:numPr>
          <w:ilvl w:val="0"/>
          <w:numId w:val="11"/>
        </w:numPr>
        <w:rPr>
          <w:rFonts w:ascii="Arial" w:cs="Arial" w:eastAsia="Arial" w:hAnsi="Arial"/>
          <w:sz w:val="21"/>
          <w:szCs w:val="21"/>
          <w:color w:val="auto"/>
        </w:rPr>
      </w:pPr>
      <w:r>
        <w:rPr>
          <w:rFonts w:ascii="Arial" w:cs="Arial" w:eastAsia="Arial" w:hAnsi="Arial"/>
          <w:sz w:val="21"/>
          <w:szCs w:val="21"/>
          <w:color w:val="auto"/>
        </w:rPr>
        <w:t>any failure of risk management;</w:t>
      </w:r>
    </w:p>
    <w:p>
      <w:pPr>
        <w:ind w:left="320" w:hanging="314"/>
        <w:spacing w:after="0" w:line="238" w:lineRule="auto"/>
        <w:tabs>
          <w:tab w:leader="none" w:pos="320" w:val="left"/>
        </w:tabs>
        <w:numPr>
          <w:ilvl w:val="0"/>
          <w:numId w:val="11"/>
        </w:numPr>
        <w:rPr>
          <w:rFonts w:ascii="Arial" w:cs="Arial" w:eastAsia="Arial" w:hAnsi="Arial"/>
          <w:sz w:val="21"/>
          <w:szCs w:val="21"/>
          <w:color w:val="auto"/>
        </w:rPr>
      </w:pPr>
      <w:r>
        <w:rPr>
          <w:rFonts w:ascii="Arial" w:cs="Arial" w:eastAsia="Arial" w:hAnsi="Arial"/>
          <w:sz w:val="21"/>
          <w:szCs w:val="21"/>
          <w:color w:val="auto"/>
        </w:rPr>
        <w:t>results from operations and competition in the industries in which it operates;</w:t>
      </w:r>
    </w:p>
    <w:p>
      <w:pPr>
        <w:ind w:left="320" w:hanging="314"/>
        <w:spacing w:after="0" w:line="225" w:lineRule="auto"/>
        <w:tabs>
          <w:tab w:leader="none" w:pos="320" w:val="left"/>
        </w:tabs>
        <w:numPr>
          <w:ilvl w:val="0"/>
          <w:numId w:val="11"/>
        </w:numPr>
        <w:rPr>
          <w:rFonts w:ascii="Arial" w:cs="Arial" w:eastAsia="Arial" w:hAnsi="Arial"/>
          <w:sz w:val="21"/>
          <w:szCs w:val="21"/>
          <w:color w:val="auto"/>
        </w:rPr>
      </w:pPr>
      <w:r>
        <w:rPr>
          <w:rFonts w:ascii="Arial" w:cs="Arial" w:eastAsia="Arial" w:hAnsi="Arial"/>
          <w:sz w:val="21"/>
          <w:szCs w:val="21"/>
          <w:color w:val="auto"/>
        </w:rPr>
        <w:t>CRC's ability to realize the anticipated benefits from prior or future efforts to reduce costs;</w:t>
      </w:r>
    </w:p>
    <w:p>
      <w:pPr>
        <w:ind w:left="320" w:hanging="314"/>
        <w:spacing w:after="0" w:line="238" w:lineRule="auto"/>
        <w:tabs>
          <w:tab w:leader="none" w:pos="315" w:val="left"/>
        </w:tabs>
        <w:numPr>
          <w:ilvl w:val="0"/>
          <w:numId w:val="11"/>
        </w:numPr>
        <w:rPr>
          <w:rFonts w:ascii="Arial" w:cs="Arial" w:eastAsia="Arial" w:hAnsi="Arial"/>
          <w:sz w:val="21"/>
          <w:szCs w:val="21"/>
          <w:color w:val="auto"/>
        </w:rPr>
      </w:pPr>
      <w:r>
        <w:rPr>
          <w:rFonts w:ascii="Arial" w:cs="Arial" w:eastAsia="Arial" w:hAnsi="Arial"/>
          <w:sz w:val="21"/>
          <w:szCs w:val="21"/>
          <w:color w:val="auto"/>
        </w:rPr>
        <w:t>environmental risks and liability under federal, regional, state, provincial, tribal, local and international environmental laws and regulations (including remedial actions);</w:t>
      </w:r>
    </w:p>
    <w:p>
      <w:pPr>
        <w:ind w:left="320" w:hanging="314"/>
        <w:spacing w:after="0" w:line="238" w:lineRule="auto"/>
        <w:tabs>
          <w:tab w:leader="none" w:pos="315" w:val="left"/>
        </w:tabs>
        <w:numPr>
          <w:ilvl w:val="0"/>
          <w:numId w:val="11"/>
        </w:numPr>
        <w:rPr>
          <w:rFonts w:ascii="Arial" w:cs="Arial" w:eastAsia="Arial" w:hAnsi="Arial"/>
          <w:sz w:val="21"/>
          <w:szCs w:val="21"/>
          <w:color w:val="auto"/>
        </w:rPr>
      </w:pPr>
      <w:r>
        <w:rPr>
          <w:rFonts w:ascii="Arial" w:cs="Arial" w:eastAsia="Arial" w:hAnsi="Arial"/>
          <w:sz w:val="21"/>
          <w:szCs w:val="21"/>
          <w:color w:val="auto"/>
        </w:rPr>
        <w:t>the creditworthiness and performance of its counterparties, including financial institutions, operating partners, CCS project participants and other parties;</w:t>
      </w:r>
    </w:p>
    <w:p>
      <w:pPr>
        <w:ind w:left="320" w:hanging="314"/>
        <w:spacing w:after="0" w:line="238" w:lineRule="auto"/>
        <w:tabs>
          <w:tab w:leader="none" w:pos="320" w:val="left"/>
        </w:tabs>
        <w:numPr>
          <w:ilvl w:val="0"/>
          <w:numId w:val="11"/>
        </w:numPr>
        <w:rPr>
          <w:rFonts w:ascii="Arial" w:cs="Arial" w:eastAsia="Arial" w:hAnsi="Arial"/>
          <w:sz w:val="21"/>
          <w:szCs w:val="21"/>
          <w:color w:val="auto"/>
        </w:rPr>
      </w:pPr>
      <w:r>
        <w:rPr>
          <w:rFonts w:ascii="Arial" w:cs="Arial" w:eastAsia="Arial" w:hAnsi="Arial"/>
          <w:sz w:val="21"/>
          <w:szCs w:val="21"/>
          <w:color w:val="auto"/>
        </w:rPr>
        <w:t>reorganization or restructuring of its operations;</w:t>
      </w:r>
    </w:p>
    <w:p>
      <w:pPr>
        <w:ind w:left="320" w:hanging="314"/>
        <w:spacing w:after="0" w:line="238" w:lineRule="auto"/>
        <w:tabs>
          <w:tab w:leader="none" w:pos="320" w:val="left"/>
        </w:tabs>
        <w:numPr>
          <w:ilvl w:val="0"/>
          <w:numId w:val="11"/>
        </w:numPr>
        <w:rPr>
          <w:rFonts w:ascii="Arial" w:cs="Arial" w:eastAsia="Arial" w:hAnsi="Arial"/>
          <w:sz w:val="21"/>
          <w:szCs w:val="21"/>
          <w:color w:val="auto"/>
        </w:rPr>
      </w:pPr>
      <w:r>
        <w:rPr>
          <w:rFonts w:ascii="Arial" w:cs="Arial" w:eastAsia="Arial" w:hAnsi="Arial"/>
          <w:sz w:val="21"/>
          <w:szCs w:val="21"/>
          <w:color w:val="auto"/>
        </w:rPr>
        <w:t>CRC's ability to claim and utilize tax credits or other incentives in connection with our CCS projects;</w:t>
      </w:r>
    </w:p>
    <w:p>
      <w:pPr>
        <w:ind w:left="320" w:hanging="314"/>
        <w:spacing w:after="0" w:line="238" w:lineRule="auto"/>
        <w:tabs>
          <w:tab w:leader="none" w:pos="315" w:val="left"/>
        </w:tabs>
        <w:numPr>
          <w:ilvl w:val="0"/>
          <w:numId w:val="11"/>
        </w:numPr>
        <w:rPr>
          <w:rFonts w:ascii="Arial" w:cs="Arial" w:eastAsia="Arial" w:hAnsi="Arial"/>
          <w:sz w:val="21"/>
          <w:szCs w:val="21"/>
          <w:color w:val="auto"/>
        </w:rPr>
      </w:pPr>
      <w:r>
        <w:rPr>
          <w:rFonts w:ascii="Arial" w:cs="Arial" w:eastAsia="Arial" w:hAnsi="Arial"/>
          <w:sz w:val="21"/>
          <w:szCs w:val="21"/>
          <w:color w:val="auto"/>
        </w:rPr>
        <w:t>CRC's ability to realize the benefits contemplated by its energy transition strategies and initiatives, including CCS projects and other renewable energy efforts;</w:t>
      </w:r>
    </w:p>
    <w:p>
      <w:pPr>
        <w:jc w:val="both"/>
        <w:ind w:left="320" w:hanging="314"/>
        <w:spacing w:after="0" w:line="234" w:lineRule="auto"/>
        <w:tabs>
          <w:tab w:leader="none" w:pos="315" w:val="left"/>
        </w:tabs>
        <w:numPr>
          <w:ilvl w:val="0"/>
          <w:numId w:val="11"/>
        </w:numPr>
        <w:rPr>
          <w:rFonts w:ascii="Arial" w:cs="Arial" w:eastAsia="Arial" w:hAnsi="Arial"/>
          <w:sz w:val="21"/>
          <w:szCs w:val="21"/>
          <w:color w:val="auto"/>
        </w:rPr>
      </w:pPr>
      <w:r>
        <w:rPr>
          <w:rFonts w:ascii="Arial" w:cs="Arial" w:eastAsia="Arial" w:hAnsi="Arial"/>
          <w:sz w:val="21"/>
          <w:szCs w:val="21"/>
          <w:color w:val="auto"/>
        </w:rPr>
        <w:t>CRC's ability to successfully identify, develop and finance carbon capture and storage projects and other renewable energy efforts, including those in connection with the Carbon TerraVault JV, and its ability to convert CDMAs to definitive agreements and enter into other offtake agreements;</w:t>
      </w:r>
    </w:p>
    <w:p>
      <w:pPr>
        <w:ind w:left="320" w:hanging="314"/>
        <w:spacing w:after="0" w:line="238" w:lineRule="auto"/>
        <w:tabs>
          <w:tab w:leader="none" w:pos="320" w:val="left"/>
        </w:tabs>
        <w:numPr>
          <w:ilvl w:val="0"/>
          <w:numId w:val="11"/>
        </w:numPr>
        <w:rPr>
          <w:rFonts w:ascii="Arial" w:cs="Arial" w:eastAsia="Arial" w:hAnsi="Arial"/>
          <w:sz w:val="21"/>
          <w:szCs w:val="21"/>
          <w:color w:val="auto"/>
        </w:rPr>
      </w:pPr>
      <w:r>
        <w:rPr>
          <w:rFonts w:ascii="Arial" w:cs="Arial" w:eastAsia="Arial" w:hAnsi="Arial"/>
          <w:sz w:val="21"/>
          <w:szCs w:val="21"/>
          <w:color w:val="auto"/>
        </w:rPr>
        <w:t>CRC's ability to maximize the value of its carbon management segment and operate it on a stand alone basis;</w:t>
      </w:r>
    </w:p>
    <w:p>
      <w:pPr>
        <w:ind w:left="320" w:hanging="314"/>
        <w:spacing w:after="0" w:line="238" w:lineRule="auto"/>
        <w:tabs>
          <w:tab w:leader="none" w:pos="315" w:val="left"/>
        </w:tabs>
        <w:numPr>
          <w:ilvl w:val="0"/>
          <w:numId w:val="11"/>
        </w:numPr>
        <w:rPr>
          <w:rFonts w:ascii="Arial" w:cs="Arial" w:eastAsia="Arial" w:hAnsi="Arial"/>
          <w:sz w:val="21"/>
          <w:szCs w:val="21"/>
          <w:color w:val="auto"/>
        </w:rPr>
      </w:pPr>
      <w:r>
        <w:rPr>
          <w:rFonts w:ascii="Arial" w:cs="Arial" w:eastAsia="Arial" w:hAnsi="Arial"/>
          <w:sz w:val="21"/>
          <w:szCs w:val="21"/>
          <w:color w:val="auto"/>
        </w:rPr>
        <w:t>CRC's ability to successfully develop infrastructure projects and enter into third party contracts on contemplated terms;</w:t>
      </w:r>
    </w:p>
    <w:p>
      <w:pPr>
        <w:ind w:left="320" w:hanging="314"/>
        <w:spacing w:after="0" w:line="238" w:lineRule="auto"/>
        <w:tabs>
          <w:tab w:leader="none" w:pos="315" w:val="left"/>
        </w:tabs>
        <w:numPr>
          <w:ilvl w:val="0"/>
          <w:numId w:val="11"/>
        </w:numPr>
        <w:rPr>
          <w:rFonts w:ascii="Arial" w:cs="Arial" w:eastAsia="Arial" w:hAnsi="Arial"/>
          <w:sz w:val="21"/>
          <w:szCs w:val="21"/>
          <w:color w:val="auto"/>
        </w:rPr>
      </w:pPr>
      <w:r>
        <w:rPr>
          <w:rFonts w:ascii="Arial" w:cs="Arial" w:eastAsia="Arial" w:hAnsi="Arial"/>
          <w:sz w:val="21"/>
          <w:szCs w:val="21"/>
          <w:color w:val="auto"/>
        </w:rPr>
        <w:t>uncertainty around the accounting of emissions and its ability to successfully gather and verify emissions data and other environmental impacts;</w:t>
      </w:r>
    </w:p>
    <w:p>
      <w:pPr>
        <w:ind w:left="320" w:hanging="314"/>
        <w:spacing w:after="0" w:line="238" w:lineRule="auto"/>
        <w:tabs>
          <w:tab w:leader="none" w:pos="315" w:val="left"/>
        </w:tabs>
        <w:numPr>
          <w:ilvl w:val="0"/>
          <w:numId w:val="11"/>
        </w:numPr>
        <w:rPr>
          <w:rFonts w:ascii="Arial" w:cs="Arial" w:eastAsia="Arial" w:hAnsi="Arial"/>
          <w:sz w:val="21"/>
          <w:szCs w:val="21"/>
          <w:color w:val="auto"/>
        </w:rPr>
      </w:pPr>
      <w:r>
        <w:rPr>
          <w:rFonts w:ascii="Arial" w:cs="Arial" w:eastAsia="Arial" w:hAnsi="Arial"/>
          <w:sz w:val="21"/>
          <w:szCs w:val="21"/>
          <w:color w:val="auto"/>
        </w:rPr>
        <w:t>changes to CRC's dividend policy and share repurchase program, and its ability to declare future dividends or repurchase shares under its debt agreements;</w:t>
      </w:r>
    </w:p>
    <w:p>
      <w:pPr>
        <w:ind w:left="320" w:hanging="314"/>
        <w:spacing w:after="0" w:line="238" w:lineRule="auto"/>
        <w:tabs>
          <w:tab w:leader="none" w:pos="320" w:val="left"/>
        </w:tabs>
        <w:numPr>
          <w:ilvl w:val="0"/>
          <w:numId w:val="11"/>
        </w:numPr>
        <w:rPr>
          <w:rFonts w:ascii="Arial" w:cs="Arial" w:eastAsia="Arial" w:hAnsi="Arial"/>
          <w:sz w:val="21"/>
          <w:szCs w:val="21"/>
          <w:color w:val="auto"/>
        </w:rPr>
      </w:pPr>
      <w:r>
        <w:rPr>
          <w:rFonts w:ascii="Arial" w:cs="Arial" w:eastAsia="Arial" w:hAnsi="Arial"/>
          <w:sz w:val="21"/>
          <w:szCs w:val="21"/>
          <w:color w:val="auto"/>
        </w:rPr>
        <w:t>limitations on CRC's financial flexibility due to existing and future debt;</w:t>
      </w:r>
    </w:p>
    <w:p>
      <w:pPr>
        <w:ind w:left="320" w:hanging="314"/>
        <w:spacing w:after="0" w:line="238" w:lineRule="auto"/>
        <w:tabs>
          <w:tab w:leader="none" w:pos="320" w:val="left"/>
        </w:tabs>
        <w:numPr>
          <w:ilvl w:val="0"/>
          <w:numId w:val="11"/>
        </w:numPr>
        <w:rPr>
          <w:rFonts w:ascii="Arial" w:cs="Arial" w:eastAsia="Arial" w:hAnsi="Arial"/>
          <w:sz w:val="21"/>
          <w:szCs w:val="21"/>
          <w:color w:val="auto"/>
        </w:rPr>
      </w:pPr>
      <w:r>
        <w:rPr>
          <w:rFonts w:ascii="Arial" w:cs="Arial" w:eastAsia="Arial" w:hAnsi="Arial"/>
          <w:sz w:val="21"/>
          <w:szCs w:val="21"/>
          <w:color w:val="auto"/>
        </w:rPr>
        <w:t>insufficient cash flow to fund its capital plan and other planned investments and return capital to shareholders;</w:t>
      </w:r>
    </w:p>
    <w:p>
      <w:pPr>
        <w:ind w:left="320" w:hanging="314"/>
        <w:spacing w:after="0" w:line="225" w:lineRule="auto"/>
        <w:tabs>
          <w:tab w:leader="none" w:pos="320" w:val="left"/>
        </w:tabs>
        <w:numPr>
          <w:ilvl w:val="0"/>
          <w:numId w:val="11"/>
        </w:numPr>
        <w:rPr>
          <w:rFonts w:ascii="Arial" w:cs="Arial" w:eastAsia="Arial" w:hAnsi="Arial"/>
          <w:sz w:val="21"/>
          <w:szCs w:val="21"/>
          <w:color w:val="auto"/>
        </w:rPr>
      </w:pPr>
      <w:r>
        <w:rPr>
          <w:rFonts w:ascii="Arial" w:cs="Arial" w:eastAsia="Arial" w:hAnsi="Arial"/>
          <w:sz w:val="21"/>
          <w:szCs w:val="21"/>
          <w:color w:val="auto"/>
        </w:rPr>
        <w:t>changes in interest rates;</w:t>
      </w:r>
    </w:p>
    <w:p>
      <w:pPr>
        <w:ind w:left="320" w:hanging="314"/>
        <w:spacing w:after="0" w:line="238" w:lineRule="auto"/>
        <w:tabs>
          <w:tab w:leader="none" w:pos="315" w:val="left"/>
        </w:tabs>
        <w:numPr>
          <w:ilvl w:val="0"/>
          <w:numId w:val="11"/>
        </w:numPr>
        <w:rPr>
          <w:rFonts w:ascii="Arial" w:cs="Arial" w:eastAsia="Arial" w:hAnsi="Arial"/>
          <w:sz w:val="21"/>
          <w:szCs w:val="21"/>
          <w:color w:val="auto"/>
        </w:rPr>
      </w:pPr>
      <w:r>
        <w:rPr>
          <w:rFonts w:ascii="Arial" w:cs="Arial" w:eastAsia="Arial" w:hAnsi="Arial"/>
          <w:sz w:val="21"/>
          <w:szCs w:val="21"/>
          <w:color w:val="auto"/>
        </w:rPr>
        <w:t>CRC's access to and the terms of credit in commercial banking and capital markets, including its ability to refinance debt or obtain separate financing for its carbon management segment;</w:t>
      </w:r>
    </w:p>
    <w:p>
      <w:pPr>
        <w:ind w:left="320" w:hanging="314"/>
        <w:spacing w:after="0" w:line="238" w:lineRule="auto"/>
        <w:tabs>
          <w:tab w:leader="none" w:pos="315" w:val="left"/>
        </w:tabs>
        <w:numPr>
          <w:ilvl w:val="0"/>
          <w:numId w:val="11"/>
        </w:numPr>
        <w:rPr>
          <w:rFonts w:ascii="Arial" w:cs="Arial" w:eastAsia="Arial" w:hAnsi="Arial"/>
          <w:sz w:val="21"/>
          <w:szCs w:val="21"/>
          <w:color w:val="auto"/>
        </w:rPr>
      </w:pPr>
      <w:r>
        <w:rPr>
          <w:rFonts w:ascii="Arial" w:cs="Arial" w:eastAsia="Arial" w:hAnsi="Arial"/>
          <w:sz w:val="21"/>
          <w:szCs w:val="21"/>
          <w:color w:val="auto"/>
        </w:rPr>
        <w:t>changes in state, federal or international tax rates, including CRC's ability to utilize its net operating loss carryforwards to reduce its income tax obligations;</w:t>
      </w:r>
    </w:p>
    <w:p>
      <w:pPr>
        <w:ind w:left="320" w:hanging="314"/>
        <w:spacing w:after="0" w:line="238" w:lineRule="auto"/>
        <w:tabs>
          <w:tab w:leader="none" w:pos="320" w:val="left"/>
        </w:tabs>
        <w:numPr>
          <w:ilvl w:val="0"/>
          <w:numId w:val="11"/>
        </w:numPr>
        <w:rPr>
          <w:rFonts w:ascii="Arial" w:cs="Arial" w:eastAsia="Arial" w:hAnsi="Arial"/>
          <w:sz w:val="21"/>
          <w:szCs w:val="21"/>
          <w:color w:val="auto"/>
        </w:rPr>
      </w:pPr>
      <w:r>
        <w:rPr>
          <w:rFonts w:ascii="Arial" w:cs="Arial" w:eastAsia="Arial" w:hAnsi="Arial"/>
          <w:sz w:val="21"/>
          <w:szCs w:val="21"/>
          <w:color w:val="auto"/>
        </w:rPr>
        <w:t>effects of hedging transactions;</w:t>
      </w:r>
    </w:p>
    <w:p>
      <w:pPr>
        <w:ind w:left="320" w:hanging="314"/>
        <w:spacing w:after="0" w:line="238" w:lineRule="auto"/>
        <w:tabs>
          <w:tab w:leader="none" w:pos="320" w:val="left"/>
        </w:tabs>
        <w:numPr>
          <w:ilvl w:val="0"/>
          <w:numId w:val="11"/>
        </w:numPr>
        <w:rPr>
          <w:rFonts w:ascii="Arial" w:cs="Arial" w:eastAsia="Arial" w:hAnsi="Arial"/>
          <w:sz w:val="21"/>
          <w:szCs w:val="21"/>
          <w:color w:val="auto"/>
        </w:rPr>
      </w:pPr>
      <w:r>
        <w:rPr>
          <w:rFonts w:ascii="Arial" w:cs="Arial" w:eastAsia="Arial" w:hAnsi="Arial"/>
          <w:sz w:val="21"/>
          <w:szCs w:val="21"/>
          <w:color w:val="auto"/>
        </w:rPr>
        <w:t>the effect of CRC's stock price on costs associated with incentive compensation;</w:t>
      </w:r>
    </w:p>
    <w:p>
      <w:pPr>
        <w:ind w:left="320" w:right="20" w:hanging="314"/>
        <w:spacing w:after="0" w:line="238" w:lineRule="auto"/>
        <w:tabs>
          <w:tab w:leader="none" w:pos="315" w:val="left"/>
        </w:tabs>
        <w:numPr>
          <w:ilvl w:val="0"/>
          <w:numId w:val="11"/>
        </w:numPr>
        <w:rPr>
          <w:rFonts w:ascii="Arial" w:cs="Arial" w:eastAsia="Arial" w:hAnsi="Arial"/>
          <w:sz w:val="21"/>
          <w:szCs w:val="21"/>
          <w:color w:val="auto"/>
        </w:rPr>
      </w:pPr>
      <w:r>
        <w:rPr>
          <w:rFonts w:ascii="Arial" w:cs="Arial" w:eastAsia="Arial" w:hAnsi="Arial"/>
          <w:sz w:val="21"/>
          <w:szCs w:val="21"/>
          <w:color w:val="auto"/>
        </w:rPr>
        <w:t>inability to enter into desirable transactions, including joint ventures, divestitures of oil and natural gas properties and real estate, and acquisitions, and its ability to achieve any expected synergies;</w:t>
      </w:r>
    </w:p>
    <w:p>
      <w:pPr>
        <w:jc w:val="both"/>
        <w:ind w:left="320" w:hanging="314"/>
        <w:spacing w:after="0" w:line="234" w:lineRule="auto"/>
        <w:tabs>
          <w:tab w:leader="none" w:pos="315" w:val="left"/>
        </w:tabs>
        <w:numPr>
          <w:ilvl w:val="0"/>
          <w:numId w:val="11"/>
        </w:numPr>
        <w:rPr>
          <w:rFonts w:ascii="Arial" w:cs="Arial" w:eastAsia="Arial" w:hAnsi="Arial"/>
          <w:sz w:val="21"/>
          <w:szCs w:val="21"/>
          <w:color w:val="auto"/>
        </w:rPr>
      </w:pPr>
      <w:r>
        <w:rPr>
          <w:rFonts w:ascii="Arial" w:cs="Arial" w:eastAsia="Arial" w:hAnsi="Arial"/>
          <w:sz w:val="21"/>
          <w:szCs w:val="21"/>
          <w:color w:val="auto"/>
        </w:rPr>
        <w:t>disruptions due to earthquakes, forest fires, floods, extreme weather events or other natural occurrences, accidents, mechanical failures, power outages, transportation or storage constraints, labor difficulties, cybersecurity breaches or attacks or other catastrophic events;</w:t>
      </w:r>
    </w:p>
    <w:p>
      <w:pPr>
        <w:ind w:left="320" w:hanging="314"/>
        <w:spacing w:after="0" w:line="238" w:lineRule="auto"/>
        <w:tabs>
          <w:tab w:leader="none" w:pos="320" w:val="left"/>
        </w:tabs>
        <w:numPr>
          <w:ilvl w:val="0"/>
          <w:numId w:val="11"/>
        </w:numPr>
        <w:rPr>
          <w:rFonts w:ascii="Arial" w:cs="Arial" w:eastAsia="Arial" w:hAnsi="Arial"/>
          <w:sz w:val="21"/>
          <w:szCs w:val="21"/>
          <w:color w:val="auto"/>
        </w:rPr>
      </w:pPr>
      <w:r>
        <w:rPr>
          <w:rFonts w:ascii="Arial" w:cs="Arial" w:eastAsia="Arial" w:hAnsi="Arial"/>
          <w:sz w:val="21"/>
          <w:szCs w:val="21"/>
          <w:color w:val="auto"/>
        </w:rPr>
        <w:t>pandemics, epidemics, outbreaks, or other public health events, such as the COVID-19 pandemic; and</w:t>
      </w:r>
    </w:p>
    <w:p>
      <w:pPr>
        <w:ind w:left="320" w:hanging="314"/>
        <w:spacing w:after="0"/>
        <w:tabs>
          <w:tab w:leader="none" w:pos="320" w:val="left"/>
        </w:tabs>
        <w:numPr>
          <w:ilvl w:val="0"/>
          <w:numId w:val="11"/>
        </w:numPr>
        <w:rPr>
          <w:rFonts w:ascii="Arial" w:cs="Arial" w:eastAsia="Arial" w:hAnsi="Arial"/>
          <w:sz w:val="21"/>
          <w:szCs w:val="21"/>
          <w:color w:val="auto"/>
        </w:rPr>
      </w:pPr>
      <w:r>
        <w:rPr>
          <w:rFonts w:ascii="Arial" w:cs="Arial" w:eastAsia="Arial" w:hAnsi="Arial"/>
          <w:sz w:val="21"/>
          <w:szCs w:val="21"/>
          <w:color w:val="auto"/>
        </w:rPr>
        <w:t xml:space="preserve">other factors discussed in </w:t>
      </w:r>
      <w:r>
        <w:rPr>
          <w:rFonts w:ascii="Arial" w:cs="Arial" w:eastAsia="Arial" w:hAnsi="Arial"/>
          <w:sz w:val="21"/>
          <w:szCs w:val="21"/>
          <w:i w:val="1"/>
          <w:iCs w:val="1"/>
          <w:color w:val="auto"/>
        </w:rPr>
        <w:t>Part I, Item 1A – Risk Factors.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0920"/>
          </w:cols>
          <w:pgMar w:left="640" w:top="873" w:right="339" w:bottom="1440" w:gutter="0" w:footer="0" w:header="0"/>
        </w:sectPr>
      </w:pPr>
    </w:p>
    <w:bookmarkStart w:id="11" w:name="page12"/>
    <w:bookmarkEnd w:id="11"/>
    <w:p>
      <w:pPr>
        <w:jc w:val="both"/>
        <w:ind w:firstLine="320"/>
        <w:spacing w:after="0" w:line="266" w:lineRule="auto"/>
        <w:rPr>
          <w:sz w:val="20"/>
          <w:szCs w:val="20"/>
          <w:color w:val="auto"/>
        </w:rPr>
      </w:pPr>
      <w:r>
        <w:rPr>
          <w:rFonts w:ascii="Arial" w:cs="Arial" w:eastAsia="Arial" w:hAnsi="Arial"/>
          <w:sz w:val="21"/>
          <w:szCs w:val="21"/>
          <w:color w:val="auto"/>
        </w:rPr>
        <w:t>CRC cautions you not to place undue reliance on forward-looking statements contained in this document, which speak only as of the filing date, and CRC undertakes no obligation to update this information. This document may also contain information from third party sources. This data may involve a number of assumptions and limitations, and CRC has not independently verified them and does not warrant the accuracy or completeness of such third-party information.</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60" w:type="dxa"/>
            <w:vAlign w:val="bottom"/>
            <w:gridSpan w:val="4"/>
          </w:tcPr>
          <w:p>
            <w:pPr>
              <w:spacing w:after="0"/>
              <w:rPr>
                <w:sz w:val="20"/>
                <w:szCs w:val="20"/>
                <w:color w:val="auto"/>
              </w:rPr>
            </w:pPr>
            <w:r>
              <w:rPr>
                <w:rFonts w:ascii="Arial" w:cs="Arial" w:eastAsia="Arial" w:hAnsi="Arial"/>
                <w:sz w:val="21"/>
                <w:szCs w:val="21"/>
                <w:b w:val="1"/>
                <w:bCs w:val="1"/>
                <w:color w:val="auto"/>
              </w:rPr>
              <w:t>Contacts:</w:t>
            </w:r>
          </w:p>
        </w:tc>
        <w:tc>
          <w:tcPr>
            <w:tcW w:w="2260" w:type="dxa"/>
            <w:vAlign w:val="bottom"/>
          </w:tcPr>
          <w:p>
            <w:pPr>
              <w:spacing w:after="0"/>
              <w:rPr>
                <w:sz w:val="21"/>
                <w:szCs w:val="2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87"/>
        </w:trPr>
        <w:tc>
          <w:tcPr>
            <w:tcW w:w="20" w:type="dxa"/>
            <w:vAlign w:val="bottom"/>
          </w:tcPr>
          <w:p>
            <w:pPr>
              <w:spacing w:after="0"/>
              <w:rPr>
                <w:sz w:val="24"/>
                <w:szCs w:val="24"/>
                <w:color w:val="auto"/>
              </w:rPr>
            </w:pPr>
          </w:p>
        </w:tc>
        <w:tc>
          <w:tcPr>
            <w:tcW w:w="5540" w:type="dxa"/>
            <w:vAlign w:val="bottom"/>
            <w:gridSpan w:val="3"/>
          </w:tcPr>
          <w:p>
            <w:pPr>
              <w:spacing w:after="0"/>
              <w:rPr>
                <w:sz w:val="20"/>
                <w:szCs w:val="20"/>
                <w:color w:val="auto"/>
              </w:rPr>
            </w:pPr>
            <w:r>
              <w:rPr>
                <w:rFonts w:ascii="Arial" w:cs="Arial" w:eastAsia="Arial" w:hAnsi="Arial"/>
                <w:sz w:val="21"/>
                <w:szCs w:val="21"/>
                <w:color w:val="auto"/>
              </w:rPr>
              <w:t>Joanna Park (Investor Relations)</w:t>
            </w:r>
          </w:p>
        </w:tc>
        <w:tc>
          <w:tcPr>
            <w:tcW w:w="2260" w:type="dxa"/>
            <w:vAlign w:val="bottom"/>
          </w:tcPr>
          <w:p>
            <w:pPr>
              <w:spacing w:after="0"/>
              <w:rPr>
                <w:sz w:val="20"/>
                <w:szCs w:val="20"/>
                <w:color w:val="auto"/>
              </w:rPr>
            </w:pPr>
            <w:r>
              <w:rPr>
                <w:rFonts w:ascii="Arial" w:cs="Arial" w:eastAsia="Arial" w:hAnsi="Arial"/>
                <w:sz w:val="21"/>
                <w:szCs w:val="21"/>
                <w:color w:val="auto"/>
              </w:rPr>
              <w:t>Richard Venn (Media)</w:t>
            </w:r>
          </w:p>
        </w:tc>
      </w:tr>
      <w:tr>
        <w:trPr>
          <w:trHeight w:val="240"/>
        </w:trPr>
        <w:tc>
          <w:tcPr>
            <w:tcW w:w="2180" w:type="dxa"/>
            <w:vAlign w:val="bottom"/>
            <w:gridSpan w:val="3"/>
          </w:tcPr>
          <w:p>
            <w:pPr>
              <w:ind w:left="20"/>
              <w:spacing w:after="0" w:line="240" w:lineRule="exact"/>
              <w:rPr>
                <w:sz w:val="20"/>
                <w:szCs w:val="20"/>
                <w:color w:val="auto"/>
              </w:rPr>
            </w:pPr>
            <w:r>
              <w:rPr>
                <w:rFonts w:ascii="Arial" w:cs="Arial" w:eastAsia="Arial" w:hAnsi="Arial"/>
                <w:sz w:val="21"/>
                <w:szCs w:val="21"/>
                <w:color w:val="auto"/>
              </w:rPr>
              <w:t>818-661-3731</w:t>
            </w:r>
          </w:p>
        </w:tc>
        <w:tc>
          <w:tcPr>
            <w:tcW w:w="3380" w:type="dxa"/>
            <w:vAlign w:val="bottom"/>
          </w:tcPr>
          <w:p>
            <w:pPr>
              <w:spacing w:after="0"/>
              <w:rPr>
                <w:sz w:val="20"/>
                <w:szCs w:val="20"/>
                <w:color w:val="auto"/>
              </w:rPr>
            </w:pPr>
          </w:p>
        </w:tc>
        <w:tc>
          <w:tcPr>
            <w:tcW w:w="2260" w:type="dxa"/>
            <w:vAlign w:val="bottom"/>
          </w:tcPr>
          <w:p>
            <w:pPr>
              <w:spacing w:after="0" w:line="240" w:lineRule="exact"/>
              <w:rPr>
                <w:sz w:val="20"/>
                <w:szCs w:val="20"/>
                <w:color w:val="auto"/>
              </w:rPr>
            </w:pPr>
            <w:r>
              <w:rPr>
                <w:rFonts w:ascii="Arial" w:cs="Arial" w:eastAsia="Arial" w:hAnsi="Arial"/>
                <w:sz w:val="21"/>
                <w:szCs w:val="21"/>
                <w:color w:val="auto"/>
              </w:rPr>
              <w:t>818-661-6014</w:t>
            </w:r>
          </w:p>
        </w:tc>
      </w:tr>
      <w:tr>
        <w:trPr>
          <w:trHeight w:val="226"/>
        </w:trPr>
        <w:tc>
          <w:tcPr>
            <w:tcW w:w="20" w:type="dxa"/>
            <w:vAlign w:val="bottom"/>
          </w:tcPr>
          <w:p>
            <w:pPr>
              <w:spacing w:after="0"/>
              <w:rPr>
                <w:sz w:val="19"/>
                <w:szCs w:val="19"/>
                <w:color w:val="auto"/>
              </w:rPr>
            </w:pPr>
          </w:p>
        </w:tc>
        <w:tc>
          <w:tcPr>
            <w:tcW w:w="5540" w:type="dxa"/>
            <w:vAlign w:val="bottom"/>
            <w:gridSpan w:val="3"/>
          </w:tcPr>
          <w:p>
            <w:pPr>
              <w:spacing w:after="0" w:line="226" w:lineRule="exact"/>
              <w:rPr>
                <w:sz w:val="20"/>
                <w:szCs w:val="20"/>
                <w:color w:val="auto"/>
              </w:rPr>
            </w:pPr>
            <w:r>
              <w:rPr>
                <w:rFonts w:ascii="Arial" w:cs="Arial" w:eastAsia="Arial" w:hAnsi="Arial"/>
                <w:sz w:val="21"/>
                <w:szCs w:val="21"/>
                <w:color w:val="421BFF"/>
              </w:rPr>
              <w:t>Joanna.Park@crc.com</w:t>
            </w:r>
          </w:p>
        </w:tc>
        <w:tc>
          <w:tcPr>
            <w:tcW w:w="2260" w:type="dxa"/>
            <w:vAlign w:val="bottom"/>
          </w:tcPr>
          <w:p>
            <w:pPr>
              <w:spacing w:after="0" w:line="226" w:lineRule="exact"/>
              <w:rPr>
                <w:sz w:val="20"/>
                <w:szCs w:val="20"/>
                <w:color w:val="auto"/>
              </w:rPr>
            </w:pPr>
            <w:r>
              <w:rPr>
                <w:rFonts w:ascii="Arial" w:cs="Arial" w:eastAsia="Arial" w:hAnsi="Arial"/>
                <w:sz w:val="21"/>
                <w:szCs w:val="21"/>
                <w:color w:val="421BFF"/>
              </w:rPr>
              <w:t>Richard.Venn@crc.com</w:t>
            </w: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421BFF"/>
          </w:tcPr>
          <w:p>
            <w:pPr>
              <w:spacing w:after="0" w:line="20" w:lineRule="exact"/>
              <w:rPr>
                <w:sz w:val="1"/>
                <w:szCs w:val="1"/>
                <w:color w:val="auto"/>
              </w:rPr>
            </w:pPr>
          </w:p>
        </w:tc>
        <w:tc>
          <w:tcPr>
            <w:tcW w:w="1200" w:type="dxa"/>
            <w:vAlign w:val="bottom"/>
            <w:shd w:val="clear" w:color="auto" w:fill="421BFF"/>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60" w:type="dxa"/>
            <w:vAlign w:val="bottom"/>
            <w:shd w:val="clear" w:color="auto" w:fill="421B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1</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SUMMARY OF RESULTS</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07"/>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4th Quarter</w:t>
            </w:r>
          </w:p>
        </w:tc>
        <w:tc>
          <w:tcPr>
            <w:tcW w:w="20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 Year</w:t>
            </w:r>
          </w:p>
        </w:tc>
        <w:tc>
          <w:tcPr>
            <w:tcW w:w="200" w:type="dxa"/>
            <w:vAlign w:val="bottom"/>
          </w:tcPr>
          <w:p>
            <w:pPr>
              <w:spacing w:after="0"/>
              <w:rPr>
                <w:sz w:val="24"/>
                <w:szCs w:val="24"/>
                <w:color w:val="auto"/>
              </w:rPr>
            </w:pPr>
          </w:p>
        </w:tc>
        <w:tc>
          <w:tcPr>
            <w:tcW w:w="110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 Year</w:t>
            </w:r>
          </w:p>
        </w:tc>
      </w:tr>
      <w:tr>
        <w:trPr>
          <w:trHeight w:val="201"/>
        </w:trPr>
        <w:tc>
          <w:tcPr>
            <w:tcW w:w="20" w:type="dxa"/>
            <w:vAlign w:val="bottom"/>
            <w:tcBorders>
              <w:bottom w:val="single" w:sz="8" w:color="auto"/>
            </w:tcBorders>
          </w:tcPr>
          <w:p>
            <w:pPr>
              <w:spacing w:after="0"/>
              <w:rPr>
                <w:sz w:val="17"/>
                <w:szCs w:val="17"/>
                <w:color w:val="auto"/>
              </w:rPr>
            </w:pPr>
          </w:p>
        </w:tc>
        <w:tc>
          <w:tcPr>
            <w:tcW w:w="4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and shares in millions, except per share amounts)</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r>
      <w:tr>
        <w:trPr>
          <w:trHeight w:val="287"/>
        </w:trPr>
        <w:tc>
          <w:tcPr>
            <w:tcW w:w="2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Statements of Operations: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2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Oil, natural gas and NGL sales</w:t>
            </w: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826</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870</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483</w:t>
            </w:r>
          </w:p>
        </w:tc>
        <w:tc>
          <w:tcPr>
            <w:tcW w:w="1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2,537</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2,155</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Net (loss) gain from commodity derivatives</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356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241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(12)</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Revenue from marketing of purchased commodities</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407</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Electricity sales</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211</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Interest and other revenue</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40</w:t>
            </w:r>
          </w:p>
        </w:tc>
      </w:tr>
      <w:tr>
        <w:trPr>
          <w:trHeight w:val="193"/>
        </w:trPr>
        <w:tc>
          <w:tcPr>
            <w:tcW w:w="20" w:type="dxa"/>
            <w:vAlign w:val="bottom"/>
          </w:tcPr>
          <w:p>
            <w:pPr>
              <w:spacing w:after="0"/>
              <w:rPr>
                <w:sz w:val="16"/>
                <w:szCs w:val="16"/>
                <w:color w:val="auto"/>
              </w:rPr>
            </w:pPr>
          </w:p>
        </w:tc>
        <w:tc>
          <w:tcPr>
            <w:tcW w:w="4340" w:type="dxa"/>
            <w:vAlign w:val="bottom"/>
            <w:gridSpan w:val="2"/>
          </w:tcPr>
          <w:p>
            <w:pPr>
              <w:ind w:left="180"/>
              <w:spacing w:after="0"/>
              <w:rPr>
                <w:sz w:val="20"/>
                <w:szCs w:val="20"/>
                <w:color w:val="auto"/>
              </w:rPr>
            </w:pPr>
            <w:r>
              <w:rPr>
                <w:rFonts w:ascii="Arial" w:cs="Arial" w:eastAsia="Arial" w:hAnsi="Arial"/>
                <w:sz w:val="14"/>
                <w:szCs w:val="14"/>
                <w:color w:val="auto"/>
              </w:rPr>
              <w:t>Total operating revenues</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877</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1,353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726</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3,198</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2,801</w:t>
            </w:r>
          </w:p>
        </w:tc>
      </w:tr>
      <w:tr>
        <w:trPr>
          <w:trHeight w:val="287"/>
        </w:trPr>
        <w:tc>
          <w:tcPr>
            <w:tcW w:w="2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Operating costs</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186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966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822</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General and administrative expenses</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106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267</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388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225</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Asset impairment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3</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Taxes other than on income</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165</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Costs related to marketing of purchased commodities</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193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224</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Electricity generation expenses</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103</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Transportation costs</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67</w:t>
            </w:r>
          </w:p>
        </w:tc>
      </w:tr>
      <w:tr>
        <w:trPr>
          <w:trHeight w:val="200"/>
        </w:trPr>
        <w:tc>
          <w:tcPr>
            <w:tcW w:w="20" w:type="dxa"/>
            <w:vAlign w:val="bottom"/>
          </w:tcPr>
          <w:p>
            <w:pPr>
              <w:spacing w:after="0"/>
              <w:rPr>
                <w:sz w:val="17"/>
                <w:szCs w:val="17"/>
                <w:color w:val="auto"/>
              </w:rPr>
            </w:pPr>
          </w:p>
        </w:tc>
        <w:tc>
          <w:tcPr>
            <w:tcW w:w="4340" w:type="dxa"/>
            <w:vAlign w:val="bottom"/>
            <w:gridSpan w:val="2"/>
          </w:tcPr>
          <w:p>
            <w:pPr>
              <w:ind w:left="20"/>
              <w:spacing w:after="0"/>
              <w:rPr>
                <w:sz w:val="20"/>
                <w:szCs w:val="20"/>
                <w:color w:val="auto"/>
              </w:rPr>
            </w:pPr>
            <w:r>
              <w:rPr>
                <w:rFonts w:ascii="Arial" w:cs="Arial" w:eastAsia="Arial" w:hAnsi="Arial"/>
                <w:sz w:val="14"/>
                <w:szCs w:val="14"/>
                <w:color w:val="auto"/>
              </w:rPr>
              <w:t>Accretion expense</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46</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Net loss on natural gas purchase derivatives</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8</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Carbon management business expenses</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37</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Measurement period adjustments</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Other operating expenses, net</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58</w:t>
            </w:r>
          </w:p>
        </w:tc>
      </w:tr>
      <w:tr>
        <w:trPr>
          <w:trHeight w:val="193"/>
        </w:trPr>
        <w:tc>
          <w:tcPr>
            <w:tcW w:w="20" w:type="dxa"/>
            <w:vAlign w:val="bottom"/>
          </w:tcPr>
          <w:p>
            <w:pPr>
              <w:spacing w:after="0"/>
              <w:rPr>
                <w:sz w:val="16"/>
                <w:szCs w:val="16"/>
                <w:color w:val="auto"/>
              </w:rPr>
            </w:pPr>
          </w:p>
        </w:tc>
        <w:tc>
          <w:tcPr>
            <w:tcW w:w="4340" w:type="dxa"/>
            <w:vAlign w:val="bottom"/>
            <w:gridSpan w:val="2"/>
          </w:tcPr>
          <w:p>
            <w:pPr>
              <w:ind w:left="18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468</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2,589</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2,025</w:t>
            </w:r>
          </w:p>
        </w:tc>
      </w:tr>
      <w:tr>
        <w:trPr>
          <w:trHeight w:val="193"/>
        </w:trPr>
        <w:tc>
          <w:tcPr>
            <w:tcW w:w="20" w:type="dxa"/>
            <w:vAlign w:val="bottom"/>
          </w:tcPr>
          <w:p>
            <w:pPr>
              <w:spacing w:after="0"/>
              <w:rPr>
                <w:sz w:val="16"/>
                <w:szCs w:val="16"/>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Net gain on asset divestitures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32</w:t>
            </w:r>
          </w:p>
        </w:tc>
      </w:tr>
      <w:tr>
        <w:trPr>
          <w:trHeight w:val="193"/>
        </w:trPr>
        <w:tc>
          <w:tcPr>
            <w:tcW w:w="20" w:type="dxa"/>
            <w:vAlign w:val="bottom"/>
          </w:tcPr>
          <w:p>
            <w:pPr>
              <w:spacing w:after="0"/>
              <w:rPr>
                <w:sz w:val="16"/>
                <w:szCs w:val="16"/>
                <w:color w:val="auto"/>
              </w:rPr>
            </w:pPr>
          </w:p>
        </w:tc>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Operating Income</w:t>
            </w: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68</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518</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283</w:t>
            </w: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620</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808</w:t>
            </w:r>
          </w:p>
        </w:tc>
      </w:tr>
      <w:tr>
        <w:trPr>
          <w:trHeight w:val="347"/>
        </w:trPr>
        <w:tc>
          <w:tcPr>
            <w:tcW w:w="2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Non-Operating (Expenses) Income</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Interest and debt expense</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(56)</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Loss from investment in unconsolidated subsidiaries</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(9)</w:t>
            </w:r>
          </w:p>
        </w:tc>
      </w:tr>
      <w:tr>
        <w:trPr>
          <w:trHeight w:val="200"/>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Loss on early extinguishment of debt</w:t>
            </w:r>
          </w:p>
        </w:tc>
        <w:tc>
          <w:tcPr>
            <w:tcW w:w="1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01"/>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Other non-operating income (loss), net</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6</w:t>
            </w:r>
          </w:p>
        </w:tc>
      </w:tr>
      <w:tr>
        <w:trPr>
          <w:trHeight w:val="326"/>
        </w:trPr>
        <w:tc>
          <w:tcPr>
            <w:tcW w:w="20" w:type="dxa"/>
            <w:vAlign w:val="bottom"/>
          </w:tcPr>
          <w:p>
            <w:pPr>
              <w:spacing w:after="0"/>
              <w:rPr>
                <w:sz w:val="24"/>
                <w:szCs w:val="24"/>
                <w:color w:val="auto"/>
              </w:rPr>
            </w:pPr>
          </w:p>
        </w:tc>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Income Before Income Taxes</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483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267</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516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748</w:t>
            </w: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240"/>
          </w:cols>
          <w:pgMar w:left="320" w:top="886"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auto"/>
              </w:rPr>
              <w:t>Income tax (provision)</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4"/>
                <w:szCs w:val="14"/>
                <w:b w:val="1"/>
                <w:bCs w:val="1"/>
                <w:color w:val="auto"/>
              </w:rPr>
              <w:t>(138)</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(79)</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(140)</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(184)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4020" w:type="dxa"/>
            <w:vAlign w:val="bottom"/>
          </w:tcPr>
          <w:p>
            <w:pPr>
              <w:ind w:left="20"/>
              <w:spacing w:after="0"/>
              <w:rPr>
                <w:sz w:val="20"/>
                <w:szCs w:val="20"/>
                <w:color w:val="auto"/>
              </w:rPr>
            </w:pPr>
            <w:r>
              <w:rPr>
                <w:rFonts w:ascii="Arial" w:cs="Arial" w:eastAsia="Arial" w:hAnsi="Arial"/>
                <w:sz w:val="14"/>
                <w:szCs w:val="14"/>
                <w:b w:val="1"/>
                <w:bCs w:val="1"/>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33</w:t>
            </w:r>
          </w:p>
        </w:tc>
        <w:tc>
          <w:tcPr>
            <w:tcW w:w="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gridSpan w:val="3"/>
          </w:tcPr>
          <w:p>
            <w:pPr>
              <w:jc w:val="right"/>
              <w:ind w:right="109"/>
              <w:spacing w:after="0"/>
              <w:rPr>
                <w:sz w:val="20"/>
                <w:szCs w:val="20"/>
                <w:color w:val="auto"/>
              </w:rPr>
            </w:pPr>
            <w:r>
              <w:rPr>
                <w:rFonts w:ascii="Arial" w:cs="Arial" w:eastAsia="Arial" w:hAnsi="Arial"/>
                <w:sz w:val="14"/>
                <w:szCs w:val="14"/>
                <w:b w:val="1"/>
                <w:bCs w:val="1"/>
                <w:color w:val="auto"/>
              </w:rPr>
              <w:t>345</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188</w:t>
            </w: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76"/>
              </w:rPr>
              <w:t>$</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376</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564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40" w:type="dxa"/>
            <w:vAlign w:val="bottom"/>
          </w:tcPr>
          <w:p>
            <w:pPr>
              <w:spacing w:after="0"/>
              <w:rPr>
                <w:sz w:val="24"/>
                <w:szCs w:val="24"/>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auto"/>
              </w:rPr>
              <w:t>Net income per share - basic</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0.36</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3"/>
          </w:tcPr>
          <w:p>
            <w:pPr>
              <w:jc w:val="right"/>
              <w:ind w:right="109"/>
              <w:spacing w:after="0"/>
              <w:rPr>
                <w:sz w:val="20"/>
                <w:szCs w:val="20"/>
                <w:color w:val="auto"/>
              </w:rPr>
            </w:pPr>
            <w:r>
              <w:rPr>
                <w:rFonts w:ascii="Arial" w:cs="Arial" w:eastAsia="Arial" w:hAnsi="Arial"/>
                <w:sz w:val="14"/>
                <w:szCs w:val="14"/>
                <w:b w:val="1"/>
                <w:bCs w:val="1"/>
                <w:color w:val="auto"/>
              </w:rPr>
              <w:t>3.86</w:t>
            </w:r>
          </w:p>
        </w:tc>
        <w:tc>
          <w:tcPr>
            <w:tcW w:w="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2.74</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24"/>
                <w:szCs w:val="24"/>
                <w:color w:val="auto"/>
              </w:rPr>
            </w:pPr>
          </w:p>
        </w:tc>
        <w:tc>
          <w:tcPr>
            <w:tcW w:w="1020" w:type="dxa"/>
            <w:vAlign w:val="bottom"/>
          </w:tcPr>
          <w:p>
            <w:pPr>
              <w:jc w:val="right"/>
              <w:ind w:right="129"/>
              <w:spacing w:after="0"/>
              <w:rPr>
                <w:sz w:val="20"/>
                <w:szCs w:val="20"/>
                <w:color w:val="auto"/>
              </w:rPr>
            </w:pPr>
            <w:r>
              <w:rPr>
                <w:rFonts w:ascii="Arial" w:cs="Arial" w:eastAsia="Arial" w:hAnsi="Arial"/>
                <w:sz w:val="14"/>
                <w:szCs w:val="14"/>
                <w:b w:val="1"/>
                <w:bCs w:val="1"/>
                <w:color w:val="auto"/>
              </w:rPr>
              <w:t>4.74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ind w:right="129"/>
              <w:spacing w:after="0"/>
              <w:rPr>
                <w:sz w:val="20"/>
                <w:szCs w:val="20"/>
                <w:color w:val="auto"/>
              </w:rPr>
            </w:pPr>
            <w:r>
              <w:rPr>
                <w:rFonts w:ascii="Arial" w:cs="Arial" w:eastAsia="Arial" w:hAnsi="Arial"/>
                <w:sz w:val="14"/>
                <w:szCs w:val="14"/>
                <w:b w:val="1"/>
                <w:bCs w:val="1"/>
                <w:color w:val="auto"/>
              </w:rPr>
              <w:t>8.10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auto"/>
              </w:rPr>
              <w:t>Net income per share - diluted</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0.36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3"/>
          </w:tcPr>
          <w:p>
            <w:pPr>
              <w:jc w:val="right"/>
              <w:ind w:right="109"/>
              <w:spacing w:after="0"/>
              <w:rPr>
                <w:sz w:val="20"/>
                <w:szCs w:val="20"/>
                <w:color w:val="auto"/>
              </w:rPr>
            </w:pPr>
            <w:r>
              <w:rPr>
                <w:rFonts w:ascii="Arial" w:cs="Arial" w:eastAsia="Arial" w:hAnsi="Arial"/>
                <w:sz w:val="14"/>
                <w:szCs w:val="14"/>
                <w:b w:val="1"/>
                <w:bCs w:val="1"/>
                <w:color w:val="auto"/>
              </w:rPr>
              <w:t>3.78</w:t>
            </w:r>
          </w:p>
        </w:tc>
        <w:tc>
          <w:tcPr>
            <w:tcW w:w="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2.60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7"/>
                <w:szCs w:val="17"/>
                <w:color w:val="auto"/>
              </w:rPr>
            </w:pPr>
          </w:p>
        </w:tc>
        <w:tc>
          <w:tcPr>
            <w:tcW w:w="1020" w:type="dxa"/>
            <w:vAlign w:val="bottom"/>
          </w:tcPr>
          <w:p>
            <w:pPr>
              <w:jc w:val="right"/>
              <w:ind w:right="129"/>
              <w:spacing w:after="0"/>
              <w:rPr>
                <w:sz w:val="20"/>
                <w:szCs w:val="20"/>
                <w:color w:val="auto"/>
              </w:rPr>
            </w:pPr>
            <w:r>
              <w:rPr>
                <w:rFonts w:ascii="Arial" w:cs="Arial" w:eastAsia="Arial" w:hAnsi="Arial"/>
                <w:sz w:val="14"/>
                <w:szCs w:val="14"/>
                <w:b w:val="1"/>
                <w:bCs w:val="1"/>
                <w:color w:val="auto"/>
              </w:rPr>
              <w:t>4.62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ind w:right="129"/>
              <w:spacing w:after="0"/>
              <w:rPr>
                <w:sz w:val="20"/>
                <w:szCs w:val="20"/>
                <w:color w:val="auto"/>
              </w:rPr>
            </w:pPr>
            <w:r>
              <w:rPr>
                <w:rFonts w:ascii="Arial" w:cs="Arial" w:eastAsia="Arial" w:hAnsi="Arial"/>
                <w:sz w:val="14"/>
                <w:szCs w:val="14"/>
                <w:b w:val="1"/>
                <w:bCs w:val="1"/>
                <w:color w:val="auto"/>
              </w:rPr>
              <w:t>7.78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40" w:type="dxa"/>
            <w:vAlign w:val="bottom"/>
          </w:tcPr>
          <w:p>
            <w:pPr>
              <w:spacing w:after="0"/>
              <w:rPr>
                <w:sz w:val="24"/>
                <w:szCs w:val="24"/>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auto"/>
              </w:rPr>
              <w:t>Adjusted net income</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84</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3"/>
          </w:tcPr>
          <w:p>
            <w:pPr>
              <w:jc w:val="right"/>
              <w:ind w:right="109"/>
              <w:spacing w:after="0"/>
              <w:rPr>
                <w:sz w:val="20"/>
                <w:szCs w:val="20"/>
                <w:color w:val="auto"/>
              </w:rPr>
            </w:pPr>
            <w:r>
              <w:rPr>
                <w:rFonts w:ascii="Arial" w:cs="Arial" w:eastAsia="Arial" w:hAnsi="Arial"/>
                <w:sz w:val="14"/>
                <w:szCs w:val="14"/>
                <w:b w:val="1"/>
                <w:bCs w:val="1"/>
                <w:color w:val="auto"/>
              </w:rPr>
              <w:t>137</w:t>
            </w:r>
          </w:p>
        </w:tc>
        <w:tc>
          <w:tcPr>
            <w:tcW w:w="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67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24"/>
                <w:szCs w:val="24"/>
                <w:color w:val="auto"/>
              </w:rPr>
            </w:pPr>
          </w:p>
        </w:tc>
        <w:tc>
          <w:tcPr>
            <w:tcW w:w="1020" w:type="dxa"/>
            <w:vAlign w:val="bottom"/>
          </w:tcPr>
          <w:p>
            <w:pPr>
              <w:jc w:val="right"/>
              <w:ind w:right="129"/>
              <w:spacing w:after="0"/>
              <w:rPr>
                <w:sz w:val="20"/>
                <w:szCs w:val="20"/>
                <w:color w:val="auto"/>
              </w:rPr>
            </w:pPr>
            <w:r>
              <w:rPr>
                <w:rFonts w:ascii="Arial" w:cs="Arial" w:eastAsia="Arial" w:hAnsi="Arial"/>
                <w:sz w:val="14"/>
                <w:szCs w:val="14"/>
                <w:b w:val="1"/>
                <w:bCs w:val="1"/>
                <w:color w:val="auto"/>
              </w:rPr>
              <w:t>317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ind w:right="129"/>
              <w:spacing w:after="0"/>
              <w:rPr>
                <w:sz w:val="20"/>
                <w:szCs w:val="20"/>
                <w:color w:val="auto"/>
              </w:rPr>
            </w:pPr>
            <w:r>
              <w:rPr>
                <w:rFonts w:ascii="Arial" w:cs="Arial" w:eastAsia="Arial" w:hAnsi="Arial"/>
                <w:sz w:val="14"/>
                <w:szCs w:val="14"/>
                <w:b w:val="1"/>
                <w:bCs w:val="1"/>
                <w:color w:val="auto"/>
              </w:rPr>
              <w:t>372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auto"/>
              </w:rPr>
              <w:t>Adjusted net income per share - basic</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0.93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3"/>
          </w:tcPr>
          <w:p>
            <w:pPr>
              <w:jc w:val="right"/>
              <w:ind w:right="109"/>
              <w:spacing w:after="0"/>
              <w:rPr>
                <w:sz w:val="20"/>
                <w:szCs w:val="20"/>
                <w:color w:val="auto"/>
              </w:rPr>
            </w:pPr>
            <w:r>
              <w:rPr>
                <w:rFonts w:ascii="Arial" w:cs="Arial" w:eastAsia="Arial" w:hAnsi="Arial"/>
                <w:sz w:val="14"/>
                <w:szCs w:val="14"/>
                <w:b w:val="1"/>
                <w:bCs w:val="1"/>
                <w:color w:val="auto"/>
              </w:rPr>
              <w:t>1.53</w:t>
            </w:r>
          </w:p>
        </w:tc>
        <w:tc>
          <w:tcPr>
            <w:tcW w:w="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0.98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7"/>
                <w:szCs w:val="17"/>
                <w:color w:val="auto"/>
              </w:rPr>
            </w:pPr>
          </w:p>
        </w:tc>
        <w:tc>
          <w:tcPr>
            <w:tcW w:w="1020" w:type="dxa"/>
            <w:vAlign w:val="bottom"/>
          </w:tcPr>
          <w:p>
            <w:pPr>
              <w:jc w:val="right"/>
              <w:ind w:right="129"/>
              <w:spacing w:after="0"/>
              <w:rPr>
                <w:sz w:val="20"/>
                <w:szCs w:val="20"/>
                <w:color w:val="auto"/>
              </w:rPr>
            </w:pPr>
            <w:r>
              <w:rPr>
                <w:rFonts w:ascii="Arial" w:cs="Arial" w:eastAsia="Arial" w:hAnsi="Arial"/>
                <w:sz w:val="14"/>
                <w:szCs w:val="14"/>
                <w:b w:val="1"/>
                <w:bCs w:val="1"/>
                <w:color w:val="auto"/>
              </w:rPr>
              <w:t>4.00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ind w:right="129"/>
              <w:spacing w:after="0"/>
              <w:rPr>
                <w:sz w:val="20"/>
                <w:szCs w:val="20"/>
                <w:color w:val="auto"/>
              </w:rPr>
            </w:pPr>
            <w:r>
              <w:rPr>
                <w:rFonts w:ascii="Arial" w:cs="Arial" w:eastAsia="Arial" w:hAnsi="Arial"/>
                <w:sz w:val="14"/>
                <w:szCs w:val="14"/>
                <w:b w:val="1"/>
                <w:bCs w:val="1"/>
                <w:color w:val="auto"/>
              </w:rPr>
              <w:t>5.34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auto"/>
              </w:rPr>
              <w:t>Adjusted net income per share - diluted</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0.91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3"/>
          </w:tcPr>
          <w:p>
            <w:pPr>
              <w:jc w:val="right"/>
              <w:ind w:right="109"/>
              <w:spacing w:after="0"/>
              <w:rPr>
                <w:sz w:val="20"/>
                <w:szCs w:val="20"/>
                <w:color w:val="auto"/>
              </w:rPr>
            </w:pPr>
            <w:r>
              <w:rPr>
                <w:rFonts w:ascii="Arial" w:cs="Arial" w:eastAsia="Arial" w:hAnsi="Arial"/>
                <w:sz w:val="14"/>
                <w:szCs w:val="14"/>
                <w:b w:val="1"/>
                <w:bCs w:val="1"/>
                <w:color w:val="auto"/>
              </w:rPr>
              <w:t>1.50</w:t>
            </w:r>
          </w:p>
        </w:tc>
        <w:tc>
          <w:tcPr>
            <w:tcW w:w="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0.93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7"/>
                <w:szCs w:val="17"/>
                <w:color w:val="auto"/>
              </w:rPr>
            </w:pPr>
          </w:p>
        </w:tc>
        <w:tc>
          <w:tcPr>
            <w:tcW w:w="1020" w:type="dxa"/>
            <w:vAlign w:val="bottom"/>
          </w:tcPr>
          <w:p>
            <w:pPr>
              <w:jc w:val="right"/>
              <w:ind w:right="129"/>
              <w:spacing w:after="0"/>
              <w:rPr>
                <w:sz w:val="20"/>
                <w:szCs w:val="20"/>
                <w:color w:val="auto"/>
              </w:rPr>
            </w:pPr>
            <w:r>
              <w:rPr>
                <w:rFonts w:ascii="Arial" w:cs="Arial" w:eastAsia="Arial" w:hAnsi="Arial"/>
                <w:sz w:val="14"/>
                <w:szCs w:val="14"/>
                <w:b w:val="1"/>
                <w:bCs w:val="1"/>
                <w:color w:val="auto"/>
              </w:rPr>
              <w:t>3.89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ind w:right="129"/>
              <w:spacing w:after="0"/>
              <w:rPr>
                <w:sz w:val="20"/>
                <w:szCs w:val="20"/>
                <w:color w:val="auto"/>
              </w:rPr>
            </w:pPr>
            <w:r>
              <w:rPr>
                <w:rFonts w:ascii="Arial" w:cs="Arial" w:eastAsia="Arial" w:hAnsi="Arial"/>
                <w:sz w:val="14"/>
                <w:szCs w:val="14"/>
                <w:b w:val="1"/>
                <w:bCs w:val="1"/>
                <w:color w:val="auto"/>
              </w:rPr>
              <w:t>5.13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auto"/>
              </w:rPr>
              <w:t>Weighted-average common shares outstanding - basic</w:t>
            </w:r>
          </w:p>
        </w:tc>
        <w:tc>
          <w:tcPr>
            <w:tcW w:w="1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90.8</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3"/>
          </w:tcPr>
          <w:p>
            <w:pPr>
              <w:jc w:val="right"/>
              <w:ind w:right="109"/>
              <w:spacing w:after="0"/>
              <w:rPr>
                <w:sz w:val="20"/>
                <w:szCs w:val="20"/>
                <w:color w:val="auto"/>
              </w:rPr>
            </w:pPr>
            <w:r>
              <w:rPr>
                <w:rFonts w:ascii="Arial" w:cs="Arial" w:eastAsia="Arial" w:hAnsi="Arial"/>
                <w:sz w:val="14"/>
                <w:szCs w:val="14"/>
                <w:b w:val="1"/>
                <w:bCs w:val="1"/>
                <w:color w:val="auto"/>
              </w:rPr>
              <w:t>89.4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68.7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129"/>
              <w:spacing w:after="0"/>
              <w:rPr>
                <w:sz w:val="20"/>
                <w:szCs w:val="20"/>
                <w:color w:val="auto"/>
              </w:rPr>
            </w:pPr>
            <w:r>
              <w:rPr>
                <w:rFonts w:ascii="Arial" w:cs="Arial" w:eastAsia="Arial" w:hAnsi="Arial"/>
                <w:sz w:val="14"/>
                <w:szCs w:val="14"/>
                <w:b w:val="1"/>
                <w:bCs w:val="1"/>
                <w:color w:val="auto"/>
              </w:rPr>
              <w:t>79.3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b w:val="1"/>
                <w:bCs w:val="1"/>
                <w:color w:val="auto"/>
              </w:rPr>
              <w:t>69.6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auto"/>
              </w:rPr>
              <w:t>Weighted-average common shares outstanding - diluted</w:t>
            </w:r>
          </w:p>
        </w:tc>
        <w:tc>
          <w:tcPr>
            <w:tcW w:w="12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92.2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3"/>
          </w:tcPr>
          <w:p>
            <w:pPr>
              <w:jc w:val="right"/>
              <w:ind w:right="109"/>
              <w:spacing w:after="0"/>
              <w:rPr>
                <w:sz w:val="20"/>
                <w:szCs w:val="20"/>
                <w:color w:val="auto"/>
              </w:rPr>
            </w:pPr>
            <w:r>
              <w:rPr>
                <w:rFonts w:ascii="Arial" w:cs="Arial" w:eastAsia="Arial" w:hAnsi="Arial"/>
                <w:sz w:val="14"/>
                <w:szCs w:val="14"/>
                <w:b w:val="1"/>
                <w:bCs w:val="1"/>
                <w:color w:val="auto"/>
              </w:rPr>
              <w:t>91.2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72.3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29"/>
              <w:spacing w:after="0"/>
              <w:rPr>
                <w:sz w:val="20"/>
                <w:szCs w:val="20"/>
                <w:color w:val="auto"/>
              </w:rPr>
            </w:pPr>
            <w:r>
              <w:rPr>
                <w:rFonts w:ascii="Arial" w:cs="Arial" w:eastAsia="Arial" w:hAnsi="Arial"/>
                <w:sz w:val="14"/>
                <w:szCs w:val="14"/>
                <w:b w:val="1"/>
                <w:bCs w:val="1"/>
                <w:color w:val="auto"/>
              </w:rPr>
              <w:t>81.4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b w:val="1"/>
                <w:bCs w:val="1"/>
                <w:color w:val="auto"/>
              </w:rPr>
              <w:t>72.5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auto"/>
              </w:rPr>
              <w:t>Adjusted EBITDAX</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316</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3"/>
          </w:tcPr>
          <w:p>
            <w:pPr>
              <w:jc w:val="right"/>
              <w:ind w:right="109"/>
              <w:spacing w:after="0"/>
              <w:rPr>
                <w:sz w:val="20"/>
                <w:szCs w:val="20"/>
                <w:color w:val="auto"/>
              </w:rPr>
            </w:pPr>
            <w:r>
              <w:rPr>
                <w:rFonts w:ascii="Arial" w:cs="Arial" w:eastAsia="Arial" w:hAnsi="Arial"/>
                <w:sz w:val="14"/>
                <w:szCs w:val="14"/>
                <w:b w:val="1"/>
                <w:bCs w:val="1"/>
                <w:color w:val="auto"/>
              </w:rPr>
              <w:t>402</w:t>
            </w:r>
          </w:p>
        </w:tc>
        <w:tc>
          <w:tcPr>
            <w:tcW w:w="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179</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22"/>
                <w:szCs w:val="22"/>
                <w:color w:val="auto"/>
              </w:rPr>
            </w:pPr>
          </w:p>
        </w:tc>
        <w:tc>
          <w:tcPr>
            <w:tcW w:w="1020" w:type="dxa"/>
            <w:vAlign w:val="bottom"/>
          </w:tcPr>
          <w:p>
            <w:pPr>
              <w:jc w:val="right"/>
              <w:ind w:right="129"/>
              <w:spacing w:after="0"/>
              <w:rPr>
                <w:sz w:val="20"/>
                <w:szCs w:val="20"/>
                <w:color w:val="auto"/>
              </w:rPr>
            </w:pPr>
            <w:r>
              <w:rPr>
                <w:rFonts w:ascii="Arial" w:cs="Arial" w:eastAsia="Arial" w:hAnsi="Arial"/>
                <w:sz w:val="14"/>
                <w:szCs w:val="14"/>
                <w:b w:val="1"/>
                <w:bCs w:val="1"/>
                <w:color w:val="auto"/>
              </w:rPr>
              <w:t>1,006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ind w:right="129"/>
              <w:spacing w:after="0"/>
              <w:rPr>
                <w:sz w:val="20"/>
                <w:szCs w:val="20"/>
                <w:color w:val="auto"/>
              </w:rPr>
            </w:pPr>
            <w:r>
              <w:rPr>
                <w:rFonts w:ascii="Arial" w:cs="Arial" w:eastAsia="Arial" w:hAnsi="Arial"/>
                <w:sz w:val="14"/>
                <w:szCs w:val="14"/>
                <w:b w:val="1"/>
                <w:bCs w:val="1"/>
                <w:color w:val="auto"/>
              </w:rPr>
              <w:t>862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auto"/>
              </w:rPr>
              <w:t>Effective tax rate</w:t>
            </w:r>
          </w:p>
        </w:tc>
        <w:tc>
          <w:tcPr>
            <w:tcW w:w="12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29 %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30 %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27 %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25 %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3"/>
        </w:trPr>
        <w:tc>
          <w:tcPr>
            <w:tcW w:w="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69"/>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3"/>
          </w:tcPr>
          <w:p>
            <w:pPr>
              <w:jc w:val="center"/>
              <w:ind w:right="229"/>
              <w:spacing w:after="0"/>
              <w:rPr>
                <w:sz w:val="20"/>
                <w:szCs w:val="20"/>
                <w:color w:val="auto"/>
              </w:rPr>
            </w:pPr>
            <w:r>
              <w:rPr>
                <w:rFonts w:ascii="Arial" w:cs="Arial" w:eastAsia="Arial" w:hAnsi="Arial"/>
                <w:sz w:val="14"/>
                <w:szCs w:val="14"/>
                <w:b w:val="1"/>
                <w:bCs w:val="1"/>
                <w:color w:val="auto"/>
              </w:rPr>
              <w:t>3rd Quarter</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4th Quarter</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Year</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 Year</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in millions)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center"/>
              <w:ind w:right="229"/>
              <w:spacing w:after="0"/>
              <w:rPr>
                <w:sz w:val="20"/>
                <w:szCs w:val="20"/>
                <w:color w:val="auto"/>
              </w:rPr>
            </w:pPr>
            <w:r>
              <w:rPr>
                <w:rFonts w:ascii="Arial" w:cs="Arial" w:eastAsia="Arial" w:hAnsi="Arial"/>
                <w:sz w:val="14"/>
                <w:szCs w:val="14"/>
                <w:b w:val="1"/>
                <w:bCs w:val="1"/>
                <w:color w:val="auto"/>
                <w:w w:val="96"/>
              </w:rPr>
              <w:t>2024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4020" w:type="dxa"/>
            <w:vAlign w:val="bottom"/>
          </w:tcPr>
          <w:p>
            <w:pPr>
              <w:ind w:left="20"/>
              <w:spacing w:after="0"/>
              <w:rPr>
                <w:sz w:val="20"/>
                <w:szCs w:val="20"/>
                <w:color w:val="auto"/>
              </w:rPr>
            </w:pPr>
            <w:r>
              <w:rPr>
                <w:rFonts w:ascii="Arial" w:cs="Arial" w:eastAsia="Arial" w:hAnsi="Arial"/>
                <w:sz w:val="14"/>
                <w:szCs w:val="14"/>
                <w:b w:val="1"/>
                <w:bCs w:val="1"/>
                <w:color w:val="auto"/>
              </w:rPr>
              <w:t>Cash Flow Data:</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3"/>
          </w:tcPr>
          <w:p>
            <w:pPr>
              <w:jc w:val="right"/>
              <w:ind w:right="109"/>
              <w:spacing w:after="0"/>
              <w:rPr>
                <w:sz w:val="20"/>
                <w:szCs w:val="20"/>
                <w:color w:val="auto"/>
              </w:rPr>
            </w:pPr>
            <w:r>
              <w:rPr>
                <w:rFonts w:ascii="Arial" w:cs="Arial" w:eastAsia="Arial" w:hAnsi="Arial"/>
                <w:sz w:val="14"/>
                <w:szCs w:val="14"/>
                <w:b w:val="1"/>
                <w:bCs w:val="1"/>
                <w:color w:val="auto"/>
              </w:rPr>
              <w:t>220</w:t>
            </w:r>
          </w:p>
        </w:tc>
        <w:tc>
          <w:tcPr>
            <w:tcW w:w="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rPr>
              <w:t>131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7"/>
                <w:szCs w:val="17"/>
                <w:color w:val="auto"/>
              </w:rPr>
            </w:pPr>
          </w:p>
        </w:tc>
        <w:tc>
          <w:tcPr>
            <w:tcW w:w="1020" w:type="dxa"/>
            <w:vAlign w:val="bottom"/>
          </w:tcPr>
          <w:p>
            <w:pPr>
              <w:jc w:val="right"/>
              <w:ind w:right="129"/>
              <w:spacing w:after="0"/>
              <w:rPr>
                <w:sz w:val="20"/>
                <w:szCs w:val="20"/>
                <w:color w:val="auto"/>
              </w:rPr>
            </w:pPr>
            <w:r>
              <w:rPr>
                <w:rFonts w:ascii="Arial" w:cs="Arial" w:eastAsia="Arial" w:hAnsi="Arial"/>
                <w:sz w:val="14"/>
                <w:szCs w:val="14"/>
                <w:b w:val="1"/>
                <w:bCs w:val="1"/>
                <w:color w:val="auto"/>
              </w:rPr>
              <w:t>610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ind w:right="129"/>
              <w:spacing w:after="0"/>
              <w:rPr>
                <w:sz w:val="20"/>
                <w:szCs w:val="20"/>
                <w:color w:val="auto"/>
              </w:rPr>
            </w:pPr>
            <w:r>
              <w:rPr>
                <w:rFonts w:ascii="Arial" w:cs="Arial" w:eastAsia="Arial" w:hAnsi="Arial"/>
                <w:sz w:val="14"/>
                <w:szCs w:val="14"/>
                <w:b w:val="1"/>
                <w:bCs w:val="1"/>
                <w:color w:val="auto"/>
              </w:rPr>
              <w:t>653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3"/>
          </w:tcPr>
          <w:p>
            <w:pPr>
              <w:jc w:val="right"/>
              <w:ind w:right="89"/>
              <w:spacing w:after="0"/>
              <w:rPr>
                <w:sz w:val="20"/>
                <w:szCs w:val="20"/>
                <w:color w:val="auto"/>
              </w:rPr>
            </w:pPr>
            <w:r>
              <w:rPr>
                <w:rFonts w:ascii="Arial" w:cs="Arial" w:eastAsia="Arial" w:hAnsi="Arial"/>
                <w:sz w:val="14"/>
                <w:szCs w:val="14"/>
                <w:b w:val="1"/>
                <w:bCs w:val="1"/>
                <w:color w:val="auto"/>
              </w:rPr>
              <w:t>(67)</w:t>
            </w:r>
          </w:p>
        </w:tc>
        <w:tc>
          <w:tcPr>
            <w:tcW w:w="8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3"/>
          </w:tcPr>
          <w:p>
            <w:pPr>
              <w:jc w:val="right"/>
              <w:ind w:right="69"/>
              <w:spacing w:after="0"/>
              <w:rPr>
                <w:sz w:val="20"/>
                <w:szCs w:val="20"/>
                <w:color w:val="auto"/>
              </w:rPr>
            </w:pPr>
            <w:r>
              <w:rPr>
                <w:rFonts w:ascii="Arial" w:cs="Arial" w:eastAsia="Arial" w:hAnsi="Arial"/>
                <w:sz w:val="14"/>
                <w:szCs w:val="14"/>
                <w:b w:val="1"/>
                <w:bCs w:val="1"/>
                <w:color w:val="auto"/>
              </w:rPr>
              <w:t>(928)</w:t>
            </w:r>
          </w:p>
        </w:tc>
        <w:tc>
          <w:tcPr>
            <w:tcW w:w="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b w:val="1"/>
                <w:bCs w:val="1"/>
                <w:color w:val="auto"/>
              </w:rPr>
              <w:t>(42)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7"/>
                <w:szCs w:val="17"/>
                <w:color w:val="auto"/>
              </w:rPr>
            </w:pPr>
          </w:p>
        </w:tc>
        <w:tc>
          <w:tcPr>
            <w:tcW w:w="1020" w:type="dxa"/>
            <w:vAlign w:val="bottom"/>
          </w:tcPr>
          <w:p>
            <w:pPr>
              <w:jc w:val="right"/>
              <w:ind w:right="89"/>
              <w:spacing w:after="0"/>
              <w:rPr>
                <w:sz w:val="20"/>
                <w:szCs w:val="20"/>
                <w:color w:val="auto"/>
              </w:rPr>
            </w:pPr>
            <w:r>
              <w:rPr>
                <w:rFonts w:ascii="Arial" w:cs="Arial" w:eastAsia="Arial" w:hAnsi="Arial"/>
                <w:sz w:val="14"/>
                <w:szCs w:val="14"/>
                <w:b w:val="1"/>
                <w:bCs w:val="1"/>
                <w:color w:val="auto"/>
              </w:rPr>
              <w:t>(1,077)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ind w:right="89"/>
              <w:spacing w:after="0"/>
              <w:rPr>
                <w:sz w:val="20"/>
                <w:szCs w:val="20"/>
                <w:color w:val="auto"/>
              </w:rPr>
            </w:pPr>
            <w:r>
              <w:rPr>
                <w:rFonts w:ascii="Arial" w:cs="Arial" w:eastAsia="Arial" w:hAnsi="Arial"/>
                <w:sz w:val="14"/>
                <w:szCs w:val="14"/>
                <w:b w:val="1"/>
                <w:bCs w:val="1"/>
                <w:color w:val="auto"/>
              </w:rPr>
              <w:t>(175)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auto"/>
              </w:rPr>
              <w:t>Net cash (used) provided by financing activities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3"/>
          </w:tcPr>
          <w:p>
            <w:pPr>
              <w:jc w:val="right"/>
              <w:ind w:right="89"/>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3"/>
          </w:tcPr>
          <w:p>
            <w:pPr>
              <w:jc w:val="right"/>
              <w:ind w:right="69"/>
              <w:spacing w:after="0"/>
              <w:rPr>
                <w:sz w:val="20"/>
                <w:szCs w:val="20"/>
                <w:color w:val="auto"/>
              </w:rPr>
            </w:pPr>
            <w:r>
              <w:rPr>
                <w:rFonts w:ascii="Arial" w:cs="Arial" w:eastAsia="Arial" w:hAnsi="Arial"/>
                <w:sz w:val="14"/>
                <w:szCs w:val="14"/>
                <w:b w:val="1"/>
                <w:bCs w:val="1"/>
                <w:color w:val="auto"/>
              </w:rPr>
              <w:t>(82)</w:t>
            </w:r>
          </w:p>
        </w:tc>
        <w:tc>
          <w:tcPr>
            <w:tcW w:w="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69"/>
              <w:spacing w:after="0"/>
              <w:rPr>
                <w:sz w:val="20"/>
                <w:szCs w:val="20"/>
                <w:color w:val="auto"/>
              </w:rPr>
            </w:pPr>
            <w:r>
              <w:rPr>
                <w:rFonts w:ascii="Arial" w:cs="Arial" w:eastAsia="Arial" w:hAnsi="Arial"/>
                <w:sz w:val="14"/>
                <w:szCs w:val="14"/>
                <w:b w:val="1"/>
                <w:bCs w:val="1"/>
                <w:color w:val="auto"/>
              </w:rPr>
              <w:t>(72)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7"/>
                <w:szCs w:val="17"/>
                <w:color w:val="auto"/>
              </w:rPr>
            </w:pPr>
          </w:p>
        </w:tc>
        <w:tc>
          <w:tcPr>
            <w:tcW w:w="1020" w:type="dxa"/>
            <w:vAlign w:val="bottom"/>
          </w:tcPr>
          <w:p>
            <w:pPr>
              <w:jc w:val="right"/>
              <w:ind w:right="129"/>
              <w:spacing w:after="0"/>
              <w:rPr>
                <w:sz w:val="20"/>
                <w:szCs w:val="20"/>
                <w:color w:val="auto"/>
              </w:rPr>
            </w:pPr>
            <w:r>
              <w:rPr>
                <w:rFonts w:ascii="Arial" w:cs="Arial" w:eastAsia="Arial" w:hAnsi="Arial"/>
                <w:sz w:val="14"/>
                <w:szCs w:val="14"/>
                <w:b w:val="1"/>
                <w:bCs w:val="1"/>
                <w:color w:val="auto"/>
              </w:rPr>
              <w:t>343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ind w:right="89"/>
              <w:spacing w:after="0"/>
              <w:rPr>
                <w:sz w:val="20"/>
                <w:szCs w:val="20"/>
                <w:color w:val="auto"/>
              </w:rPr>
            </w:pPr>
            <w:r>
              <w:rPr>
                <w:rFonts w:ascii="Arial" w:cs="Arial" w:eastAsia="Arial" w:hAnsi="Arial"/>
                <w:sz w:val="14"/>
                <w:szCs w:val="14"/>
                <w:b w:val="1"/>
                <w:bCs w:val="1"/>
                <w:color w:val="auto"/>
              </w:rPr>
              <w:t>(289)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in millions)</w:t>
            </w: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center"/>
              <w:ind w:right="229"/>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4020" w:type="dxa"/>
            <w:vAlign w:val="bottom"/>
          </w:tcPr>
          <w:p>
            <w:pPr>
              <w:ind w:left="20"/>
              <w:spacing w:after="0"/>
              <w:rPr>
                <w:sz w:val="20"/>
                <w:szCs w:val="20"/>
                <w:color w:val="auto"/>
              </w:rPr>
            </w:pPr>
            <w:r>
              <w:rPr>
                <w:rFonts w:ascii="Arial" w:cs="Arial" w:eastAsia="Arial" w:hAnsi="Arial"/>
                <w:sz w:val="14"/>
                <w:szCs w:val="14"/>
                <w:b w:val="1"/>
                <w:bCs w:val="1"/>
                <w:color w:val="auto"/>
              </w:rPr>
              <w:t>Selected Balance Sheet Data:</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auto"/>
              </w:rPr>
              <w:t>Total current assets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1,024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3"/>
          </w:tcPr>
          <w:p>
            <w:pPr>
              <w:jc w:val="right"/>
              <w:ind w:right="109"/>
              <w:spacing w:after="0"/>
              <w:rPr>
                <w:sz w:val="20"/>
                <w:szCs w:val="20"/>
                <w:color w:val="auto"/>
              </w:rPr>
            </w:pPr>
            <w:r>
              <w:rPr>
                <w:rFonts w:ascii="Arial" w:cs="Arial" w:eastAsia="Arial" w:hAnsi="Arial"/>
                <w:sz w:val="14"/>
                <w:szCs w:val="14"/>
                <w:b w:val="1"/>
                <w:bCs w:val="1"/>
                <w:color w:val="auto"/>
              </w:rPr>
              <w:t>929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5,680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3"/>
          </w:tcPr>
          <w:p>
            <w:pPr>
              <w:jc w:val="right"/>
              <w:ind w:right="109"/>
              <w:spacing w:after="0"/>
              <w:rPr>
                <w:sz w:val="20"/>
                <w:szCs w:val="20"/>
                <w:color w:val="auto"/>
              </w:rPr>
            </w:pPr>
            <w:r>
              <w:rPr>
                <w:rFonts w:ascii="Arial" w:cs="Arial" w:eastAsia="Arial" w:hAnsi="Arial"/>
                <w:sz w:val="14"/>
                <w:szCs w:val="14"/>
                <w:b w:val="1"/>
                <w:bCs w:val="1"/>
                <w:color w:val="auto"/>
              </w:rPr>
              <w:t>2,770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auto"/>
              </w:rPr>
              <w:t>Deferred tax asset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73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3"/>
          </w:tcPr>
          <w:p>
            <w:pPr>
              <w:jc w:val="right"/>
              <w:ind w:right="109"/>
              <w:spacing w:after="0"/>
              <w:rPr>
                <w:sz w:val="20"/>
                <w:szCs w:val="20"/>
                <w:color w:val="auto"/>
              </w:rPr>
            </w:pPr>
            <w:r>
              <w:rPr>
                <w:rFonts w:ascii="Arial" w:cs="Arial" w:eastAsia="Arial" w:hAnsi="Arial"/>
                <w:sz w:val="14"/>
                <w:szCs w:val="14"/>
                <w:b w:val="1"/>
                <w:bCs w:val="1"/>
                <w:color w:val="auto"/>
              </w:rPr>
              <w:t>132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auto"/>
              </w:rPr>
              <w:t>Total current liabilities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980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3"/>
          </w:tcPr>
          <w:p>
            <w:pPr>
              <w:jc w:val="right"/>
              <w:ind w:right="109"/>
              <w:spacing w:after="0"/>
              <w:rPr>
                <w:sz w:val="20"/>
                <w:szCs w:val="20"/>
                <w:color w:val="auto"/>
              </w:rPr>
            </w:pPr>
            <w:r>
              <w:rPr>
                <w:rFonts w:ascii="Arial" w:cs="Arial" w:eastAsia="Arial" w:hAnsi="Arial"/>
                <w:sz w:val="14"/>
                <w:szCs w:val="14"/>
                <w:b w:val="1"/>
                <w:bCs w:val="1"/>
                <w:color w:val="auto"/>
              </w:rPr>
              <w:t>616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auto"/>
              </w:rPr>
              <w:t>Long-term debt, net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1,132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3"/>
          </w:tcPr>
          <w:p>
            <w:pPr>
              <w:jc w:val="right"/>
              <w:ind w:right="109"/>
              <w:spacing w:after="0"/>
              <w:rPr>
                <w:sz w:val="20"/>
                <w:szCs w:val="20"/>
                <w:color w:val="auto"/>
              </w:rPr>
            </w:pPr>
            <w:r>
              <w:rPr>
                <w:rFonts w:ascii="Arial" w:cs="Arial" w:eastAsia="Arial" w:hAnsi="Arial"/>
                <w:sz w:val="14"/>
                <w:szCs w:val="14"/>
                <w:b w:val="1"/>
                <w:bCs w:val="1"/>
                <w:color w:val="auto"/>
              </w:rPr>
              <w:t>540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auto"/>
              </w:rPr>
              <w:t>Noncurrent asset retirement obligations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995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3"/>
          </w:tcPr>
          <w:p>
            <w:pPr>
              <w:jc w:val="right"/>
              <w:ind w:right="109"/>
              <w:spacing w:after="0"/>
              <w:rPr>
                <w:sz w:val="20"/>
                <w:szCs w:val="20"/>
                <w:color w:val="auto"/>
              </w:rPr>
            </w:pPr>
            <w:r>
              <w:rPr>
                <w:rFonts w:ascii="Arial" w:cs="Arial" w:eastAsia="Arial" w:hAnsi="Arial"/>
                <w:sz w:val="14"/>
                <w:szCs w:val="14"/>
                <w:b w:val="1"/>
                <w:bCs w:val="1"/>
                <w:color w:val="auto"/>
              </w:rPr>
              <w:t>422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auto"/>
              </w:rPr>
              <w:t>Deferred tax liability</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113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020" w:type="dxa"/>
            <w:vAlign w:val="bottom"/>
          </w:tcPr>
          <w:p>
            <w:pPr>
              <w:ind w:left="20"/>
              <w:spacing w:after="0"/>
              <w:rPr>
                <w:sz w:val="20"/>
                <w:szCs w:val="20"/>
                <w:color w:val="auto"/>
              </w:rPr>
            </w:pPr>
            <w:r>
              <w:rPr>
                <w:rFonts w:ascii="Arial" w:cs="Arial" w:eastAsia="Arial" w:hAnsi="Arial"/>
                <w:sz w:val="14"/>
                <w:szCs w:val="14"/>
                <w:color w:val="auto"/>
              </w:rPr>
              <w:t>Total stockholders' equity</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3,538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3"/>
          </w:tcPr>
          <w:p>
            <w:pPr>
              <w:jc w:val="right"/>
              <w:ind w:right="109"/>
              <w:spacing w:after="0"/>
              <w:rPr>
                <w:sz w:val="20"/>
                <w:szCs w:val="20"/>
                <w:color w:val="auto"/>
              </w:rPr>
            </w:pPr>
            <w:r>
              <w:rPr>
                <w:rFonts w:ascii="Arial" w:cs="Arial" w:eastAsia="Arial" w:hAnsi="Arial"/>
                <w:sz w:val="14"/>
                <w:szCs w:val="14"/>
                <w:b w:val="1"/>
                <w:bCs w:val="1"/>
                <w:color w:val="auto"/>
              </w:rPr>
              <w:t>2,219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4"/>
        </w:trPr>
        <w:tc>
          <w:tcPr>
            <w:tcW w:w="4060" w:type="dxa"/>
            <w:vAlign w:val="bottom"/>
            <w:tcBorders>
              <w:bottom w:val="single" w:sz="8" w:color="auto"/>
            </w:tcBorders>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60" w:type="dxa"/>
            <w:vAlign w:val="bottom"/>
            <w:gridSpan w:val="2"/>
          </w:tcPr>
          <w:p>
            <w:pPr>
              <w:ind w:left="20"/>
              <w:spacing w:after="0"/>
              <w:rPr>
                <w:sz w:val="20"/>
                <w:szCs w:val="20"/>
                <w:color w:val="auto"/>
              </w:rPr>
            </w:pPr>
            <w:r>
              <w:rPr>
                <w:rFonts w:ascii="Arial" w:cs="Arial" w:eastAsia="Arial" w:hAnsi="Arial"/>
                <w:sz w:val="14"/>
                <w:szCs w:val="14"/>
                <w:b w:val="1"/>
                <w:bCs w:val="1"/>
                <w:color w:val="auto"/>
              </w:rPr>
              <w:t>GAINS AND LOSSES FROM COMMODITY DERIVATIVES</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gridSpan w:val="4"/>
          </w:tcPr>
          <w:p>
            <w:pPr>
              <w:jc w:val="right"/>
              <w:ind w:right="169"/>
              <w:spacing w:after="0"/>
              <w:rPr>
                <w:sz w:val="20"/>
                <w:szCs w:val="20"/>
                <w:color w:val="auto"/>
              </w:rPr>
            </w:pPr>
            <w:r>
              <w:rPr>
                <w:rFonts w:ascii="Arial" w:cs="Arial" w:eastAsia="Arial" w:hAnsi="Arial"/>
                <w:sz w:val="14"/>
                <w:szCs w:val="14"/>
                <w:b w:val="1"/>
                <w:bCs w:val="1"/>
                <w:color w:val="auto"/>
              </w:rPr>
              <w:t>4th Quarter</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3"/>
          </w:tcPr>
          <w:p>
            <w:pPr>
              <w:jc w:val="right"/>
              <w:ind w:right="169"/>
              <w:spacing w:after="0"/>
              <w:rPr>
                <w:sz w:val="20"/>
                <w:szCs w:val="20"/>
                <w:color w:val="auto"/>
              </w:rPr>
            </w:pPr>
            <w:r>
              <w:rPr>
                <w:rFonts w:ascii="Arial" w:cs="Arial" w:eastAsia="Arial" w:hAnsi="Arial"/>
                <w:sz w:val="14"/>
                <w:szCs w:val="14"/>
                <w:b w:val="1"/>
                <w:bCs w:val="1"/>
                <w:color w:val="auto"/>
              </w:rPr>
              <w:t>3rd Quarter</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4th Quarter</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3"/>
          </w:tcPr>
          <w:p>
            <w:pPr>
              <w:ind w:left="160"/>
              <w:spacing w:after="0"/>
              <w:rPr>
                <w:sz w:val="20"/>
                <w:szCs w:val="20"/>
                <w:color w:val="auto"/>
              </w:rPr>
            </w:pPr>
            <w:r>
              <w:rPr>
                <w:rFonts w:ascii="Arial" w:cs="Arial" w:eastAsia="Arial" w:hAnsi="Arial"/>
                <w:sz w:val="14"/>
                <w:szCs w:val="14"/>
                <w:b w:val="1"/>
                <w:bCs w:val="1"/>
                <w:color w:val="auto"/>
              </w:rPr>
              <w:t>Total Year</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Year</w:t>
            </w:r>
          </w:p>
        </w:tc>
        <w:tc>
          <w:tcPr>
            <w:tcW w:w="0" w:type="dxa"/>
            <w:vAlign w:val="bottom"/>
          </w:tcPr>
          <w:p>
            <w:pPr>
              <w:spacing w:after="0"/>
              <w:rPr>
                <w:sz w:val="1"/>
                <w:szCs w:val="1"/>
                <w:color w:val="auto"/>
              </w:rPr>
            </w:pPr>
          </w:p>
        </w:tc>
      </w:tr>
      <w:tr>
        <w:trPr>
          <w:trHeight w:val="201"/>
        </w:trPr>
        <w:tc>
          <w:tcPr>
            <w:tcW w:w="4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 millions)</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4020" w:type="dxa"/>
            <w:vAlign w:val="bottom"/>
          </w:tcPr>
          <w:p>
            <w:pPr>
              <w:ind w:left="100"/>
              <w:spacing w:after="0"/>
              <w:rPr>
                <w:sz w:val="20"/>
                <w:szCs w:val="20"/>
                <w:color w:val="auto"/>
              </w:rPr>
            </w:pPr>
            <w:r>
              <w:rPr>
                <w:rFonts w:ascii="Arial" w:cs="Arial" w:eastAsia="Arial" w:hAnsi="Arial"/>
                <w:sz w:val="14"/>
                <w:szCs w:val="14"/>
                <w:color w:val="auto"/>
              </w:rPr>
              <w:t>Non-cash derivative (loss) gain</w:t>
            </w:r>
          </w:p>
        </w:tc>
        <w:tc>
          <w:tcPr>
            <w:tcW w:w="120" w:type="dxa"/>
            <w:vAlign w:val="bottom"/>
          </w:tcPr>
          <w:p>
            <w:pPr>
              <w:spacing w:after="0"/>
              <w:rPr>
                <w:sz w:val="23"/>
                <w:szCs w:val="23"/>
                <w:color w:val="auto"/>
              </w:rPr>
            </w:pPr>
          </w:p>
        </w:tc>
        <w:tc>
          <w:tcPr>
            <w:tcW w:w="1080" w:type="dxa"/>
            <w:vAlign w:val="bottom"/>
            <w:gridSpan w:val="2"/>
          </w:tcPr>
          <w:p>
            <w:pPr>
              <w:ind w:left="3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1080" w:type="dxa"/>
            <w:vAlign w:val="bottom"/>
            <w:gridSpan w:val="3"/>
          </w:tcPr>
          <w:p>
            <w:pPr>
              <w:jc w:val="right"/>
              <w:ind w:right="789"/>
              <w:spacing w:after="0"/>
              <w:rPr>
                <w:sz w:val="20"/>
                <w:szCs w:val="20"/>
                <w:color w:val="auto"/>
              </w:rPr>
            </w:pPr>
            <w:r>
              <w:rPr>
                <w:rFonts w:ascii="Arial" w:cs="Arial" w:eastAsia="Arial" w:hAnsi="Arial"/>
                <w:sz w:val="14"/>
                <w:szCs w:val="14"/>
                <w:b w:val="1"/>
                <w:bCs w:val="1"/>
                <w:color w:val="auto"/>
              </w:rPr>
              <w:t>$</w:t>
            </w:r>
          </w:p>
        </w:tc>
        <w:tc>
          <w:tcPr>
            <w:tcW w:w="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373</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160</w:t>
            </w:r>
          </w:p>
        </w:tc>
        <w:tc>
          <w:tcPr>
            <w:tcW w:w="2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274</w:t>
            </w:r>
          </w:p>
        </w:tc>
        <w:tc>
          <w:tcPr>
            <w:tcW w:w="20" w:type="dxa"/>
            <w:vAlign w:val="bottom"/>
          </w:tcPr>
          <w:p>
            <w:pPr>
              <w:spacing w:after="0"/>
              <w:rPr>
                <w:sz w:val="23"/>
                <w:szCs w:val="23"/>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252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4020" w:type="dxa"/>
            <w:vAlign w:val="bottom"/>
          </w:tcPr>
          <w:p>
            <w:pPr>
              <w:ind w:left="100"/>
              <w:spacing w:after="0"/>
              <w:rPr>
                <w:sz w:val="20"/>
                <w:szCs w:val="20"/>
                <w:color w:val="auto"/>
              </w:rPr>
            </w:pPr>
            <w:r>
              <w:rPr>
                <w:rFonts w:ascii="Arial" w:cs="Arial" w:eastAsia="Arial" w:hAnsi="Arial"/>
                <w:sz w:val="14"/>
                <w:szCs w:val="14"/>
                <w:color w:val="auto"/>
              </w:rPr>
              <w:t>Net received (paid) on settled commodity derivatives</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(49)</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(33)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(272)</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4020" w:type="dxa"/>
            <w:vAlign w:val="bottom"/>
          </w:tcPr>
          <w:p>
            <w:pPr>
              <w:ind w:left="220"/>
              <w:spacing w:after="0"/>
              <w:rPr>
                <w:sz w:val="20"/>
                <w:szCs w:val="20"/>
                <w:color w:val="auto"/>
              </w:rPr>
            </w:pPr>
            <w:r>
              <w:rPr>
                <w:rFonts w:ascii="Arial" w:cs="Arial" w:eastAsia="Arial" w:hAnsi="Arial"/>
                <w:sz w:val="14"/>
                <w:szCs w:val="14"/>
                <w:color w:val="auto"/>
              </w:rPr>
              <w:t>Net (loss) gain from commodity derivatives</w:t>
            </w:r>
          </w:p>
        </w:tc>
        <w:tc>
          <w:tcPr>
            <w:tcW w:w="120" w:type="dxa"/>
            <w:vAlign w:val="bottom"/>
          </w:tcPr>
          <w:p>
            <w:pPr>
              <w:spacing w:after="0"/>
              <w:rPr>
                <w:sz w:val="16"/>
                <w:szCs w:val="16"/>
                <w:color w:val="auto"/>
              </w:rPr>
            </w:pPr>
          </w:p>
        </w:tc>
        <w:tc>
          <w:tcPr>
            <w:tcW w:w="1080" w:type="dxa"/>
            <w:vAlign w:val="bottom"/>
            <w:gridSpan w:val="2"/>
          </w:tcPr>
          <w:p>
            <w:pPr>
              <w:ind w:left="3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1080" w:type="dxa"/>
            <w:vAlign w:val="bottom"/>
            <w:gridSpan w:val="3"/>
          </w:tcPr>
          <w:p>
            <w:pPr>
              <w:jc w:val="right"/>
              <w:ind w:right="789"/>
              <w:spacing w:after="0"/>
              <w:rPr>
                <w:sz w:val="20"/>
                <w:szCs w:val="20"/>
                <w:color w:val="auto"/>
              </w:rPr>
            </w:pPr>
            <w:r>
              <w:rPr>
                <w:rFonts w:ascii="Arial" w:cs="Arial" w:eastAsia="Arial" w:hAnsi="Arial"/>
                <w:sz w:val="14"/>
                <w:szCs w:val="14"/>
                <w:b w:val="1"/>
                <w:bCs w:val="1"/>
                <w:color w:val="auto"/>
              </w:rPr>
              <w:t>$</w:t>
            </w:r>
          </w:p>
        </w:tc>
        <w:tc>
          <w:tcPr>
            <w:tcW w:w="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356</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111</w:t>
            </w:r>
          </w:p>
        </w:tc>
        <w:tc>
          <w:tcPr>
            <w:tcW w:w="2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241</w:t>
            </w:r>
          </w:p>
        </w:tc>
        <w:tc>
          <w:tcPr>
            <w:tcW w:w="20" w:type="dxa"/>
            <w:vAlign w:val="bottom"/>
          </w:tcPr>
          <w:p>
            <w:pPr>
              <w:spacing w:after="0"/>
              <w:rPr>
                <w:sz w:val="16"/>
                <w:szCs w:val="16"/>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vMerge w:val="restart"/>
          </w:tcPr>
          <w:p>
            <w:pPr>
              <w:jc w:val="right"/>
              <w:ind w:right="249"/>
              <w:spacing w:after="0"/>
              <w:rPr>
                <w:sz w:val="20"/>
                <w:szCs w:val="20"/>
                <w:color w:val="auto"/>
              </w:rPr>
            </w:pPr>
            <w:r>
              <w:rPr>
                <w:rFonts w:ascii="Arial" w:cs="Arial" w:eastAsia="Arial" w:hAnsi="Arial"/>
                <w:sz w:val="14"/>
                <w:szCs w:val="14"/>
                <w:b w:val="1"/>
                <w:bCs w:val="1"/>
                <w:color w:val="auto"/>
                <w:w w:val="99"/>
              </w:rPr>
              <w:t>1st Quarter</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289"/>
              <w:spacing w:after="0"/>
              <w:rPr>
                <w:sz w:val="20"/>
                <w:szCs w:val="20"/>
                <w:color w:val="auto"/>
              </w:rPr>
            </w:pPr>
            <w:r>
              <w:rPr>
                <w:rFonts w:ascii="Arial" w:cs="Arial" w:eastAsia="Arial" w:hAnsi="Arial"/>
                <w:sz w:val="14"/>
                <w:szCs w:val="14"/>
                <w:b w:val="1"/>
                <w:bCs w:val="1"/>
                <w:color w:val="auto"/>
              </w:rPr>
              <w:t>4th</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4th</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vMerge w:val="restart"/>
          </w:tcPr>
          <w:p>
            <w:pPr>
              <w:ind w:left="400"/>
              <w:spacing w:after="0"/>
              <w:rPr>
                <w:sz w:val="20"/>
                <w:szCs w:val="20"/>
                <w:color w:val="auto"/>
              </w:rPr>
            </w:pPr>
            <w:r>
              <w:rPr>
                <w:rFonts w:ascii="Arial" w:cs="Arial" w:eastAsia="Arial" w:hAnsi="Arial"/>
                <w:sz w:val="14"/>
                <w:szCs w:val="14"/>
                <w:color w:val="auto"/>
                <w:w w:val="98"/>
              </w:rPr>
              <w:t>4th Quarter</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640" w:type="dxa"/>
            <w:vAlign w:val="bottom"/>
            <w:gridSpan w:val="6"/>
          </w:tcPr>
          <w:p>
            <w:pPr>
              <w:jc w:val="right"/>
              <w:ind w:right="129"/>
              <w:spacing w:after="0"/>
              <w:rPr>
                <w:sz w:val="20"/>
                <w:szCs w:val="20"/>
                <w:color w:val="auto"/>
              </w:rPr>
            </w:pPr>
            <w:r>
              <w:rPr>
                <w:rFonts w:ascii="Arial" w:cs="Arial" w:eastAsia="Arial" w:hAnsi="Arial"/>
                <w:sz w:val="14"/>
                <w:szCs w:val="14"/>
                <w:color w:val="auto"/>
              </w:rPr>
              <w:t xml:space="preserve">1st Quarter   </w:t>
            </w:r>
            <w:r>
              <w:rPr>
                <w:rFonts w:ascii="Arial" w:cs="Arial" w:eastAsia="Arial" w:hAnsi="Arial"/>
                <w:sz w:val="14"/>
                <w:szCs w:val="14"/>
                <w:b w:val="1"/>
                <w:bCs w:val="1"/>
                <w:color w:val="auto"/>
              </w:rPr>
              <w:t>Quarter</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Quarter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240"/>
          </w:cols>
          <w:pgMar w:left="320" w:top="93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2"/>
        </w:trPr>
        <w:tc>
          <w:tcPr>
            <w:tcW w:w="49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CAPITAL INVESTMENTS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253"/>
        </w:trPr>
        <w:tc>
          <w:tcPr>
            <w:tcW w:w="4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4th Quarter</w:t>
            </w:r>
          </w:p>
        </w:tc>
        <w:tc>
          <w:tcPr>
            <w:tcW w:w="120" w:type="dxa"/>
            <w:vAlign w:val="bottom"/>
          </w:tcPr>
          <w:p>
            <w:pPr>
              <w:spacing w:after="0"/>
              <w:rPr>
                <w:sz w:val="22"/>
                <w:szCs w:val="22"/>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3rd Quarter</w:t>
            </w:r>
          </w:p>
        </w:tc>
        <w:tc>
          <w:tcPr>
            <w:tcW w:w="140" w:type="dxa"/>
            <w:vAlign w:val="bottom"/>
          </w:tcPr>
          <w:p>
            <w:pPr>
              <w:spacing w:after="0"/>
              <w:rPr>
                <w:sz w:val="22"/>
                <w:szCs w:val="22"/>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4th Quarter</w:t>
            </w:r>
          </w:p>
        </w:tc>
        <w:tc>
          <w:tcPr>
            <w:tcW w:w="160" w:type="dxa"/>
            <w:vAlign w:val="bottom"/>
          </w:tcPr>
          <w:p>
            <w:pPr>
              <w:spacing w:after="0"/>
              <w:rPr>
                <w:sz w:val="22"/>
                <w:szCs w:val="22"/>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 Year</w:t>
            </w:r>
          </w:p>
        </w:tc>
        <w:tc>
          <w:tcPr>
            <w:tcW w:w="160" w:type="dxa"/>
            <w:vAlign w:val="bottom"/>
          </w:tcPr>
          <w:p>
            <w:pPr>
              <w:spacing w:after="0"/>
              <w:rPr>
                <w:sz w:val="22"/>
                <w:szCs w:val="22"/>
                <w:color w:val="auto"/>
              </w:rPr>
            </w:pPr>
          </w:p>
        </w:tc>
        <w:tc>
          <w:tcPr>
            <w:tcW w:w="980" w:type="dxa"/>
            <w:vAlign w:val="bottom"/>
          </w:tcPr>
          <w:p>
            <w:pPr>
              <w:jc w:val="right"/>
              <w:ind w:right="169"/>
              <w:spacing w:after="0"/>
              <w:rPr>
                <w:sz w:val="20"/>
                <w:szCs w:val="20"/>
                <w:color w:val="auto"/>
              </w:rPr>
            </w:pPr>
            <w:r>
              <w:rPr>
                <w:rFonts w:ascii="Arial" w:cs="Arial" w:eastAsia="Arial" w:hAnsi="Arial"/>
                <w:sz w:val="14"/>
                <w:szCs w:val="14"/>
                <w:b w:val="1"/>
                <w:bCs w:val="1"/>
                <w:color w:val="auto"/>
              </w:rPr>
              <w:t>Total Year</w:t>
            </w:r>
          </w:p>
        </w:tc>
      </w:tr>
      <w:tr>
        <w:trPr>
          <w:trHeight w:val="201"/>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2023</w:t>
            </w:r>
          </w:p>
        </w:tc>
      </w:tr>
      <w:tr>
        <w:trPr>
          <w:trHeight w:val="278"/>
        </w:trPr>
        <w:tc>
          <w:tcPr>
            <w:tcW w:w="4900" w:type="dxa"/>
            <w:vAlign w:val="bottom"/>
          </w:tcPr>
          <w:p>
            <w:pPr>
              <w:ind w:left="140"/>
              <w:spacing w:after="0"/>
              <w:rPr>
                <w:sz w:val="20"/>
                <w:szCs w:val="20"/>
                <w:color w:val="auto"/>
              </w:rPr>
            </w:pPr>
            <w:r>
              <w:rPr>
                <w:rFonts w:ascii="Arial" w:cs="Arial" w:eastAsia="Arial" w:hAnsi="Arial"/>
                <w:sz w:val="14"/>
                <w:szCs w:val="14"/>
                <w:color w:val="auto"/>
              </w:rPr>
              <w:t xml:space="preserve">Facilities </w:t>
            </w:r>
            <w:r>
              <w:rPr>
                <w:rFonts w:ascii="Arial" w:cs="Arial" w:eastAsia="Arial" w:hAnsi="Arial"/>
                <w:sz w:val="18"/>
                <w:szCs w:val="18"/>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44</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24"/>
                <w:szCs w:val="24"/>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111</w:t>
            </w:r>
          </w:p>
        </w:tc>
        <w:tc>
          <w:tcPr>
            <w:tcW w:w="140" w:type="dxa"/>
            <w:vAlign w:val="bottom"/>
          </w:tcPr>
          <w:p>
            <w:pPr>
              <w:spacing w:after="0"/>
              <w:rPr>
                <w:sz w:val="24"/>
                <w:szCs w:val="24"/>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47</w:t>
            </w:r>
          </w:p>
        </w:tc>
      </w:tr>
      <w:tr>
        <w:trPr>
          <w:trHeight w:val="195"/>
        </w:trPr>
        <w:tc>
          <w:tcPr>
            <w:tcW w:w="4900" w:type="dxa"/>
            <w:vAlign w:val="bottom"/>
          </w:tcPr>
          <w:p>
            <w:pPr>
              <w:ind w:left="140"/>
              <w:spacing w:after="0"/>
              <w:rPr>
                <w:sz w:val="20"/>
                <w:szCs w:val="20"/>
                <w:color w:val="auto"/>
              </w:rPr>
            </w:pPr>
            <w:r>
              <w:rPr>
                <w:rFonts w:ascii="Arial" w:cs="Arial" w:eastAsia="Arial" w:hAnsi="Arial"/>
                <w:sz w:val="14"/>
                <w:szCs w:val="14"/>
                <w:color w:val="auto"/>
              </w:rPr>
              <w:t>Drilling and completions</w:t>
            </w:r>
          </w:p>
        </w:tc>
        <w:tc>
          <w:tcPr>
            <w:tcW w:w="14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17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69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67</w:t>
            </w:r>
          </w:p>
        </w:tc>
      </w:tr>
      <w:tr>
        <w:trPr>
          <w:trHeight w:val="200"/>
        </w:trPr>
        <w:tc>
          <w:tcPr>
            <w:tcW w:w="4900" w:type="dxa"/>
            <w:vAlign w:val="bottom"/>
          </w:tcPr>
          <w:p>
            <w:pPr>
              <w:ind w:left="140"/>
              <w:spacing w:after="0"/>
              <w:rPr>
                <w:sz w:val="20"/>
                <w:szCs w:val="20"/>
                <w:color w:val="auto"/>
              </w:rPr>
            </w:pPr>
            <w:r>
              <w:rPr>
                <w:rFonts w:ascii="Arial" w:cs="Arial" w:eastAsia="Arial" w:hAnsi="Arial"/>
                <w:sz w:val="14"/>
                <w:szCs w:val="14"/>
                <w:color w:val="auto"/>
              </w:rPr>
              <w:t>Workovers</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17</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54</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39</w:t>
            </w:r>
          </w:p>
        </w:tc>
      </w:tr>
      <w:tr>
        <w:trPr>
          <w:trHeight w:val="193"/>
        </w:trPr>
        <w:tc>
          <w:tcPr>
            <w:tcW w:w="4900" w:type="dxa"/>
            <w:vAlign w:val="bottom"/>
          </w:tcPr>
          <w:p>
            <w:pPr>
              <w:ind w:left="20"/>
              <w:spacing w:after="0"/>
              <w:rPr>
                <w:sz w:val="20"/>
                <w:szCs w:val="20"/>
                <w:color w:val="auto"/>
              </w:rPr>
            </w:pPr>
            <w:r>
              <w:rPr>
                <w:rFonts w:ascii="Arial" w:cs="Arial" w:eastAsia="Arial" w:hAnsi="Arial"/>
                <w:sz w:val="14"/>
                <w:szCs w:val="14"/>
                <w:color w:val="auto"/>
              </w:rPr>
              <w:t>Total Oil and natural gas capital</w:t>
            </w:r>
          </w:p>
        </w:tc>
        <w:tc>
          <w:tcPr>
            <w:tcW w:w="140" w:type="dxa"/>
            <w:vAlign w:val="bottom"/>
          </w:tcPr>
          <w:p>
            <w:pPr>
              <w:spacing w:after="0"/>
              <w:rPr>
                <w:sz w:val="16"/>
                <w:szCs w:val="16"/>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78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234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153</w:t>
            </w:r>
          </w:p>
        </w:tc>
      </w:tr>
      <w:tr>
        <w:trPr>
          <w:trHeight w:val="205"/>
        </w:trPr>
        <w:tc>
          <w:tcPr>
            <w:tcW w:w="4900" w:type="dxa"/>
            <w:vAlign w:val="bottom"/>
          </w:tcPr>
          <w:p>
            <w:pPr>
              <w:ind w:left="140"/>
              <w:spacing w:after="0" w:line="205" w:lineRule="exact"/>
              <w:rPr>
                <w:sz w:val="20"/>
                <w:szCs w:val="20"/>
                <w:color w:val="auto"/>
              </w:rPr>
            </w:pPr>
            <w:r>
              <w:rPr>
                <w:rFonts w:ascii="Arial" w:cs="Arial" w:eastAsia="Arial" w:hAnsi="Arial"/>
                <w:sz w:val="14"/>
                <w:szCs w:val="14"/>
                <w:color w:val="auto"/>
              </w:rPr>
              <w:t xml:space="preserve">CMB </w:t>
            </w:r>
            <w:r>
              <w:rPr>
                <w:rFonts w:ascii="Arial" w:cs="Arial" w:eastAsia="Arial" w:hAnsi="Arial"/>
                <w:sz w:val="18"/>
                <w:szCs w:val="18"/>
                <w:color w:val="auto"/>
                <w:vertAlign w:val="superscript"/>
              </w:rPr>
              <w:t>(1)</w:t>
            </w:r>
          </w:p>
        </w:tc>
        <w:tc>
          <w:tcPr>
            <w:tcW w:w="140" w:type="dxa"/>
            <w:vAlign w:val="bottom"/>
          </w:tcPr>
          <w:p>
            <w:pPr>
              <w:spacing w:after="0"/>
              <w:rPr>
                <w:sz w:val="17"/>
                <w:szCs w:val="17"/>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b w:val="1"/>
                <w:bCs w:val="1"/>
                <w:color w:val="auto"/>
              </w:rPr>
              <w:t>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12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5</w:t>
            </w:r>
          </w:p>
        </w:tc>
      </w:tr>
      <w:tr>
        <w:trPr>
          <w:trHeight w:val="195"/>
        </w:trPr>
        <w:tc>
          <w:tcPr>
            <w:tcW w:w="4900" w:type="dxa"/>
            <w:vAlign w:val="bottom"/>
          </w:tcPr>
          <w:p>
            <w:pPr>
              <w:ind w:left="140"/>
              <w:spacing w:after="0"/>
              <w:rPr>
                <w:sz w:val="20"/>
                <w:szCs w:val="20"/>
                <w:color w:val="auto"/>
              </w:rPr>
            </w:pPr>
            <w:r>
              <w:rPr>
                <w:rFonts w:ascii="Arial" w:cs="Arial" w:eastAsia="Arial" w:hAnsi="Arial"/>
                <w:sz w:val="14"/>
                <w:szCs w:val="14"/>
                <w:color w:val="auto"/>
              </w:rPr>
              <w:t>Corporate and other</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4</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9</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27</w:t>
            </w:r>
          </w:p>
        </w:tc>
      </w:tr>
      <w:tr>
        <w:trPr>
          <w:trHeight w:val="194"/>
        </w:trPr>
        <w:tc>
          <w:tcPr>
            <w:tcW w:w="4900" w:type="dxa"/>
            <w:vAlign w:val="bottom"/>
          </w:tcPr>
          <w:p>
            <w:pPr>
              <w:ind w:left="20"/>
              <w:spacing w:after="0"/>
              <w:rPr>
                <w:sz w:val="20"/>
                <w:szCs w:val="20"/>
                <w:color w:val="auto"/>
              </w:rPr>
            </w:pPr>
            <w:r>
              <w:rPr>
                <w:rFonts w:ascii="Arial" w:cs="Arial" w:eastAsia="Arial" w:hAnsi="Arial"/>
                <w:sz w:val="14"/>
                <w:szCs w:val="14"/>
                <w:color w:val="auto"/>
              </w:rPr>
              <w:t>Total capital program</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88</w:t>
            </w:r>
          </w:p>
        </w:tc>
        <w:tc>
          <w:tcPr>
            <w:tcW w:w="1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255</w:t>
            </w:r>
          </w:p>
        </w:tc>
        <w:tc>
          <w:tcPr>
            <w:tcW w:w="14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185</w:t>
            </w:r>
          </w:p>
        </w:tc>
      </w:tr>
      <w:tr>
        <w:trPr>
          <w:trHeight w:val="20"/>
        </w:trPr>
        <w:tc>
          <w:tcPr>
            <w:tcW w:w="4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241300</wp:posOffset>
            </wp:positionH>
            <wp:positionV relativeFrom="page">
              <wp:posOffset>588010</wp:posOffset>
            </wp:positionV>
            <wp:extent cx="7074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74535" cy="8255"/>
                    </a:xfrm>
                    <a:prstGeom prst="rect">
                      <a:avLst/>
                    </a:prstGeom>
                    <a:noFill/>
                  </pic:spPr>
                </pic:pic>
              </a:graphicData>
            </a:graphic>
          </wp:anchor>
        </w:drawing>
      </w:r>
    </w:p>
    <w:p>
      <w:pPr>
        <w:jc w:val="both"/>
        <w:ind w:left="20" w:right="20" w:hanging="9"/>
        <w:spacing w:after="0" w:line="218" w:lineRule="auto"/>
        <w:tabs>
          <w:tab w:leader="none" w:pos="158"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Facilities capital includes $1 million in the fourth quarter of 2023, and $4 million for the total year 2023, to build replacement water injection facilities which will allow CRC to divert produced water away from a depleted oil and natural gas reservoir held by the Carbon TerraVault JV. Construction of these facilities supports the advancement of CRC’s carbon management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140"/>
          </w:cols>
          <w:pgMar w:left="380" w:top="946" w:right="37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5"/>
        </w:trPr>
        <w:tc>
          <w:tcPr>
            <w:tcW w:w="50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Attachment 2</w:t>
            </w:r>
          </w:p>
        </w:tc>
        <w:tc>
          <w:tcPr>
            <w:tcW w:w="0" w:type="dxa"/>
            <w:vAlign w:val="bottom"/>
          </w:tcPr>
          <w:p>
            <w:pPr>
              <w:spacing w:after="0"/>
              <w:rPr>
                <w:sz w:val="1"/>
                <w:szCs w:val="1"/>
                <w:color w:val="auto"/>
              </w:rPr>
            </w:pPr>
          </w:p>
        </w:tc>
      </w:tr>
      <w:tr>
        <w:trPr>
          <w:trHeight w:val="21"/>
        </w:trPr>
        <w:tc>
          <w:tcPr>
            <w:tcW w:w="50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gridSpan w:val="3"/>
          </w:tcPr>
          <w:p>
            <w:pPr>
              <w:spacing w:after="0" w:line="20" w:lineRule="exact"/>
              <w:rPr>
                <w:sz w:val="1"/>
                <w:szCs w:val="1"/>
                <w:color w:val="auto"/>
              </w:rPr>
            </w:pPr>
          </w:p>
        </w:tc>
        <w:tc>
          <w:tcPr>
            <w:tcW w:w="2020" w:type="dxa"/>
            <w:vAlign w:val="bottom"/>
            <w:tcBorders>
              <w:bottom w:val="single" w:sz="8" w:color="auto"/>
            </w:tcBorders>
            <w:gridSpan w:val="3"/>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CRC GUIDANCE</w:t>
            </w:r>
          </w:p>
        </w:tc>
        <w:tc>
          <w:tcPr>
            <w:tcW w:w="2220" w:type="dxa"/>
            <w:vAlign w:val="bottom"/>
            <w:gridSpan w:val="3"/>
          </w:tcPr>
          <w:p>
            <w:pPr>
              <w:jc w:val="center"/>
              <w:ind w:left="449"/>
              <w:spacing w:after="0" w:line="144" w:lineRule="exact"/>
              <w:rPr>
                <w:sz w:val="20"/>
                <w:szCs w:val="20"/>
                <w:color w:val="auto"/>
              </w:rPr>
            </w:pPr>
            <w:r>
              <w:rPr>
                <w:rFonts w:ascii="Arial" w:cs="Arial" w:eastAsia="Arial" w:hAnsi="Arial"/>
                <w:sz w:val="14"/>
                <w:szCs w:val="14"/>
                <w:b w:val="1"/>
                <w:bCs w:val="1"/>
                <w:color w:val="auto"/>
              </w:rPr>
              <w:t>Consolidated</w:t>
            </w:r>
          </w:p>
        </w:tc>
        <w:tc>
          <w:tcPr>
            <w:tcW w:w="2020" w:type="dxa"/>
            <w:vAlign w:val="bottom"/>
            <w:gridSpan w:val="3"/>
          </w:tcPr>
          <w:p>
            <w:pPr>
              <w:ind w:left="300"/>
              <w:spacing w:after="0" w:line="144" w:lineRule="exact"/>
              <w:rPr>
                <w:sz w:val="20"/>
                <w:szCs w:val="20"/>
                <w:color w:val="auto"/>
              </w:rPr>
            </w:pPr>
            <w:r>
              <w:rPr>
                <w:rFonts w:ascii="Arial" w:cs="Arial" w:eastAsia="Arial" w:hAnsi="Arial"/>
                <w:sz w:val="14"/>
                <w:szCs w:val="14"/>
                <w:b w:val="1"/>
                <w:bCs w:val="1"/>
                <w:color w:val="auto"/>
              </w:rPr>
              <w:t>Oil and Natural Gas</w:t>
            </w:r>
          </w:p>
        </w:tc>
        <w:tc>
          <w:tcPr>
            <w:tcW w:w="1960" w:type="dxa"/>
            <w:vAlign w:val="bottom"/>
          </w:tcPr>
          <w:p>
            <w:pPr>
              <w:ind w:left="280"/>
              <w:spacing w:after="0" w:line="144" w:lineRule="exact"/>
              <w:rPr>
                <w:sz w:val="20"/>
                <w:szCs w:val="20"/>
                <w:color w:val="auto"/>
              </w:rPr>
            </w:pPr>
            <w:r>
              <w:rPr>
                <w:rFonts w:ascii="Arial" w:cs="Arial" w:eastAsia="Arial" w:hAnsi="Arial"/>
                <w:sz w:val="14"/>
                <w:szCs w:val="14"/>
                <w:b w:val="1"/>
                <w:bCs w:val="1"/>
                <w:color w:val="auto"/>
              </w:rPr>
              <w:t>Carbon Management</w:t>
            </w:r>
          </w:p>
        </w:tc>
        <w:tc>
          <w:tcPr>
            <w:tcW w:w="0" w:type="dxa"/>
            <w:vAlign w:val="bottom"/>
          </w:tcPr>
          <w:p>
            <w:pPr>
              <w:spacing w:after="0"/>
              <w:rPr>
                <w:sz w:val="1"/>
                <w:szCs w:val="1"/>
                <w:color w:val="auto"/>
              </w:rPr>
            </w:pPr>
          </w:p>
        </w:tc>
      </w:tr>
      <w:tr>
        <w:trPr>
          <w:trHeight w:val="183"/>
        </w:trPr>
        <w:tc>
          <w:tcPr>
            <w:tcW w:w="5040" w:type="dxa"/>
            <w:vAlign w:val="bottom"/>
            <w:vMerge w:val="continue"/>
          </w:tcPr>
          <w:p>
            <w:pPr>
              <w:spacing w:after="0"/>
              <w:rPr>
                <w:sz w:val="15"/>
                <w:szCs w:val="15"/>
                <w:color w:val="auto"/>
              </w:rPr>
            </w:pPr>
          </w:p>
        </w:tc>
        <w:tc>
          <w:tcPr>
            <w:tcW w:w="2220" w:type="dxa"/>
            <w:vAlign w:val="bottom"/>
            <w:gridSpan w:val="3"/>
          </w:tcPr>
          <w:p>
            <w:pPr>
              <w:jc w:val="center"/>
              <w:ind w:left="449"/>
              <w:spacing w:after="0"/>
              <w:rPr>
                <w:sz w:val="20"/>
                <w:szCs w:val="20"/>
                <w:color w:val="auto"/>
              </w:rPr>
            </w:pPr>
            <w:r>
              <w:rPr>
                <w:rFonts w:ascii="Arial" w:cs="Arial" w:eastAsia="Arial" w:hAnsi="Arial"/>
                <w:sz w:val="14"/>
                <w:szCs w:val="14"/>
                <w:b w:val="1"/>
                <w:bCs w:val="1"/>
                <w:color w:val="auto"/>
              </w:rPr>
              <w:t>1Q25E</w:t>
            </w:r>
          </w:p>
        </w:tc>
        <w:tc>
          <w:tcPr>
            <w:tcW w:w="2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1Q25E</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1Q25E</w:t>
            </w:r>
          </w:p>
        </w:tc>
        <w:tc>
          <w:tcPr>
            <w:tcW w:w="0" w:type="dxa"/>
            <w:vAlign w:val="bottom"/>
          </w:tcPr>
          <w:p>
            <w:pPr>
              <w:spacing w:after="0"/>
              <w:rPr>
                <w:sz w:val="1"/>
                <w:szCs w:val="1"/>
                <w:color w:val="auto"/>
              </w:rPr>
            </w:pPr>
          </w:p>
        </w:tc>
      </w:tr>
      <w:tr>
        <w:trPr>
          <w:trHeight w:val="186"/>
        </w:trPr>
        <w:tc>
          <w:tcPr>
            <w:tcW w:w="504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Net Production (MBoe/d)</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8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- 142</w:t>
            </w: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040" w:type="dxa"/>
            <w:vAlign w:val="bottom"/>
          </w:tcPr>
          <w:p>
            <w:pPr>
              <w:ind w:left="140"/>
              <w:spacing w:after="0"/>
              <w:rPr>
                <w:sz w:val="20"/>
                <w:szCs w:val="20"/>
                <w:color w:val="auto"/>
              </w:rPr>
            </w:pPr>
            <w:r>
              <w:rPr>
                <w:rFonts w:ascii="Arial" w:cs="Arial" w:eastAsia="Arial" w:hAnsi="Arial"/>
                <w:sz w:val="14"/>
                <w:szCs w:val="14"/>
                <w:color w:val="auto"/>
              </w:rPr>
              <w:t>Net Oil Production (%)</w:t>
            </w:r>
          </w:p>
        </w:tc>
        <w:tc>
          <w:tcPr>
            <w:tcW w:w="2120" w:type="dxa"/>
            <w:vAlign w:val="bottom"/>
            <w:gridSpan w:val="2"/>
          </w:tcPr>
          <w:p>
            <w:pPr>
              <w:jc w:val="center"/>
              <w:ind w:left="549"/>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40" w:type="dxa"/>
            <w:vAlign w:val="bottom"/>
          </w:tcPr>
          <w:p>
            <w:pPr>
              <w:ind w:left="140"/>
              <w:spacing w:after="0"/>
              <w:rPr>
                <w:sz w:val="20"/>
                <w:szCs w:val="20"/>
                <w:color w:val="auto"/>
              </w:rPr>
            </w:pPr>
            <w:r>
              <w:rPr>
                <w:rFonts w:ascii="Arial" w:cs="Arial" w:eastAsia="Arial" w:hAnsi="Arial"/>
                <w:sz w:val="14"/>
                <w:szCs w:val="14"/>
                <w:color w:val="auto"/>
              </w:rPr>
              <w:t>Operating Costs and CMB Expenses ($ millions)</w:t>
            </w:r>
          </w:p>
        </w:tc>
        <w:tc>
          <w:tcPr>
            <w:tcW w:w="1320" w:type="dxa"/>
            <w:vAlign w:val="bottom"/>
          </w:tcPr>
          <w:p>
            <w:pPr>
              <w:jc w:val="right"/>
              <w:spacing w:after="0"/>
              <w:rPr>
                <w:sz w:val="20"/>
                <w:szCs w:val="20"/>
                <w:color w:val="auto"/>
              </w:rPr>
            </w:pPr>
            <w:r>
              <w:rPr>
                <w:rFonts w:ascii="Arial" w:cs="Arial" w:eastAsia="Arial" w:hAnsi="Arial"/>
                <w:sz w:val="14"/>
                <w:szCs w:val="14"/>
                <w:color w:val="auto"/>
              </w:rPr>
              <w:t>$335</w:t>
            </w:r>
          </w:p>
        </w:tc>
        <w:tc>
          <w:tcPr>
            <w:tcW w:w="800" w:type="dxa"/>
            <w:vAlign w:val="bottom"/>
          </w:tcPr>
          <w:p>
            <w:pPr>
              <w:ind w:left="20"/>
              <w:spacing w:after="0"/>
              <w:rPr>
                <w:sz w:val="20"/>
                <w:szCs w:val="20"/>
                <w:color w:val="auto"/>
              </w:rPr>
            </w:pPr>
            <w:r>
              <w:rPr>
                <w:rFonts w:ascii="Arial" w:cs="Arial" w:eastAsia="Arial" w:hAnsi="Arial"/>
                <w:sz w:val="14"/>
                <w:szCs w:val="14"/>
                <w:color w:val="auto"/>
              </w:rPr>
              <w:t>- $365</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$320</w:t>
            </w:r>
          </w:p>
        </w:tc>
        <w:tc>
          <w:tcPr>
            <w:tcW w:w="1020" w:type="dxa"/>
            <w:vAlign w:val="bottom"/>
          </w:tcPr>
          <w:p>
            <w:pPr>
              <w:ind w:left="20"/>
              <w:spacing w:after="0"/>
              <w:rPr>
                <w:sz w:val="20"/>
                <w:szCs w:val="20"/>
                <w:color w:val="auto"/>
              </w:rPr>
            </w:pPr>
            <w:r>
              <w:rPr>
                <w:rFonts w:ascii="Arial" w:cs="Arial" w:eastAsia="Arial" w:hAnsi="Arial"/>
                <w:sz w:val="14"/>
                <w:szCs w:val="14"/>
                <w:color w:val="auto"/>
              </w:rPr>
              <w:t>- $340</w:t>
            </w:r>
          </w:p>
        </w:tc>
        <w:tc>
          <w:tcPr>
            <w:tcW w:w="8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$15 - $25</w:t>
            </w:r>
          </w:p>
        </w:tc>
        <w:tc>
          <w:tcPr>
            <w:tcW w:w="0" w:type="dxa"/>
            <w:vAlign w:val="bottom"/>
          </w:tcPr>
          <w:p>
            <w:pPr>
              <w:spacing w:after="0"/>
              <w:rPr>
                <w:sz w:val="1"/>
                <w:szCs w:val="1"/>
                <w:color w:val="auto"/>
              </w:rPr>
            </w:pPr>
          </w:p>
        </w:tc>
      </w:tr>
      <w:tr>
        <w:trPr>
          <w:trHeight w:val="200"/>
        </w:trPr>
        <w:tc>
          <w:tcPr>
            <w:tcW w:w="5040" w:type="dxa"/>
            <w:vAlign w:val="bottom"/>
          </w:tcPr>
          <w:p>
            <w:pPr>
              <w:ind w:left="260"/>
              <w:spacing w:after="0"/>
              <w:rPr>
                <w:sz w:val="20"/>
                <w:szCs w:val="20"/>
                <w:color w:val="auto"/>
              </w:rPr>
            </w:pPr>
            <w:r>
              <w:rPr>
                <w:rFonts w:ascii="Arial" w:cs="Arial" w:eastAsia="Arial" w:hAnsi="Arial"/>
                <w:sz w:val="14"/>
                <w:szCs w:val="14"/>
                <w:i w:val="1"/>
                <w:iCs w:val="1"/>
                <w:color w:val="auto"/>
              </w:rPr>
              <w:t>Non-Energy Operating and Gas Processing Costs ($ millions)</w:t>
            </w: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$210</w:t>
            </w:r>
          </w:p>
        </w:tc>
        <w:tc>
          <w:tcPr>
            <w:tcW w:w="1020" w:type="dxa"/>
            <w:vAlign w:val="bottom"/>
          </w:tcPr>
          <w:p>
            <w:pPr>
              <w:ind w:left="20"/>
              <w:spacing w:after="0"/>
              <w:rPr>
                <w:sz w:val="20"/>
                <w:szCs w:val="20"/>
                <w:color w:val="auto"/>
              </w:rPr>
            </w:pPr>
            <w:r>
              <w:rPr>
                <w:rFonts w:ascii="Arial" w:cs="Arial" w:eastAsia="Arial" w:hAnsi="Arial"/>
                <w:sz w:val="14"/>
                <w:szCs w:val="14"/>
                <w:i w:val="1"/>
                <w:iCs w:val="1"/>
                <w:color w:val="auto"/>
              </w:rPr>
              <w:t>- $225</w:t>
            </w: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40" w:type="dxa"/>
            <w:vAlign w:val="bottom"/>
          </w:tcPr>
          <w:p>
            <w:pPr>
              <w:ind w:left="140"/>
              <w:spacing w:after="0"/>
              <w:rPr>
                <w:sz w:val="20"/>
                <w:szCs w:val="20"/>
                <w:color w:val="auto"/>
              </w:rPr>
            </w:pPr>
            <w:r>
              <w:rPr>
                <w:rFonts w:ascii="Arial" w:cs="Arial" w:eastAsia="Arial" w:hAnsi="Arial"/>
                <w:sz w:val="14"/>
                <w:szCs w:val="14"/>
                <w:color w:val="auto"/>
              </w:rPr>
              <w:t>General and Administrative Expenses ($ millions)</w:t>
            </w:r>
          </w:p>
        </w:tc>
        <w:tc>
          <w:tcPr>
            <w:tcW w:w="1320" w:type="dxa"/>
            <w:vAlign w:val="bottom"/>
          </w:tcPr>
          <w:p>
            <w:pPr>
              <w:jc w:val="right"/>
              <w:spacing w:after="0"/>
              <w:rPr>
                <w:sz w:val="20"/>
                <w:szCs w:val="20"/>
                <w:color w:val="auto"/>
              </w:rPr>
            </w:pPr>
            <w:r>
              <w:rPr>
                <w:rFonts w:ascii="Arial" w:cs="Arial" w:eastAsia="Arial" w:hAnsi="Arial"/>
                <w:sz w:val="14"/>
                <w:szCs w:val="14"/>
                <w:color w:val="auto"/>
              </w:rPr>
              <w:t>$80</w:t>
            </w:r>
          </w:p>
        </w:tc>
        <w:tc>
          <w:tcPr>
            <w:tcW w:w="800" w:type="dxa"/>
            <w:vAlign w:val="bottom"/>
          </w:tcPr>
          <w:p>
            <w:pPr>
              <w:ind w:left="20"/>
              <w:spacing w:after="0"/>
              <w:rPr>
                <w:sz w:val="20"/>
                <w:szCs w:val="20"/>
                <w:color w:val="auto"/>
              </w:rPr>
            </w:pPr>
            <w:r>
              <w:rPr>
                <w:rFonts w:ascii="Arial" w:cs="Arial" w:eastAsia="Arial" w:hAnsi="Arial"/>
                <w:sz w:val="14"/>
                <w:szCs w:val="14"/>
                <w:color w:val="auto"/>
              </w:rPr>
              <w:t>- $84</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w:t>
            </w:r>
          </w:p>
        </w:tc>
        <w:tc>
          <w:tcPr>
            <w:tcW w:w="1020" w:type="dxa"/>
            <w:vAlign w:val="bottom"/>
          </w:tcPr>
          <w:p>
            <w:pPr>
              <w:ind w:left="20"/>
              <w:spacing w:after="0"/>
              <w:rPr>
                <w:sz w:val="20"/>
                <w:szCs w:val="20"/>
                <w:color w:val="auto"/>
              </w:rPr>
            </w:pPr>
            <w:r>
              <w:rPr>
                <w:rFonts w:ascii="Arial" w:cs="Arial" w:eastAsia="Arial" w:hAnsi="Arial"/>
                <w:sz w:val="14"/>
                <w:szCs w:val="14"/>
                <w:color w:val="auto"/>
              </w:rPr>
              <w:t>- $12</w:t>
            </w:r>
          </w:p>
        </w:tc>
        <w:tc>
          <w:tcPr>
            <w:tcW w:w="8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$2 - $4</w:t>
            </w:r>
          </w:p>
        </w:tc>
        <w:tc>
          <w:tcPr>
            <w:tcW w:w="0" w:type="dxa"/>
            <w:vAlign w:val="bottom"/>
          </w:tcPr>
          <w:p>
            <w:pPr>
              <w:spacing w:after="0"/>
              <w:rPr>
                <w:sz w:val="1"/>
                <w:szCs w:val="1"/>
                <w:color w:val="auto"/>
              </w:rPr>
            </w:pPr>
          </w:p>
        </w:tc>
      </w:tr>
      <w:tr>
        <w:trPr>
          <w:trHeight w:val="200"/>
        </w:trPr>
        <w:tc>
          <w:tcPr>
            <w:tcW w:w="5040" w:type="dxa"/>
            <w:vAlign w:val="bottom"/>
          </w:tcPr>
          <w:p>
            <w:pPr>
              <w:ind w:left="260"/>
              <w:spacing w:after="0"/>
              <w:rPr>
                <w:sz w:val="20"/>
                <w:szCs w:val="20"/>
                <w:color w:val="auto"/>
              </w:rPr>
            </w:pPr>
            <w:r>
              <w:rPr>
                <w:rFonts w:ascii="Arial" w:cs="Arial" w:eastAsia="Arial" w:hAnsi="Arial"/>
                <w:sz w:val="14"/>
                <w:szCs w:val="14"/>
                <w:i w:val="1"/>
                <w:iCs w:val="1"/>
                <w:color w:val="auto"/>
              </w:rPr>
              <w:t>Adjusted General and Administrative Expenses ($ millions)</w:t>
            </w:r>
          </w:p>
        </w:tc>
        <w:tc>
          <w:tcPr>
            <w:tcW w:w="1320" w:type="dxa"/>
            <w:vAlign w:val="bottom"/>
          </w:tcPr>
          <w:p>
            <w:pPr>
              <w:jc w:val="right"/>
              <w:spacing w:after="0"/>
              <w:rPr>
                <w:sz w:val="20"/>
                <w:szCs w:val="20"/>
                <w:color w:val="auto"/>
              </w:rPr>
            </w:pPr>
            <w:r>
              <w:rPr>
                <w:rFonts w:ascii="Arial" w:cs="Arial" w:eastAsia="Arial" w:hAnsi="Arial"/>
                <w:sz w:val="14"/>
                <w:szCs w:val="14"/>
                <w:i w:val="1"/>
                <w:iCs w:val="1"/>
                <w:color w:val="auto"/>
              </w:rPr>
              <w:t>$75</w:t>
            </w:r>
          </w:p>
        </w:tc>
        <w:tc>
          <w:tcPr>
            <w:tcW w:w="800" w:type="dxa"/>
            <w:vAlign w:val="bottom"/>
          </w:tcPr>
          <w:p>
            <w:pPr>
              <w:ind w:left="20"/>
              <w:spacing w:after="0"/>
              <w:rPr>
                <w:sz w:val="20"/>
                <w:szCs w:val="20"/>
                <w:color w:val="auto"/>
              </w:rPr>
            </w:pPr>
            <w:r>
              <w:rPr>
                <w:rFonts w:ascii="Arial" w:cs="Arial" w:eastAsia="Arial" w:hAnsi="Arial"/>
                <w:sz w:val="14"/>
                <w:szCs w:val="14"/>
                <w:i w:val="1"/>
                <w:iCs w:val="1"/>
                <w:color w:val="auto"/>
              </w:rPr>
              <w:t>- $80</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$10</w:t>
            </w:r>
          </w:p>
        </w:tc>
        <w:tc>
          <w:tcPr>
            <w:tcW w:w="1020" w:type="dxa"/>
            <w:vAlign w:val="bottom"/>
          </w:tcPr>
          <w:p>
            <w:pPr>
              <w:ind w:left="20"/>
              <w:spacing w:after="0"/>
              <w:rPr>
                <w:sz w:val="20"/>
                <w:szCs w:val="20"/>
                <w:color w:val="auto"/>
              </w:rPr>
            </w:pPr>
            <w:r>
              <w:rPr>
                <w:rFonts w:ascii="Arial" w:cs="Arial" w:eastAsia="Arial" w:hAnsi="Arial"/>
                <w:sz w:val="14"/>
                <w:szCs w:val="14"/>
                <w:i w:val="1"/>
                <w:iCs w:val="1"/>
                <w:color w:val="auto"/>
              </w:rPr>
              <w:t>- $12</w:t>
            </w:r>
          </w:p>
        </w:tc>
        <w:tc>
          <w:tcPr>
            <w:tcW w:w="8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i w:val="1"/>
                <w:iCs w:val="1"/>
                <w:color w:val="auto"/>
              </w:rPr>
              <w:t>$2 - $4</w:t>
            </w:r>
          </w:p>
        </w:tc>
        <w:tc>
          <w:tcPr>
            <w:tcW w:w="0" w:type="dxa"/>
            <w:vAlign w:val="bottom"/>
          </w:tcPr>
          <w:p>
            <w:pPr>
              <w:spacing w:after="0"/>
              <w:rPr>
                <w:sz w:val="1"/>
                <w:szCs w:val="1"/>
                <w:color w:val="auto"/>
              </w:rPr>
            </w:pPr>
          </w:p>
        </w:tc>
      </w:tr>
      <w:tr>
        <w:trPr>
          <w:trHeight w:val="200"/>
        </w:trPr>
        <w:tc>
          <w:tcPr>
            <w:tcW w:w="5040" w:type="dxa"/>
            <w:vAlign w:val="bottom"/>
          </w:tcPr>
          <w:p>
            <w:pPr>
              <w:ind w:left="140"/>
              <w:spacing w:after="0"/>
              <w:rPr>
                <w:sz w:val="20"/>
                <w:szCs w:val="20"/>
                <w:color w:val="auto"/>
              </w:rPr>
            </w:pPr>
            <w:r>
              <w:rPr>
                <w:rFonts w:ascii="Arial" w:cs="Arial" w:eastAsia="Arial" w:hAnsi="Arial"/>
                <w:sz w:val="14"/>
                <w:szCs w:val="14"/>
                <w:color w:val="auto"/>
              </w:rPr>
              <w:t>Depreciation, Depletion and Amortization ($ millions)</w:t>
            </w:r>
          </w:p>
        </w:tc>
        <w:tc>
          <w:tcPr>
            <w:tcW w:w="1320" w:type="dxa"/>
            <w:vAlign w:val="bottom"/>
          </w:tcPr>
          <w:p>
            <w:pPr>
              <w:jc w:val="right"/>
              <w:spacing w:after="0"/>
              <w:rPr>
                <w:sz w:val="20"/>
                <w:szCs w:val="20"/>
                <w:color w:val="auto"/>
              </w:rPr>
            </w:pPr>
            <w:r>
              <w:rPr>
                <w:rFonts w:ascii="Arial" w:cs="Arial" w:eastAsia="Arial" w:hAnsi="Arial"/>
                <w:sz w:val="14"/>
                <w:szCs w:val="14"/>
                <w:color w:val="auto"/>
              </w:rPr>
              <w:t>$125</w:t>
            </w:r>
          </w:p>
        </w:tc>
        <w:tc>
          <w:tcPr>
            <w:tcW w:w="800" w:type="dxa"/>
            <w:vAlign w:val="bottom"/>
          </w:tcPr>
          <w:p>
            <w:pPr>
              <w:ind w:left="20"/>
              <w:spacing w:after="0"/>
              <w:rPr>
                <w:sz w:val="20"/>
                <w:szCs w:val="20"/>
                <w:color w:val="auto"/>
              </w:rPr>
            </w:pPr>
            <w:r>
              <w:rPr>
                <w:rFonts w:ascii="Arial" w:cs="Arial" w:eastAsia="Arial" w:hAnsi="Arial"/>
                <w:sz w:val="14"/>
                <w:szCs w:val="14"/>
                <w:color w:val="auto"/>
              </w:rPr>
              <w:t>- $130</w:t>
            </w:r>
          </w:p>
        </w:tc>
        <w:tc>
          <w:tcPr>
            <w:tcW w:w="100" w:type="dxa"/>
            <w:vAlign w:val="bottom"/>
          </w:tcPr>
          <w:p>
            <w:pPr>
              <w:spacing w:after="0"/>
              <w:rPr>
                <w:sz w:val="17"/>
                <w:szCs w:val="17"/>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color w:val="auto"/>
                <w:w w:val="98"/>
              </w:rPr>
              <w:t>$117 - $121</w:t>
            </w: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40" w:type="dxa"/>
            <w:vAlign w:val="bottom"/>
          </w:tcPr>
          <w:p>
            <w:pPr>
              <w:ind w:left="140"/>
              <w:spacing w:after="0"/>
              <w:rPr>
                <w:sz w:val="20"/>
                <w:szCs w:val="20"/>
                <w:color w:val="auto"/>
              </w:rPr>
            </w:pPr>
            <w:r>
              <w:rPr>
                <w:rFonts w:ascii="Arial" w:cs="Arial" w:eastAsia="Arial" w:hAnsi="Arial"/>
                <w:sz w:val="14"/>
                <w:szCs w:val="14"/>
                <w:color w:val="auto"/>
              </w:rPr>
              <w:t>Capital ($ millions)</w:t>
            </w:r>
          </w:p>
        </w:tc>
        <w:tc>
          <w:tcPr>
            <w:tcW w:w="1320" w:type="dxa"/>
            <w:vAlign w:val="bottom"/>
          </w:tcPr>
          <w:p>
            <w:pPr>
              <w:jc w:val="right"/>
              <w:spacing w:after="0"/>
              <w:rPr>
                <w:sz w:val="20"/>
                <w:szCs w:val="20"/>
                <w:color w:val="auto"/>
              </w:rPr>
            </w:pPr>
            <w:r>
              <w:rPr>
                <w:rFonts w:ascii="Arial" w:cs="Arial" w:eastAsia="Arial" w:hAnsi="Arial"/>
                <w:sz w:val="14"/>
                <w:szCs w:val="14"/>
                <w:color w:val="auto"/>
              </w:rPr>
              <w:t>$60</w:t>
            </w:r>
          </w:p>
        </w:tc>
        <w:tc>
          <w:tcPr>
            <w:tcW w:w="800" w:type="dxa"/>
            <w:vAlign w:val="bottom"/>
          </w:tcPr>
          <w:p>
            <w:pPr>
              <w:ind w:left="20"/>
              <w:spacing w:after="0"/>
              <w:rPr>
                <w:sz w:val="20"/>
                <w:szCs w:val="20"/>
                <w:color w:val="auto"/>
              </w:rPr>
            </w:pPr>
            <w:r>
              <w:rPr>
                <w:rFonts w:ascii="Arial" w:cs="Arial" w:eastAsia="Arial" w:hAnsi="Arial"/>
                <w:sz w:val="14"/>
                <w:szCs w:val="14"/>
                <w:color w:val="auto"/>
              </w:rPr>
              <w:t>- $70</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$51</w:t>
            </w:r>
          </w:p>
        </w:tc>
        <w:tc>
          <w:tcPr>
            <w:tcW w:w="1020" w:type="dxa"/>
            <w:vAlign w:val="bottom"/>
          </w:tcPr>
          <w:p>
            <w:pPr>
              <w:ind w:left="20"/>
              <w:spacing w:after="0"/>
              <w:rPr>
                <w:sz w:val="20"/>
                <w:szCs w:val="20"/>
                <w:color w:val="auto"/>
              </w:rPr>
            </w:pPr>
            <w:r>
              <w:rPr>
                <w:rFonts w:ascii="Arial" w:cs="Arial" w:eastAsia="Arial" w:hAnsi="Arial"/>
                <w:sz w:val="14"/>
                <w:szCs w:val="14"/>
                <w:color w:val="auto"/>
              </w:rPr>
              <w:t>- $55</w:t>
            </w:r>
          </w:p>
        </w:tc>
        <w:tc>
          <w:tcPr>
            <w:tcW w:w="8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$5 - $10</w:t>
            </w:r>
          </w:p>
        </w:tc>
        <w:tc>
          <w:tcPr>
            <w:tcW w:w="0" w:type="dxa"/>
            <w:vAlign w:val="bottom"/>
          </w:tcPr>
          <w:p>
            <w:pPr>
              <w:spacing w:after="0"/>
              <w:rPr>
                <w:sz w:val="1"/>
                <w:szCs w:val="1"/>
                <w:color w:val="auto"/>
              </w:rPr>
            </w:pPr>
          </w:p>
        </w:tc>
      </w:tr>
      <w:tr>
        <w:trPr>
          <w:trHeight w:val="213"/>
        </w:trPr>
        <w:tc>
          <w:tcPr>
            <w:tcW w:w="5040" w:type="dxa"/>
            <w:vAlign w:val="bottom"/>
          </w:tcPr>
          <w:p>
            <w:pPr>
              <w:ind w:left="260"/>
              <w:spacing w:after="0"/>
              <w:rPr>
                <w:sz w:val="20"/>
                <w:szCs w:val="20"/>
                <w:color w:val="auto"/>
              </w:rPr>
            </w:pPr>
            <w:r>
              <w:rPr>
                <w:rFonts w:ascii="Arial" w:cs="Arial" w:eastAsia="Arial" w:hAnsi="Arial"/>
                <w:sz w:val="14"/>
                <w:szCs w:val="14"/>
                <w:i w:val="1"/>
                <w:iCs w:val="1"/>
                <w:color w:val="auto"/>
              </w:rPr>
              <w:t>Drilling, completions and workovers ($ millions)</w:t>
            </w:r>
          </w:p>
        </w:tc>
        <w:tc>
          <w:tcPr>
            <w:tcW w:w="1320" w:type="dxa"/>
            <w:vAlign w:val="bottom"/>
          </w:tcPr>
          <w:p>
            <w:pPr>
              <w:jc w:val="right"/>
              <w:spacing w:after="0"/>
              <w:rPr>
                <w:sz w:val="20"/>
                <w:szCs w:val="20"/>
                <w:color w:val="auto"/>
              </w:rPr>
            </w:pPr>
            <w:r>
              <w:rPr>
                <w:rFonts w:ascii="Arial" w:cs="Arial" w:eastAsia="Arial" w:hAnsi="Arial"/>
                <w:sz w:val="14"/>
                <w:szCs w:val="14"/>
                <w:i w:val="1"/>
                <w:iCs w:val="1"/>
                <w:color w:val="auto"/>
              </w:rPr>
              <w:t>$33</w:t>
            </w:r>
          </w:p>
        </w:tc>
        <w:tc>
          <w:tcPr>
            <w:tcW w:w="800" w:type="dxa"/>
            <w:vAlign w:val="bottom"/>
          </w:tcPr>
          <w:p>
            <w:pPr>
              <w:ind w:left="20"/>
              <w:spacing w:after="0"/>
              <w:rPr>
                <w:sz w:val="20"/>
                <w:szCs w:val="20"/>
                <w:color w:val="auto"/>
              </w:rPr>
            </w:pPr>
            <w:r>
              <w:rPr>
                <w:rFonts w:ascii="Arial" w:cs="Arial" w:eastAsia="Arial" w:hAnsi="Arial"/>
                <w:sz w:val="14"/>
                <w:szCs w:val="14"/>
                <w:i w:val="1"/>
                <w:iCs w:val="1"/>
                <w:color w:val="auto"/>
              </w:rPr>
              <w:t>- $35</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$33</w:t>
            </w:r>
          </w:p>
        </w:tc>
        <w:tc>
          <w:tcPr>
            <w:tcW w:w="1020" w:type="dxa"/>
            <w:vAlign w:val="bottom"/>
          </w:tcPr>
          <w:p>
            <w:pPr>
              <w:ind w:left="20"/>
              <w:spacing w:after="0"/>
              <w:rPr>
                <w:sz w:val="20"/>
                <w:szCs w:val="20"/>
                <w:color w:val="auto"/>
              </w:rPr>
            </w:pPr>
            <w:r>
              <w:rPr>
                <w:rFonts w:ascii="Arial" w:cs="Arial" w:eastAsia="Arial" w:hAnsi="Arial"/>
                <w:sz w:val="14"/>
                <w:szCs w:val="14"/>
                <w:i w:val="1"/>
                <w:iCs w:val="1"/>
                <w:color w:val="auto"/>
              </w:rPr>
              <w:t>- $35</w:t>
            </w:r>
          </w:p>
        </w:tc>
        <w:tc>
          <w:tcPr>
            <w:tcW w:w="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260"/>
              <w:spacing w:after="0"/>
              <w:rPr>
                <w:sz w:val="20"/>
                <w:szCs w:val="20"/>
                <w:color w:val="auto"/>
              </w:rPr>
            </w:pPr>
            <w:r>
              <w:rPr>
                <w:rFonts w:ascii="Arial" w:cs="Arial" w:eastAsia="Arial" w:hAnsi="Arial"/>
                <w:sz w:val="14"/>
                <w:szCs w:val="14"/>
                <w:i w:val="1"/>
                <w:iCs w:val="1"/>
                <w:color w:val="auto"/>
              </w:rPr>
              <w:t>Facilities ($ millions)</w:t>
            </w:r>
          </w:p>
        </w:tc>
        <w:tc>
          <w:tcPr>
            <w:tcW w:w="1320" w:type="dxa"/>
            <w:vAlign w:val="bottom"/>
          </w:tcPr>
          <w:p>
            <w:pPr>
              <w:jc w:val="right"/>
              <w:spacing w:after="0"/>
              <w:rPr>
                <w:sz w:val="20"/>
                <w:szCs w:val="20"/>
                <w:color w:val="auto"/>
              </w:rPr>
            </w:pPr>
            <w:r>
              <w:rPr>
                <w:rFonts w:ascii="Arial" w:cs="Arial" w:eastAsia="Arial" w:hAnsi="Arial"/>
                <w:sz w:val="14"/>
                <w:szCs w:val="14"/>
                <w:i w:val="1"/>
                <w:iCs w:val="1"/>
                <w:color w:val="auto"/>
              </w:rPr>
              <w:t>$18</w:t>
            </w:r>
          </w:p>
        </w:tc>
        <w:tc>
          <w:tcPr>
            <w:tcW w:w="800" w:type="dxa"/>
            <w:vAlign w:val="bottom"/>
          </w:tcPr>
          <w:p>
            <w:pPr>
              <w:ind w:left="20"/>
              <w:spacing w:after="0"/>
              <w:rPr>
                <w:sz w:val="20"/>
                <w:szCs w:val="20"/>
                <w:color w:val="auto"/>
              </w:rPr>
            </w:pPr>
            <w:r>
              <w:rPr>
                <w:rFonts w:ascii="Arial" w:cs="Arial" w:eastAsia="Arial" w:hAnsi="Arial"/>
                <w:sz w:val="14"/>
                <w:szCs w:val="14"/>
                <w:i w:val="1"/>
                <w:iCs w:val="1"/>
                <w:color w:val="auto"/>
              </w:rPr>
              <w:t>- $20</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$18</w:t>
            </w:r>
          </w:p>
        </w:tc>
        <w:tc>
          <w:tcPr>
            <w:tcW w:w="1020" w:type="dxa"/>
            <w:vAlign w:val="bottom"/>
          </w:tcPr>
          <w:p>
            <w:pPr>
              <w:ind w:left="20"/>
              <w:spacing w:after="0"/>
              <w:rPr>
                <w:sz w:val="20"/>
                <w:szCs w:val="20"/>
                <w:color w:val="auto"/>
              </w:rPr>
            </w:pPr>
            <w:r>
              <w:rPr>
                <w:rFonts w:ascii="Arial" w:cs="Arial" w:eastAsia="Arial" w:hAnsi="Arial"/>
                <w:sz w:val="14"/>
                <w:szCs w:val="14"/>
                <w:i w:val="1"/>
                <w:iCs w:val="1"/>
                <w:color w:val="auto"/>
              </w:rPr>
              <w:t>- $20</w:t>
            </w:r>
          </w:p>
        </w:tc>
        <w:tc>
          <w:tcPr>
            <w:tcW w:w="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40" w:type="dxa"/>
            <w:vAlign w:val="bottom"/>
          </w:tcPr>
          <w:p>
            <w:pPr>
              <w:ind w:left="260"/>
              <w:spacing w:after="0"/>
              <w:rPr>
                <w:sz w:val="20"/>
                <w:szCs w:val="20"/>
                <w:color w:val="auto"/>
              </w:rPr>
            </w:pPr>
            <w:r>
              <w:rPr>
                <w:rFonts w:ascii="Arial" w:cs="Arial" w:eastAsia="Arial" w:hAnsi="Arial"/>
                <w:sz w:val="14"/>
                <w:szCs w:val="14"/>
                <w:i w:val="1"/>
                <w:iCs w:val="1"/>
                <w:color w:val="auto"/>
              </w:rPr>
              <w:t>Carbon management business ($ millions)</w:t>
            </w:r>
          </w:p>
        </w:tc>
        <w:tc>
          <w:tcPr>
            <w:tcW w:w="2120" w:type="dxa"/>
            <w:vAlign w:val="bottom"/>
            <w:gridSpan w:val="2"/>
          </w:tcPr>
          <w:p>
            <w:pPr>
              <w:jc w:val="center"/>
              <w:ind w:left="549"/>
              <w:spacing w:after="0"/>
              <w:rPr>
                <w:sz w:val="20"/>
                <w:szCs w:val="20"/>
                <w:color w:val="auto"/>
              </w:rPr>
            </w:pPr>
            <w:r>
              <w:rPr>
                <w:rFonts w:ascii="Arial" w:cs="Arial" w:eastAsia="Arial" w:hAnsi="Arial"/>
                <w:sz w:val="14"/>
                <w:szCs w:val="14"/>
                <w:i w:val="1"/>
                <w:iCs w:val="1"/>
                <w:color w:val="auto"/>
              </w:rPr>
              <w:t>$5 - $10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4"/>
                <w:szCs w:val="14"/>
                <w:i w:val="1"/>
                <w:iCs w:val="1"/>
                <w:color w:val="auto"/>
              </w:rPr>
              <w:t>$5 - $10</w:t>
            </w:r>
          </w:p>
        </w:tc>
        <w:tc>
          <w:tcPr>
            <w:tcW w:w="0" w:type="dxa"/>
            <w:vAlign w:val="bottom"/>
          </w:tcPr>
          <w:p>
            <w:pPr>
              <w:spacing w:after="0"/>
              <w:rPr>
                <w:sz w:val="1"/>
                <w:szCs w:val="1"/>
                <w:color w:val="auto"/>
              </w:rPr>
            </w:pPr>
          </w:p>
        </w:tc>
      </w:tr>
      <w:tr>
        <w:trPr>
          <w:trHeight w:val="213"/>
        </w:trPr>
        <w:tc>
          <w:tcPr>
            <w:tcW w:w="5040" w:type="dxa"/>
            <w:vAlign w:val="bottom"/>
          </w:tcPr>
          <w:p>
            <w:pPr>
              <w:ind w:left="260"/>
              <w:spacing w:after="0"/>
              <w:rPr>
                <w:sz w:val="20"/>
                <w:szCs w:val="20"/>
                <w:color w:val="auto"/>
              </w:rPr>
            </w:pPr>
            <w:r>
              <w:rPr>
                <w:rFonts w:ascii="Arial" w:cs="Arial" w:eastAsia="Arial" w:hAnsi="Arial"/>
                <w:sz w:val="14"/>
                <w:szCs w:val="14"/>
                <w:i w:val="1"/>
                <w:iCs w:val="1"/>
                <w:color w:val="auto"/>
              </w:rPr>
              <w:t>Corporate and other ($ millions)</w:t>
            </w:r>
          </w:p>
        </w:tc>
        <w:tc>
          <w:tcPr>
            <w:tcW w:w="1320" w:type="dxa"/>
            <w:vAlign w:val="bottom"/>
          </w:tcPr>
          <w:p>
            <w:pPr>
              <w:jc w:val="right"/>
              <w:spacing w:after="0"/>
              <w:rPr>
                <w:sz w:val="20"/>
                <w:szCs w:val="20"/>
                <w:color w:val="auto"/>
              </w:rPr>
            </w:pPr>
            <w:r>
              <w:rPr>
                <w:rFonts w:ascii="Arial" w:cs="Arial" w:eastAsia="Arial" w:hAnsi="Arial"/>
                <w:sz w:val="14"/>
                <w:szCs w:val="14"/>
                <w:i w:val="1"/>
                <w:iCs w:val="1"/>
                <w:color w:val="auto"/>
              </w:rPr>
              <w:t>$4</w:t>
            </w:r>
          </w:p>
        </w:tc>
        <w:tc>
          <w:tcPr>
            <w:tcW w:w="800" w:type="dxa"/>
            <w:vAlign w:val="bottom"/>
          </w:tcPr>
          <w:p>
            <w:pPr>
              <w:ind w:left="20"/>
              <w:spacing w:after="0"/>
              <w:rPr>
                <w:sz w:val="20"/>
                <w:szCs w:val="20"/>
                <w:color w:val="auto"/>
              </w:rPr>
            </w:pPr>
            <w:r>
              <w:rPr>
                <w:rFonts w:ascii="Arial" w:cs="Arial" w:eastAsia="Arial" w:hAnsi="Arial"/>
                <w:sz w:val="14"/>
                <w:szCs w:val="14"/>
                <w:i w:val="1"/>
                <w:iCs w:val="1"/>
                <w:color w:val="auto"/>
              </w:rPr>
              <w:t>- $5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040" w:type="dxa"/>
            <w:vAlign w:val="bottom"/>
          </w:tcPr>
          <w:p>
            <w:pPr>
              <w:ind w:left="140"/>
              <w:spacing w:after="0"/>
              <w:rPr>
                <w:sz w:val="20"/>
                <w:szCs w:val="20"/>
                <w:color w:val="auto"/>
              </w:rPr>
            </w:pPr>
            <w:r>
              <w:rPr>
                <w:rFonts w:ascii="Arial" w:cs="Arial" w:eastAsia="Arial" w:hAnsi="Arial"/>
                <w:sz w:val="14"/>
                <w:szCs w:val="14"/>
                <w:color w:val="auto"/>
              </w:rPr>
              <w:t>Adjusted EBITDAX ($ millions)</w:t>
            </w:r>
          </w:p>
        </w:tc>
        <w:tc>
          <w:tcPr>
            <w:tcW w:w="1320" w:type="dxa"/>
            <w:vAlign w:val="bottom"/>
          </w:tcPr>
          <w:p>
            <w:pPr>
              <w:jc w:val="right"/>
              <w:spacing w:after="0"/>
              <w:rPr>
                <w:sz w:val="20"/>
                <w:szCs w:val="20"/>
                <w:color w:val="auto"/>
              </w:rPr>
            </w:pPr>
            <w:r>
              <w:rPr>
                <w:rFonts w:ascii="Arial" w:cs="Arial" w:eastAsia="Arial" w:hAnsi="Arial"/>
                <w:sz w:val="14"/>
                <w:szCs w:val="14"/>
                <w:color w:val="auto"/>
              </w:rPr>
              <w:t>$275</w:t>
            </w:r>
          </w:p>
        </w:tc>
        <w:tc>
          <w:tcPr>
            <w:tcW w:w="800" w:type="dxa"/>
            <w:vAlign w:val="bottom"/>
          </w:tcPr>
          <w:p>
            <w:pPr>
              <w:ind w:left="20"/>
              <w:spacing w:after="0"/>
              <w:rPr>
                <w:sz w:val="20"/>
                <w:szCs w:val="20"/>
                <w:color w:val="auto"/>
              </w:rPr>
            </w:pPr>
            <w:r>
              <w:rPr>
                <w:rFonts w:ascii="Arial" w:cs="Arial" w:eastAsia="Arial" w:hAnsi="Arial"/>
                <w:sz w:val="14"/>
                <w:szCs w:val="14"/>
                <w:color w:val="auto"/>
              </w:rPr>
              <w:t>- $295</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$295</w:t>
            </w:r>
          </w:p>
        </w:tc>
        <w:tc>
          <w:tcPr>
            <w:tcW w:w="1020" w:type="dxa"/>
            <w:vAlign w:val="bottom"/>
          </w:tcPr>
          <w:p>
            <w:pPr>
              <w:ind w:left="20"/>
              <w:spacing w:after="0"/>
              <w:rPr>
                <w:sz w:val="20"/>
                <w:szCs w:val="20"/>
                <w:color w:val="auto"/>
              </w:rPr>
            </w:pPr>
            <w:r>
              <w:rPr>
                <w:rFonts w:ascii="Arial" w:cs="Arial" w:eastAsia="Arial" w:hAnsi="Arial"/>
                <w:sz w:val="14"/>
                <w:szCs w:val="14"/>
                <w:color w:val="auto"/>
              </w:rPr>
              <w:t>- $319</w:t>
            </w:r>
          </w:p>
        </w:tc>
        <w:tc>
          <w:tcPr>
            <w:tcW w:w="8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rPr>
              <w:t>($20) - ($24)</w:t>
            </w:r>
          </w:p>
        </w:tc>
        <w:tc>
          <w:tcPr>
            <w:tcW w:w="0" w:type="dxa"/>
            <w:vAlign w:val="bottom"/>
          </w:tcPr>
          <w:p>
            <w:pPr>
              <w:spacing w:after="0"/>
              <w:rPr>
                <w:sz w:val="1"/>
                <w:szCs w:val="1"/>
                <w:color w:val="auto"/>
              </w:rPr>
            </w:pPr>
          </w:p>
        </w:tc>
      </w:tr>
      <w:tr>
        <w:trPr>
          <w:trHeight w:val="475"/>
        </w:trPr>
        <w:tc>
          <w:tcPr>
            <w:tcW w:w="5040" w:type="dxa"/>
            <w:vAlign w:val="bottom"/>
          </w:tcPr>
          <w:p>
            <w:pPr>
              <w:ind w:left="140"/>
              <w:spacing w:after="0"/>
              <w:rPr>
                <w:sz w:val="20"/>
                <w:szCs w:val="20"/>
                <w:color w:val="auto"/>
              </w:rPr>
            </w:pPr>
            <w:r>
              <w:rPr>
                <w:rFonts w:ascii="Arial" w:cs="Arial" w:eastAsia="Arial" w:hAnsi="Arial"/>
                <w:sz w:val="14"/>
                <w:szCs w:val="14"/>
                <w:color w:val="auto"/>
              </w:rPr>
              <w:t xml:space="preserve">Margin from Purchased Commodities ($ millions) </w:t>
            </w:r>
            <w:r>
              <w:rPr>
                <w:rFonts w:ascii="Arial" w:cs="Arial" w:eastAsia="Arial" w:hAnsi="Arial"/>
                <w:sz w:val="18"/>
                <w:szCs w:val="18"/>
                <w:color w:val="auto"/>
                <w:vertAlign w:val="superscript"/>
              </w:rPr>
              <w:t>(1)</w:t>
            </w:r>
          </w:p>
        </w:tc>
        <w:tc>
          <w:tcPr>
            <w:tcW w:w="1320" w:type="dxa"/>
            <w:vAlign w:val="bottom"/>
          </w:tcPr>
          <w:p>
            <w:pPr>
              <w:jc w:val="right"/>
              <w:spacing w:after="0"/>
              <w:rPr>
                <w:sz w:val="20"/>
                <w:szCs w:val="20"/>
                <w:color w:val="auto"/>
              </w:rPr>
            </w:pPr>
            <w:r>
              <w:rPr>
                <w:rFonts w:ascii="Arial" w:cs="Arial" w:eastAsia="Arial" w:hAnsi="Arial"/>
                <w:sz w:val="14"/>
                <w:szCs w:val="14"/>
                <w:color w:val="auto"/>
              </w:rPr>
              <w:t>$10</w:t>
            </w:r>
          </w:p>
        </w:tc>
        <w:tc>
          <w:tcPr>
            <w:tcW w:w="800" w:type="dxa"/>
            <w:vAlign w:val="bottom"/>
          </w:tcPr>
          <w:p>
            <w:pPr>
              <w:ind w:left="20"/>
              <w:spacing w:after="0"/>
              <w:rPr>
                <w:sz w:val="20"/>
                <w:szCs w:val="20"/>
                <w:color w:val="auto"/>
              </w:rPr>
            </w:pPr>
            <w:r>
              <w:rPr>
                <w:rFonts w:ascii="Arial" w:cs="Arial" w:eastAsia="Arial" w:hAnsi="Arial"/>
                <w:sz w:val="14"/>
                <w:szCs w:val="14"/>
                <w:color w:val="auto"/>
              </w:rPr>
              <w:t>- $15</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040" w:type="dxa"/>
            <w:vAlign w:val="bottom"/>
          </w:tcPr>
          <w:p>
            <w:pPr>
              <w:ind w:left="140"/>
              <w:spacing w:after="0" w:line="200" w:lineRule="exact"/>
              <w:rPr>
                <w:sz w:val="20"/>
                <w:szCs w:val="20"/>
                <w:color w:val="auto"/>
              </w:rPr>
            </w:pPr>
            <w:r>
              <w:rPr>
                <w:rFonts w:ascii="Arial" w:cs="Arial" w:eastAsia="Arial" w:hAnsi="Arial"/>
                <w:sz w:val="14"/>
                <w:szCs w:val="14"/>
                <w:color w:val="auto"/>
              </w:rPr>
              <w:t xml:space="preserve">Electricity Margin ($ millions) </w:t>
            </w:r>
            <w:r>
              <w:rPr>
                <w:rFonts w:ascii="Arial" w:cs="Arial" w:eastAsia="Arial" w:hAnsi="Arial"/>
                <w:sz w:val="18"/>
                <w:szCs w:val="18"/>
                <w:color w:val="auto"/>
                <w:vertAlign w:val="superscript"/>
              </w:rPr>
              <w:t>(2)</w:t>
            </w:r>
          </w:p>
        </w:tc>
        <w:tc>
          <w:tcPr>
            <w:tcW w:w="1320" w:type="dxa"/>
            <w:vAlign w:val="bottom"/>
          </w:tcPr>
          <w:p>
            <w:pPr>
              <w:jc w:val="right"/>
              <w:spacing w:after="0"/>
              <w:rPr>
                <w:sz w:val="20"/>
                <w:szCs w:val="20"/>
                <w:color w:val="auto"/>
              </w:rPr>
            </w:pPr>
            <w:r>
              <w:rPr>
                <w:rFonts w:ascii="Arial" w:cs="Arial" w:eastAsia="Arial" w:hAnsi="Arial"/>
                <w:sz w:val="14"/>
                <w:szCs w:val="14"/>
                <w:color w:val="auto"/>
              </w:rPr>
              <w:t>$0</w:t>
            </w:r>
          </w:p>
        </w:tc>
        <w:tc>
          <w:tcPr>
            <w:tcW w:w="800" w:type="dxa"/>
            <w:vAlign w:val="bottom"/>
          </w:tcPr>
          <w:p>
            <w:pPr>
              <w:ind w:left="20"/>
              <w:spacing w:after="0"/>
              <w:rPr>
                <w:sz w:val="20"/>
                <w:szCs w:val="20"/>
                <w:color w:val="auto"/>
              </w:rPr>
            </w:pPr>
            <w:r>
              <w:rPr>
                <w:rFonts w:ascii="Arial" w:cs="Arial" w:eastAsia="Arial" w:hAnsi="Arial"/>
                <w:sz w:val="14"/>
                <w:szCs w:val="14"/>
                <w:color w:val="auto"/>
              </w:rPr>
              <w:t>- $5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40" w:type="dxa"/>
            <w:vAlign w:val="bottom"/>
          </w:tcPr>
          <w:p>
            <w:pPr>
              <w:ind w:left="140"/>
              <w:spacing w:after="0" w:line="202" w:lineRule="exact"/>
              <w:rPr>
                <w:sz w:val="20"/>
                <w:szCs w:val="20"/>
                <w:color w:val="auto"/>
              </w:rPr>
            </w:pPr>
            <w:r>
              <w:rPr>
                <w:rFonts w:ascii="Arial" w:cs="Arial" w:eastAsia="Arial" w:hAnsi="Arial"/>
                <w:sz w:val="14"/>
                <w:szCs w:val="14"/>
                <w:color w:val="auto"/>
              </w:rPr>
              <w:t>Other Operating Revenue and Expenses, net ($ millions)</w:t>
            </w:r>
            <w:r>
              <w:rPr>
                <w:rFonts w:ascii="Arial" w:cs="Arial" w:eastAsia="Arial" w:hAnsi="Arial"/>
                <w:sz w:val="18"/>
                <w:szCs w:val="18"/>
                <w:color w:val="auto"/>
                <w:vertAlign w:val="superscript"/>
              </w:rPr>
              <w:t>(3)</w:t>
            </w:r>
          </w:p>
        </w:tc>
        <w:tc>
          <w:tcPr>
            <w:tcW w:w="2120" w:type="dxa"/>
            <w:vAlign w:val="bottom"/>
            <w:gridSpan w:val="2"/>
          </w:tcPr>
          <w:p>
            <w:pPr>
              <w:jc w:val="right"/>
              <w:ind w:right="409"/>
              <w:spacing w:after="0"/>
              <w:rPr>
                <w:sz w:val="20"/>
                <w:szCs w:val="20"/>
                <w:color w:val="auto"/>
              </w:rPr>
            </w:pPr>
            <w:r>
              <w:rPr>
                <w:rFonts w:ascii="Arial" w:cs="Arial" w:eastAsia="Arial" w:hAnsi="Arial"/>
                <w:sz w:val="14"/>
                <w:szCs w:val="14"/>
                <w:color w:val="auto"/>
              </w:rPr>
              <w:t>($5) - $5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40" w:type="dxa"/>
            <w:vAlign w:val="bottom"/>
          </w:tcPr>
          <w:p>
            <w:pPr>
              <w:ind w:left="140"/>
              <w:spacing w:after="0"/>
              <w:rPr>
                <w:sz w:val="20"/>
                <w:szCs w:val="20"/>
                <w:color w:val="auto"/>
              </w:rPr>
            </w:pPr>
            <w:r>
              <w:rPr>
                <w:rFonts w:ascii="Arial" w:cs="Arial" w:eastAsia="Arial" w:hAnsi="Arial"/>
                <w:sz w:val="14"/>
                <w:szCs w:val="14"/>
                <w:color w:val="auto"/>
              </w:rPr>
              <w:t>Transportation Costs ($ millions)</w:t>
            </w:r>
          </w:p>
        </w:tc>
        <w:tc>
          <w:tcPr>
            <w:tcW w:w="1320" w:type="dxa"/>
            <w:vAlign w:val="bottom"/>
          </w:tcPr>
          <w:p>
            <w:pPr>
              <w:jc w:val="right"/>
              <w:spacing w:after="0"/>
              <w:rPr>
                <w:sz w:val="20"/>
                <w:szCs w:val="20"/>
                <w:color w:val="auto"/>
              </w:rPr>
            </w:pPr>
            <w:r>
              <w:rPr>
                <w:rFonts w:ascii="Arial" w:cs="Arial" w:eastAsia="Arial" w:hAnsi="Arial"/>
                <w:sz w:val="14"/>
                <w:szCs w:val="14"/>
                <w:color w:val="auto"/>
              </w:rPr>
              <w:t>$18</w:t>
            </w:r>
          </w:p>
        </w:tc>
        <w:tc>
          <w:tcPr>
            <w:tcW w:w="800" w:type="dxa"/>
            <w:vAlign w:val="bottom"/>
          </w:tcPr>
          <w:p>
            <w:pPr>
              <w:ind w:left="20"/>
              <w:spacing w:after="0"/>
              <w:rPr>
                <w:sz w:val="20"/>
                <w:szCs w:val="20"/>
                <w:color w:val="auto"/>
              </w:rPr>
            </w:pPr>
            <w:r>
              <w:rPr>
                <w:rFonts w:ascii="Arial" w:cs="Arial" w:eastAsia="Arial" w:hAnsi="Arial"/>
                <w:sz w:val="14"/>
                <w:szCs w:val="14"/>
                <w:color w:val="auto"/>
              </w:rPr>
              <w:t>- $22</w:t>
            </w:r>
          </w:p>
        </w:tc>
        <w:tc>
          <w:tcPr>
            <w:tcW w:w="100" w:type="dxa"/>
            <w:vAlign w:val="bottom"/>
          </w:tcPr>
          <w:p>
            <w:pPr>
              <w:spacing w:after="0"/>
              <w:rPr>
                <w:sz w:val="16"/>
                <w:szCs w:val="16"/>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color w:val="auto"/>
              </w:rPr>
              <w:t>$5 - $10</w:t>
            </w:r>
          </w:p>
        </w:tc>
        <w:tc>
          <w:tcPr>
            <w:tcW w:w="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040" w:type="dxa"/>
            <w:vAlign w:val="bottom"/>
          </w:tcPr>
          <w:p>
            <w:pPr>
              <w:ind w:left="140"/>
              <w:spacing w:after="0"/>
              <w:rPr>
                <w:sz w:val="20"/>
                <w:szCs w:val="20"/>
                <w:color w:val="auto"/>
              </w:rPr>
            </w:pPr>
            <w:r>
              <w:rPr>
                <w:rFonts w:ascii="Arial" w:cs="Arial" w:eastAsia="Arial" w:hAnsi="Arial"/>
                <w:sz w:val="14"/>
                <w:szCs w:val="14"/>
                <w:color w:val="auto"/>
              </w:rPr>
              <w:t>Taxes Other Than on Income ($ millions)</w:t>
            </w:r>
          </w:p>
        </w:tc>
        <w:tc>
          <w:tcPr>
            <w:tcW w:w="1320" w:type="dxa"/>
            <w:vAlign w:val="bottom"/>
          </w:tcPr>
          <w:p>
            <w:pPr>
              <w:jc w:val="right"/>
              <w:spacing w:after="0"/>
              <w:rPr>
                <w:sz w:val="20"/>
                <w:szCs w:val="20"/>
                <w:color w:val="auto"/>
              </w:rPr>
            </w:pPr>
            <w:r>
              <w:rPr>
                <w:rFonts w:ascii="Arial" w:cs="Arial" w:eastAsia="Arial" w:hAnsi="Arial"/>
                <w:sz w:val="14"/>
                <w:szCs w:val="14"/>
                <w:color w:val="auto"/>
              </w:rPr>
              <w:t>$70</w:t>
            </w:r>
          </w:p>
        </w:tc>
        <w:tc>
          <w:tcPr>
            <w:tcW w:w="800" w:type="dxa"/>
            <w:vAlign w:val="bottom"/>
          </w:tcPr>
          <w:p>
            <w:pPr>
              <w:ind w:left="20"/>
              <w:spacing w:after="0"/>
              <w:rPr>
                <w:sz w:val="20"/>
                <w:szCs w:val="20"/>
                <w:color w:val="auto"/>
              </w:rPr>
            </w:pPr>
            <w:r>
              <w:rPr>
                <w:rFonts w:ascii="Arial" w:cs="Arial" w:eastAsia="Arial" w:hAnsi="Arial"/>
                <w:sz w:val="14"/>
                <w:szCs w:val="14"/>
                <w:color w:val="auto"/>
              </w:rPr>
              <w:t>- $78</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$57</w:t>
            </w:r>
          </w:p>
        </w:tc>
        <w:tc>
          <w:tcPr>
            <w:tcW w:w="1020" w:type="dxa"/>
            <w:vAlign w:val="bottom"/>
          </w:tcPr>
          <w:p>
            <w:pPr>
              <w:ind w:left="20"/>
              <w:spacing w:after="0"/>
              <w:rPr>
                <w:sz w:val="20"/>
                <w:szCs w:val="20"/>
                <w:color w:val="auto"/>
              </w:rPr>
            </w:pPr>
            <w:r>
              <w:rPr>
                <w:rFonts w:ascii="Arial" w:cs="Arial" w:eastAsia="Arial" w:hAnsi="Arial"/>
                <w:sz w:val="14"/>
                <w:szCs w:val="14"/>
                <w:color w:val="auto"/>
              </w:rPr>
              <w:t>- $61</w:t>
            </w: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40" w:type="dxa"/>
            <w:vAlign w:val="bottom"/>
          </w:tcPr>
          <w:p>
            <w:pPr>
              <w:ind w:left="140"/>
              <w:spacing w:after="0"/>
              <w:rPr>
                <w:sz w:val="20"/>
                <w:szCs w:val="20"/>
                <w:color w:val="auto"/>
              </w:rPr>
            </w:pPr>
            <w:r>
              <w:rPr>
                <w:rFonts w:ascii="Arial" w:cs="Arial" w:eastAsia="Arial" w:hAnsi="Arial"/>
                <w:sz w:val="14"/>
                <w:szCs w:val="14"/>
                <w:color w:val="auto"/>
              </w:rPr>
              <w:t>Interest and Debt Expense ($ millions)</w:t>
            </w:r>
          </w:p>
        </w:tc>
        <w:tc>
          <w:tcPr>
            <w:tcW w:w="1320" w:type="dxa"/>
            <w:vAlign w:val="bottom"/>
          </w:tcPr>
          <w:p>
            <w:pPr>
              <w:jc w:val="right"/>
              <w:spacing w:after="0"/>
              <w:rPr>
                <w:sz w:val="20"/>
                <w:szCs w:val="20"/>
                <w:color w:val="auto"/>
              </w:rPr>
            </w:pPr>
            <w:r>
              <w:rPr>
                <w:rFonts w:ascii="Arial" w:cs="Arial" w:eastAsia="Arial" w:hAnsi="Arial"/>
                <w:sz w:val="14"/>
                <w:szCs w:val="14"/>
                <w:color w:val="auto"/>
              </w:rPr>
              <w:t>$26</w:t>
            </w:r>
          </w:p>
        </w:tc>
        <w:tc>
          <w:tcPr>
            <w:tcW w:w="800" w:type="dxa"/>
            <w:vAlign w:val="bottom"/>
          </w:tcPr>
          <w:p>
            <w:pPr>
              <w:ind w:left="20"/>
              <w:spacing w:after="0"/>
              <w:rPr>
                <w:sz w:val="20"/>
                <w:szCs w:val="20"/>
                <w:color w:val="auto"/>
              </w:rPr>
            </w:pPr>
            <w:r>
              <w:rPr>
                <w:rFonts w:ascii="Arial" w:cs="Arial" w:eastAsia="Arial" w:hAnsi="Arial"/>
                <w:sz w:val="14"/>
                <w:szCs w:val="14"/>
                <w:color w:val="auto"/>
              </w:rPr>
              <w:t>- $30</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5040" w:type="dxa"/>
            <w:vAlign w:val="bottom"/>
          </w:tcPr>
          <w:p>
            <w:pPr>
              <w:ind w:left="140"/>
              <w:spacing w:after="0"/>
              <w:rPr>
                <w:sz w:val="20"/>
                <w:szCs w:val="20"/>
                <w:color w:val="auto"/>
              </w:rPr>
            </w:pPr>
            <w:r>
              <w:rPr>
                <w:rFonts w:ascii="Arial" w:cs="Arial" w:eastAsia="Arial" w:hAnsi="Arial"/>
                <w:sz w:val="14"/>
                <w:szCs w:val="14"/>
                <w:color w:val="auto"/>
              </w:rPr>
              <w:t>Other Assumptions:</w:t>
            </w: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040" w:type="dxa"/>
            <w:vAlign w:val="bottom"/>
          </w:tcPr>
          <w:p>
            <w:pPr>
              <w:ind w:left="260"/>
              <w:spacing w:after="0"/>
              <w:rPr>
                <w:sz w:val="20"/>
                <w:szCs w:val="20"/>
                <w:color w:val="auto"/>
              </w:rPr>
            </w:pPr>
            <w:r>
              <w:rPr>
                <w:rFonts w:ascii="Arial" w:cs="Arial" w:eastAsia="Arial" w:hAnsi="Arial"/>
                <w:sz w:val="14"/>
                <w:szCs w:val="14"/>
                <w:color w:val="auto"/>
              </w:rPr>
              <w:t>Brent ($/Bbl)</w:t>
            </w:r>
          </w:p>
        </w:tc>
        <w:tc>
          <w:tcPr>
            <w:tcW w:w="2120" w:type="dxa"/>
            <w:vAlign w:val="bottom"/>
            <w:gridSpan w:val="2"/>
          </w:tcPr>
          <w:p>
            <w:pPr>
              <w:jc w:val="center"/>
              <w:ind w:left="549"/>
              <w:spacing w:after="0"/>
              <w:rPr>
                <w:sz w:val="20"/>
                <w:szCs w:val="20"/>
                <w:color w:val="auto"/>
              </w:rPr>
            </w:pPr>
            <w:r>
              <w:rPr>
                <w:rFonts w:ascii="Arial" w:cs="Arial" w:eastAsia="Arial" w:hAnsi="Arial"/>
                <w:sz w:val="14"/>
                <w:szCs w:val="14"/>
                <w:color w:val="auto"/>
                <w:w w:val="97"/>
              </w:rPr>
              <w:t>$76.54</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40" w:type="dxa"/>
            <w:vAlign w:val="bottom"/>
          </w:tcPr>
          <w:p>
            <w:pPr>
              <w:ind w:left="260"/>
              <w:spacing w:after="0"/>
              <w:rPr>
                <w:sz w:val="20"/>
                <w:szCs w:val="20"/>
                <w:color w:val="auto"/>
              </w:rPr>
            </w:pPr>
            <w:r>
              <w:rPr>
                <w:rFonts w:ascii="Arial" w:cs="Arial" w:eastAsia="Arial" w:hAnsi="Arial"/>
                <w:sz w:val="14"/>
                <w:szCs w:val="14"/>
                <w:color w:val="auto"/>
              </w:rPr>
              <w:t>NYMEX ($/Mcf)</w:t>
            </w:r>
          </w:p>
        </w:tc>
        <w:tc>
          <w:tcPr>
            <w:tcW w:w="2120" w:type="dxa"/>
            <w:vAlign w:val="bottom"/>
            <w:gridSpan w:val="2"/>
          </w:tcPr>
          <w:p>
            <w:pPr>
              <w:jc w:val="center"/>
              <w:ind w:left="549"/>
              <w:spacing w:after="0"/>
              <w:rPr>
                <w:sz w:val="20"/>
                <w:szCs w:val="20"/>
                <w:color w:val="auto"/>
              </w:rPr>
            </w:pPr>
            <w:r>
              <w:rPr>
                <w:rFonts w:ascii="Arial" w:cs="Arial" w:eastAsia="Arial" w:hAnsi="Arial"/>
                <w:sz w:val="14"/>
                <w:szCs w:val="14"/>
                <w:color w:val="auto"/>
                <w:w w:val="96"/>
              </w:rPr>
              <w:t>$3.38</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40" w:type="dxa"/>
            <w:vAlign w:val="bottom"/>
          </w:tcPr>
          <w:p>
            <w:pPr>
              <w:ind w:left="260"/>
              <w:spacing w:after="0"/>
              <w:rPr>
                <w:sz w:val="20"/>
                <w:szCs w:val="20"/>
                <w:color w:val="auto"/>
              </w:rPr>
            </w:pPr>
            <w:r>
              <w:rPr>
                <w:rFonts w:ascii="Arial" w:cs="Arial" w:eastAsia="Arial" w:hAnsi="Arial"/>
                <w:sz w:val="14"/>
                <w:szCs w:val="14"/>
                <w:color w:val="auto"/>
              </w:rPr>
              <w:t>Oil - % of Brent:</w:t>
            </w:r>
          </w:p>
        </w:tc>
        <w:tc>
          <w:tcPr>
            <w:tcW w:w="2220" w:type="dxa"/>
            <w:vAlign w:val="bottom"/>
            <w:gridSpan w:val="3"/>
          </w:tcPr>
          <w:p>
            <w:pPr>
              <w:jc w:val="center"/>
              <w:ind w:left="449"/>
              <w:spacing w:after="0"/>
              <w:rPr>
                <w:sz w:val="20"/>
                <w:szCs w:val="20"/>
                <w:color w:val="auto"/>
              </w:rPr>
            </w:pPr>
            <w:r>
              <w:rPr>
                <w:rFonts w:ascii="Arial" w:cs="Arial" w:eastAsia="Arial" w:hAnsi="Arial"/>
                <w:sz w:val="14"/>
                <w:szCs w:val="14"/>
                <w:color w:val="auto"/>
              </w:rPr>
              <w:t>94% to 98%</w:t>
            </w: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40" w:type="dxa"/>
            <w:vAlign w:val="bottom"/>
          </w:tcPr>
          <w:p>
            <w:pPr>
              <w:ind w:left="260"/>
              <w:spacing w:after="0"/>
              <w:rPr>
                <w:sz w:val="20"/>
                <w:szCs w:val="20"/>
                <w:color w:val="auto"/>
              </w:rPr>
            </w:pPr>
            <w:r>
              <w:rPr>
                <w:rFonts w:ascii="Arial" w:cs="Arial" w:eastAsia="Arial" w:hAnsi="Arial"/>
                <w:sz w:val="14"/>
                <w:szCs w:val="14"/>
                <w:color w:val="auto"/>
              </w:rPr>
              <w:t>NGL - % of Brent:</w:t>
            </w:r>
          </w:p>
        </w:tc>
        <w:tc>
          <w:tcPr>
            <w:tcW w:w="2220" w:type="dxa"/>
            <w:vAlign w:val="bottom"/>
            <w:gridSpan w:val="3"/>
          </w:tcPr>
          <w:p>
            <w:pPr>
              <w:jc w:val="center"/>
              <w:ind w:left="449"/>
              <w:spacing w:after="0"/>
              <w:rPr>
                <w:sz w:val="20"/>
                <w:szCs w:val="20"/>
                <w:color w:val="auto"/>
              </w:rPr>
            </w:pPr>
            <w:r>
              <w:rPr>
                <w:rFonts w:ascii="Arial" w:cs="Arial" w:eastAsia="Arial" w:hAnsi="Arial"/>
                <w:sz w:val="14"/>
                <w:szCs w:val="14"/>
                <w:color w:val="auto"/>
              </w:rPr>
              <w:t>65% to 69%</w:t>
            </w: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40" w:type="dxa"/>
            <w:vAlign w:val="bottom"/>
          </w:tcPr>
          <w:p>
            <w:pPr>
              <w:ind w:left="260"/>
              <w:spacing w:after="0"/>
              <w:rPr>
                <w:sz w:val="20"/>
                <w:szCs w:val="20"/>
                <w:color w:val="auto"/>
              </w:rPr>
            </w:pPr>
            <w:r>
              <w:rPr>
                <w:rFonts w:ascii="Arial" w:cs="Arial" w:eastAsia="Arial" w:hAnsi="Arial"/>
                <w:sz w:val="14"/>
                <w:szCs w:val="14"/>
                <w:color w:val="auto"/>
              </w:rPr>
              <w:t>Natural Gas - % of NYMEX:</w:t>
            </w:r>
          </w:p>
        </w:tc>
        <w:tc>
          <w:tcPr>
            <w:tcW w:w="2220" w:type="dxa"/>
            <w:vAlign w:val="bottom"/>
            <w:gridSpan w:val="3"/>
          </w:tcPr>
          <w:p>
            <w:pPr>
              <w:jc w:val="center"/>
              <w:ind w:left="449"/>
              <w:spacing w:after="0"/>
              <w:rPr>
                <w:sz w:val="20"/>
                <w:szCs w:val="20"/>
                <w:color w:val="auto"/>
              </w:rPr>
            </w:pPr>
            <w:r>
              <w:rPr>
                <w:rFonts w:ascii="Arial" w:cs="Arial" w:eastAsia="Arial" w:hAnsi="Arial"/>
                <w:sz w:val="14"/>
                <w:szCs w:val="14"/>
                <w:color w:val="auto"/>
                <w:w w:val="98"/>
              </w:rPr>
              <w:t>110% to 115%</w:t>
            </w: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5040" w:type="dxa"/>
            <w:vAlign w:val="bottom"/>
          </w:tcPr>
          <w:p>
            <w:pPr>
              <w:ind w:left="260"/>
              <w:spacing w:after="0"/>
              <w:rPr>
                <w:sz w:val="20"/>
                <w:szCs w:val="20"/>
                <w:color w:val="auto"/>
              </w:rPr>
            </w:pPr>
            <w:r>
              <w:rPr>
                <w:rFonts w:ascii="Arial" w:cs="Arial" w:eastAsia="Arial" w:hAnsi="Arial"/>
                <w:sz w:val="14"/>
                <w:szCs w:val="14"/>
                <w:color w:val="auto"/>
              </w:rPr>
              <w:t>Deferred Income Taxes</w:t>
            </w:r>
          </w:p>
        </w:tc>
        <w:tc>
          <w:tcPr>
            <w:tcW w:w="1320" w:type="dxa"/>
            <w:vAlign w:val="bottom"/>
          </w:tcPr>
          <w:p>
            <w:pPr>
              <w:jc w:val="right"/>
              <w:spacing w:after="0"/>
              <w:rPr>
                <w:sz w:val="20"/>
                <w:szCs w:val="20"/>
                <w:color w:val="auto"/>
              </w:rPr>
            </w:pPr>
            <w:r>
              <w:rPr>
                <w:rFonts w:ascii="Arial" w:cs="Arial" w:eastAsia="Arial" w:hAnsi="Arial"/>
                <w:sz w:val="14"/>
                <w:szCs w:val="14"/>
                <w:color w:val="auto"/>
              </w:rPr>
              <w:t>38%</w:t>
            </w:r>
          </w:p>
        </w:tc>
        <w:tc>
          <w:tcPr>
            <w:tcW w:w="800" w:type="dxa"/>
            <w:vAlign w:val="bottom"/>
          </w:tcPr>
          <w:p>
            <w:pPr>
              <w:ind w:left="20"/>
              <w:spacing w:after="0"/>
              <w:rPr>
                <w:sz w:val="20"/>
                <w:szCs w:val="20"/>
                <w:color w:val="auto"/>
              </w:rPr>
            </w:pPr>
            <w:r>
              <w:rPr>
                <w:rFonts w:ascii="Arial" w:cs="Arial" w:eastAsia="Arial" w:hAnsi="Arial"/>
                <w:sz w:val="14"/>
                <w:szCs w:val="14"/>
                <w:color w:val="auto"/>
              </w:rPr>
              <w:t>- 42%</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5040" w:type="dxa"/>
            <w:vAlign w:val="bottom"/>
          </w:tcPr>
          <w:p>
            <w:pPr>
              <w:ind w:left="260"/>
              <w:spacing w:after="0"/>
              <w:rPr>
                <w:sz w:val="20"/>
                <w:szCs w:val="20"/>
                <w:color w:val="auto"/>
              </w:rPr>
            </w:pPr>
            <w:r>
              <w:rPr>
                <w:rFonts w:ascii="Arial" w:cs="Arial" w:eastAsia="Arial" w:hAnsi="Arial"/>
                <w:sz w:val="14"/>
                <w:szCs w:val="14"/>
                <w:color w:val="auto"/>
              </w:rPr>
              <w:t>Effective Tax Rate</w:t>
            </w:r>
          </w:p>
        </w:tc>
        <w:tc>
          <w:tcPr>
            <w:tcW w:w="2120" w:type="dxa"/>
            <w:vAlign w:val="bottom"/>
            <w:gridSpan w:val="2"/>
          </w:tcPr>
          <w:p>
            <w:pPr>
              <w:jc w:val="center"/>
              <w:ind w:left="549"/>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240"/>
          </w:cols>
          <w:pgMar w:left="320" w:top="129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4"/>
        </w:trPr>
        <w:tc>
          <w:tcPr>
            <w:tcW w:w="50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CRC GUIDANCE</w:t>
            </w:r>
          </w:p>
        </w:tc>
        <w:tc>
          <w:tcPr>
            <w:tcW w:w="2320" w:type="dxa"/>
            <w:vAlign w:val="bottom"/>
            <w:tcBorders>
              <w:top w:val="single" w:sz="8" w:color="auto"/>
            </w:tcBorders>
            <w:gridSpan w:val="3"/>
          </w:tcPr>
          <w:p>
            <w:pPr>
              <w:jc w:val="center"/>
              <w:ind w:left="389"/>
              <w:spacing w:after="0"/>
              <w:rPr>
                <w:sz w:val="20"/>
                <w:szCs w:val="20"/>
                <w:color w:val="auto"/>
              </w:rPr>
            </w:pPr>
            <w:r>
              <w:rPr>
                <w:rFonts w:ascii="Arial" w:cs="Arial" w:eastAsia="Arial" w:hAnsi="Arial"/>
                <w:sz w:val="14"/>
                <w:szCs w:val="14"/>
                <w:b w:val="1"/>
                <w:bCs w:val="1"/>
                <w:color w:val="auto"/>
              </w:rPr>
              <w:t>Consolidated</w:t>
            </w:r>
          </w:p>
        </w:tc>
        <w:tc>
          <w:tcPr>
            <w:tcW w:w="19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Oil and Natural Gas</w:t>
            </w:r>
          </w:p>
        </w:tc>
        <w:tc>
          <w:tcPr>
            <w:tcW w:w="19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Carbon Management</w:t>
            </w:r>
          </w:p>
        </w:tc>
        <w:tc>
          <w:tcPr>
            <w:tcW w:w="0" w:type="dxa"/>
            <w:vAlign w:val="bottom"/>
          </w:tcPr>
          <w:p>
            <w:pPr>
              <w:spacing w:after="0"/>
              <w:rPr>
                <w:sz w:val="1"/>
                <w:szCs w:val="1"/>
                <w:color w:val="auto"/>
              </w:rPr>
            </w:pPr>
          </w:p>
        </w:tc>
      </w:tr>
      <w:tr>
        <w:trPr>
          <w:trHeight w:val="183"/>
        </w:trPr>
        <w:tc>
          <w:tcPr>
            <w:tcW w:w="5020" w:type="dxa"/>
            <w:vAlign w:val="bottom"/>
            <w:vMerge w:val="continue"/>
          </w:tcPr>
          <w:p>
            <w:pPr>
              <w:spacing w:after="0"/>
              <w:rPr>
                <w:sz w:val="15"/>
                <w:szCs w:val="15"/>
                <w:color w:val="auto"/>
              </w:rPr>
            </w:pPr>
          </w:p>
        </w:tc>
        <w:tc>
          <w:tcPr>
            <w:tcW w:w="2320" w:type="dxa"/>
            <w:vAlign w:val="bottom"/>
            <w:gridSpan w:val="3"/>
          </w:tcPr>
          <w:p>
            <w:pPr>
              <w:jc w:val="center"/>
              <w:ind w:left="409"/>
              <w:spacing w:after="0"/>
              <w:rPr>
                <w:sz w:val="20"/>
                <w:szCs w:val="20"/>
                <w:color w:val="auto"/>
              </w:rPr>
            </w:pPr>
            <w:r>
              <w:rPr>
                <w:rFonts w:ascii="Arial" w:cs="Arial" w:eastAsia="Arial" w:hAnsi="Arial"/>
                <w:sz w:val="14"/>
                <w:szCs w:val="14"/>
                <w:b w:val="1"/>
                <w:bCs w:val="1"/>
                <w:color w:val="auto"/>
                <w:w w:val="98"/>
              </w:rPr>
              <w:t>2025E</w:t>
            </w:r>
          </w:p>
        </w:tc>
        <w:tc>
          <w:tcPr>
            <w:tcW w:w="1920" w:type="dxa"/>
            <w:vAlign w:val="bottom"/>
            <w:gridSpan w:val="2"/>
          </w:tcPr>
          <w:p>
            <w:pPr>
              <w:ind w:left="800"/>
              <w:spacing w:after="0"/>
              <w:rPr>
                <w:sz w:val="20"/>
                <w:szCs w:val="20"/>
                <w:color w:val="auto"/>
              </w:rPr>
            </w:pPr>
            <w:r>
              <w:rPr>
                <w:rFonts w:ascii="Arial" w:cs="Arial" w:eastAsia="Arial" w:hAnsi="Arial"/>
                <w:sz w:val="14"/>
                <w:szCs w:val="14"/>
                <w:b w:val="1"/>
                <w:bCs w:val="1"/>
                <w:color w:val="auto"/>
              </w:rPr>
              <w:t>2025E</w:t>
            </w:r>
          </w:p>
        </w:tc>
        <w:tc>
          <w:tcPr>
            <w:tcW w:w="1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2025E</w:t>
            </w:r>
          </w:p>
        </w:tc>
        <w:tc>
          <w:tcPr>
            <w:tcW w:w="0" w:type="dxa"/>
            <w:vAlign w:val="bottom"/>
          </w:tcPr>
          <w:p>
            <w:pPr>
              <w:spacing w:after="0"/>
              <w:rPr>
                <w:sz w:val="1"/>
                <w:szCs w:val="1"/>
                <w:color w:val="auto"/>
              </w:rPr>
            </w:pPr>
          </w:p>
        </w:tc>
      </w:tr>
      <w:tr>
        <w:trPr>
          <w:trHeight w:val="186"/>
        </w:trPr>
        <w:tc>
          <w:tcPr>
            <w:tcW w:w="502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Net Production (MBoe/d)</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7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- 138</w:t>
            </w:r>
          </w:p>
        </w:tc>
        <w:tc>
          <w:tcPr>
            <w:tcW w:w="18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020" w:type="dxa"/>
            <w:vAlign w:val="bottom"/>
          </w:tcPr>
          <w:p>
            <w:pPr>
              <w:ind w:left="140"/>
              <w:spacing w:after="0"/>
              <w:rPr>
                <w:sz w:val="20"/>
                <w:szCs w:val="20"/>
                <w:color w:val="auto"/>
              </w:rPr>
            </w:pPr>
            <w:r>
              <w:rPr>
                <w:rFonts w:ascii="Arial" w:cs="Arial" w:eastAsia="Arial" w:hAnsi="Arial"/>
                <w:sz w:val="14"/>
                <w:szCs w:val="14"/>
                <w:color w:val="auto"/>
              </w:rPr>
              <w:t>Net Oil Production (%)</w:t>
            </w:r>
          </w:p>
        </w:tc>
        <w:tc>
          <w:tcPr>
            <w:tcW w:w="2140" w:type="dxa"/>
            <w:vAlign w:val="bottom"/>
            <w:gridSpan w:val="2"/>
          </w:tcPr>
          <w:p>
            <w:pPr>
              <w:jc w:val="center"/>
              <w:ind w:left="589"/>
              <w:spacing w:after="0"/>
              <w:rPr>
                <w:sz w:val="20"/>
                <w:szCs w:val="20"/>
                <w:color w:val="auto"/>
              </w:rPr>
            </w:pPr>
            <w:r>
              <w:rPr>
                <w:rFonts w:ascii="Arial" w:cs="Arial" w:eastAsia="Arial" w:hAnsi="Arial"/>
                <w:sz w:val="14"/>
                <w:szCs w:val="14"/>
                <w:color w:val="auto"/>
                <w:w w:val="99"/>
              </w:rPr>
              <w:t>~79%</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20" w:type="dxa"/>
            <w:vAlign w:val="bottom"/>
          </w:tcPr>
          <w:p>
            <w:pPr>
              <w:ind w:left="140"/>
              <w:spacing w:after="0"/>
              <w:rPr>
                <w:sz w:val="20"/>
                <w:szCs w:val="20"/>
                <w:color w:val="auto"/>
              </w:rPr>
            </w:pPr>
            <w:r>
              <w:rPr>
                <w:rFonts w:ascii="Arial" w:cs="Arial" w:eastAsia="Arial" w:hAnsi="Arial"/>
                <w:sz w:val="14"/>
                <w:szCs w:val="14"/>
                <w:color w:val="auto"/>
              </w:rPr>
              <w:t>Operating Costs and CMB Expenses ($ millions)</w:t>
            </w:r>
          </w:p>
        </w:tc>
        <w:tc>
          <w:tcPr>
            <w:tcW w:w="1360" w:type="dxa"/>
            <w:vAlign w:val="bottom"/>
          </w:tcPr>
          <w:p>
            <w:pPr>
              <w:jc w:val="right"/>
              <w:spacing w:after="0"/>
              <w:rPr>
                <w:sz w:val="20"/>
                <w:szCs w:val="20"/>
                <w:color w:val="auto"/>
              </w:rPr>
            </w:pPr>
            <w:r>
              <w:rPr>
                <w:rFonts w:ascii="Arial" w:cs="Arial" w:eastAsia="Arial" w:hAnsi="Arial"/>
                <w:sz w:val="14"/>
                <w:szCs w:val="14"/>
                <w:color w:val="auto"/>
              </w:rPr>
              <w:t>$1,325</w:t>
            </w:r>
          </w:p>
        </w:tc>
        <w:tc>
          <w:tcPr>
            <w:tcW w:w="780" w:type="dxa"/>
            <w:vAlign w:val="bottom"/>
          </w:tcPr>
          <w:p>
            <w:pPr>
              <w:ind w:left="20"/>
              <w:spacing w:after="0"/>
              <w:rPr>
                <w:sz w:val="20"/>
                <w:szCs w:val="20"/>
                <w:color w:val="auto"/>
              </w:rPr>
            </w:pPr>
            <w:r>
              <w:rPr>
                <w:rFonts w:ascii="Arial" w:cs="Arial" w:eastAsia="Arial" w:hAnsi="Arial"/>
                <w:sz w:val="14"/>
                <w:szCs w:val="14"/>
                <w:color w:val="auto"/>
              </w:rPr>
              <w:t>- $1,425</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$1,265</w:t>
            </w:r>
          </w:p>
        </w:tc>
        <w:tc>
          <w:tcPr>
            <w:tcW w:w="980" w:type="dxa"/>
            <w:vAlign w:val="bottom"/>
          </w:tcPr>
          <w:p>
            <w:pPr>
              <w:ind w:left="20"/>
              <w:spacing w:after="0"/>
              <w:rPr>
                <w:sz w:val="20"/>
                <w:szCs w:val="20"/>
                <w:color w:val="auto"/>
              </w:rPr>
            </w:pPr>
            <w:r>
              <w:rPr>
                <w:rFonts w:ascii="Arial" w:cs="Arial" w:eastAsia="Arial" w:hAnsi="Arial"/>
                <w:sz w:val="14"/>
                <w:szCs w:val="14"/>
                <w:color w:val="auto"/>
              </w:rPr>
              <w:t>- $1,335</w:t>
            </w:r>
          </w:p>
        </w:tc>
        <w:tc>
          <w:tcPr>
            <w:tcW w:w="960" w:type="dxa"/>
            <w:vAlign w:val="bottom"/>
          </w:tcPr>
          <w:p>
            <w:pPr>
              <w:jc w:val="right"/>
              <w:spacing w:after="0"/>
              <w:rPr>
                <w:sz w:val="20"/>
                <w:szCs w:val="20"/>
                <w:color w:val="auto"/>
              </w:rPr>
            </w:pPr>
            <w:r>
              <w:rPr>
                <w:rFonts w:ascii="Arial" w:cs="Arial" w:eastAsia="Arial" w:hAnsi="Arial"/>
                <w:sz w:val="14"/>
                <w:szCs w:val="14"/>
                <w:color w:val="auto"/>
              </w:rPr>
              <w:t>$60</w:t>
            </w:r>
          </w:p>
        </w:tc>
        <w:tc>
          <w:tcPr>
            <w:tcW w:w="1020" w:type="dxa"/>
            <w:vAlign w:val="bottom"/>
          </w:tcPr>
          <w:p>
            <w:pPr>
              <w:ind w:left="20"/>
              <w:spacing w:after="0"/>
              <w:rPr>
                <w:sz w:val="20"/>
                <w:szCs w:val="20"/>
                <w:color w:val="auto"/>
              </w:rPr>
            </w:pPr>
            <w:r>
              <w:rPr>
                <w:rFonts w:ascii="Arial" w:cs="Arial" w:eastAsia="Arial" w:hAnsi="Arial"/>
                <w:sz w:val="14"/>
                <w:szCs w:val="14"/>
                <w:color w:val="auto"/>
              </w:rPr>
              <w:t>- $90</w:t>
            </w:r>
          </w:p>
        </w:tc>
        <w:tc>
          <w:tcPr>
            <w:tcW w:w="0" w:type="dxa"/>
            <w:vAlign w:val="bottom"/>
          </w:tcPr>
          <w:p>
            <w:pPr>
              <w:spacing w:after="0"/>
              <w:rPr>
                <w:sz w:val="1"/>
                <w:szCs w:val="1"/>
                <w:color w:val="auto"/>
              </w:rPr>
            </w:pPr>
          </w:p>
        </w:tc>
      </w:tr>
      <w:tr>
        <w:trPr>
          <w:trHeight w:val="200"/>
        </w:trPr>
        <w:tc>
          <w:tcPr>
            <w:tcW w:w="5020" w:type="dxa"/>
            <w:vAlign w:val="bottom"/>
          </w:tcPr>
          <w:p>
            <w:pPr>
              <w:ind w:left="260"/>
              <w:spacing w:after="0"/>
              <w:rPr>
                <w:sz w:val="20"/>
                <w:szCs w:val="20"/>
                <w:color w:val="auto"/>
              </w:rPr>
            </w:pPr>
            <w:r>
              <w:rPr>
                <w:rFonts w:ascii="Arial" w:cs="Arial" w:eastAsia="Arial" w:hAnsi="Arial"/>
                <w:sz w:val="14"/>
                <w:szCs w:val="14"/>
                <w:i w:val="1"/>
                <w:iCs w:val="1"/>
                <w:color w:val="auto"/>
              </w:rPr>
              <w:t>Non-Energy Operating and Gas Processing Costs ($ millions)</w:t>
            </w:r>
          </w:p>
        </w:tc>
        <w:tc>
          <w:tcPr>
            <w:tcW w:w="1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$825</w:t>
            </w:r>
          </w:p>
        </w:tc>
        <w:tc>
          <w:tcPr>
            <w:tcW w:w="980" w:type="dxa"/>
            <w:vAlign w:val="bottom"/>
          </w:tcPr>
          <w:p>
            <w:pPr>
              <w:ind w:left="20"/>
              <w:spacing w:after="0"/>
              <w:rPr>
                <w:sz w:val="20"/>
                <w:szCs w:val="20"/>
                <w:color w:val="auto"/>
              </w:rPr>
            </w:pPr>
            <w:r>
              <w:rPr>
                <w:rFonts w:ascii="Arial" w:cs="Arial" w:eastAsia="Arial" w:hAnsi="Arial"/>
                <w:sz w:val="14"/>
                <w:szCs w:val="14"/>
                <w:i w:val="1"/>
                <w:iCs w:val="1"/>
                <w:color w:val="auto"/>
              </w:rPr>
              <w:t>- $855</w:t>
            </w: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20" w:type="dxa"/>
            <w:vAlign w:val="bottom"/>
          </w:tcPr>
          <w:p>
            <w:pPr>
              <w:ind w:left="140"/>
              <w:spacing w:after="0"/>
              <w:rPr>
                <w:sz w:val="20"/>
                <w:szCs w:val="20"/>
                <w:color w:val="auto"/>
              </w:rPr>
            </w:pPr>
            <w:r>
              <w:rPr>
                <w:rFonts w:ascii="Arial" w:cs="Arial" w:eastAsia="Arial" w:hAnsi="Arial"/>
                <w:sz w:val="14"/>
                <w:szCs w:val="14"/>
                <w:color w:val="auto"/>
              </w:rPr>
              <w:t>General and Administrative Expenses ($ millions)</w:t>
            </w:r>
          </w:p>
        </w:tc>
        <w:tc>
          <w:tcPr>
            <w:tcW w:w="1360" w:type="dxa"/>
            <w:vAlign w:val="bottom"/>
          </w:tcPr>
          <w:p>
            <w:pPr>
              <w:jc w:val="right"/>
              <w:spacing w:after="0"/>
              <w:rPr>
                <w:sz w:val="20"/>
                <w:szCs w:val="20"/>
                <w:color w:val="auto"/>
              </w:rPr>
            </w:pPr>
            <w:r>
              <w:rPr>
                <w:rFonts w:ascii="Arial" w:cs="Arial" w:eastAsia="Arial" w:hAnsi="Arial"/>
                <w:sz w:val="14"/>
                <w:szCs w:val="14"/>
                <w:color w:val="auto"/>
              </w:rPr>
              <w:t>$325</w:t>
            </w:r>
          </w:p>
        </w:tc>
        <w:tc>
          <w:tcPr>
            <w:tcW w:w="780" w:type="dxa"/>
            <w:vAlign w:val="bottom"/>
          </w:tcPr>
          <w:p>
            <w:pPr>
              <w:ind w:left="20"/>
              <w:spacing w:after="0"/>
              <w:rPr>
                <w:sz w:val="20"/>
                <w:szCs w:val="20"/>
                <w:color w:val="auto"/>
              </w:rPr>
            </w:pPr>
            <w:r>
              <w:rPr>
                <w:rFonts w:ascii="Arial" w:cs="Arial" w:eastAsia="Arial" w:hAnsi="Arial"/>
                <w:sz w:val="14"/>
                <w:szCs w:val="14"/>
                <w:color w:val="auto"/>
              </w:rPr>
              <w:t>- $345</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w:t>
            </w:r>
          </w:p>
        </w:tc>
        <w:tc>
          <w:tcPr>
            <w:tcW w:w="980" w:type="dxa"/>
            <w:vAlign w:val="bottom"/>
          </w:tcPr>
          <w:p>
            <w:pPr>
              <w:ind w:left="20"/>
              <w:spacing w:after="0"/>
              <w:rPr>
                <w:sz w:val="20"/>
                <w:szCs w:val="20"/>
                <w:color w:val="auto"/>
              </w:rPr>
            </w:pPr>
            <w:r>
              <w:rPr>
                <w:rFonts w:ascii="Arial" w:cs="Arial" w:eastAsia="Arial" w:hAnsi="Arial"/>
                <w:sz w:val="14"/>
                <w:szCs w:val="14"/>
                <w:color w:val="auto"/>
              </w:rPr>
              <w:t>- $45</w:t>
            </w:r>
          </w:p>
        </w:tc>
        <w:tc>
          <w:tcPr>
            <w:tcW w:w="960" w:type="dxa"/>
            <w:vAlign w:val="bottom"/>
          </w:tcPr>
          <w:p>
            <w:pPr>
              <w:jc w:val="right"/>
              <w:spacing w:after="0"/>
              <w:rPr>
                <w:sz w:val="20"/>
                <w:szCs w:val="20"/>
                <w:color w:val="auto"/>
              </w:rPr>
            </w:pPr>
            <w:r>
              <w:rPr>
                <w:rFonts w:ascii="Arial" w:cs="Arial" w:eastAsia="Arial" w:hAnsi="Arial"/>
                <w:sz w:val="14"/>
                <w:szCs w:val="14"/>
                <w:color w:val="auto"/>
              </w:rPr>
              <w:t>$10</w:t>
            </w:r>
          </w:p>
        </w:tc>
        <w:tc>
          <w:tcPr>
            <w:tcW w:w="1020" w:type="dxa"/>
            <w:vAlign w:val="bottom"/>
          </w:tcPr>
          <w:p>
            <w:pPr>
              <w:ind w:left="20"/>
              <w:spacing w:after="0"/>
              <w:rPr>
                <w:sz w:val="20"/>
                <w:szCs w:val="20"/>
                <w:color w:val="auto"/>
              </w:rPr>
            </w:pPr>
            <w:r>
              <w:rPr>
                <w:rFonts w:ascii="Arial" w:cs="Arial" w:eastAsia="Arial" w:hAnsi="Arial"/>
                <w:sz w:val="14"/>
                <w:szCs w:val="14"/>
                <w:color w:val="auto"/>
              </w:rPr>
              <w:t>- $15</w:t>
            </w:r>
          </w:p>
        </w:tc>
        <w:tc>
          <w:tcPr>
            <w:tcW w:w="0" w:type="dxa"/>
            <w:vAlign w:val="bottom"/>
          </w:tcPr>
          <w:p>
            <w:pPr>
              <w:spacing w:after="0"/>
              <w:rPr>
                <w:sz w:val="1"/>
                <w:szCs w:val="1"/>
                <w:color w:val="auto"/>
              </w:rPr>
            </w:pPr>
          </w:p>
        </w:tc>
      </w:tr>
      <w:tr>
        <w:trPr>
          <w:trHeight w:val="200"/>
        </w:trPr>
        <w:tc>
          <w:tcPr>
            <w:tcW w:w="5020" w:type="dxa"/>
            <w:vAlign w:val="bottom"/>
          </w:tcPr>
          <w:p>
            <w:pPr>
              <w:ind w:left="260"/>
              <w:spacing w:after="0"/>
              <w:rPr>
                <w:sz w:val="20"/>
                <w:szCs w:val="20"/>
                <w:color w:val="auto"/>
              </w:rPr>
            </w:pPr>
            <w:r>
              <w:rPr>
                <w:rFonts w:ascii="Arial" w:cs="Arial" w:eastAsia="Arial" w:hAnsi="Arial"/>
                <w:sz w:val="14"/>
                <w:szCs w:val="14"/>
                <w:i w:val="1"/>
                <w:iCs w:val="1"/>
                <w:color w:val="auto"/>
              </w:rPr>
              <w:t>Adjusted General and Administrative Expenses ($ millions)</w:t>
            </w: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$300</w:t>
            </w:r>
          </w:p>
        </w:tc>
        <w:tc>
          <w:tcPr>
            <w:tcW w:w="780" w:type="dxa"/>
            <w:vAlign w:val="bottom"/>
          </w:tcPr>
          <w:p>
            <w:pPr>
              <w:ind w:left="20"/>
              <w:spacing w:after="0"/>
              <w:rPr>
                <w:sz w:val="20"/>
                <w:szCs w:val="20"/>
                <w:color w:val="auto"/>
              </w:rPr>
            </w:pPr>
            <w:r>
              <w:rPr>
                <w:rFonts w:ascii="Arial" w:cs="Arial" w:eastAsia="Arial" w:hAnsi="Arial"/>
                <w:sz w:val="14"/>
                <w:szCs w:val="14"/>
                <w:i w:val="1"/>
                <w:iCs w:val="1"/>
                <w:color w:val="auto"/>
              </w:rPr>
              <w:t>- $320</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$40</w:t>
            </w:r>
          </w:p>
        </w:tc>
        <w:tc>
          <w:tcPr>
            <w:tcW w:w="980" w:type="dxa"/>
            <w:vAlign w:val="bottom"/>
          </w:tcPr>
          <w:p>
            <w:pPr>
              <w:ind w:left="20"/>
              <w:spacing w:after="0"/>
              <w:rPr>
                <w:sz w:val="20"/>
                <w:szCs w:val="20"/>
                <w:color w:val="auto"/>
              </w:rPr>
            </w:pPr>
            <w:r>
              <w:rPr>
                <w:rFonts w:ascii="Arial" w:cs="Arial" w:eastAsia="Arial" w:hAnsi="Arial"/>
                <w:sz w:val="14"/>
                <w:szCs w:val="14"/>
                <w:i w:val="1"/>
                <w:iCs w:val="1"/>
                <w:color w:val="auto"/>
              </w:rPr>
              <w:t>- $45</w:t>
            </w:r>
          </w:p>
        </w:tc>
        <w:tc>
          <w:tcPr>
            <w:tcW w:w="960" w:type="dxa"/>
            <w:vAlign w:val="bottom"/>
          </w:tcPr>
          <w:p>
            <w:pPr>
              <w:jc w:val="right"/>
              <w:spacing w:after="0"/>
              <w:rPr>
                <w:sz w:val="20"/>
                <w:szCs w:val="20"/>
                <w:color w:val="auto"/>
              </w:rPr>
            </w:pPr>
            <w:r>
              <w:rPr>
                <w:rFonts w:ascii="Arial" w:cs="Arial" w:eastAsia="Arial" w:hAnsi="Arial"/>
                <w:sz w:val="14"/>
                <w:szCs w:val="14"/>
                <w:i w:val="1"/>
                <w:iCs w:val="1"/>
                <w:color w:val="auto"/>
              </w:rPr>
              <w:t>$10</w:t>
            </w:r>
          </w:p>
        </w:tc>
        <w:tc>
          <w:tcPr>
            <w:tcW w:w="1020" w:type="dxa"/>
            <w:vAlign w:val="bottom"/>
          </w:tcPr>
          <w:p>
            <w:pPr>
              <w:ind w:left="20"/>
              <w:spacing w:after="0"/>
              <w:rPr>
                <w:sz w:val="20"/>
                <w:szCs w:val="20"/>
                <w:color w:val="auto"/>
              </w:rPr>
            </w:pPr>
            <w:r>
              <w:rPr>
                <w:rFonts w:ascii="Arial" w:cs="Arial" w:eastAsia="Arial" w:hAnsi="Arial"/>
                <w:sz w:val="14"/>
                <w:szCs w:val="14"/>
                <w:i w:val="1"/>
                <w:iCs w:val="1"/>
                <w:color w:val="auto"/>
              </w:rPr>
              <w:t>- $15</w:t>
            </w:r>
          </w:p>
        </w:tc>
        <w:tc>
          <w:tcPr>
            <w:tcW w:w="0" w:type="dxa"/>
            <w:vAlign w:val="bottom"/>
          </w:tcPr>
          <w:p>
            <w:pPr>
              <w:spacing w:after="0"/>
              <w:rPr>
                <w:sz w:val="1"/>
                <w:szCs w:val="1"/>
                <w:color w:val="auto"/>
              </w:rPr>
            </w:pPr>
          </w:p>
        </w:tc>
      </w:tr>
      <w:tr>
        <w:trPr>
          <w:trHeight w:val="200"/>
        </w:trPr>
        <w:tc>
          <w:tcPr>
            <w:tcW w:w="5020" w:type="dxa"/>
            <w:vAlign w:val="bottom"/>
          </w:tcPr>
          <w:p>
            <w:pPr>
              <w:ind w:left="140"/>
              <w:spacing w:after="0"/>
              <w:rPr>
                <w:sz w:val="20"/>
                <w:szCs w:val="20"/>
                <w:color w:val="auto"/>
              </w:rPr>
            </w:pPr>
            <w:r>
              <w:rPr>
                <w:rFonts w:ascii="Arial" w:cs="Arial" w:eastAsia="Arial" w:hAnsi="Arial"/>
                <w:sz w:val="14"/>
                <w:szCs w:val="14"/>
                <w:color w:val="auto"/>
              </w:rPr>
              <w:t>Depreciation, Depletion and Amortization ($ millions)</w:t>
            </w:r>
          </w:p>
        </w:tc>
        <w:tc>
          <w:tcPr>
            <w:tcW w:w="1360" w:type="dxa"/>
            <w:vAlign w:val="bottom"/>
          </w:tcPr>
          <w:p>
            <w:pPr>
              <w:jc w:val="right"/>
              <w:spacing w:after="0"/>
              <w:rPr>
                <w:sz w:val="20"/>
                <w:szCs w:val="20"/>
                <w:color w:val="auto"/>
              </w:rPr>
            </w:pPr>
            <w:r>
              <w:rPr>
                <w:rFonts w:ascii="Arial" w:cs="Arial" w:eastAsia="Arial" w:hAnsi="Arial"/>
                <w:sz w:val="14"/>
                <w:szCs w:val="14"/>
                <w:color w:val="auto"/>
              </w:rPr>
              <w:t>$490</w:t>
            </w:r>
          </w:p>
        </w:tc>
        <w:tc>
          <w:tcPr>
            <w:tcW w:w="780" w:type="dxa"/>
            <w:vAlign w:val="bottom"/>
          </w:tcPr>
          <w:p>
            <w:pPr>
              <w:ind w:left="20"/>
              <w:spacing w:after="0"/>
              <w:rPr>
                <w:sz w:val="20"/>
                <w:szCs w:val="20"/>
                <w:color w:val="auto"/>
              </w:rPr>
            </w:pPr>
            <w:r>
              <w:rPr>
                <w:rFonts w:ascii="Arial" w:cs="Arial" w:eastAsia="Arial" w:hAnsi="Arial"/>
                <w:sz w:val="14"/>
                <w:szCs w:val="14"/>
                <w:color w:val="auto"/>
              </w:rPr>
              <w:t>- $530</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$465</w:t>
            </w:r>
          </w:p>
        </w:tc>
        <w:tc>
          <w:tcPr>
            <w:tcW w:w="980" w:type="dxa"/>
            <w:vAlign w:val="bottom"/>
          </w:tcPr>
          <w:p>
            <w:pPr>
              <w:ind w:left="20"/>
              <w:spacing w:after="0"/>
              <w:rPr>
                <w:sz w:val="20"/>
                <w:szCs w:val="20"/>
                <w:color w:val="auto"/>
              </w:rPr>
            </w:pPr>
            <w:r>
              <w:rPr>
                <w:rFonts w:ascii="Arial" w:cs="Arial" w:eastAsia="Arial" w:hAnsi="Arial"/>
                <w:sz w:val="14"/>
                <w:szCs w:val="14"/>
                <w:color w:val="auto"/>
              </w:rPr>
              <w:t>- $480</w:t>
            </w: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20" w:type="dxa"/>
            <w:vAlign w:val="bottom"/>
          </w:tcPr>
          <w:p>
            <w:pPr>
              <w:ind w:left="140"/>
              <w:spacing w:after="0"/>
              <w:rPr>
                <w:sz w:val="20"/>
                <w:szCs w:val="20"/>
                <w:color w:val="auto"/>
              </w:rPr>
            </w:pPr>
            <w:r>
              <w:rPr>
                <w:rFonts w:ascii="Arial" w:cs="Arial" w:eastAsia="Arial" w:hAnsi="Arial"/>
                <w:sz w:val="14"/>
                <w:szCs w:val="14"/>
                <w:color w:val="auto"/>
              </w:rPr>
              <w:t>Capital ($ millions)</w:t>
            </w:r>
          </w:p>
        </w:tc>
        <w:tc>
          <w:tcPr>
            <w:tcW w:w="1360" w:type="dxa"/>
            <w:vAlign w:val="bottom"/>
          </w:tcPr>
          <w:p>
            <w:pPr>
              <w:jc w:val="right"/>
              <w:spacing w:after="0"/>
              <w:rPr>
                <w:sz w:val="20"/>
                <w:szCs w:val="20"/>
                <w:color w:val="auto"/>
              </w:rPr>
            </w:pPr>
            <w:r>
              <w:rPr>
                <w:rFonts w:ascii="Arial" w:cs="Arial" w:eastAsia="Arial" w:hAnsi="Arial"/>
                <w:sz w:val="14"/>
                <w:szCs w:val="14"/>
                <w:color w:val="auto"/>
              </w:rPr>
              <w:t>$285</w:t>
            </w:r>
          </w:p>
        </w:tc>
        <w:tc>
          <w:tcPr>
            <w:tcW w:w="780" w:type="dxa"/>
            <w:vAlign w:val="bottom"/>
          </w:tcPr>
          <w:p>
            <w:pPr>
              <w:ind w:left="20"/>
              <w:spacing w:after="0"/>
              <w:rPr>
                <w:sz w:val="20"/>
                <w:szCs w:val="20"/>
                <w:color w:val="auto"/>
              </w:rPr>
            </w:pPr>
            <w:r>
              <w:rPr>
                <w:rFonts w:ascii="Arial" w:cs="Arial" w:eastAsia="Arial" w:hAnsi="Arial"/>
                <w:sz w:val="14"/>
                <w:szCs w:val="14"/>
                <w:color w:val="auto"/>
              </w:rPr>
              <w:t>- $335</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$250</w:t>
            </w:r>
          </w:p>
        </w:tc>
        <w:tc>
          <w:tcPr>
            <w:tcW w:w="980" w:type="dxa"/>
            <w:vAlign w:val="bottom"/>
          </w:tcPr>
          <w:p>
            <w:pPr>
              <w:ind w:left="20"/>
              <w:spacing w:after="0"/>
              <w:rPr>
                <w:sz w:val="20"/>
                <w:szCs w:val="20"/>
                <w:color w:val="auto"/>
              </w:rPr>
            </w:pPr>
            <w:r>
              <w:rPr>
                <w:rFonts w:ascii="Arial" w:cs="Arial" w:eastAsia="Arial" w:hAnsi="Arial"/>
                <w:sz w:val="14"/>
                <w:szCs w:val="14"/>
                <w:color w:val="auto"/>
              </w:rPr>
              <w:t>- $280</w:t>
            </w:r>
          </w:p>
        </w:tc>
        <w:tc>
          <w:tcPr>
            <w:tcW w:w="960" w:type="dxa"/>
            <w:vAlign w:val="bottom"/>
          </w:tcPr>
          <w:p>
            <w:pPr>
              <w:jc w:val="right"/>
              <w:spacing w:after="0"/>
              <w:rPr>
                <w:sz w:val="20"/>
                <w:szCs w:val="20"/>
                <w:color w:val="auto"/>
              </w:rPr>
            </w:pPr>
            <w:r>
              <w:rPr>
                <w:rFonts w:ascii="Arial" w:cs="Arial" w:eastAsia="Arial" w:hAnsi="Arial"/>
                <w:sz w:val="14"/>
                <w:szCs w:val="14"/>
                <w:color w:val="auto"/>
              </w:rPr>
              <w:t>$20</w:t>
            </w:r>
          </w:p>
        </w:tc>
        <w:tc>
          <w:tcPr>
            <w:tcW w:w="1020" w:type="dxa"/>
            <w:vAlign w:val="bottom"/>
          </w:tcPr>
          <w:p>
            <w:pPr>
              <w:ind w:left="20"/>
              <w:spacing w:after="0"/>
              <w:rPr>
                <w:sz w:val="20"/>
                <w:szCs w:val="20"/>
                <w:color w:val="auto"/>
              </w:rPr>
            </w:pPr>
            <w:r>
              <w:rPr>
                <w:rFonts w:ascii="Arial" w:cs="Arial" w:eastAsia="Arial" w:hAnsi="Arial"/>
                <w:sz w:val="14"/>
                <w:szCs w:val="14"/>
                <w:color w:val="auto"/>
              </w:rPr>
              <w:t>- $30</w:t>
            </w:r>
          </w:p>
        </w:tc>
        <w:tc>
          <w:tcPr>
            <w:tcW w:w="0" w:type="dxa"/>
            <w:vAlign w:val="bottom"/>
          </w:tcPr>
          <w:p>
            <w:pPr>
              <w:spacing w:after="0"/>
              <w:rPr>
                <w:sz w:val="1"/>
                <w:szCs w:val="1"/>
                <w:color w:val="auto"/>
              </w:rPr>
            </w:pPr>
          </w:p>
        </w:tc>
      </w:tr>
      <w:tr>
        <w:trPr>
          <w:trHeight w:val="213"/>
        </w:trPr>
        <w:tc>
          <w:tcPr>
            <w:tcW w:w="5020" w:type="dxa"/>
            <w:vAlign w:val="bottom"/>
          </w:tcPr>
          <w:p>
            <w:pPr>
              <w:ind w:left="260"/>
              <w:spacing w:after="0"/>
              <w:rPr>
                <w:sz w:val="20"/>
                <w:szCs w:val="20"/>
                <w:color w:val="auto"/>
              </w:rPr>
            </w:pPr>
            <w:r>
              <w:rPr>
                <w:rFonts w:ascii="Arial" w:cs="Arial" w:eastAsia="Arial" w:hAnsi="Arial"/>
                <w:sz w:val="14"/>
                <w:szCs w:val="14"/>
                <w:i w:val="1"/>
                <w:iCs w:val="1"/>
                <w:color w:val="auto"/>
              </w:rPr>
              <w:t>Drilling, completions and workovers ($ millions)</w:t>
            </w: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$165</w:t>
            </w:r>
          </w:p>
        </w:tc>
        <w:tc>
          <w:tcPr>
            <w:tcW w:w="780" w:type="dxa"/>
            <w:vAlign w:val="bottom"/>
          </w:tcPr>
          <w:p>
            <w:pPr>
              <w:ind w:left="20"/>
              <w:spacing w:after="0"/>
              <w:rPr>
                <w:sz w:val="20"/>
                <w:szCs w:val="20"/>
                <w:color w:val="auto"/>
              </w:rPr>
            </w:pPr>
            <w:r>
              <w:rPr>
                <w:rFonts w:ascii="Arial" w:cs="Arial" w:eastAsia="Arial" w:hAnsi="Arial"/>
                <w:sz w:val="14"/>
                <w:szCs w:val="14"/>
                <w:i w:val="1"/>
                <w:iCs w:val="1"/>
                <w:color w:val="auto"/>
              </w:rPr>
              <w:t>- $180</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i w:val="1"/>
                <w:iCs w:val="1"/>
                <w:color w:val="auto"/>
              </w:rPr>
              <w:t>$165</w:t>
            </w:r>
          </w:p>
        </w:tc>
        <w:tc>
          <w:tcPr>
            <w:tcW w:w="980" w:type="dxa"/>
            <w:vAlign w:val="bottom"/>
          </w:tcPr>
          <w:p>
            <w:pPr>
              <w:ind w:left="20"/>
              <w:spacing w:after="0"/>
              <w:rPr>
                <w:sz w:val="20"/>
                <w:szCs w:val="20"/>
                <w:color w:val="auto"/>
              </w:rPr>
            </w:pPr>
            <w:r>
              <w:rPr>
                <w:rFonts w:ascii="Arial" w:cs="Arial" w:eastAsia="Arial" w:hAnsi="Arial"/>
                <w:sz w:val="14"/>
                <w:szCs w:val="14"/>
                <w:i w:val="1"/>
                <w:iCs w:val="1"/>
                <w:color w:val="auto"/>
              </w:rPr>
              <w:t>- $180</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60"/>
              <w:spacing w:after="0"/>
              <w:rPr>
                <w:sz w:val="20"/>
                <w:szCs w:val="20"/>
                <w:color w:val="auto"/>
              </w:rPr>
            </w:pPr>
            <w:r>
              <w:rPr>
                <w:rFonts w:ascii="Arial" w:cs="Arial" w:eastAsia="Arial" w:hAnsi="Arial"/>
                <w:sz w:val="14"/>
                <w:szCs w:val="14"/>
                <w:i w:val="1"/>
                <w:iCs w:val="1"/>
                <w:color w:val="auto"/>
              </w:rPr>
              <w:t>Facilities ($ millions)</w:t>
            </w:r>
          </w:p>
        </w:tc>
        <w:tc>
          <w:tcPr>
            <w:tcW w:w="2140" w:type="dxa"/>
            <w:vAlign w:val="bottom"/>
            <w:gridSpan w:val="2"/>
          </w:tcPr>
          <w:p>
            <w:pPr>
              <w:jc w:val="center"/>
              <w:ind w:left="589"/>
              <w:spacing w:after="0"/>
              <w:rPr>
                <w:sz w:val="20"/>
                <w:szCs w:val="20"/>
                <w:color w:val="auto"/>
              </w:rPr>
            </w:pPr>
            <w:r>
              <w:rPr>
                <w:rFonts w:ascii="Arial" w:cs="Arial" w:eastAsia="Arial" w:hAnsi="Arial"/>
                <w:sz w:val="14"/>
                <w:szCs w:val="14"/>
                <w:i w:val="1"/>
                <w:iCs w:val="1"/>
                <w:color w:val="auto"/>
              </w:rPr>
              <w:t>$85 - $100</w:t>
            </w:r>
          </w:p>
        </w:tc>
        <w:tc>
          <w:tcPr>
            <w:tcW w:w="180" w:type="dxa"/>
            <w:vAlign w:val="bottom"/>
          </w:tcPr>
          <w:p>
            <w:pPr>
              <w:spacing w:after="0"/>
              <w:rPr>
                <w:sz w:val="18"/>
                <w:szCs w:val="18"/>
                <w:color w:val="auto"/>
              </w:rPr>
            </w:pPr>
          </w:p>
        </w:tc>
        <w:tc>
          <w:tcPr>
            <w:tcW w:w="1920" w:type="dxa"/>
            <w:vAlign w:val="bottom"/>
            <w:gridSpan w:val="2"/>
          </w:tcPr>
          <w:p>
            <w:pPr>
              <w:jc w:val="right"/>
              <w:ind w:right="529"/>
              <w:spacing w:after="0"/>
              <w:rPr>
                <w:sz w:val="20"/>
                <w:szCs w:val="20"/>
                <w:color w:val="auto"/>
              </w:rPr>
            </w:pPr>
            <w:r>
              <w:rPr>
                <w:rFonts w:ascii="Arial" w:cs="Arial" w:eastAsia="Arial" w:hAnsi="Arial"/>
                <w:sz w:val="14"/>
                <w:szCs w:val="14"/>
                <w:i w:val="1"/>
                <w:iCs w:val="1"/>
                <w:color w:val="auto"/>
              </w:rPr>
              <w:t>$85 - $100</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60"/>
              <w:spacing w:after="0"/>
              <w:rPr>
                <w:sz w:val="20"/>
                <w:szCs w:val="20"/>
                <w:color w:val="auto"/>
              </w:rPr>
            </w:pPr>
            <w:r>
              <w:rPr>
                <w:rFonts w:ascii="Arial" w:cs="Arial" w:eastAsia="Arial" w:hAnsi="Arial"/>
                <w:sz w:val="14"/>
                <w:szCs w:val="14"/>
                <w:i w:val="1"/>
                <w:iCs w:val="1"/>
                <w:color w:val="auto"/>
              </w:rPr>
              <w:t>Carbon management business ($ millions)</w:t>
            </w: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$20</w:t>
            </w:r>
          </w:p>
        </w:tc>
        <w:tc>
          <w:tcPr>
            <w:tcW w:w="780" w:type="dxa"/>
            <w:vAlign w:val="bottom"/>
          </w:tcPr>
          <w:p>
            <w:pPr>
              <w:ind w:left="20"/>
              <w:spacing w:after="0"/>
              <w:rPr>
                <w:sz w:val="20"/>
                <w:szCs w:val="20"/>
                <w:color w:val="auto"/>
              </w:rPr>
            </w:pPr>
            <w:r>
              <w:rPr>
                <w:rFonts w:ascii="Arial" w:cs="Arial" w:eastAsia="Arial" w:hAnsi="Arial"/>
                <w:sz w:val="14"/>
                <w:szCs w:val="14"/>
                <w:i w:val="1"/>
                <w:iCs w:val="1"/>
                <w:color w:val="auto"/>
              </w:rPr>
              <w:t>- $30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i w:val="1"/>
                <w:iCs w:val="1"/>
                <w:color w:val="auto"/>
              </w:rPr>
              <w:t>$20</w:t>
            </w:r>
          </w:p>
        </w:tc>
        <w:tc>
          <w:tcPr>
            <w:tcW w:w="1020" w:type="dxa"/>
            <w:vAlign w:val="bottom"/>
          </w:tcPr>
          <w:p>
            <w:pPr>
              <w:ind w:left="20"/>
              <w:spacing w:after="0"/>
              <w:rPr>
                <w:sz w:val="20"/>
                <w:szCs w:val="20"/>
                <w:color w:val="auto"/>
              </w:rPr>
            </w:pPr>
            <w:r>
              <w:rPr>
                <w:rFonts w:ascii="Arial" w:cs="Arial" w:eastAsia="Arial" w:hAnsi="Arial"/>
                <w:sz w:val="14"/>
                <w:szCs w:val="14"/>
                <w:i w:val="1"/>
                <w:iCs w:val="1"/>
                <w:color w:val="auto"/>
              </w:rPr>
              <w:t>- $30</w:t>
            </w:r>
          </w:p>
        </w:tc>
        <w:tc>
          <w:tcPr>
            <w:tcW w:w="0" w:type="dxa"/>
            <w:vAlign w:val="bottom"/>
          </w:tcPr>
          <w:p>
            <w:pPr>
              <w:spacing w:after="0"/>
              <w:rPr>
                <w:sz w:val="1"/>
                <w:szCs w:val="1"/>
                <w:color w:val="auto"/>
              </w:rPr>
            </w:pPr>
          </w:p>
        </w:tc>
      </w:tr>
      <w:tr>
        <w:trPr>
          <w:trHeight w:val="213"/>
        </w:trPr>
        <w:tc>
          <w:tcPr>
            <w:tcW w:w="5020" w:type="dxa"/>
            <w:vAlign w:val="bottom"/>
          </w:tcPr>
          <w:p>
            <w:pPr>
              <w:ind w:left="260"/>
              <w:spacing w:after="0"/>
              <w:rPr>
                <w:sz w:val="20"/>
                <w:szCs w:val="20"/>
                <w:color w:val="auto"/>
              </w:rPr>
            </w:pPr>
            <w:r>
              <w:rPr>
                <w:rFonts w:ascii="Arial" w:cs="Arial" w:eastAsia="Arial" w:hAnsi="Arial"/>
                <w:sz w:val="14"/>
                <w:szCs w:val="14"/>
                <w:i w:val="1"/>
                <w:iCs w:val="1"/>
                <w:color w:val="auto"/>
              </w:rPr>
              <w:t>Corporate and other ($ millions)</w:t>
            </w:r>
          </w:p>
        </w:tc>
        <w:tc>
          <w:tcPr>
            <w:tcW w:w="1360" w:type="dxa"/>
            <w:vAlign w:val="bottom"/>
          </w:tcPr>
          <w:p>
            <w:pPr>
              <w:jc w:val="right"/>
              <w:spacing w:after="0"/>
              <w:rPr>
                <w:sz w:val="20"/>
                <w:szCs w:val="20"/>
                <w:color w:val="auto"/>
              </w:rPr>
            </w:pPr>
            <w:r>
              <w:rPr>
                <w:rFonts w:ascii="Arial" w:cs="Arial" w:eastAsia="Arial" w:hAnsi="Arial"/>
                <w:sz w:val="14"/>
                <w:szCs w:val="14"/>
                <w:i w:val="1"/>
                <w:iCs w:val="1"/>
                <w:color w:val="auto"/>
              </w:rPr>
              <w:t>$15</w:t>
            </w:r>
          </w:p>
        </w:tc>
        <w:tc>
          <w:tcPr>
            <w:tcW w:w="780" w:type="dxa"/>
            <w:vAlign w:val="bottom"/>
          </w:tcPr>
          <w:p>
            <w:pPr>
              <w:ind w:left="20"/>
              <w:spacing w:after="0"/>
              <w:rPr>
                <w:sz w:val="20"/>
                <w:szCs w:val="20"/>
                <w:color w:val="auto"/>
              </w:rPr>
            </w:pPr>
            <w:r>
              <w:rPr>
                <w:rFonts w:ascii="Arial" w:cs="Arial" w:eastAsia="Arial" w:hAnsi="Arial"/>
                <w:sz w:val="14"/>
                <w:szCs w:val="14"/>
                <w:i w:val="1"/>
                <w:iCs w:val="1"/>
                <w:color w:val="auto"/>
              </w:rPr>
              <w:t>- $25</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020" w:type="dxa"/>
            <w:vAlign w:val="bottom"/>
          </w:tcPr>
          <w:p>
            <w:pPr>
              <w:ind w:left="140"/>
              <w:spacing w:after="0"/>
              <w:rPr>
                <w:sz w:val="20"/>
                <w:szCs w:val="20"/>
                <w:color w:val="auto"/>
              </w:rPr>
            </w:pPr>
            <w:r>
              <w:rPr>
                <w:rFonts w:ascii="Arial" w:cs="Arial" w:eastAsia="Arial" w:hAnsi="Arial"/>
                <w:sz w:val="14"/>
                <w:szCs w:val="14"/>
                <w:color w:val="auto"/>
              </w:rPr>
              <w:t>Adjusted EBITDAX ($ millions)</w:t>
            </w:r>
          </w:p>
        </w:tc>
        <w:tc>
          <w:tcPr>
            <w:tcW w:w="1360" w:type="dxa"/>
            <w:vAlign w:val="bottom"/>
          </w:tcPr>
          <w:p>
            <w:pPr>
              <w:jc w:val="right"/>
              <w:spacing w:after="0"/>
              <w:rPr>
                <w:sz w:val="20"/>
                <w:szCs w:val="20"/>
                <w:color w:val="auto"/>
              </w:rPr>
            </w:pPr>
            <w:r>
              <w:rPr>
                <w:rFonts w:ascii="Arial" w:cs="Arial" w:eastAsia="Arial" w:hAnsi="Arial"/>
                <w:sz w:val="14"/>
                <w:szCs w:val="14"/>
                <w:color w:val="auto"/>
              </w:rPr>
              <w:t>$1,100</w:t>
            </w:r>
          </w:p>
        </w:tc>
        <w:tc>
          <w:tcPr>
            <w:tcW w:w="780" w:type="dxa"/>
            <w:vAlign w:val="bottom"/>
          </w:tcPr>
          <w:p>
            <w:pPr>
              <w:ind w:left="20"/>
              <w:spacing w:after="0"/>
              <w:rPr>
                <w:sz w:val="20"/>
                <w:szCs w:val="20"/>
                <w:color w:val="auto"/>
              </w:rPr>
            </w:pPr>
            <w:r>
              <w:rPr>
                <w:rFonts w:ascii="Arial" w:cs="Arial" w:eastAsia="Arial" w:hAnsi="Arial"/>
                <w:sz w:val="14"/>
                <w:szCs w:val="14"/>
                <w:color w:val="auto"/>
              </w:rPr>
              <w:t>- $1,200</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$1,187</w:t>
            </w:r>
          </w:p>
        </w:tc>
        <w:tc>
          <w:tcPr>
            <w:tcW w:w="980" w:type="dxa"/>
            <w:vAlign w:val="bottom"/>
          </w:tcPr>
          <w:p>
            <w:pPr>
              <w:ind w:left="20"/>
              <w:spacing w:after="0"/>
              <w:rPr>
                <w:sz w:val="20"/>
                <w:szCs w:val="20"/>
                <w:color w:val="auto"/>
              </w:rPr>
            </w:pPr>
            <w:r>
              <w:rPr>
                <w:rFonts w:ascii="Arial" w:cs="Arial" w:eastAsia="Arial" w:hAnsi="Arial"/>
                <w:sz w:val="14"/>
                <w:szCs w:val="14"/>
                <w:color w:val="auto"/>
              </w:rPr>
              <w:t>- $1,296</w:t>
            </w:r>
          </w:p>
        </w:tc>
        <w:tc>
          <w:tcPr>
            <w:tcW w:w="960" w:type="dxa"/>
            <w:vAlign w:val="bottom"/>
          </w:tcPr>
          <w:p>
            <w:pPr>
              <w:jc w:val="right"/>
              <w:spacing w:after="0"/>
              <w:rPr>
                <w:sz w:val="20"/>
                <w:szCs w:val="20"/>
                <w:color w:val="auto"/>
              </w:rPr>
            </w:pPr>
            <w:r>
              <w:rPr>
                <w:rFonts w:ascii="Arial" w:cs="Arial" w:eastAsia="Arial" w:hAnsi="Arial"/>
                <w:sz w:val="14"/>
                <w:szCs w:val="14"/>
                <w:color w:val="auto"/>
              </w:rPr>
              <w:t>($87)</w:t>
            </w:r>
          </w:p>
        </w:tc>
        <w:tc>
          <w:tcPr>
            <w:tcW w:w="1020" w:type="dxa"/>
            <w:vAlign w:val="bottom"/>
          </w:tcPr>
          <w:p>
            <w:pPr>
              <w:ind w:left="20"/>
              <w:spacing w:after="0"/>
              <w:rPr>
                <w:sz w:val="20"/>
                <w:szCs w:val="20"/>
                <w:color w:val="auto"/>
              </w:rPr>
            </w:pPr>
            <w:r>
              <w:rPr>
                <w:rFonts w:ascii="Arial" w:cs="Arial" w:eastAsia="Arial" w:hAnsi="Arial"/>
                <w:sz w:val="14"/>
                <w:szCs w:val="14"/>
                <w:color w:val="auto"/>
              </w:rPr>
              <w:t>- ($96)</w:t>
            </w:r>
          </w:p>
        </w:tc>
        <w:tc>
          <w:tcPr>
            <w:tcW w:w="0" w:type="dxa"/>
            <w:vAlign w:val="bottom"/>
          </w:tcPr>
          <w:p>
            <w:pPr>
              <w:spacing w:after="0"/>
              <w:rPr>
                <w:sz w:val="1"/>
                <w:szCs w:val="1"/>
                <w:color w:val="auto"/>
              </w:rPr>
            </w:pPr>
          </w:p>
        </w:tc>
      </w:tr>
      <w:tr>
        <w:trPr>
          <w:trHeight w:val="475"/>
        </w:trPr>
        <w:tc>
          <w:tcPr>
            <w:tcW w:w="5020" w:type="dxa"/>
            <w:vAlign w:val="bottom"/>
          </w:tcPr>
          <w:p>
            <w:pPr>
              <w:ind w:left="140"/>
              <w:spacing w:after="0"/>
              <w:rPr>
                <w:sz w:val="20"/>
                <w:szCs w:val="20"/>
                <w:color w:val="auto"/>
              </w:rPr>
            </w:pPr>
            <w:r>
              <w:rPr>
                <w:rFonts w:ascii="Arial" w:cs="Arial" w:eastAsia="Arial" w:hAnsi="Arial"/>
                <w:sz w:val="14"/>
                <w:szCs w:val="14"/>
                <w:color w:val="auto"/>
              </w:rPr>
              <w:t xml:space="preserve">Margin from Purchased Commodities ($ millions) </w:t>
            </w:r>
            <w:r>
              <w:rPr>
                <w:rFonts w:ascii="Arial" w:cs="Arial" w:eastAsia="Arial" w:hAnsi="Arial"/>
                <w:sz w:val="18"/>
                <w:szCs w:val="18"/>
                <w:color w:val="auto"/>
                <w:vertAlign w:val="superscript"/>
              </w:rPr>
              <w:t>(1)</w:t>
            </w:r>
          </w:p>
        </w:tc>
        <w:tc>
          <w:tcPr>
            <w:tcW w:w="1360" w:type="dxa"/>
            <w:vAlign w:val="bottom"/>
          </w:tcPr>
          <w:p>
            <w:pPr>
              <w:jc w:val="right"/>
              <w:spacing w:after="0"/>
              <w:rPr>
                <w:sz w:val="20"/>
                <w:szCs w:val="20"/>
                <w:color w:val="auto"/>
              </w:rPr>
            </w:pPr>
            <w:r>
              <w:rPr>
                <w:rFonts w:ascii="Arial" w:cs="Arial" w:eastAsia="Arial" w:hAnsi="Arial"/>
                <w:sz w:val="14"/>
                <w:szCs w:val="14"/>
                <w:color w:val="auto"/>
              </w:rPr>
              <w:t>$80</w:t>
            </w:r>
          </w:p>
        </w:tc>
        <w:tc>
          <w:tcPr>
            <w:tcW w:w="780" w:type="dxa"/>
            <w:vAlign w:val="bottom"/>
          </w:tcPr>
          <w:p>
            <w:pPr>
              <w:ind w:left="20"/>
              <w:spacing w:after="0"/>
              <w:rPr>
                <w:sz w:val="20"/>
                <w:szCs w:val="20"/>
                <w:color w:val="auto"/>
              </w:rPr>
            </w:pPr>
            <w:r>
              <w:rPr>
                <w:rFonts w:ascii="Arial" w:cs="Arial" w:eastAsia="Arial" w:hAnsi="Arial"/>
                <w:sz w:val="14"/>
                <w:szCs w:val="14"/>
                <w:color w:val="auto"/>
              </w:rPr>
              <w:t>- $95</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020" w:type="dxa"/>
            <w:vAlign w:val="bottom"/>
          </w:tcPr>
          <w:p>
            <w:pPr>
              <w:ind w:left="140"/>
              <w:spacing w:after="0" w:line="200" w:lineRule="exact"/>
              <w:rPr>
                <w:sz w:val="20"/>
                <w:szCs w:val="20"/>
                <w:color w:val="auto"/>
              </w:rPr>
            </w:pPr>
            <w:r>
              <w:rPr>
                <w:rFonts w:ascii="Arial" w:cs="Arial" w:eastAsia="Arial" w:hAnsi="Arial"/>
                <w:sz w:val="14"/>
                <w:szCs w:val="14"/>
                <w:color w:val="auto"/>
              </w:rPr>
              <w:t xml:space="preserve">Electricity Margin ($ millions) </w:t>
            </w:r>
            <w:r>
              <w:rPr>
                <w:rFonts w:ascii="Arial" w:cs="Arial" w:eastAsia="Arial" w:hAnsi="Arial"/>
                <w:sz w:val="18"/>
                <w:szCs w:val="18"/>
                <w:color w:val="auto"/>
                <w:vertAlign w:val="superscript"/>
              </w:rPr>
              <w:t>(2)</w:t>
            </w:r>
          </w:p>
        </w:tc>
        <w:tc>
          <w:tcPr>
            <w:tcW w:w="1360" w:type="dxa"/>
            <w:vAlign w:val="bottom"/>
          </w:tcPr>
          <w:p>
            <w:pPr>
              <w:jc w:val="right"/>
              <w:spacing w:after="0"/>
              <w:rPr>
                <w:sz w:val="20"/>
                <w:szCs w:val="20"/>
                <w:color w:val="auto"/>
              </w:rPr>
            </w:pPr>
            <w:r>
              <w:rPr>
                <w:rFonts w:ascii="Arial" w:cs="Arial" w:eastAsia="Arial" w:hAnsi="Arial"/>
                <w:sz w:val="14"/>
                <w:szCs w:val="14"/>
                <w:color w:val="auto"/>
              </w:rPr>
              <w:t>$120</w:t>
            </w:r>
          </w:p>
        </w:tc>
        <w:tc>
          <w:tcPr>
            <w:tcW w:w="780" w:type="dxa"/>
            <w:vAlign w:val="bottom"/>
          </w:tcPr>
          <w:p>
            <w:pPr>
              <w:ind w:left="20"/>
              <w:spacing w:after="0"/>
              <w:rPr>
                <w:sz w:val="20"/>
                <w:szCs w:val="20"/>
                <w:color w:val="auto"/>
              </w:rPr>
            </w:pPr>
            <w:r>
              <w:rPr>
                <w:rFonts w:ascii="Arial" w:cs="Arial" w:eastAsia="Arial" w:hAnsi="Arial"/>
                <w:sz w:val="14"/>
                <w:szCs w:val="14"/>
                <w:color w:val="auto"/>
              </w:rPr>
              <w:t>- $145</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20" w:type="dxa"/>
            <w:vAlign w:val="bottom"/>
          </w:tcPr>
          <w:p>
            <w:pPr>
              <w:ind w:left="140"/>
              <w:spacing w:after="0" w:line="202" w:lineRule="exact"/>
              <w:rPr>
                <w:sz w:val="20"/>
                <w:szCs w:val="20"/>
                <w:color w:val="auto"/>
              </w:rPr>
            </w:pPr>
            <w:r>
              <w:rPr>
                <w:rFonts w:ascii="Arial" w:cs="Arial" w:eastAsia="Arial" w:hAnsi="Arial"/>
                <w:sz w:val="14"/>
                <w:szCs w:val="14"/>
                <w:color w:val="auto"/>
              </w:rPr>
              <w:t xml:space="preserve">Other Operating Revenue and Expenses, net ($ millions) </w:t>
            </w:r>
            <w:r>
              <w:rPr>
                <w:rFonts w:ascii="Arial" w:cs="Arial" w:eastAsia="Arial" w:hAnsi="Arial"/>
                <w:sz w:val="18"/>
                <w:szCs w:val="18"/>
                <w:color w:val="auto"/>
                <w:vertAlign w:val="superscript"/>
              </w:rPr>
              <w:t>(3)</w:t>
            </w:r>
          </w:p>
        </w:tc>
        <w:tc>
          <w:tcPr>
            <w:tcW w:w="2140" w:type="dxa"/>
            <w:vAlign w:val="bottom"/>
            <w:gridSpan w:val="2"/>
          </w:tcPr>
          <w:p>
            <w:pPr>
              <w:jc w:val="right"/>
              <w:ind w:right="329"/>
              <w:spacing w:after="0"/>
              <w:rPr>
                <w:sz w:val="20"/>
                <w:szCs w:val="20"/>
                <w:color w:val="auto"/>
              </w:rPr>
            </w:pPr>
            <w:r>
              <w:rPr>
                <w:rFonts w:ascii="Arial" w:cs="Arial" w:eastAsia="Arial" w:hAnsi="Arial"/>
                <w:sz w:val="14"/>
                <w:szCs w:val="14"/>
                <w:color w:val="auto"/>
              </w:rPr>
              <w:t>($15) - $10</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20" w:type="dxa"/>
            <w:vAlign w:val="bottom"/>
          </w:tcPr>
          <w:p>
            <w:pPr>
              <w:ind w:left="140"/>
              <w:spacing w:after="0"/>
              <w:rPr>
                <w:sz w:val="20"/>
                <w:szCs w:val="20"/>
                <w:color w:val="auto"/>
              </w:rPr>
            </w:pPr>
            <w:r>
              <w:rPr>
                <w:rFonts w:ascii="Arial" w:cs="Arial" w:eastAsia="Arial" w:hAnsi="Arial"/>
                <w:sz w:val="14"/>
                <w:szCs w:val="14"/>
                <w:color w:val="auto"/>
              </w:rPr>
              <w:t>Transportation Costs ($ millions)</w:t>
            </w:r>
          </w:p>
        </w:tc>
        <w:tc>
          <w:tcPr>
            <w:tcW w:w="1360" w:type="dxa"/>
            <w:vAlign w:val="bottom"/>
          </w:tcPr>
          <w:p>
            <w:pPr>
              <w:jc w:val="right"/>
              <w:spacing w:after="0"/>
              <w:rPr>
                <w:sz w:val="20"/>
                <w:szCs w:val="20"/>
                <w:color w:val="auto"/>
              </w:rPr>
            </w:pPr>
            <w:r>
              <w:rPr>
                <w:rFonts w:ascii="Arial" w:cs="Arial" w:eastAsia="Arial" w:hAnsi="Arial"/>
                <w:sz w:val="14"/>
                <w:szCs w:val="14"/>
                <w:color w:val="auto"/>
              </w:rPr>
              <w:t>$85</w:t>
            </w:r>
          </w:p>
        </w:tc>
        <w:tc>
          <w:tcPr>
            <w:tcW w:w="780" w:type="dxa"/>
            <w:vAlign w:val="bottom"/>
          </w:tcPr>
          <w:p>
            <w:pPr>
              <w:ind w:left="20"/>
              <w:spacing w:after="0"/>
              <w:rPr>
                <w:sz w:val="20"/>
                <w:szCs w:val="20"/>
                <w:color w:val="auto"/>
              </w:rPr>
            </w:pPr>
            <w:r>
              <w:rPr>
                <w:rFonts w:ascii="Arial" w:cs="Arial" w:eastAsia="Arial" w:hAnsi="Arial"/>
                <w:sz w:val="14"/>
                <w:szCs w:val="14"/>
                <w:color w:val="auto"/>
              </w:rPr>
              <w:t>- $92</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w:t>
            </w:r>
          </w:p>
        </w:tc>
        <w:tc>
          <w:tcPr>
            <w:tcW w:w="980" w:type="dxa"/>
            <w:vAlign w:val="bottom"/>
          </w:tcPr>
          <w:p>
            <w:pPr>
              <w:ind w:left="20"/>
              <w:spacing w:after="0"/>
              <w:rPr>
                <w:sz w:val="20"/>
                <w:szCs w:val="20"/>
                <w:color w:val="auto"/>
              </w:rPr>
            </w:pPr>
            <w:r>
              <w:rPr>
                <w:rFonts w:ascii="Arial" w:cs="Arial" w:eastAsia="Arial" w:hAnsi="Arial"/>
                <w:sz w:val="14"/>
                <w:szCs w:val="14"/>
                <w:color w:val="auto"/>
              </w:rPr>
              <w:t>- $30</w:t>
            </w: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020" w:type="dxa"/>
            <w:vAlign w:val="bottom"/>
          </w:tcPr>
          <w:p>
            <w:pPr>
              <w:ind w:left="140"/>
              <w:spacing w:after="0"/>
              <w:rPr>
                <w:sz w:val="20"/>
                <w:szCs w:val="20"/>
                <w:color w:val="auto"/>
              </w:rPr>
            </w:pPr>
            <w:r>
              <w:rPr>
                <w:rFonts w:ascii="Arial" w:cs="Arial" w:eastAsia="Arial" w:hAnsi="Arial"/>
                <w:sz w:val="14"/>
                <w:szCs w:val="14"/>
                <w:color w:val="auto"/>
              </w:rPr>
              <w:t>Taxes Other Than on Income ($ millions)</w:t>
            </w:r>
          </w:p>
        </w:tc>
        <w:tc>
          <w:tcPr>
            <w:tcW w:w="1360" w:type="dxa"/>
            <w:vAlign w:val="bottom"/>
          </w:tcPr>
          <w:p>
            <w:pPr>
              <w:jc w:val="right"/>
              <w:spacing w:after="0"/>
              <w:rPr>
                <w:sz w:val="20"/>
                <w:szCs w:val="20"/>
                <w:color w:val="auto"/>
              </w:rPr>
            </w:pPr>
            <w:r>
              <w:rPr>
                <w:rFonts w:ascii="Arial" w:cs="Arial" w:eastAsia="Arial" w:hAnsi="Arial"/>
                <w:sz w:val="14"/>
                <w:szCs w:val="14"/>
                <w:color w:val="auto"/>
              </w:rPr>
              <w:t>$275</w:t>
            </w:r>
          </w:p>
        </w:tc>
        <w:tc>
          <w:tcPr>
            <w:tcW w:w="780" w:type="dxa"/>
            <w:vAlign w:val="bottom"/>
          </w:tcPr>
          <w:p>
            <w:pPr>
              <w:ind w:left="20"/>
              <w:spacing w:after="0"/>
              <w:rPr>
                <w:sz w:val="20"/>
                <w:szCs w:val="20"/>
                <w:color w:val="auto"/>
              </w:rPr>
            </w:pPr>
            <w:r>
              <w:rPr>
                <w:rFonts w:ascii="Arial" w:cs="Arial" w:eastAsia="Arial" w:hAnsi="Arial"/>
                <w:sz w:val="14"/>
                <w:szCs w:val="14"/>
                <w:color w:val="auto"/>
              </w:rPr>
              <w:t>- $300</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$225</w:t>
            </w:r>
          </w:p>
        </w:tc>
        <w:tc>
          <w:tcPr>
            <w:tcW w:w="980" w:type="dxa"/>
            <w:vAlign w:val="bottom"/>
          </w:tcPr>
          <w:p>
            <w:pPr>
              <w:ind w:left="20"/>
              <w:spacing w:after="0"/>
              <w:rPr>
                <w:sz w:val="20"/>
                <w:szCs w:val="20"/>
                <w:color w:val="auto"/>
              </w:rPr>
            </w:pPr>
            <w:r>
              <w:rPr>
                <w:rFonts w:ascii="Arial" w:cs="Arial" w:eastAsia="Arial" w:hAnsi="Arial"/>
                <w:sz w:val="14"/>
                <w:szCs w:val="14"/>
                <w:color w:val="auto"/>
              </w:rPr>
              <w:t>- $235</w:t>
            </w: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20" w:type="dxa"/>
            <w:vAlign w:val="bottom"/>
          </w:tcPr>
          <w:p>
            <w:pPr>
              <w:ind w:left="140"/>
              <w:spacing w:after="0"/>
              <w:rPr>
                <w:sz w:val="20"/>
                <w:szCs w:val="20"/>
                <w:color w:val="auto"/>
              </w:rPr>
            </w:pPr>
            <w:r>
              <w:rPr>
                <w:rFonts w:ascii="Arial" w:cs="Arial" w:eastAsia="Arial" w:hAnsi="Arial"/>
                <w:sz w:val="14"/>
                <w:szCs w:val="14"/>
                <w:color w:val="auto"/>
              </w:rPr>
              <w:t>Interest and Debt Expense ($ millions)</w:t>
            </w:r>
          </w:p>
        </w:tc>
        <w:tc>
          <w:tcPr>
            <w:tcW w:w="2140" w:type="dxa"/>
            <w:vAlign w:val="bottom"/>
            <w:gridSpan w:val="2"/>
          </w:tcPr>
          <w:p>
            <w:pPr>
              <w:jc w:val="center"/>
              <w:ind w:left="589"/>
              <w:spacing w:after="0"/>
              <w:rPr>
                <w:sz w:val="20"/>
                <w:szCs w:val="20"/>
                <w:color w:val="auto"/>
              </w:rPr>
            </w:pPr>
            <w:r>
              <w:rPr>
                <w:rFonts w:ascii="Arial" w:cs="Arial" w:eastAsia="Arial" w:hAnsi="Arial"/>
                <w:sz w:val="14"/>
                <w:szCs w:val="14"/>
                <w:color w:val="auto"/>
              </w:rPr>
              <w:t>$100 - $113</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5020" w:type="dxa"/>
            <w:vAlign w:val="bottom"/>
          </w:tcPr>
          <w:p>
            <w:pPr>
              <w:ind w:left="140"/>
              <w:spacing w:after="0"/>
              <w:rPr>
                <w:sz w:val="20"/>
                <w:szCs w:val="20"/>
                <w:color w:val="auto"/>
              </w:rPr>
            </w:pPr>
            <w:r>
              <w:rPr>
                <w:rFonts w:ascii="Arial" w:cs="Arial" w:eastAsia="Arial" w:hAnsi="Arial"/>
                <w:sz w:val="14"/>
                <w:szCs w:val="14"/>
                <w:color w:val="auto"/>
              </w:rPr>
              <w:t>Commodity Assumptions:</w:t>
            </w: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020" w:type="dxa"/>
            <w:vAlign w:val="bottom"/>
          </w:tcPr>
          <w:p>
            <w:pPr>
              <w:ind w:left="260"/>
              <w:spacing w:after="0"/>
              <w:rPr>
                <w:sz w:val="20"/>
                <w:szCs w:val="20"/>
                <w:color w:val="auto"/>
              </w:rPr>
            </w:pPr>
            <w:r>
              <w:rPr>
                <w:rFonts w:ascii="Arial" w:cs="Arial" w:eastAsia="Arial" w:hAnsi="Arial"/>
                <w:sz w:val="14"/>
                <w:szCs w:val="14"/>
                <w:color w:val="auto"/>
              </w:rPr>
              <w:t>Brent ($/Bbl)</w:t>
            </w:r>
          </w:p>
        </w:tc>
        <w:tc>
          <w:tcPr>
            <w:tcW w:w="2140" w:type="dxa"/>
            <w:vAlign w:val="bottom"/>
            <w:gridSpan w:val="2"/>
          </w:tcPr>
          <w:p>
            <w:pPr>
              <w:jc w:val="right"/>
              <w:ind w:right="449"/>
              <w:spacing w:after="0"/>
              <w:rPr>
                <w:sz w:val="20"/>
                <w:szCs w:val="20"/>
                <w:color w:val="auto"/>
              </w:rPr>
            </w:pPr>
            <w:r>
              <w:rPr>
                <w:rFonts w:ascii="Arial" w:cs="Arial" w:eastAsia="Arial" w:hAnsi="Arial"/>
                <w:sz w:val="14"/>
                <w:szCs w:val="14"/>
                <w:color w:val="auto"/>
              </w:rPr>
              <w:t>$73.05</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20" w:type="dxa"/>
            <w:vAlign w:val="bottom"/>
          </w:tcPr>
          <w:p>
            <w:pPr>
              <w:ind w:left="260"/>
              <w:spacing w:after="0"/>
              <w:rPr>
                <w:sz w:val="20"/>
                <w:szCs w:val="20"/>
                <w:color w:val="auto"/>
              </w:rPr>
            </w:pPr>
            <w:r>
              <w:rPr>
                <w:rFonts w:ascii="Arial" w:cs="Arial" w:eastAsia="Arial" w:hAnsi="Arial"/>
                <w:sz w:val="14"/>
                <w:szCs w:val="14"/>
                <w:color w:val="auto"/>
              </w:rPr>
              <w:t>NYMEX ($/Mcf)</w:t>
            </w:r>
          </w:p>
        </w:tc>
        <w:tc>
          <w:tcPr>
            <w:tcW w:w="2140" w:type="dxa"/>
            <w:vAlign w:val="bottom"/>
            <w:gridSpan w:val="2"/>
          </w:tcPr>
          <w:p>
            <w:pPr>
              <w:jc w:val="center"/>
              <w:ind w:left="589"/>
              <w:spacing w:after="0"/>
              <w:rPr>
                <w:sz w:val="20"/>
                <w:szCs w:val="20"/>
                <w:color w:val="auto"/>
              </w:rPr>
            </w:pPr>
            <w:r>
              <w:rPr>
                <w:rFonts w:ascii="Arial" w:cs="Arial" w:eastAsia="Arial" w:hAnsi="Arial"/>
                <w:sz w:val="14"/>
                <w:szCs w:val="14"/>
                <w:color w:val="auto"/>
              </w:rPr>
              <w:t>$3.49</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20" w:type="dxa"/>
            <w:vAlign w:val="bottom"/>
          </w:tcPr>
          <w:p>
            <w:pPr>
              <w:ind w:left="260"/>
              <w:spacing w:after="0"/>
              <w:rPr>
                <w:sz w:val="20"/>
                <w:szCs w:val="20"/>
                <w:color w:val="auto"/>
              </w:rPr>
            </w:pPr>
            <w:r>
              <w:rPr>
                <w:rFonts w:ascii="Arial" w:cs="Arial" w:eastAsia="Arial" w:hAnsi="Arial"/>
                <w:sz w:val="14"/>
                <w:szCs w:val="14"/>
                <w:color w:val="auto"/>
              </w:rPr>
              <w:t>Oil - % of Brent:</w:t>
            </w:r>
          </w:p>
        </w:tc>
        <w:tc>
          <w:tcPr>
            <w:tcW w:w="2320" w:type="dxa"/>
            <w:vAlign w:val="bottom"/>
            <w:gridSpan w:val="3"/>
          </w:tcPr>
          <w:p>
            <w:pPr>
              <w:jc w:val="center"/>
              <w:ind w:left="409"/>
              <w:spacing w:after="0"/>
              <w:rPr>
                <w:sz w:val="20"/>
                <w:szCs w:val="20"/>
                <w:color w:val="auto"/>
              </w:rPr>
            </w:pPr>
            <w:r>
              <w:rPr>
                <w:rFonts w:ascii="Arial" w:cs="Arial" w:eastAsia="Arial" w:hAnsi="Arial"/>
                <w:sz w:val="14"/>
                <w:szCs w:val="14"/>
                <w:color w:val="auto"/>
              </w:rPr>
              <w:t>94% to 98%</w:t>
            </w: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20" w:type="dxa"/>
            <w:vAlign w:val="bottom"/>
          </w:tcPr>
          <w:p>
            <w:pPr>
              <w:ind w:left="260"/>
              <w:spacing w:after="0"/>
              <w:rPr>
                <w:sz w:val="20"/>
                <w:szCs w:val="20"/>
                <w:color w:val="auto"/>
              </w:rPr>
            </w:pPr>
            <w:r>
              <w:rPr>
                <w:rFonts w:ascii="Arial" w:cs="Arial" w:eastAsia="Arial" w:hAnsi="Arial"/>
                <w:sz w:val="14"/>
                <w:szCs w:val="14"/>
                <w:color w:val="auto"/>
              </w:rPr>
              <w:t>NGL - % of Brent:</w:t>
            </w:r>
          </w:p>
        </w:tc>
        <w:tc>
          <w:tcPr>
            <w:tcW w:w="2320" w:type="dxa"/>
            <w:vAlign w:val="bottom"/>
            <w:gridSpan w:val="3"/>
          </w:tcPr>
          <w:p>
            <w:pPr>
              <w:jc w:val="center"/>
              <w:ind w:left="409"/>
              <w:spacing w:after="0"/>
              <w:rPr>
                <w:sz w:val="20"/>
                <w:szCs w:val="20"/>
                <w:color w:val="auto"/>
              </w:rPr>
            </w:pPr>
            <w:r>
              <w:rPr>
                <w:rFonts w:ascii="Arial" w:cs="Arial" w:eastAsia="Arial" w:hAnsi="Arial"/>
                <w:sz w:val="14"/>
                <w:szCs w:val="14"/>
                <w:color w:val="auto"/>
              </w:rPr>
              <w:t>60% to 68%</w:t>
            </w: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020" w:type="dxa"/>
            <w:vAlign w:val="bottom"/>
          </w:tcPr>
          <w:p>
            <w:pPr>
              <w:ind w:left="260"/>
              <w:spacing w:after="0"/>
              <w:rPr>
                <w:sz w:val="20"/>
                <w:szCs w:val="20"/>
                <w:color w:val="auto"/>
              </w:rPr>
            </w:pPr>
            <w:r>
              <w:rPr>
                <w:rFonts w:ascii="Arial" w:cs="Arial" w:eastAsia="Arial" w:hAnsi="Arial"/>
                <w:sz w:val="14"/>
                <w:szCs w:val="14"/>
                <w:color w:val="auto"/>
              </w:rPr>
              <w:t>Natural Gas - % of NYMEX:</w:t>
            </w:r>
          </w:p>
        </w:tc>
        <w:tc>
          <w:tcPr>
            <w:tcW w:w="2320" w:type="dxa"/>
            <w:vAlign w:val="bottom"/>
            <w:gridSpan w:val="3"/>
          </w:tcPr>
          <w:p>
            <w:pPr>
              <w:jc w:val="center"/>
              <w:ind w:left="409"/>
              <w:spacing w:after="0"/>
              <w:rPr>
                <w:sz w:val="20"/>
                <w:szCs w:val="20"/>
                <w:color w:val="auto"/>
              </w:rPr>
            </w:pPr>
            <w:r>
              <w:rPr>
                <w:rFonts w:ascii="Arial" w:cs="Arial" w:eastAsia="Arial" w:hAnsi="Arial"/>
                <w:sz w:val="14"/>
                <w:szCs w:val="14"/>
                <w:color w:val="auto"/>
              </w:rPr>
              <w:t>95% to 105%</w:t>
            </w: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5020" w:type="dxa"/>
            <w:vAlign w:val="bottom"/>
          </w:tcPr>
          <w:p>
            <w:pPr>
              <w:ind w:left="260"/>
              <w:spacing w:after="0"/>
              <w:rPr>
                <w:sz w:val="20"/>
                <w:szCs w:val="20"/>
                <w:color w:val="auto"/>
              </w:rPr>
            </w:pPr>
            <w:r>
              <w:rPr>
                <w:rFonts w:ascii="Arial" w:cs="Arial" w:eastAsia="Arial" w:hAnsi="Arial"/>
                <w:sz w:val="14"/>
                <w:szCs w:val="14"/>
                <w:color w:val="auto"/>
              </w:rPr>
              <w:t>Deferred Income Taxes</w:t>
            </w:r>
          </w:p>
        </w:tc>
        <w:tc>
          <w:tcPr>
            <w:tcW w:w="1360" w:type="dxa"/>
            <w:vAlign w:val="bottom"/>
          </w:tcPr>
          <w:p>
            <w:pPr>
              <w:jc w:val="right"/>
              <w:spacing w:after="0"/>
              <w:rPr>
                <w:sz w:val="20"/>
                <w:szCs w:val="20"/>
                <w:color w:val="auto"/>
              </w:rPr>
            </w:pPr>
            <w:r>
              <w:rPr>
                <w:rFonts w:ascii="Arial" w:cs="Arial" w:eastAsia="Arial" w:hAnsi="Arial"/>
                <w:sz w:val="14"/>
                <w:szCs w:val="14"/>
                <w:color w:val="auto"/>
              </w:rPr>
              <w:t>35%</w:t>
            </w:r>
          </w:p>
        </w:tc>
        <w:tc>
          <w:tcPr>
            <w:tcW w:w="780" w:type="dxa"/>
            <w:vAlign w:val="bottom"/>
          </w:tcPr>
          <w:p>
            <w:pPr>
              <w:jc w:val="right"/>
              <w:ind w:right="329"/>
              <w:spacing w:after="0"/>
              <w:rPr>
                <w:sz w:val="20"/>
                <w:szCs w:val="20"/>
                <w:color w:val="auto"/>
              </w:rPr>
            </w:pPr>
            <w:r>
              <w:rPr>
                <w:rFonts w:ascii="Arial" w:cs="Arial" w:eastAsia="Arial" w:hAnsi="Arial"/>
                <w:sz w:val="14"/>
                <w:szCs w:val="14"/>
                <w:color w:val="auto"/>
                <w:w w:val="98"/>
              </w:rPr>
              <w:t>- 45%</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5020" w:type="dxa"/>
            <w:vAlign w:val="bottom"/>
          </w:tcPr>
          <w:p>
            <w:pPr>
              <w:ind w:left="260"/>
              <w:spacing w:after="0"/>
              <w:rPr>
                <w:sz w:val="20"/>
                <w:szCs w:val="20"/>
                <w:color w:val="auto"/>
              </w:rPr>
            </w:pPr>
            <w:r>
              <w:rPr>
                <w:rFonts w:ascii="Arial" w:cs="Arial" w:eastAsia="Arial" w:hAnsi="Arial"/>
                <w:sz w:val="14"/>
                <w:szCs w:val="14"/>
                <w:color w:val="auto"/>
              </w:rPr>
              <w:t>Effective Tax Rate</w:t>
            </w:r>
          </w:p>
        </w:tc>
        <w:tc>
          <w:tcPr>
            <w:tcW w:w="2140" w:type="dxa"/>
            <w:vAlign w:val="bottom"/>
            <w:gridSpan w:val="2"/>
          </w:tcPr>
          <w:p>
            <w:pPr>
              <w:jc w:val="center"/>
              <w:ind w:left="589"/>
              <w:spacing w:after="0"/>
              <w:rPr>
                <w:sz w:val="20"/>
                <w:szCs w:val="20"/>
                <w:color w:val="auto"/>
              </w:rPr>
            </w:pPr>
            <w:r>
              <w:rPr>
                <w:rFonts w:ascii="Arial" w:cs="Arial" w:eastAsia="Arial" w:hAnsi="Arial"/>
                <w:sz w:val="14"/>
                <w:szCs w:val="14"/>
                <w:color w:val="auto"/>
                <w:w w:val="99"/>
              </w:rPr>
              <w:t>29%</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664210</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ind w:firstLine="7"/>
        <w:spacing w:after="0"/>
        <w:tabs>
          <w:tab w:leader="none" w:pos="138"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Margin from purchased commodities is calculated as the difference between revenue from marketing of purchased commodities and costs related to marketing of purchased commodities, and excludes costs of transportation.</w:t>
      </w:r>
    </w:p>
    <w:p>
      <w:pPr>
        <w:ind w:left="140" w:hanging="133"/>
        <w:spacing w:after="0" w:line="191" w:lineRule="auto"/>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3"/>
          <w:szCs w:val="13"/>
          <w:color w:val="auto"/>
        </w:rPr>
        <w:t>Electricity margin is calculated as the difference between electricity sales and electricity generation expenses.</w:t>
      </w:r>
    </w:p>
    <w:p>
      <w:pPr>
        <w:ind w:left="140" w:hanging="133"/>
        <w:spacing w:after="0" w:line="238" w:lineRule="auto"/>
        <w:tabs>
          <w:tab w:leader="none" w:pos="140" w:val="left"/>
        </w:tabs>
        <w:numPr>
          <w:ilvl w:val="0"/>
          <w:numId w:val="13"/>
        </w:numPr>
        <w:rPr>
          <w:rFonts w:ascii="Arial" w:cs="Arial" w:eastAsia="Arial" w:hAnsi="Arial"/>
          <w:sz w:val="9"/>
          <w:szCs w:val="9"/>
          <w:color w:val="auto"/>
        </w:rPr>
      </w:pPr>
      <w:r>
        <w:rPr>
          <w:rFonts w:ascii="Arial" w:cs="Arial" w:eastAsia="Arial" w:hAnsi="Arial"/>
          <w:sz w:val="14"/>
          <w:szCs w:val="14"/>
          <w:color w:val="auto"/>
        </w:rPr>
        <w:t>Other operating revenue and expenses, net is calculated as the difference between other revenue and other operating expenses, net and includes exploration expense.</w:t>
      </w:r>
    </w:p>
    <w:p>
      <w:pPr>
        <w:spacing w:after="0" w:line="258" w:lineRule="auto"/>
        <w:rPr>
          <w:sz w:val="20"/>
          <w:szCs w:val="20"/>
          <w:color w:val="auto"/>
        </w:rPr>
      </w:pPr>
      <w:r>
        <w:rPr>
          <w:rFonts w:ascii="Arial" w:cs="Arial" w:eastAsia="Arial" w:hAnsi="Arial"/>
          <w:sz w:val="14"/>
          <w:szCs w:val="14"/>
          <w:color w:val="auto"/>
        </w:rPr>
        <w:t>See Attachment 3 for management's disclosure of its use of these non-GAAP measures and how these measures provide useful information to investors about CRC's results of operations and financial condition.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240"/>
          </w:cols>
          <w:pgMar w:left="320" w:top="106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5"/>
        </w:trPr>
        <w:tc>
          <w:tcPr>
            <w:tcW w:w="5720" w:type="dxa"/>
            <w:vAlign w:val="bottom"/>
            <w:gridSpan w:val="4"/>
          </w:tcPr>
          <w:p>
            <w:pPr>
              <w:spacing w:after="0"/>
              <w:rPr>
                <w:sz w:val="20"/>
                <w:szCs w:val="20"/>
                <w:color w:val="auto"/>
              </w:rPr>
            </w:pPr>
            <w:r>
              <w:rPr>
                <w:rFonts w:ascii="Arial" w:cs="Arial" w:eastAsia="Arial" w:hAnsi="Arial"/>
                <w:sz w:val="14"/>
                <w:szCs w:val="14"/>
                <w:b w:val="1"/>
                <w:bCs w:val="1"/>
                <w:color w:val="auto"/>
              </w:rPr>
              <w:t>ADJUSTED GENERAL AND ADMINISTRATIVE EXPENSES RECONCILIATION</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454"/>
        </w:trPr>
        <w:tc>
          <w:tcPr>
            <w:tcW w:w="46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6"/>
              </w:rPr>
              <w:t>1Q25E</w:t>
            </w: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93"/>
        </w:trPr>
        <w:tc>
          <w:tcPr>
            <w:tcW w:w="4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489"/>
              <w:spacing w:after="0"/>
              <w:rPr>
                <w:sz w:val="20"/>
                <w:szCs w:val="20"/>
                <w:color w:val="auto"/>
              </w:rPr>
            </w:pPr>
            <w:r>
              <w:rPr>
                <w:rFonts w:ascii="Arial" w:cs="Arial" w:eastAsia="Arial" w:hAnsi="Arial"/>
                <w:sz w:val="14"/>
                <w:szCs w:val="14"/>
                <w:b w:val="1"/>
                <w:bCs w:val="1"/>
                <w:color w:val="auto"/>
              </w:rPr>
              <w:t>Consolidated</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jc w:val="right"/>
              <w:ind w:right="389"/>
              <w:spacing w:after="0"/>
              <w:rPr>
                <w:sz w:val="20"/>
                <w:szCs w:val="20"/>
                <w:color w:val="auto"/>
              </w:rPr>
            </w:pPr>
            <w:r>
              <w:rPr>
                <w:rFonts w:ascii="Arial" w:cs="Arial" w:eastAsia="Arial" w:hAnsi="Arial"/>
                <w:sz w:val="14"/>
                <w:szCs w:val="14"/>
                <w:b w:val="1"/>
                <w:bCs w:val="1"/>
                <w:color w:val="auto"/>
              </w:rPr>
              <w:t>Oil and Natural Gas</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4"/>
                <w:szCs w:val="14"/>
                <w:b w:val="1"/>
                <w:bCs w:val="1"/>
                <w:color w:val="auto"/>
              </w:rPr>
              <w:t>Carbon Management</w:t>
            </w:r>
          </w:p>
        </w:tc>
      </w:tr>
      <w:tr>
        <w:trPr>
          <w:trHeight w:val="187"/>
        </w:trPr>
        <w:tc>
          <w:tcPr>
            <w:tcW w:w="4640" w:type="dxa"/>
            <w:vAlign w:val="bottom"/>
          </w:tcPr>
          <w:p>
            <w:pPr>
              <w:ind w:left="20"/>
              <w:spacing w:after="0"/>
              <w:rPr>
                <w:sz w:val="20"/>
                <w:szCs w:val="20"/>
                <w:color w:val="auto"/>
              </w:rPr>
            </w:pPr>
            <w:r>
              <w:rPr>
                <w:rFonts w:ascii="Arial" w:cs="Arial" w:eastAsia="Arial" w:hAnsi="Arial"/>
                <w:sz w:val="12"/>
                <w:szCs w:val="12"/>
                <w:i w:val="1"/>
                <w:iCs w:val="1"/>
                <w:color w:val="auto"/>
              </w:rPr>
              <w:t>($ millions)</w:t>
            </w:r>
          </w:p>
        </w:tc>
        <w:tc>
          <w:tcPr>
            <w:tcW w:w="24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Low</w:t>
            </w:r>
          </w:p>
        </w:tc>
        <w:tc>
          <w:tcPr>
            <w:tcW w:w="200" w:type="dxa"/>
            <w:vAlign w:val="bottom"/>
          </w:tcPr>
          <w:p>
            <w:pPr>
              <w:spacing w:after="0"/>
              <w:rPr>
                <w:sz w:val="16"/>
                <w:szCs w:val="16"/>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color w:val="auto"/>
              </w:rPr>
              <w:t>High</w:t>
            </w:r>
          </w:p>
        </w:tc>
        <w:tc>
          <w:tcPr>
            <w:tcW w:w="220" w:type="dxa"/>
            <w:vAlign w:val="bottom"/>
          </w:tcPr>
          <w:p>
            <w:pPr>
              <w:spacing w:after="0"/>
              <w:rPr>
                <w:sz w:val="16"/>
                <w:szCs w:val="16"/>
                <w:color w:val="auto"/>
              </w:rPr>
            </w:pPr>
          </w:p>
        </w:tc>
        <w:tc>
          <w:tcPr>
            <w:tcW w:w="680" w:type="dxa"/>
            <w:vAlign w:val="bottom"/>
          </w:tcPr>
          <w:p>
            <w:pPr>
              <w:jc w:val="right"/>
              <w:ind w:right="229"/>
              <w:spacing w:after="0"/>
              <w:rPr>
                <w:sz w:val="20"/>
                <w:szCs w:val="20"/>
                <w:color w:val="auto"/>
              </w:rPr>
            </w:pPr>
            <w:r>
              <w:rPr>
                <w:rFonts w:ascii="Arial" w:cs="Arial" w:eastAsia="Arial" w:hAnsi="Arial"/>
                <w:sz w:val="14"/>
                <w:szCs w:val="14"/>
                <w:color w:val="auto"/>
              </w:rPr>
              <w:t>Low</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color w:val="auto"/>
              </w:rPr>
              <w:t>High</w:t>
            </w:r>
          </w:p>
        </w:tc>
        <w:tc>
          <w:tcPr>
            <w:tcW w:w="200" w:type="dxa"/>
            <w:vAlign w:val="bottom"/>
          </w:tcPr>
          <w:p>
            <w:pPr>
              <w:spacing w:after="0"/>
              <w:rPr>
                <w:sz w:val="16"/>
                <w:szCs w:val="16"/>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color w:val="auto"/>
              </w:rPr>
              <w:t>Low</w:t>
            </w:r>
          </w:p>
        </w:tc>
        <w:tc>
          <w:tcPr>
            <w:tcW w:w="220" w:type="dxa"/>
            <w:vAlign w:val="bottom"/>
          </w:tcPr>
          <w:p>
            <w:pPr>
              <w:spacing w:after="0"/>
              <w:rPr>
                <w:sz w:val="16"/>
                <w:szCs w:val="16"/>
                <w:color w:val="auto"/>
              </w:rPr>
            </w:pPr>
          </w:p>
        </w:tc>
        <w:tc>
          <w:tcPr>
            <w:tcW w:w="760" w:type="dxa"/>
            <w:vAlign w:val="bottom"/>
          </w:tcPr>
          <w:p>
            <w:pPr>
              <w:jc w:val="right"/>
              <w:ind w:right="269"/>
              <w:spacing w:after="0"/>
              <w:rPr>
                <w:sz w:val="20"/>
                <w:szCs w:val="20"/>
                <w:color w:val="auto"/>
              </w:rPr>
            </w:pPr>
            <w:r>
              <w:rPr>
                <w:rFonts w:ascii="Arial" w:cs="Arial" w:eastAsia="Arial" w:hAnsi="Arial"/>
                <w:sz w:val="14"/>
                <w:szCs w:val="14"/>
                <w:color w:val="auto"/>
              </w:rPr>
              <w:t>High</w:t>
            </w:r>
          </w:p>
        </w:tc>
      </w:tr>
      <w:tr>
        <w:trPr>
          <w:trHeight w:val="193"/>
        </w:trPr>
        <w:tc>
          <w:tcPr>
            <w:tcW w:w="4640" w:type="dxa"/>
            <w:vAlign w:val="bottom"/>
          </w:tcPr>
          <w:p>
            <w:pPr>
              <w:ind w:left="20"/>
              <w:spacing w:after="0"/>
              <w:rPr>
                <w:sz w:val="20"/>
                <w:szCs w:val="20"/>
                <w:color w:val="auto"/>
              </w:rPr>
            </w:pPr>
            <w:r>
              <w:rPr>
                <w:rFonts w:ascii="Arial" w:cs="Arial" w:eastAsia="Arial" w:hAnsi="Arial"/>
                <w:sz w:val="14"/>
                <w:szCs w:val="14"/>
                <w:color w:val="auto"/>
              </w:rPr>
              <w:t>General and administrative expenses</w:t>
            </w:r>
          </w:p>
        </w:tc>
        <w:tc>
          <w:tcPr>
            <w:tcW w:w="2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40" w:type="dxa"/>
            <w:vAlign w:val="bottom"/>
          </w:tcPr>
          <w:p>
            <w:pPr>
              <w:spacing w:after="0"/>
              <w:rPr>
                <w:sz w:val="16"/>
                <w:szCs w:val="16"/>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60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$10 $</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6"/>
                <w:szCs w:val="16"/>
                <w:color w:val="auto"/>
              </w:rPr>
            </w:pPr>
          </w:p>
        </w:tc>
        <w:tc>
          <w:tcPr>
            <w:tcW w:w="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00"/>
        </w:trPr>
        <w:tc>
          <w:tcPr>
            <w:tcW w:w="4640" w:type="dxa"/>
            <w:vAlign w:val="bottom"/>
          </w:tcPr>
          <w:p>
            <w:pPr>
              <w:ind w:left="20"/>
              <w:spacing w:after="0"/>
              <w:rPr>
                <w:sz w:val="20"/>
                <w:szCs w:val="20"/>
                <w:color w:val="auto"/>
              </w:rPr>
            </w:pPr>
            <w:r>
              <w:rPr>
                <w:rFonts w:ascii="Arial" w:cs="Arial" w:eastAsia="Arial" w:hAnsi="Arial"/>
                <w:sz w:val="14"/>
                <w:szCs w:val="14"/>
                <w:color w:val="auto"/>
              </w:rPr>
              <w:t>Equity-settled stock-based compensation</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4"/>
        </w:trPr>
        <w:tc>
          <w:tcPr>
            <w:tcW w:w="4640" w:type="dxa"/>
            <w:vAlign w:val="bottom"/>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Estimated adjusted general and administrative expenses</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80</w:t>
            </w:r>
          </w:p>
        </w:tc>
        <w:tc>
          <w:tcPr>
            <w:tcW w:w="14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6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4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816610</wp:posOffset>
            </wp:positionV>
            <wp:extent cx="70916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168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842010</wp:posOffset>
            </wp:positionV>
            <wp:extent cx="70916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1680" cy="8255"/>
                    </a:xfrm>
                    <a:prstGeom prst="rect">
                      <a:avLst/>
                    </a:prstGeom>
                    <a:noFill/>
                  </pic:spPr>
                </pic:pic>
              </a:graphicData>
            </a:graphic>
          </wp:anchor>
        </w:drawing>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Total Year 2025E</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93"/>
        </w:trPr>
        <w:tc>
          <w:tcPr>
            <w:tcW w:w="4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529"/>
              <w:spacing w:after="0"/>
              <w:rPr>
                <w:sz w:val="20"/>
                <w:szCs w:val="20"/>
                <w:color w:val="auto"/>
              </w:rPr>
            </w:pPr>
            <w:r>
              <w:rPr>
                <w:rFonts w:ascii="Arial" w:cs="Arial" w:eastAsia="Arial" w:hAnsi="Arial"/>
                <w:sz w:val="14"/>
                <w:szCs w:val="14"/>
                <w:b w:val="1"/>
                <w:bCs w:val="1"/>
                <w:color w:val="auto"/>
              </w:rPr>
              <w:t>Consolidated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Oil and Natural Gas</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269"/>
              <w:spacing w:after="0"/>
              <w:rPr>
                <w:sz w:val="20"/>
                <w:szCs w:val="20"/>
                <w:color w:val="auto"/>
              </w:rPr>
            </w:pPr>
            <w:r>
              <w:rPr>
                <w:rFonts w:ascii="Arial" w:cs="Arial" w:eastAsia="Arial" w:hAnsi="Arial"/>
                <w:sz w:val="14"/>
                <w:szCs w:val="14"/>
                <w:b w:val="1"/>
                <w:bCs w:val="1"/>
                <w:color w:val="auto"/>
              </w:rPr>
              <w:t>Carbon Management</w:t>
            </w:r>
          </w:p>
        </w:tc>
      </w:tr>
      <w:tr>
        <w:trPr>
          <w:trHeight w:val="187"/>
        </w:trPr>
        <w:tc>
          <w:tcPr>
            <w:tcW w:w="4740" w:type="dxa"/>
            <w:vAlign w:val="bottom"/>
          </w:tcPr>
          <w:p>
            <w:pPr>
              <w:spacing w:after="0"/>
              <w:rPr>
                <w:sz w:val="20"/>
                <w:szCs w:val="20"/>
                <w:color w:val="auto"/>
              </w:rPr>
            </w:pPr>
            <w:r>
              <w:rPr>
                <w:rFonts w:ascii="Arial" w:cs="Arial" w:eastAsia="Arial" w:hAnsi="Arial"/>
                <w:sz w:val="12"/>
                <w:szCs w:val="12"/>
                <w:i w:val="1"/>
                <w:iCs w:val="1"/>
                <w:color w:val="auto"/>
              </w:rPr>
              <w:t>($ millions)</w:t>
            </w:r>
          </w:p>
        </w:tc>
        <w:tc>
          <w:tcPr>
            <w:tcW w:w="24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Low</w:t>
            </w:r>
          </w:p>
        </w:tc>
        <w:tc>
          <w:tcPr>
            <w:tcW w:w="220" w:type="dxa"/>
            <w:vAlign w:val="bottom"/>
          </w:tcPr>
          <w:p>
            <w:pPr>
              <w:spacing w:after="0"/>
              <w:rPr>
                <w:sz w:val="16"/>
                <w:szCs w:val="16"/>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color w:val="auto"/>
              </w:rPr>
              <w:t>High</w:t>
            </w:r>
          </w:p>
        </w:tc>
        <w:tc>
          <w:tcPr>
            <w:tcW w:w="24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color w:val="auto"/>
              </w:rPr>
              <w:t>Low</w:t>
            </w:r>
          </w:p>
        </w:tc>
        <w:tc>
          <w:tcPr>
            <w:tcW w:w="220" w:type="dxa"/>
            <w:vAlign w:val="bottom"/>
          </w:tcPr>
          <w:p>
            <w:pPr>
              <w:spacing w:after="0"/>
              <w:rPr>
                <w:sz w:val="16"/>
                <w:szCs w:val="16"/>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color w:val="auto"/>
              </w:rPr>
              <w:t>High</w:t>
            </w:r>
          </w:p>
        </w:tc>
        <w:tc>
          <w:tcPr>
            <w:tcW w:w="22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color w:val="auto"/>
              </w:rPr>
              <w:t>Low</w:t>
            </w:r>
          </w:p>
        </w:tc>
        <w:tc>
          <w:tcPr>
            <w:tcW w:w="220" w:type="dxa"/>
            <w:vAlign w:val="bottom"/>
          </w:tcPr>
          <w:p>
            <w:pPr>
              <w:spacing w:after="0"/>
              <w:rPr>
                <w:sz w:val="16"/>
                <w:szCs w:val="16"/>
                <w:color w:val="auto"/>
              </w:rPr>
            </w:pPr>
          </w:p>
        </w:tc>
        <w:tc>
          <w:tcPr>
            <w:tcW w:w="780" w:type="dxa"/>
            <w:vAlign w:val="bottom"/>
          </w:tcPr>
          <w:p>
            <w:pPr>
              <w:jc w:val="right"/>
              <w:ind w:right="289"/>
              <w:spacing w:after="0"/>
              <w:rPr>
                <w:sz w:val="20"/>
                <w:szCs w:val="20"/>
                <w:color w:val="auto"/>
              </w:rPr>
            </w:pPr>
            <w:r>
              <w:rPr>
                <w:rFonts w:ascii="Arial" w:cs="Arial" w:eastAsia="Arial" w:hAnsi="Arial"/>
                <w:sz w:val="14"/>
                <w:szCs w:val="14"/>
                <w:color w:val="auto"/>
              </w:rPr>
              <w:t>High</w:t>
            </w:r>
          </w:p>
        </w:tc>
      </w:tr>
      <w:tr>
        <w:trPr>
          <w:trHeight w:val="193"/>
        </w:trPr>
        <w:tc>
          <w:tcPr>
            <w:tcW w:w="4740" w:type="dxa"/>
            <w:vAlign w:val="bottom"/>
          </w:tcPr>
          <w:p>
            <w:pPr>
              <w:spacing w:after="0"/>
              <w:rPr>
                <w:sz w:val="20"/>
                <w:szCs w:val="20"/>
                <w:color w:val="auto"/>
              </w:rPr>
            </w:pPr>
            <w:r>
              <w:rPr>
                <w:rFonts w:ascii="Arial" w:cs="Arial" w:eastAsia="Arial" w:hAnsi="Arial"/>
                <w:sz w:val="14"/>
                <w:szCs w:val="14"/>
                <w:color w:val="auto"/>
              </w:rPr>
              <w:t>General and administrative expenses</w:t>
            </w:r>
          </w:p>
        </w:tc>
        <w:tc>
          <w:tcPr>
            <w:tcW w:w="2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325</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16"/>
                <w:szCs w:val="16"/>
                <w:color w:val="auto"/>
              </w:rPr>
            </w:pPr>
          </w:p>
        </w:tc>
        <w:tc>
          <w:tcPr>
            <w:tcW w:w="2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40" w:type="dxa"/>
            <w:vAlign w:val="bottom"/>
          </w:tcPr>
          <w:p>
            <w:pPr>
              <w:spacing w:after="0"/>
              <w:rPr>
                <w:sz w:val="16"/>
                <w:szCs w:val="16"/>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200"/>
        </w:trPr>
        <w:tc>
          <w:tcPr>
            <w:tcW w:w="4740" w:type="dxa"/>
            <w:vAlign w:val="bottom"/>
          </w:tcPr>
          <w:p>
            <w:pPr>
              <w:spacing w:after="0"/>
              <w:rPr>
                <w:sz w:val="20"/>
                <w:szCs w:val="20"/>
                <w:color w:val="auto"/>
              </w:rPr>
            </w:pPr>
            <w:r>
              <w:rPr>
                <w:rFonts w:ascii="Arial" w:cs="Arial" w:eastAsia="Arial" w:hAnsi="Arial"/>
                <w:sz w:val="14"/>
                <w:szCs w:val="14"/>
                <w:color w:val="auto"/>
              </w:rPr>
              <w:t>Equity-settled stock-based compensation</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4"/>
        </w:trPr>
        <w:tc>
          <w:tcPr>
            <w:tcW w:w="4740" w:type="dxa"/>
            <w:vAlign w:val="bottom"/>
          </w:tcPr>
          <w:p>
            <w:pPr>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4740" w:type="dxa"/>
            <w:vAlign w:val="bottom"/>
          </w:tcPr>
          <w:p>
            <w:pPr>
              <w:spacing w:after="0"/>
              <w:rPr>
                <w:sz w:val="20"/>
                <w:szCs w:val="20"/>
                <w:color w:val="auto"/>
              </w:rPr>
            </w:pPr>
            <w:r>
              <w:rPr>
                <w:rFonts w:ascii="Arial" w:cs="Arial" w:eastAsia="Arial" w:hAnsi="Arial"/>
                <w:sz w:val="14"/>
                <w:szCs w:val="14"/>
                <w:b w:val="1"/>
                <w:bCs w:val="1"/>
                <w:color w:val="auto"/>
              </w:rPr>
              <w:t>Estimated adjusted general and administrative expenses</w:t>
            </w: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300</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320</w:t>
            </w:r>
          </w:p>
        </w:tc>
        <w:tc>
          <w:tcPr>
            <w:tcW w:w="1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20"/>
        </w:trPr>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240"/>
          </w:cols>
          <w:pgMar w:left="320" w:top="1410"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5"/>
        </w:trPr>
        <w:tc>
          <w:tcPr>
            <w:tcW w:w="5440" w:type="dxa"/>
            <w:vAlign w:val="bottom"/>
          </w:tcPr>
          <w:p>
            <w:pPr>
              <w:spacing w:after="0"/>
              <w:rPr>
                <w:sz w:val="20"/>
                <w:szCs w:val="20"/>
                <w:color w:val="auto"/>
              </w:rPr>
            </w:pPr>
            <w:r>
              <w:rPr>
                <w:rFonts w:ascii="Arial" w:cs="Arial" w:eastAsia="Arial" w:hAnsi="Arial"/>
                <w:sz w:val="14"/>
                <w:szCs w:val="14"/>
                <w:b w:val="1"/>
                <w:bCs w:val="1"/>
                <w:color w:val="auto"/>
              </w:rPr>
              <w:t>ESTIMATED ADJUSTED EBITDAX RECONCILIATION</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5"/>
        </w:trPr>
        <w:tc>
          <w:tcPr>
            <w:tcW w:w="5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5"/>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r>
      <w:tr>
        <w:trPr>
          <w:trHeight w:val="193"/>
        </w:trPr>
        <w:tc>
          <w:tcPr>
            <w:tcW w:w="5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Consolidated</w:t>
            </w: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r>
      <w:tr>
        <w:trPr>
          <w:trHeight w:val="193"/>
        </w:trPr>
        <w:tc>
          <w:tcPr>
            <w:tcW w:w="5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1Q25E</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2025E</w:t>
            </w:r>
          </w:p>
        </w:tc>
        <w:tc>
          <w:tcPr>
            <w:tcW w:w="560" w:type="dxa"/>
            <w:vAlign w:val="bottom"/>
            <w:tcBorders>
              <w:bottom w:val="single" w:sz="8" w:color="auto"/>
            </w:tcBorders>
          </w:tcPr>
          <w:p>
            <w:pPr>
              <w:spacing w:after="0"/>
              <w:rPr>
                <w:sz w:val="16"/>
                <w:szCs w:val="16"/>
                <w:color w:val="auto"/>
              </w:rPr>
            </w:pPr>
          </w:p>
        </w:tc>
      </w:tr>
      <w:tr>
        <w:trPr>
          <w:trHeight w:val="188"/>
        </w:trPr>
        <w:tc>
          <w:tcPr>
            <w:tcW w:w="5440" w:type="dxa"/>
            <w:vAlign w:val="bottom"/>
          </w:tcPr>
          <w:p>
            <w:pPr>
              <w:ind w:left="20"/>
              <w:spacing w:after="0"/>
              <w:rPr>
                <w:sz w:val="20"/>
                <w:szCs w:val="20"/>
                <w:color w:val="auto"/>
              </w:rPr>
            </w:pPr>
            <w:r>
              <w:rPr>
                <w:rFonts w:ascii="Arial" w:cs="Arial" w:eastAsia="Arial" w:hAnsi="Arial"/>
                <w:sz w:val="14"/>
                <w:szCs w:val="14"/>
                <w:i w:val="1"/>
                <w:iCs w:val="1"/>
                <w:color w:val="auto"/>
              </w:rPr>
              <w:t>($ millions)</w:t>
            </w:r>
          </w:p>
        </w:tc>
        <w:tc>
          <w:tcPr>
            <w:tcW w:w="180" w:type="dxa"/>
            <w:vAlign w:val="bottom"/>
          </w:tcPr>
          <w:p>
            <w:pPr>
              <w:spacing w:after="0"/>
              <w:rPr>
                <w:sz w:val="16"/>
                <w:szCs w:val="16"/>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color w:val="auto"/>
              </w:rPr>
              <w:t>Low</w:t>
            </w:r>
          </w:p>
        </w:tc>
        <w:tc>
          <w:tcPr>
            <w:tcW w:w="200" w:type="dxa"/>
            <w:vAlign w:val="bottom"/>
          </w:tcPr>
          <w:p>
            <w:pPr>
              <w:spacing w:after="0"/>
              <w:rPr>
                <w:sz w:val="16"/>
                <w:szCs w:val="16"/>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color w:val="auto"/>
              </w:rPr>
              <w:t>High</w:t>
            </w:r>
          </w:p>
        </w:tc>
        <w:tc>
          <w:tcPr>
            <w:tcW w:w="180" w:type="dxa"/>
            <w:vAlign w:val="bottom"/>
          </w:tcPr>
          <w:p>
            <w:pPr>
              <w:spacing w:after="0"/>
              <w:rPr>
                <w:sz w:val="16"/>
                <w:szCs w:val="16"/>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color w:val="auto"/>
              </w:rPr>
              <w:t>Low</w:t>
            </w:r>
          </w:p>
        </w:tc>
        <w:tc>
          <w:tcPr>
            <w:tcW w:w="220" w:type="dxa"/>
            <w:vAlign w:val="bottom"/>
          </w:tcPr>
          <w:p>
            <w:pPr>
              <w:spacing w:after="0"/>
              <w:rPr>
                <w:sz w:val="16"/>
                <w:szCs w:val="16"/>
                <w:color w:val="auto"/>
              </w:rPr>
            </w:pPr>
          </w:p>
        </w:tc>
        <w:tc>
          <w:tcPr>
            <w:tcW w:w="560" w:type="dxa"/>
            <w:vAlign w:val="bottom"/>
          </w:tcPr>
          <w:p>
            <w:pPr>
              <w:jc w:val="right"/>
              <w:ind w:right="169"/>
              <w:spacing w:after="0"/>
              <w:rPr>
                <w:sz w:val="20"/>
                <w:szCs w:val="20"/>
                <w:color w:val="auto"/>
              </w:rPr>
            </w:pPr>
            <w:r>
              <w:rPr>
                <w:rFonts w:ascii="Arial" w:cs="Arial" w:eastAsia="Arial" w:hAnsi="Arial"/>
                <w:sz w:val="14"/>
                <w:szCs w:val="14"/>
                <w:color w:val="auto"/>
              </w:rPr>
              <w:t>High</w:t>
            </w:r>
          </w:p>
        </w:tc>
      </w:tr>
      <w:tr>
        <w:trPr>
          <w:trHeight w:val="193"/>
        </w:trPr>
        <w:tc>
          <w:tcPr>
            <w:tcW w:w="5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278</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292</w:t>
            </w:r>
          </w:p>
        </w:tc>
      </w:tr>
      <w:tr>
        <w:trPr>
          <w:trHeight w:val="200"/>
        </w:trPr>
        <w:tc>
          <w:tcPr>
            <w:tcW w:w="5440" w:type="dxa"/>
            <w:vAlign w:val="bottom"/>
          </w:tcPr>
          <w:p>
            <w:pPr>
              <w:ind w:left="140"/>
              <w:spacing w:after="0"/>
              <w:rPr>
                <w:sz w:val="20"/>
                <w:szCs w:val="20"/>
                <w:color w:val="auto"/>
              </w:rPr>
            </w:pPr>
            <w:r>
              <w:rPr>
                <w:rFonts w:ascii="Arial" w:cs="Arial" w:eastAsia="Arial" w:hAnsi="Arial"/>
                <w:sz w:val="14"/>
                <w:szCs w:val="14"/>
                <w:color w:val="auto"/>
              </w:rPr>
              <w:t>Interest and debt expense, net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113</w:t>
            </w:r>
          </w:p>
        </w:tc>
      </w:tr>
      <w:tr>
        <w:trPr>
          <w:trHeight w:val="200"/>
        </w:trPr>
        <w:tc>
          <w:tcPr>
            <w:tcW w:w="5440" w:type="dxa"/>
            <w:vAlign w:val="bottom"/>
          </w:tcPr>
          <w:p>
            <w:pPr>
              <w:ind w:left="140"/>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480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520</w:t>
            </w:r>
          </w:p>
        </w:tc>
      </w:tr>
      <w:tr>
        <w:trPr>
          <w:trHeight w:val="200"/>
        </w:trPr>
        <w:tc>
          <w:tcPr>
            <w:tcW w:w="5440" w:type="dxa"/>
            <w:vAlign w:val="bottom"/>
          </w:tcPr>
          <w:p>
            <w:pPr>
              <w:ind w:left="140"/>
              <w:spacing w:after="0"/>
              <w:rPr>
                <w:sz w:val="20"/>
                <w:szCs w:val="20"/>
                <w:color w:val="auto"/>
              </w:rPr>
            </w:pPr>
            <w:r>
              <w:rPr>
                <w:rFonts w:ascii="Arial" w:cs="Arial" w:eastAsia="Arial" w:hAnsi="Arial"/>
                <w:sz w:val="14"/>
                <w:szCs w:val="14"/>
                <w:color w:val="auto"/>
              </w:rPr>
              <w:t>Income taxes</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200"/>
        </w:trPr>
        <w:tc>
          <w:tcPr>
            <w:tcW w:w="5440" w:type="dxa"/>
            <w:vAlign w:val="bottom"/>
          </w:tcPr>
          <w:p>
            <w:pPr>
              <w:ind w:left="140"/>
              <w:spacing w:after="0"/>
              <w:rPr>
                <w:sz w:val="20"/>
                <w:szCs w:val="20"/>
                <w:color w:val="auto"/>
              </w:rPr>
            </w:pPr>
            <w:r>
              <w:rPr>
                <w:rFonts w:ascii="Arial" w:cs="Arial" w:eastAsia="Arial" w:hAnsi="Arial"/>
                <w:sz w:val="14"/>
                <w:szCs w:val="14"/>
                <w:color w:val="auto"/>
              </w:rPr>
              <w:t>Unusual, infrequent and other items</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00"/>
        </w:trPr>
        <w:tc>
          <w:tcPr>
            <w:tcW w:w="5440" w:type="dxa"/>
            <w:vAlign w:val="bottom"/>
          </w:tcPr>
          <w:p>
            <w:pPr>
              <w:ind w:left="140"/>
              <w:spacing w:after="0"/>
              <w:rPr>
                <w:sz w:val="20"/>
                <w:szCs w:val="20"/>
                <w:color w:val="auto"/>
              </w:rPr>
            </w:pPr>
            <w:r>
              <w:rPr>
                <w:rFonts w:ascii="Arial" w:cs="Arial" w:eastAsia="Arial" w:hAnsi="Arial"/>
                <w:sz w:val="14"/>
                <w:szCs w:val="14"/>
                <w:color w:val="auto"/>
              </w:rPr>
              <w:t>Other non-cash items</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0"/>
        </w:trPr>
        <w:tc>
          <w:tcPr>
            <w:tcW w:w="5440" w:type="dxa"/>
            <w:vAlign w:val="bottom"/>
          </w:tcPr>
          <w:p>
            <w:pPr>
              <w:ind w:left="240"/>
              <w:spacing w:after="0"/>
              <w:rPr>
                <w:sz w:val="20"/>
                <w:szCs w:val="20"/>
                <w:color w:val="auto"/>
              </w:rPr>
            </w:pPr>
            <w:r>
              <w:rPr>
                <w:rFonts w:ascii="Arial" w:cs="Arial" w:eastAsia="Arial" w:hAnsi="Arial"/>
                <w:sz w:val="14"/>
                <w:szCs w:val="14"/>
                <w:color w:val="auto"/>
              </w:rPr>
              <w:t>Accretion expense</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204"/>
        </w:trPr>
        <w:tc>
          <w:tcPr>
            <w:tcW w:w="5440" w:type="dxa"/>
            <w:vAlign w:val="bottom"/>
          </w:tcPr>
          <w:p>
            <w:pPr>
              <w:ind w:left="240"/>
              <w:spacing w:after="0"/>
              <w:rPr>
                <w:sz w:val="20"/>
                <w:szCs w:val="20"/>
                <w:color w:val="auto"/>
              </w:rPr>
            </w:pPr>
            <w:r>
              <w:rPr>
                <w:rFonts w:ascii="Arial" w:cs="Arial" w:eastAsia="Arial" w:hAnsi="Arial"/>
                <w:sz w:val="14"/>
                <w:szCs w:val="14"/>
                <w:color w:val="auto"/>
              </w:rPr>
              <w:t>Stock-settled compensation</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197"/>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Estimated adjusted EBITDAX</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1,100</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w:t>
            </w:r>
          </w:p>
        </w:tc>
      </w:tr>
      <w:tr>
        <w:trPr>
          <w:trHeight w:val="20"/>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359"/>
        </w:trPr>
        <w:tc>
          <w:tcPr>
            <w:tcW w:w="544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752</w:t>
            </w:r>
          </w:p>
        </w:tc>
        <w:tc>
          <w:tcPr>
            <w:tcW w:w="80" w:type="dxa"/>
            <w:vAlign w:val="bottom"/>
          </w:tcPr>
          <w:p>
            <w:pPr>
              <w:spacing w:after="0"/>
              <w:rPr>
                <w:sz w:val="24"/>
                <w:szCs w:val="24"/>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772</w:t>
            </w:r>
          </w:p>
        </w:tc>
      </w:tr>
      <w:tr>
        <w:trPr>
          <w:trHeight w:val="200"/>
        </w:trPr>
        <w:tc>
          <w:tcPr>
            <w:tcW w:w="5440" w:type="dxa"/>
            <w:vAlign w:val="bottom"/>
          </w:tcPr>
          <w:p>
            <w:pPr>
              <w:ind w:left="140"/>
              <w:spacing w:after="0"/>
              <w:rPr>
                <w:sz w:val="20"/>
                <w:szCs w:val="20"/>
                <w:color w:val="auto"/>
              </w:rPr>
            </w:pPr>
            <w:r>
              <w:rPr>
                <w:rFonts w:ascii="Arial" w:cs="Arial" w:eastAsia="Arial" w:hAnsi="Arial"/>
                <w:sz w:val="14"/>
                <w:szCs w:val="14"/>
                <w:color w:val="auto"/>
              </w:rPr>
              <w:t>Cash interest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00"/>
        </w:trPr>
        <w:tc>
          <w:tcPr>
            <w:tcW w:w="5440" w:type="dxa"/>
            <w:vAlign w:val="bottom"/>
          </w:tcPr>
          <w:p>
            <w:pPr>
              <w:ind w:left="140"/>
              <w:spacing w:after="0"/>
              <w:rPr>
                <w:sz w:val="20"/>
                <w:szCs w:val="20"/>
                <w:color w:val="auto"/>
              </w:rPr>
            </w:pPr>
            <w:r>
              <w:rPr>
                <w:rFonts w:ascii="Arial" w:cs="Arial" w:eastAsia="Arial" w:hAnsi="Arial"/>
                <w:sz w:val="14"/>
                <w:szCs w:val="14"/>
                <w:color w:val="auto"/>
              </w:rPr>
              <w:t>Cash income taxes</w:t>
            </w:r>
          </w:p>
        </w:tc>
        <w:tc>
          <w:tcPr>
            <w:tcW w:w="1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204"/>
        </w:trPr>
        <w:tc>
          <w:tcPr>
            <w:tcW w:w="5440" w:type="dxa"/>
            <w:vAlign w:val="bottom"/>
          </w:tcPr>
          <w:p>
            <w:pPr>
              <w:ind w:left="140"/>
              <w:spacing w:after="0"/>
              <w:rPr>
                <w:sz w:val="20"/>
                <w:szCs w:val="20"/>
                <w:color w:val="auto"/>
              </w:rPr>
            </w:pPr>
            <w:r>
              <w:rPr>
                <w:rFonts w:ascii="Arial" w:cs="Arial" w:eastAsia="Arial" w:hAnsi="Arial"/>
                <w:sz w:val="14"/>
                <w:szCs w:val="14"/>
                <w:color w:val="auto"/>
              </w:rPr>
              <w:t>Working capital changes</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w:t>
            </w:r>
          </w:p>
        </w:tc>
      </w:tr>
      <w:tr>
        <w:trPr>
          <w:trHeight w:val="197"/>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Estimated adjusted EBITDAX</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1,100</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w:t>
            </w:r>
          </w:p>
        </w:tc>
      </w:tr>
      <w:tr>
        <w:trPr>
          <w:trHeight w:val="20"/>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816610</wp:posOffset>
            </wp:positionV>
            <wp:extent cx="70916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168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842010</wp:posOffset>
            </wp:positionV>
            <wp:extent cx="70916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1680" cy="825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13"/>
        </w:trPr>
        <w:tc>
          <w:tcPr>
            <w:tcW w:w="54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Oil and Natural Gas</w:t>
            </w:r>
          </w:p>
        </w:tc>
        <w:tc>
          <w:tcPr>
            <w:tcW w:w="2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r>
      <w:tr>
        <w:trPr>
          <w:trHeight w:val="193"/>
        </w:trPr>
        <w:tc>
          <w:tcPr>
            <w:tcW w:w="5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1Q25E</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2025E</w:t>
            </w:r>
          </w:p>
        </w:tc>
        <w:tc>
          <w:tcPr>
            <w:tcW w:w="560" w:type="dxa"/>
            <w:vAlign w:val="bottom"/>
            <w:tcBorders>
              <w:bottom w:val="single" w:sz="8" w:color="auto"/>
            </w:tcBorders>
          </w:tcPr>
          <w:p>
            <w:pPr>
              <w:spacing w:after="0"/>
              <w:rPr>
                <w:sz w:val="16"/>
                <w:szCs w:val="16"/>
                <w:color w:val="auto"/>
              </w:rPr>
            </w:pPr>
          </w:p>
        </w:tc>
      </w:tr>
      <w:tr>
        <w:trPr>
          <w:trHeight w:val="188"/>
        </w:trPr>
        <w:tc>
          <w:tcPr>
            <w:tcW w:w="542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180" w:type="dxa"/>
            <w:vAlign w:val="bottom"/>
          </w:tcPr>
          <w:p>
            <w:pPr>
              <w:spacing w:after="0"/>
              <w:rPr>
                <w:sz w:val="16"/>
                <w:szCs w:val="16"/>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color w:val="auto"/>
              </w:rPr>
              <w:t>Low</w:t>
            </w:r>
          </w:p>
        </w:tc>
        <w:tc>
          <w:tcPr>
            <w:tcW w:w="200" w:type="dxa"/>
            <w:vAlign w:val="bottom"/>
          </w:tcPr>
          <w:p>
            <w:pPr>
              <w:spacing w:after="0"/>
              <w:rPr>
                <w:sz w:val="16"/>
                <w:szCs w:val="16"/>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color w:val="auto"/>
              </w:rPr>
              <w:t>High</w:t>
            </w:r>
          </w:p>
        </w:tc>
        <w:tc>
          <w:tcPr>
            <w:tcW w:w="180" w:type="dxa"/>
            <w:vAlign w:val="bottom"/>
          </w:tcPr>
          <w:p>
            <w:pPr>
              <w:spacing w:after="0"/>
              <w:rPr>
                <w:sz w:val="16"/>
                <w:szCs w:val="16"/>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color w:val="auto"/>
              </w:rPr>
              <w:t>Low</w:t>
            </w:r>
          </w:p>
        </w:tc>
        <w:tc>
          <w:tcPr>
            <w:tcW w:w="220" w:type="dxa"/>
            <w:vAlign w:val="bottom"/>
          </w:tcPr>
          <w:p>
            <w:pPr>
              <w:spacing w:after="0"/>
              <w:rPr>
                <w:sz w:val="16"/>
                <w:szCs w:val="16"/>
                <w:color w:val="auto"/>
              </w:rPr>
            </w:pPr>
          </w:p>
        </w:tc>
        <w:tc>
          <w:tcPr>
            <w:tcW w:w="560" w:type="dxa"/>
            <w:vAlign w:val="bottom"/>
          </w:tcPr>
          <w:p>
            <w:pPr>
              <w:jc w:val="right"/>
              <w:ind w:right="169"/>
              <w:spacing w:after="0"/>
              <w:rPr>
                <w:sz w:val="20"/>
                <w:szCs w:val="20"/>
                <w:color w:val="auto"/>
              </w:rPr>
            </w:pPr>
            <w:r>
              <w:rPr>
                <w:rFonts w:ascii="Arial" w:cs="Arial" w:eastAsia="Arial" w:hAnsi="Arial"/>
                <w:sz w:val="14"/>
                <w:szCs w:val="14"/>
                <w:color w:val="auto"/>
              </w:rPr>
              <w:t>High</w:t>
            </w:r>
          </w:p>
        </w:tc>
      </w:tr>
      <w:tr>
        <w:trPr>
          <w:trHeight w:val="193"/>
        </w:trPr>
        <w:tc>
          <w:tcPr>
            <w:tcW w:w="5420" w:type="dxa"/>
            <w:vAlign w:val="bottom"/>
          </w:tcPr>
          <w:p>
            <w:pPr>
              <w:spacing w:after="0"/>
              <w:rPr>
                <w:sz w:val="20"/>
                <w:szCs w:val="20"/>
                <w:color w:val="auto"/>
              </w:rPr>
            </w:pPr>
            <w:r>
              <w:rPr>
                <w:rFonts w:ascii="Arial" w:cs="Arial" w:eastAsia="Arial" w:hAnsi="Arial"/>
                <w:sz w:val="14"/>
                <w:szCs w:val="14"/>
                <w:color w:val="auto"/>
              </w:rPr>
              <w:t>Segment profit</w:t>
            </w: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265</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795</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815</w:t>
            </w:r>
          </w:p>
        </w:tc>
      </w:tr>
      <w:tr>
        <w:trPr>
          <w:trHeight w:val="200"/>
        </w:trPr>
        <w:tc>
          <w:tcPr>
            <w:tcW w:w="5420" w:type="dxa"/>
            <w:vAlign w:val="bottom"/>
          </w:tcPr>
          <w:p>
            <w:pPr>
              <w:ind w:left="120"/>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475</w:t>
            </w:r>
          </w:p>
        </w:tc>
      </w:tr>
      <w:tr>
        <w:trPr>
          <w:trHeight w:val="200"/>
        </w:trPr>
        <w:tc>
          <w:tcPr>
            <w:tcW w:w="5420" w:type="dxa"/>
            <w:vAlign w:val="bottom"/>
          </w:tcPr>
          <w:p>
            <w:pPr>
              <w:ind w:left="120"/>
              <w:spacing w:after="0"/>
              <w:rPr>
                <w:sz w:val="20"/>
                <w:szCs w:val="20"/>
                <w:color w:val="auto"/>
              </w:rPr>
            </w:pPr>
            <w:r>
              <w:rPr>
                <w:rFonts w:ascii="Arial" w:cs="Arial" w:eastAsia="Arial" w:hAnsi="Arial"/>
                <w:sz w:val="14"/>
                <w:szCs w:val="14"/>
                <w:color w:val="auto"/>
              </w:rPr>
              <w:t>Unusual, infrequent and other items</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(119)</w:t>
            </w:r>
          </w:p>
        </w:tc>
      </w:tr>
      <w:tr>
        <w:trPr>
          <w:trHeight w:val="200"/>
        </w:trPr>
        <w:tc>
          <w:tcPr>
            <w:tcW w:w="5420" w:type="dxa"/>
            <w:vAlign w:val="bottom"/>
          </w:tcPr>
          <w:p>
            <w:pPr>
              <w:ind w:left="120"/>
              <w:spacing w:after="0"/>
              <w:rPr>
                <w:sz w:val="20"/>
                <w:szCs w:val="20"/>
                <w:color w:val="auto"/>
              </w:rPr>
            </w:pPr>
            <w:r>
              <w:rPr>
                <w:rFonts w:ascii="Arial" w:cs="Arial" w:eastAsia="Arial" w:hAnsi="Arial"/>
                <w:sz w:val="14"/>
                <w:szCs w:val="14"/>
                <w:color w:val="auto"/>
              </w:rPr>
              <w:t>Other non-cash items</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4"/>
        </w:trPr>
        <w:tc>
          <w:tcPr>
            <w:tcW w:w="5420" w:type="dxa"/>
            <w:vAlign w:val="bottom"/>
          </w:tcPr>
          <w:p>
            <w:pPr>
              <w:ind w:left="220"/>
              <w:spacing w:after="0"/>
              <w:rPr>
                <w:sz w:val="20"/>
                <w:szCs w:val="20"/>
                <w:color w:val="auto"/>
              </w:rPr>
            </w:pPr>
            <w:r>
              <w:rPr>
                <w:rFonts w:ascii="Arial" w:cs="Arial" w:eastAsia="Arial" w:hAnsi="Arial"/>
                <w:sz w:val="14"/>
                <w:szCs w:val="14"/>
                <w:color w:val="auto"/>
              </w:rPr>
              <w:t>Accretion expense</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r>
      <w:tr>
        <w:trPr>
          <w:trHeight w:val="197"/>
        </w:trPr>
        <w:tc>
          <w:tcPr>
            <w:tcW w:w="5420" w:type="dxa"/>
            <w:vAlign w:val="bottom"/>
          </w:tcPr>
          <w:p>
            <w:pPr>
              <w:spacing w:after="0"/>
              <w:rPr>
                <w:sz w:val="20"/>
                <w:szCs w:val="20"/>
                <w:color w:val="auto"/>
              </w:rPr>
            </w:pPr>
            <w:r>
              <w:rPr>
                <w:rFonts w:ascii="Arial" w:cs="Arial" w:eastAsia="Arial" w:hAnsi="Arial"/>
                <w:sz w:val="14"/>
                <w:szCs w:val="14"/>
                <w:b w:val="1"/>
                <w:bCs w:val="1"/>
                <w:color w:val="auto"/>
              </w:rPr>
              <w:t>Estimated adjusted EBITDAX</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1,187</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1,296</w:t>
            </w:r>
          </w:p>
        </w:tc>
      </w:tr>
      <w:tr>
        <w:trPr>
          <w:trHeight w:val="20"/>
        </w:trPr>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359"/>
        </w:trPr>
        <w:tc>
          <w:tcPr>
            <w:tcW w:w="542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340</w:t>
            </w:r>
          </w:p>
        </w:tc>
        <w:tc>
          <w:tcPr>
            <w:tcW w:w="8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1,247</w:t>
            </w:r>
          </w:p>
        </w:tc>
        <w:tc>
          <w:tcPr>
            <w:tcW w:w="80" w:type="dxa"/>
            <w:vAlign w:val="bottom"/>
          </w:tcPr>
          <w:p>
            <w:pPr>
              <w:spacing w:after="0"/>
              <w:rPr>
                <w:sz w:val="24"/>
                <w:szCs w:val="24"/>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1,267</w:t>
            </w:r>
          </w:p>
        </w:tc>
      </w:tr>
      <w:tr>
        <w:trPr>
          <w:trHeight w:val="204"/>
        </w:trPr>
        <w:tc>
          <w:tcPr>
            <w:tcW w:w="5420" w:type="dxa"/>
            <w:vAlign w:val="bottom"/>
          </w:tcPr>
          <w:p>
            <w:pPr>
              <w:ind w:left="120"/>
              <w:spacing w:after="0"/>
              <w:rPr>
                <w:sz w:val="20"/>
                <w:szCs w:val="20"/>
                <w:color w:val="auto"/>
              </w:rPr>
            </w:pPr>
            <w:r>
              <w:rPr>
                <w:rFonts w:ascii="Arial" w:cs="Arial" w:eastAsia="Arial" w:hAnsi="Arial"/>
                <w:sz w:val="14"/>
                <w:szCs w:val="14"/>
                <w:color w:val="auto"/>
              </w:rPr>
              <w:t>Working capital changes</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r>
      <w:tr>
        <w:trPr>
          <w:trHeight w:val="197"/>
        </w:trPr>
        <w:tc>
          <w:tcPr>
            <w:tcW w:w="5420" w:type="dxa"/>
            <w:vAlign w:val="bottom"/>
          </w:tcPr>
          <w:p>
            <w:pPr>
              <w:spacing w:after="0"/>
              <w:rPr>
                <w:sz w:val="20"/>
                <w:szCs w:val="20"/>
                <w:color w:val="auto"/>
              </w:rPr>
            </w:pPr>
            <w:r>
              <w:rPr>
                <w:rFonts w:ascii="Arial" w:cs="Arial" w:eastAsia="Arial" w:hAnsi="Arial"/>
                <w:sz w:val="14"/>
                <w:szCs w:val="14"/>
                <w:b w:val="1"/>
                <w:bCs w:val="1"/>
                <w:color w:val="auto"/>
              </w:rPr>
              <w:t>Estimated adjusted EBITDAX</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1,187</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1,296</w:t>
            </w:r>
          </w:p>
        </w:tc>
      </w:tr>
      <w:tr>
        <w:trPr>
          <w:trHeight w:val="20"/>
        </w:trPr>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4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Carbon Management</w:t>
            </w:r>
          </w:p>
        </w:tc>
        <w:tc>
          <w:tcPr>
            <w:tcW w:w="2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r>
      <w:tr>
        <w:trPr>
          <w:trHeight w:val="193"/>
        </w:trPr>
        <w:tc>
          <w:tcPr>
            <w:tcW w:w="5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jc w:val="right"/>
              <w:ind w:right="509"/>
              <w:spacing w:after="0"/>
              <w:rPr>
                <w:sz w:val="20"/>
                <w:szCs w:val="20"/>
                <w:color w:val="auto"/>
              </w:rPr>
            </w:pPr>
            <w:r>
              <w:rPr>
                <w:rFonts w:ascii="Arial" w:cs="Arial" w:eastAsia="Arial" w:hAnsi="Arial"/>
                <w:sz w:val="14"/>
                <w:szCs w:val="14"/>
                <w:b w:val="1"/>
                <w:bCs w:val="1"/>
                <w:color w:val="auto"/>
              </w:rPr>
              <w:t>1Q25E</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2025E</w:t>
            </w:r>
          </w:p>
        </w:tc>
        <w:tc>
          <w:tcPr>
            <w:tcW w:w="560" w:type="dxa"/>
            <w:vAlign w:val="bottom"/>
            <w:tcBorders>
              <w:bottom w:val="single" w:sz="8" w:color="auto"/>
            </w:tcBorders>
          </w:tcPr>
          <w:p>
            <w:pPr>
              <w:spacing w:after="0"/>
              <w:rPr>
                <w:sz w:val="16"/>
                <w:szCs w:val="16"/>
                <w:color w:val="auto"/>
              </w:rPr>
            </w:pPr>
          </w:p>
        </w:tc>
      </w:tr>
      <w:tr>
        <w:trPr>
          <w:trHeight w:val="188"/>
        </w:trPr>
        <w:tc>
          <w:tcPr>
            <w:tcW w:w="542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180" w:type="dxa"/>
            <w:vAlign w:val="bottom"/>
          </w:tcPr>
          <w:p>
            <w:pPr>
              <w:spacing w:after="0"/>
              <w:rPr>
                <w:sz w:val="16"/>
                <w:szCs w:val="16"/>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color w:val="auto"/>
              </w:rPr>
              <w:t>Low</w:t>
            </w:r>
          </w:p>
        </w:tc>
        <w:tc>
          <w:tcPr>
            <w:tcW w:w="100" w:type="dxa"/>
            <w:vAlign w:val="bottom"/>
          </w:tcPr>
          <w:p>
            <w:pPr>
              <w:spacing w:after="0"/>
              <w:rPr>
                <w:sz w:val="16"/>
                <w:szCs w:val="16"/>
                <w:color w:val="auto"/>
              </w:rPr>
            </w:pPr>
          </w:p>
        </w:tc>
        <w:tc>
          <w:tcPr>
            <w:tcW w:w="780" w:type="dxa"/>
            <w:vAlign w:val="bottom"/>
            <w:gridSpan w:val="2"/>
          </w:tcPr>
          <w:p>
            <w:pPr>
              <w:ind w:left="140"/>
              <w:spacing w:after="0"/>
              <w:rPr>
                <w:sz w:val="20"/>
                <w:szCs w:val="20"/>
                <w:color w:val="auto"/>
              </w:rPr>
            </w:pPr>
            <w:r>
              <w:rPr>
                <w:rFonts w:ascii="Arial" w:cs="Arial" w:eastAsia="Arial" w:hAnsi="Arial"/>
                <w:sz w:val="14"/>
                <w:szCs w:val="14"/>
                <w:color w:val="auto"/>
              </w:rPr>
              <w:t>High</w:t>
            </w:r>
          </w:p>
        </w:tc>
        <w:tc>
          <w:tcPr>
            <w:tcW w:w="180" w:type="dxa"/>
            <w:vAlign w:val="bottom"/>
          </w:tcPr>
          <w:p>
            <w:pPr>
              <w:spacing w:after="0"/>
              <w:rPr>
                <w:sz w:val="16"/>
                <w:szCs w:val="16"/>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color w:val="auto"/>
              </w:rPr>
              <w:t>Low</w:t>
            </w:r>
          </w:p>
        </w:tc>
        <w:tc>
          <w:tcPr>
            <w:tcW w:w="220" w:type="dxa"/>
            <w:vAlign w:val="bottom"/>
          </w:tcPr>
          <w:p>
            <w:pPr>
              <w:spacing w:after="0"/>
              <w:rPr>
                <w:sz w:val="16"/>
                <w:szCs w:val="16"/>
                <w:color w:val="auto"/>
              </w:rPr>
            </w:pPr>
          </w:p>
        </w:tc>
        <w:tc>
          <w:tcPr>
            <w:tcW w:w="560" w:type="dxa"/>
            <w:vAlign w:val="bottom"/>
          </w:tcPr>
          <w:p>
            <w:pPr>
              <w:jc w:val="right"/>
              <w:ind w:right="169"/>
              <w:spacing w:after="0"/>
              <w:rPr>
                <w:sz w:val="20"/>
                <w:szCs w:val="20"/>
                <w:color w:val="auto"/>
              </w:rPr>
            </w:pPr>
            <w:r>
              <w:rPr>
                <w:rFonts w:ascii="Arial" w:cs="Arial" w:eastAsia="Arial" w:hAnsi="Arial"/>
                <w:sz w:val="14"/>
                <w:szCs w:val="14"/>
                <w:color w:val="auto"/>
              </w:rPr>
              <w:t>High</w:t>
            </w:r>
          </w:p>
        </w:tc>
      </w:tr>
      <w:tr>
        <w:trPr>
          <w:trHeight w:val="193"/>
        </w:trPr>
        <w:tc>
          <w:tcPr>
            <w:tcW w:w="5420" w:type="dxa"/>
            <w:vAlign w:val="bottom"/>
          </w:tcPr>
          <w:p>
            <w:pPr>
              <w:spacing w:after="0"/>
              <w:rPr>
                <w:sz w:val="20"/>
                <w:szCs w:val="20"/>
                <w:color w:val="auto"/>
              </w:rPr>
            </w:pPr>
            <w:r>
              <w:rPr>
                <w:rFonts w:ascii="Arial" w:cs="Arial" w:eastAsia="Arial" w:hAnsi="Arial"/>
                <w:sz w:val="14"/>
                <w:szCs w:val="14"/>
                <w:color w:val="auto"/>
              </w:rPr>
              <w:t>Segment loss</w:t>
            </w: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w:t>
            </w:r>
          </w:p>
        </w:tc>
      </w:tr>
      <w:tr>
        <w:trPr>
          <w:trHeight w:val="200"/>
        </w:trPr>
        <w:tc>
          <w:tcPr>
            <w:tcW w:w="5420" w:type="dxa"/>
            <w:vAlign w:val="bottom"/>
          </w:tcPr>
          <w:p>
            <w:pPr>
              <w:ind w:left="120"/>
              <w:spacing w:after="0"/>
              <w:rPr>
                <w:sz w:val="20"/>
                <w:szCs w:val="20"/>
                <w:color w:val="auto"/>
              </w:rPr>
            </w:pPr>
            <w:r>
              <w:rPr>
                <w:rFonts w:ascii="Arial" w:cs="Arial" w:eastAsia="Arial" w:hAnsi="Arial"/>
                <w:sz w:val="14"/>
                <w:szCs w:val="14"/>
                <w:color w:val="auto"/>
              </w:rPr>
              <w:t>Interest and debt expense, net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0"/>
        </w:trPr>
        <w:tc>
          <w:tcPr>
            <w:tcW w:w="5420" w:type="dxa"/>
            <w:vAlign w:val="bottom"/>
          </w:tcPr>
          <w:p>
            <w:pPr>
              <w:ind w:left="120"/>
              <w:spacing w:after="0"/>
              <w:rPr>
                <w:sz w:val="20"/>
                <w:szCs w:val="20"/>
                <w:color w:val="auto"/>
              </w:rPr>
            </w:pPr>
            <w:r>
              <w:rPr>
                <w:rFonts w:ascii="Arial" w:cs="Arial" w:eastAsia="Arial" w:hAnsi="Arial"/>
                <w:sz w:val="14"/>
                <w:szCs w:val="14"/>
                <w:color w:val="auto"/>
              </w:rPr>
              <w:t>Other non-cash items</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4"/>
        </w:trPr>
        <w:tc>
          <w:tcPr>
            <w:tcW w:w="5420" w:type="dxa"/>
            <w:vAlign w:val="bottom"/>
          </w:tcPr>
          <w:p>
            <w:pPr>
              <w:ind w:left="120"/>
              <w:spacing w:after="0"/>
              <w:rPr>
                <w:sz w:val="20"/>
                <w:szCs w:val="20"/>
                <w:color w:val="auto"/>
              </w:rPr>
            </w:pPr>
            <w:r>
              <w:rPr>
                <w:rFonts w:ascii="Arial" w:cs="Arial" w:eastAsia="Arial" w:hAnsi="Arial"/>
                <w:sz w:val="14"/>
                <w:szCs w:val="14"/>
                <w:color w:val="auto"/>
              </w:rPr>
              <w:t>Stock-settled compensation</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197"/>
        </w:trPr>
        <w:tc>
          <w:tcPr>
            <w:tcW w:w="5420" w:type="dxa"/>
            <w:vAlign w:val="bottom"/>
          </w:tcPr>
          <w:p>
            <w:pPr>
              <w:spacing w:after="0"/>
              <w:rPr>
                <w:sz w:val="20"/>
                <w:szCs w:val="20"/>
                <w:color w:val="auto"/>
              </w:rPr>
            </w:pPr>
            <w:r>
              <w:rPr>
                <w:rFonts w:ascii="Arial" w:cs="Arial" w:eastAsia="Arial" w:hAnsi="Arial"/>
                <w:sz w:val="14"/>
                <w:szCs w:val="14"/>
                <w:b w:val="1"/>
                <w:bCs w:val="1"/>
                <w:color w:val="auto"/>
              </w:rPr>
              <w:t>Estimated adjusted EBITDAX</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r>
      <w:tr>
        <w:trPr>
          <w:trHeight w:val="20"/>
        </w:trPr>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359"/>
        </w:trPr>
        <w:tc>
          <w:tcPr>
            <w:tcW w:w="542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(92)</w:t>
            </w:r>
          </w:p>
        </w:tc>
        <w:tc>
          <w:tcPr>
            <w:tcW w:w="80" w:type="dxa"/>
            <w:vAlign w:val="bottom"/>
          </w:tcPr>
          <w:p>
            <w:pPr>
              <w:spacing w:after="0"/>
              <w:rPr>
                <w:sz w:val="24"/>
                <w:szCs w:val="24"/>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204"/>
        </w:trPr>
        <w:tc>
          <w:tcPr>
            <w:tcW w:w="5420" w:type="dxa"/>
            <w:vAlign w:val="bottom"/>
          </w:tcPr>
          <w:p>
            <w:pPr>
              <w:ind w:left="120"/>
              <w:spacing w:after="0"/>
              <w:rPr>
                <w:sz w:val="20"/>
                <w:szCs w:val="20"/>
                <w:color w:val="auto"/>
              </w:rPr>
            </w:pPr>
            <w:r>
              <w:rPr>
                <w:rFonts w:ascii="Arial" w:cs="Arial" w:eastAsia="Arial" w:hAnsi="Arial"/>
                <w:sz w:val="14"/>
                <w:szCs w:val="14"/>
                <w:color w:val="auto"/>
              </w:rPr>
              <w:t>Working capital changes</w:t>
            </w: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197"/>
        </w:trPr>
        <w:tc>
          <w:tcPr>
            <w:tcW w:w="5420" w:type="dxa"/>
            <w:vAlign w:val="bottom"/>
          </w:tcPr>
          <w:p>
            <w:pPr>
              <w:spacing w:after="0"/>
              <w:rPr>
                <w:sz w:val="20"/>
                <w:szCs w:val="20"/>
                <w:color w:val="auto"/>
              </w:rPr>
            </w:pPr>
            <w:r>
              <w:rPr>
                <w:rFonts w:ascii="Arial" w:cs="Arial" w:eastAsia="Arial" w:hAnsi="Arial"/>
                <w:sz w:val="14"/>
                <w:szCs w:val="14"/>
                <w:b w:val="1"/>
                <w:bCs w:val="1"/>
                <w:color w:val="auto"/>
              </w:rPr>
              <w:t>Estimated adjusted EBITDAX</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r>
      <w:tr>
        <w:trPr>
          <w:trHeight w:val="20"/>
        </w:trPr>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0139"/>
          </w:cols>
          <w:pgMar w:left="320" w:top="1410" w:right="1440" w:bottom="1440" w:gutter="0" w:footer="0" w:header="0"/>
        </w:sectPr>
      </w:pPr>
    </w:p>
    <w:bookmarkStart w:id="18" w:name="page19"/>
    <w:bookmarkEnd w:id="18"/>
    <w:p>
      <w:pPr>
        <w:ind w:left="10320"/>
        <w:spacing w:after="0"/>
        <w:rPr>
          <w:sz w:val="20"/>
          <w:szCs w:val="20"/>
          <w:color w:val="auto"/>
        </w:rPr>
      </w:pPr>
      <w:r>
        <w:rPr>
          <w:rFonts w:ascii="Arial" w:cs="Arial" w:eastAsia="Arial" w:hAnsi="Arial"/>
          <w:sz w:val="14"/>
          <w:szCs w:val="14"/>
          <w:b w:val="1"/>
          <w:bCs w:val="1"/>
          <w:color w:val="auto"/>
        </w:rPr>
        <w:t>Attachment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47625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NON-GAAP FINANCIAL MEASURES AND RECONCILIATIONS</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 supplement the presentation of its financial results prepared in accordance with U.S generally accepted accounting principles (GAAP), management uses certain non-GAAP</w:t>
      </w:r>
    </w:p>
    <w:p>
      <w:pPr>
        <w:ind w:left="20" w:right="20"/>
        <w:spacing w:after="0" w:line="208" w:lineRule="auto"/>
        <w:rPr>
          <w:sz w:val="20"/>
          <w:szCs w:val="20"/>
          <w:color w:val="auto"/>
        </w:rPr>
      </w:pPr>
      <w:r>
        <w:rPr>
          <w:rFonts w:ascii="Arial" w:cs="Arial" w:eastAsia="Arial" w:hAnsi="Arial"/>
          <w:sz w:val="14"/>
          <w:szCs w:val="14"/>
          <w:color w:val="auto"/>
        </w:rPr>
        <w:t>measures to assess its financial condition, results of operations and cash flows. The non-GAAP measures include adjusted net income (loss), adjusted EBITDAX, adjusted EBITDAX for the oil and natural gas segment, adjusted EBITDAX for the carbon management business, net cash provided by operating activities before changes in operating</w:t>
      </w:r>
    </w:p>
    <w:p>
      <w:pPr>
        <w:ind w:left="20"/>
        <w:spacing w:after="0" w:line="219" w:lineRule="auto"/>
        <w:rPr>
          <w:sz w:val="20"/>
          <w:szCs w:val="20"/>
          <w:color w:val="auto"/>
        </w:rPr>
      </w:pPr>
      <w:r>
        <w:rPr>
          <w:rFonts w:ascii="Arial" w:cs="Arial" w:eastAsia="Arial" w:hAnsi="Arial"/>
          <w:sz w:val="14"/>
          <w:szCs w:val="14"/>
          <w:color w:val="auto"/>
        </w:rPr>
        <w:t>assets and liabilities, net, free cash flow, adjusted general and administrative expenses, and operating costs per BOE. These measures are also widely used by the industry, the</w:t>
      </w:r>
    </w:p>
    <w:p>
      <w:pPr>
        <w:spacing w:after="0" w:line="1" w:lineRule="exact"/>
        <w:rPr>
          <w:sz w:val="20"/>
          <w:szCs w:val="20"/>
          <w:color w:val="auto"/>
        </w:rPr>
      </w:pPr>
    </w:p>
    <w:p>
      <w:pPr>
        <w:ind w:left="20" w:right="20"/>
        <w:spacing w:after="0" w:line="208" w:lineRule="auto"/>
        <w:rPr>
          <w:sz w:val="20"/>
          <w:szCs w:val="20"/>
          <w:color w:val="auto"/>
        </w:rPr>
      </w:pPr>
      <w:r>
        <w:rPr>
          <w:rFonts w:ascii="Arial" w:cs="Arial" w:eastAsia="Arial" w:hAnsi="Arial"/>
          <w:sz w:val="14"/>
          <w:szCs w:val="14"/>
          <w:color w:val="auto"/>
        </w:rPr>
        <w:t>investment community and CRC's lenders. Although these are non-GAAP measures, the amounts included in the calculations were computed in accordance with GAAP. Certain items excluded from these non-GAAP measures are significant components in understanding and assessing CRC's financial performance, such as CRC's cost of capital and tax</w:t>
      </w:r>
    </w:p>
    <w:p>
      <w:pPr>
        <w:ind w:left="20"/>
        <w:spacing w:after="0" w:line="219" w:lineRule="auto"/>
        <w:rPr>
          <w:sz w:val="20"/>
          <w:szCs w:val="20"/>
          <w:color w:val="auto"/>
        </w:rPr>
      </w:pPr>
      <w:r>
        <w:rPr>
          <w:rFonts w:ascii="Arial" w:cs="Arial" w:eastAsia="Arial" w:hAnsi="Arial"/>
          <w:sz w:val="14"/>
          <w:szCs w:val="14"/>
          <w:color w:val="auto"/>
        </w:rPr>
        <w:t>structure, as well as the effect of acquisition and development costs of CRC's assets. Management believes that the non-GAAP measures presented, when viewed in combination</w:t>
      </w:r>
    </w:p>
    <w:p>
      <w:pPr>
        <w:spacing w:after="0" w:line="1" w:lineRule="exact"/>
        <w:rPr>
          <w:sz w:val="20"/>
          <w:szCs w:val="20"/>
          <w:color w:val="auto"/>
        </w:rPr>
      </w:pPr>
    </w:p>
    <w:p>
      <w:pPr>
        <w:ind w:left="20" w:right="20"/>
        <w:spacing w:after="0" w:line="208" w:lineRule="auto"/>
        <w:rPr>
          <w:sz w:val="20"/>
          <w:szCs w:val="20"/>
          <w:color w:val="auto"/>
        </w:rPr>
      </w:pPr>
      <w:r>
        <w:rPr>
          <w:rFonts w:ascii="Arial" w:cs="Arial" w:eastAsia="Arial" w:hAnsi="Arial"/>
          <w:sz w:val="14"/>
          <w:szCs w:val="14"/>
          <w:color w:val="auto"/>
        </w:rPr>
        <w:t>with CRC's financial and operating results prepared in accordance with GAAP, provide a more complete understanding of the factors and trends affecting the Company's performance. The non-GAAP measures presented herein may not be comparable to other similarly titled measures of other companies. Below are additional disclosures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regarding each of the non-GAAP measures reported in this earnings release, including reconciliations to their most directly comparable GAAP measure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258445</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283845</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NET INCOME (LOSS)</w:t>
      </w:r>
    </w:p>
    <w:p>
      <w:pPr>
        <w:spacing w:after="0" w:line="92" w:lineRule="exact"/>
        <w:rPr>
          <w:sz w:val="20"/>
          <w:szCs w:val="20"/>
          <w:color w:val="auto"/>
        </w:rPr>
      </w:pPr>
    </w:p>
    <w:p>
      <w:pPr>
        <w:jc w:val="both"/>
        <w:ind w:left="20" w:right="20"/>
        <w:spacing w:after="0" w:line="219" w:lineRule="auto"/>
        <w:rPr>
          <w:sz w:val="20"/>
          <w:szCs w:val="20"/>
          <w:color w:val="auto"/>
        </w:rPr>
      </w:pPr>
      <w:r>
        <w:rPr>
          <w:rFonts w:ascii="Arial" w:cs="Arial" w:eastAsia="Arial" w:hAnsi="Arial"/>
          <w:sz w:val="14"/>
          <w:szCs w:val="14"/>
          <w:color w:val="auto"/>
        </w:rPr>
        <w:t>Adjusted net income (loss) and adjusted net income (loss) per share are non-GAAP measures. CRC defines adjusted net income as net income excluding the effects of significant transactions and events that affect earnings but vary widely and unpredictably in nature, timing and amount. These events may recur, even across successive reporting periods.</w:t>
      </w:r>
    </w:p>
    <w:p>
      <w:pPr>
        <w:jc w:val="center"/>
        <w:spacing w:after="0" w:line="218" w:lineRule="auto"/>
        <w:rPr>
          <w:sz w:val="20"/>
          <w:szCs w:val="20"/>
          <w:color w:val="auto"/>
        </w:rPr>
      </w:pPr>
      <w:r>
        <w:rPr>
          <w:rFonts w:ascii="Arial" w:cs="Arial" w:eastAsia="Arial" w:hAnsi="Arial"/>
          <w:sz w:val="14"/>
          <w:szCs w:val="14"/>
          <w:color w:val="auto"/>
        </w:rPr>
        <w:t>Management believes these non-GAAP measures provide useful information to the industry and the investment community interested in comparing CRC's financial performance</w:t>
      </w:r>
    </w:p>
    <w:p>
      <w:pPr>
        <w:ind w:left="20" w:right="20"/>
        <w:spacing w:after="0" w:line="208" w:lineRule="auto"/>
        <w:rPr>
          <w:sz w:val="20"/>
          <w:szCs w:val="20"/>
          <w:color w:val="auto"/>
        </w:rPr>
      </w:pPr>
      <w:r>
        <w:rPr>
          <w:rFonts w:ascii="Arial" w:cs="Arial" w:eastAsia="Arial" w:hAnsi="Arial"/>
          <w:sz w:val="14"/>
          <w:szCs w:val="14"/>
          <w:color w:val="auto"/>
        </w:rPr>
        <w:t>between periods. Reported earnings are considered representative of management's performance over the long term. Adjusted net income (loss) is not considered to be an alternative to net income (loss) reported in accordance with GAAP. The following table presents a reconciliation of the GAAP financial measure of net income and net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attributable to common stock per share to the non-GAAP financial measure of adjusted net income and adjusted net income per share.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4th Quarter</w:t>
            </w:r>
          </w:p>
        </w:tc>
        <w:tc>
          <w:tcPr>
            <w:tcW w:w="14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 Year</w:t>
            </w:r>
          </w:p>
        </w:tc>
        <w:tc>
          <w:tcPr>
            <w:tcW w:w="180" w:type="dxa"/>
            <w:vAlign w:val="bottom"/>
          </w:tcPr>
          <w:p>
            <w:pPr>
              <w:spacing w:after="0"/>
              <w:rPr>
                <w:sz w:val="16"/>
                <w:szCs w:val="16"/>
                <w:color w:val="auto"/>
              </w:rPr>
            </w:pPr>
          </w:p>
        </w:tc>
        <w:tc>
          <w:tcPr>
            <w:tcW w:w="980" w:type="dxa"/>
            <w:vAlign w:val="bottom"/>
          </w:tcPr>
          <w:p>
            <w:pPr>
              <w:jc w:val="right"/>
              <w:ind w:right="169"/>
              <w:spacing w:after="0"/>
              <w:rPr>
                <w:sz w:val="20"/>
                <w:szCs w:val="20"/>
                <w:color w:val="auto"/>
              </w:rPr>
            </w:pPr>
            <w:r>
              <w:rPr>
                <w:rFonts w:ascii="Arial" w:cs="Arial" w:eastAsia="Arial" w:hAnsi="Arial"/>
                <w:sz w:val="14"/>
                <w:szCs w:val="14"/>
                <w:b w:val="1"/>
                <w:bCs w:val="1"/>
                <w:color w:val="auto"/>
              </w:rPr>
              <w:t>Total Year</w:t>
            </w:r>
          </w:p>
        </w:tc>
      </w:tr>
      <w:tr>
        <w:trPr>
          <w:trHeight w:val="201"/>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share amounts)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2023</w:t>
            </w:r>
          </w:p>
        </w:tc>
      </w:tr>
      <w:tr>
        <w:trPr>
          <w:trHeight w:val="193"/>
        </w:trPr>
        <w:tc>
          <w:tcPr>
            <w:tcW w:w="51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345</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188</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376</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564</w:t>
            </w:r>
          </w:p>
        </w:tc>
      </w:tr>
      <w:tr>
        <w:trPr>
          <w:trHeight w:val="194"/>
        </w:trPr>
        <w:tc>
          <w:tcPr>
            <w:tcW w:w="5100" w:type="dxa"/>
            <w:vAlign w:val="bottom"/>
          </w:tcPr>
          <w:p>
            <w:pPr>
              <w:ind w:left="20"/>
              <w:spacing w:after="0"/>
              <w:rPr>
                <w:sz w:val="20"/>
                <w:szCs w:val="20"/>
                <w:color w:val="auto"/>
              </w:rPr>
            </w:pPr>
            <w:r>
              <w:rPr>
                <w:rFonts w:ascii="Arial" w:cs="Arial" w:eastAsia="Arial" w:hAnsi="Arial"/>
                <w:sz w:val="14"/>
                <w:szCs w:val="14"/>
                <w:color w:val="auto"/>
              </w:rPr>
              <w:t>Unusual, infrequent and other items: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6"/>
        </w:trPr>
        <w:tc>
          <w:tcPr>
            <w:tcW w:w="5100" w:type="dxa"/>
            <w:vAlign w:val="bottom"/>
          </w:tcPr>
          <w:p>
            <w:pPr>
              <w:ind w:left="140"/>
              <w:spacing w:after="0"/>
              <w:rPr>
                <w:sz w:val="20"/>
                <w:szCs w:val="20"/>
                <w:color w:val="auto"/>
              </w:rPr>
            </w:pPr>
            <w:r>
              <w:rPr>
                <w:rFonts w:ascii="Arial" w:cs="Arial" w:eastAsia="Arial" w:hAnsi="Arial"/>
                <w:sz w:val="14"/>
                <w:szCs w:val="14"/>
                <w:color w:val="auto"/>
              </w:rPr>
              <w:t>Non-cash derivative loss (gain)</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(373)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(252)</w:t>
            </w:r>
          </w:p>
        </w:tc>
      </w:tr>
      <w:tr>
        <w:trPr>
          <w:trHeight w:val="200"/>
        </w:trPr>
        <w:tc>
          <w:tcPr>
            <w:tcW w:w="5100" w:type="dxa"/>
            <w:vAlign w:val="bottom"/>
          </w:tcPr>
          <w:p>
            <w:pPr>
              <w:ind w:left="140"/>
              <w:spacing w:after="0"/>
              <w:rPr>
                <w:sz w:val="20"/>
                <w:szCs w:val="20"/>
                <w:color w:val="auto"/>
              </w:rPr>
            </w:pPr>
            <w:r>
              <w:rPr>
                <w:rFonts w:ascii="Arial" w:cs="Arial" w:eastAsia="Arial" w:hAnsi="Arial"/>
                <w:sz w:val="14"/>
                <w:szCs w:val="14"/>
                <w:color w:val="auto"/>
              </w:rPr>
              <w:t>Asset impairment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200"/>
        </w:trPr>
        <w:tc>
          <w:tcPr>
            <w:tcW w:w="5100" w:type="dxa"/>
            <w:vAlign w:val="bottom"/>
          </w:tcPr>
          <w:p>
            <w:pPr>
              <w:ind w:left="140"/>
              <w:spacing w:after="0"/>
              <w:rPr>
                <w:sz w:val="20"/>
                <w:szCs w:val="20"/>
                <w:color w:val="auto"/>
              </w:rPr>
            </w:pPr>
            <w:r>
              <w:rPr>
                <w:rFonts w:ascii="Arial" w:cs="Arial" w:eastAsia="Arial" w:hAnsi="Arial"/>
                <w:sz w:val="14"/>
                <w:szCs w:val="14"/>
                <w:color w:val="auto"/>
              </w:rPr>
              <w:t>Severance and termination costs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10</w:t>
            </w:r>
          </w:p>
        </w:tc>
      </w:tr>
      <w:tr>
        <w:trPr>
          <w:trHeight w:val="200"/>
        </w:trPr>
        <w:tc>
          <w:tcPr>
            <w:tcW w:w="5100" w:type="dxa"/>
            <w:vAlign w:val="bottom"/>
          </w:tcPr>
          <w:p>
            <w:pPr>
              <w:ind w:left="140"/>
              <w:spacing w:after="0"/>
              <w:rPr>
                <w:sz w:val="20"/>
                <w:szCs w:val="20"/>
                <w:color w:val="auto"/>
              </w:rPr>
            </w:pPr>
            <w:r>
              <w:rPr>
                <w:rFonts w:ascii="Arial" w:cs="Arial" w:eastAsia="Arial" w:hAnsi="Arial"/>
                <w:sz w:val="14"/>
                <w:szCs w:val="14"/>
                <w:color w:val="auto"/>
              </w:rPr>
              <w:t>Aera merger related costs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0"/>
        </w:trPr>
        <w:tc>
          <w:tcPr>
            <w:tcW w:w="5100" w:type="dxa"/>
            <w:vAlign w:val="bottom"/>
          </w:tcPr>
          <w:p>
            <w:pPr>
              <w:ind w:left="140"/>
              <w:spacing w:after="0"/>
              <w:rPr>
                <w:sz w:val="20"/>
                <w:szCs w:val="20"/>
                <w:color w:val="auto"/>
              </w:rPr>
            </w:pPr>
            <w:r>
              <w:rPr>
                <w:rFonts w:ascii="Arial" w:cs="Arial" w:eastAsia="Arial" w:hAnsi="Arial"/>
                <w:sz w:val="14"/>
                <w:szCs w:val="14"/>
                <w:color w:val="auto"/>
              </w:rPr>
              <w:t>Increased power and fuel costs due to power plant maintenance</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0"/>
        </w:trPr>
        <w:tc>
          <w:tcPr>
            <w:tcW w:w="5100" w:type="dxa"/>
            <w:vAlign w:val="bottom"/>
          </w:tcPr>
          <w:p>
            <w:pPr>
              <w:ind w:left="140"/>
              <w:spacing w:after="0"/>
              <w:rPr>
                <w:sz w:val="20"/>
                <w:szCs w:val="20"/>
                <w:color w:val="auto"/>
              </w:rPr>
            </w:pPr>
            <w:r>
              <w:rPr>
                <w:rFonts w:ascii="Arial" w:cs="Arial" w:eastAsia="Arial" w:hAnsi="Arial"/>
                <w:sz w:val="14"/>
                <w:szCs w:val="14"/>
                <w:color w:val="auto"/>
              </w:rPr>
              <w:t>Net gain on asset divestitures</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(32)</w:t>
            </w:r>
          </w:p>
        </w:tc>
      </w:tr>
      <w:tr>
        <w:trPr>
          <w:trHeight w:val="200"/>
        </w:trPr>
        <w:tc>
          <w:tcPr>
            <w:tcW w:w="5100" w:type="dxa"/>
            <w:vAlign w:val="bottom"/>
          </w:tcPr>
          <w:p>
            <w:pPr>
              <w:ind w:left="140"/>
              <w:spacing w:after="0"/>
              <w:rPr>
                <w:sz w:val="20"/>
                <w:szCs w:val="20"/>
                <w:color w:val="auto"/>
              </w:rPr>
            </w:pPr>
            <w:r>
              <w:rPr>
                <w:rFonts w:ascii="Arial" w:cs="Arial" w:eastAsia="Arial" w:hAnsi="Arial"/>
                <w:sz w:val="14"/>
                <w:szCs w:val="14"/>
                <w:color w:val="auto"/>
              </w:rPr>
              <w:t>Loss on early extinguishment of debt</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00"/>
        </w:trPr>
        <w:tc>
          <w:tcPr>
            <w:tcW w:w="5100" w:type="dxa"/>
            <w:vAlign w:val="bottom"/>
          </w:tcPr>
          <w:p>
            <w:pPr>
              <w:ind w:left="140"/>
              <w:spacing w:after="0"/>
              <w:rPr>
                <w:sz w:val="20"/>
                <w:szCs w:val="20"/>
                <w:color w:val="auto"/>
              </w:rPr>
            </w:pPr>
            <w:r>
              <w:rPr>
                <w:rFonts w:ascii="Arial" w:cs="Arial" w:eastAsia="Arial" w:hAnsi="Arial"/>
                <w:sz w:val="14"/>
                <w:szCs w:val="14"/>
                <w:color w:val="auto"/>
              </w:rPr>
              <w:t>Other, net</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w:t>
            </w:r>
          </w:p>
        </w:tc>
      </w:tr>
      <w:tr>
        <w:trPr>
          <w:trHeight w:val="193"/>
        </w:trPr>
        <w:tc>
          <w:tcPr>
            <w:tcW w:w="5100" w:type="dxa"/>
            <w:vAlign w:val="bottom"/>
          </w:tcPr>
          <w:p>
            <w:pPr>
              <w:ind w:left="220"/>
              <w:spacing w:after="0"/>
              <w:rPr>
                <w:sz w:val="20"/>
                <w:szCs w:val="20"/>
                <w:color w:val="auto"/>
              </w:rPr>
            </w:pPr>
            <w:r>
              <w:rPr>
                <w:rFonts w:ascii="Arial" w:cs="Arial" w:eastAsia="Arial" w:hAnsi="Arial"/>
                <w:sz w:val="14"/>
                <w:szCs w:val="14"/>
                <w:color w:val="auto"/>
              </w:rPr>
              <w:t>Total unusual, infrequent and other items</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(297)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(224)</w:t>
            </w:r>
          </w:p>
        </w:tc>
      </w:tr>
      <w:tr>
        <w:trPr>
          <w:trHeight w:val="200"/>
        </w:trPr>
        <w:tc>
          <w:tcPr>
            <w:tcW w:w="5100" w:type="dxa"/>
            <w:vAlign w:val="bottom"/>
          </w:tcPr>
          <w:p>
            <w:pPr>
              <w:ind w:left="140"/>
              <w:spacing w:after="0"/>
              <w:rPr>
                <w:sz w:val="20"/>
                <w:szCs w:val="20"/>
                <w:color w:val="auto"/>
              </w:rPr>
            </w:pPr>
            <w:r>
              <w:rPr>
                <w:rFonts w:ascii="Arial" w:cs="Arial" w:eastAsia="Arial" w:hAnsi="Arial"/>
                <w:sz w:val="14"/>
                <w:szCs w:val="14"/>
                <w:color w:val="auto"/>
              </w:rPr>
              <w:t>Income tax (benefit) provision of adjustments at effective tax rate</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63</w:t>
            </w:r>
          </w:p>
        </w:tc>
      </w:tr>
      <w:tr>
        <w:trPr>
          <w:trHeight w:val="200"/>
        </w:trPr>
        <w:tc>
          <w:tcPr>
            <w:tcW w:w="5100" w:type="dxa"/>
            <w:vAlign w:val="bottom"/>
          </w:tcPr>
          <w:p>
            <w:pPr>
              <w:ind w:left="140"/>
              <w:spacing w:after="0"/>
              <w:rPr>
                <w:sz w:val="20"/>
                <w:szCs w:val="20"/>
                <w:color w:val="auto"/>
              </w:rPr>
            </w:pPr>
            <w:r>
              <w:rPr>
                <w:rFonts w:ascii="Arial" w:cs="Arial" w:eastAsia="Arial" w:hAnsi="Arial"/>
                <w:sz w:val="14"/>
                <w:szCs w:val="14"/>
                <w:color w:val="auto"/>
              </w:rPr>
              <w:t>Income tax benefit - out of period</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(31)</w:t>
            </w:r>
          </w:p>
        </w:tc>
      </w:tr>
      <w:tr>
        <w:trPr>
          <w:trHeight w:val="55"/>
        </w:trPr>
        <w:tc>
          <w:tcPr>
            <w:tcW w:w="5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193"/>
        </w:trPr>
        <w:tc>
          <w:tcPr>
            <w:tcW w:w="5100" w:type="dxa"/>
            <w:vAlign w:val="bottom"/>
          </w:tcPr>
          <w:p>
            <w:pPr>
              <w:ind w:left="20"/>
              <w:spacing w:after="0"/>
              <w:rPr>
                <w:sz w:val="20"/>
                <w:szCs w:val="20"/>
                <w:color w:val="auto"/>
              </w:rPr>
            </w:pPr>
            <w:r>
              <w:rPr>
                <w:rFonts w:ascii="Arial" w:cs="Arial" w:eastAsia="Arial" w:hAnsi="Arial"/>
                <w:sz w:val="14"/>
                <w:szCs w:val="14"/>
                <w:color w:val="auto"/>
              </w:rPr>
              <w:t>Adjusted 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84</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317</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372</w:t>
            </w:r>
          </w:p>
        </w:tc>
      </w:tr>
      <w:tr>
        <w:trPr>
          <w:trHeight w:val="20"/>
        </w:trPr>
        <w:tc>
          <w:tcPr>
            <w:tcW w:w="5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18"/>
        </w:trPr>
        <w:tc>
          <w:tcPr>
            <w:tcW w:w="5100" w:type="dxa"/>
            <w:vAlign w:val="bottom"/>
          </w:tcPr>
          <w:p>
            <w:pPr>
              <w:ind w:left="20"/>
              <w:spacing w:after="0"/>
              <w:rPr>
                <w:sz w:val="20"/>
                <w:szCs w:val="20"/>
                <w:color w:val="auto"/>
              </w:rPr>
            </w:pPr>
            <w:r>
              <w:rPr>
                <w:rFonts w:ascii="Arial" w:cs="Arial" w:eastAsia="Arial" w:hAnsi="Arial"/>
                <w:sz w:val="14"/>
                <w:szCs w:val="14"/>
                <w:color w:val="auto"/>
              </w:rPr>
              <w:t>Net income per share - basic</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0.36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3.86</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2.74</w:t>
            </w:r>
          </w:p>
        </w:tc>
        <w:tc>
          <w:tcPr>
            <w:tcW w:w="1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4.74</w:t>
            </w:r>
          </w:p>
        </w:tc>
        <w:tc>
          <w:tcPr>
            <w:tcW w:w="1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8.10</w:t>
            </w:r>
          </w:p>
        </w:tc>
      </w:tr>
      <w:tr>
        <w:trPr>
          <w:trHeight w:val="200"/>
        </w:trPr>
        <w:tc>
          <w:tcPr>
            <w:tcW w:w="5100" w:type="dxa"/>
            <w:vAlign w:val="bottom"/>
          </w:tcPr>
          <w:p>
            <w:pPr>
              <w:ind w:left="20"/>
              <w:spacing w:after="0"/>
              <w:rPr>
                <w:sz w:val="20"/>
                <w:szCs w:val="20"/>
                <w:color w:val="auto"/>
              </w:rPr>
            </w:pPr>
            <w:r>
              <w:rPr>
                <w:rFonts w:ascii="Arial" w:cs="Arial" w:eastAsia="Arial" w:hAnsi="Arial"/>
                <w:sz w:val="14"/>
                <w:szCs w:val="14"/>
                <w:color w:val="auto"/>
              </w:rPr>
              <w:t>Net income per share - diluted</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0.36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3.78</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2.60</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4.62</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7.78</w:t>
            </w:r>
          </w:p>
        </w:tc>
      </w:tr>
      <w:tr>
        <w:trPr>
          <w:trHeight w:val="200"/>
        </w:trPr>
        <w:tc>
          <w:tcPr>
            <w:tcW w:w="5100" w:type="dxa"/>
            <w:vAlign w:val="bottom"/>
          </w:tcPr>
          <w:p>
            <w:pPr>
              <w:ind w:left="20"/>
              <w:spacing w:after="0"/>
              <w:rPr>
                <w:sz w:val="20"/>
                <w:szCs w:val="20"/>
                <w:color w:val="auto"/>
              </w:rPr>
            </w:pPr>
            <w:r>
              <w:rPr>
                <w:rFonts w:ascii="Arial" w:cs="Arial" w:eastAsia="Arial" w:hAnsi="Arial"/>
                <w:sz w:val="14"/>
                <w:szCs w:val="14"/>
                <w:color w:val="auto"/>
              </w:rPr>
              <w:t>Adjusted net income per share - basic</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0.93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1.53</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0.98</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4.00</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5.34</w:t>
            </w:r>
          </w:p>
        </w:tc>
      </w:tr>
      <w:tr>
        <w:trPr>
          <w:trHeight w:val="200"/>
        </w:trPr>
        <w:tc>
          <w:tcPr>
            <w:tcW w:w="5100" w:type="dxa"/>
            <w:vAlign w:val="bottom"/>
          </w:tcPr>
          <w:p>
            <w:pPr>
              <w:ind w:left="20"/>
              <w:spacing w:after="0"/>
              <w:rPr>
                <w:sz w:val="20"/>
                <w:szCs w:val="20"/>
                <w:color w:val="auto"/>
              </w:rPr>
            </w:pPr>
            <w:r>
              <w:rPr>
                <w:rFonts w:ascii="Arial" w:cs="Arial" w:eastAsia="Arial" w:hAnsi="Arial"/>
                <w:sz w:val="14"/>
                <w:szCs w:val="14"/>
                <w:color w:val="auto"/>
              </w:rPr>
              <w:t>Adjusted net income per share - diluted</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0.91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1.50</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0.93</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3.89</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240"/>
          </w:cols>
          <w:pgMar w:left="320" w:top="1050"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325755</wp:posOffset>
            </wp:positionH>
            <wp:positionV relativeFrom="page">
              <wp:posOffset>664210</wp:posOffset>
            </wp:positionV>
            <wp:extent cx="68973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97370" cy="8255"/>
                    </a:xfrm>
                    <a:prstGeom prst="rect">
                      <a:avLst/>
                    </a:prstGeom>
                    <a:noFill/>
                  </pic:spPr>
                </pic:pic>
              </a:graphicData>
            </a:graphic>
          </wp:anchor>
        </w:drawing>
        <w:drawing>
          <wp:anchor simplePos="0" relativeHeight="251657728" behindDoc="1" locked="0" layoutInCell="0" allowOverlap="1">
            <wp:simplePos x="0" y="0"/>
            <wp:positionH relativeFrom="page">
              <wp:posOffset>325755</wp:posOffset>
            </wp:positionH>
            <wp:positionV relativeFrom="page">
              <wp:posOffset>689610</wp:posOffset>
            </wp:positionV>
            <wp:extent cx="68973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97370" cy="8255"/>
                    </a:xfrm>
                    <a:prstGeom prst="rect">
                      <a:avLst/>
                    </a:prstGeom>
                    <a:noFill/>
                  </pic:spPr>
                </pic:pic>
              </a:graphicData>
            </a:graphic>
          </wp:anchor>
        </w:drawing>
        <w:t>ADJUSTED EBITDAX</w:t>
      </w:r>
    </w:p>
    <w:p>
      <w:pPr>
        <w:spacing w:after="0" w:line="132" w:lineRule="exact"/>
        <w:rPr>
          <w:sz w:val="20"/>
          <w:szCs w:val="20"/>
          <w:color w:val="auto"/>
        </w:rPr>
      </w:pPr>
    </w:p>
    <w:p>
      <w:pPr>
        <w:jc w:val="both"/>
        <w:ind w:left="20" w:right="20"/>
        <w:spacing w:after="0" w:line="244" w:lineRule="auto"/>
        <w:rPr>
          <w:sz w:val="20"/>
          <w:szCs w:val="20"/>
          <w:color w:val="auto"/>
        </w:rPr>
      </w:pPr>
      <w:r>
        <w:rPr>
          <w:rFonts w:ascii="Arial" w:cs="Arial" w:eastAsia="Arial" w:hAnsi="Arial"/>
          <w:sz w:val="14"/>
          <w:szCs w:val="14"/>
          <w:color w:val="auto"/>
        </w:rPr>
        <w:t>CRC defines adjusted EBITDAX as earnings before interest expense; income taxes; depreciation, depletion and amortization; exploration expense; other unusual, infrequent and out-of-period items; and other non-cash items. CRC believes this measure provides useful information in assessing its financial condition, results of operations and cash flows and is widely used by the industry, the investment community and its lenders. Although this is a non-GAAP measure, the amounts included in the calculation were computed in accordance with GAAP. Certain items excluded from this non-GAAP measure are significant components in understanding and assessing CRC’s financial performance, such as its cost of capital and tax structure, as well as depreciation, depletion and amortization of CRC's assets. This measure should be read in conjunction with the information contained in CRC’s financial statements prepared in accordance with GAAP. A version of adjusted EBITDAX is a material component of certain of its financial covenants under CRC's Revolving Credit Facility and is provided in addition to, and not as an alternative for, income and liquidity measures calculated in accordance with GAAP.</w:t>
      </w:r>
    </w:p>
    <w:p>
      <w:pPr>
        <w:spacing w:after="0" w:line="210" w:lineRule="exact"/>
        <w:rPr>
          <w:sz w:val="20"/>
          <w:szCs w:val="20"/>
          <w:color w:val="auto"/>
        </w:rPr>
      </w:pPr>
    </w:p>
    <w:p>
      <w:pPr>
        <w:jc w:val="both"/>
        <w:ind w:left="20" w:right="20"/>
        <w:spacing w:after="0" w:line="238" w:lineRule="auto"/>
        <w:rPr>
          <w:sz w:val="20"/>
          <w:szCs w:val="20"/>
          <w:color w:val="auto"/>
        </w:rPr>
      </w:pPr>
      <w:r>
        <w:rPr>
          <w:rFonts w:ascii="Arial" w:cs="Arial" w:eastAsia="Arial" w:hAnsi="Arial"/>
          <w:sz w:val="14"/>
          <w:szCs w:val="14"/>
          <w:color w:val="auto"/>
        </w:rPr>
        <w:t>The following table represents a reconciliation of the GAAP financial measures of net income and net cash provided by operating activities to the non-GAAP financial measure of adjusted EBITDAX. CRC has supplemented its non-GAAP measures of consolidated adjusted EBITDAX with adjusted EBITDAX for its oil and gas segment</w:t>
      </w:r>
    </w:p>
    <w:p>
      <w:pPr>
        <w:spacing w:after="0" w:line="1" w:lineRule="exact"/>
        <w:rPr>
          <w:sz w:val="20"/>
          <w:szCs w:val="20"/>
          <w:color w:val="auto"/>
        </w:rPr>
      </w:pPr>
    </w:p>
    <w:p>
      <w:pPr>
        <w:jc w:val="both"/>
        <w:ind w:left="20" w:right="20"/>
        <w:spacing w:after="0" w:line="258" w:lineRule="auto"/>
        <w:rPr>
          <w:sz w:val="20"/>
          <w:szCs w:val="20"/>
          <w:color w:val="auto"/>
        </w:rPr>
      </w:pPr>
      <w:r>
        <w:rPr>
          <w:rFonts w:ascii="Arial" w:cs="Arial" w:eastAsia="Arial" w:hAnsi="Arial"/>
          <w:sz w:val="14"/>
          <w:szCs w:val="14"/>
          <w:color w:val="auto"/>
        </w:rPr>
        <w:t>(E&amp;P adjusted EBITDAX) and its carbon management segment (CMB adjusted EBITDAX). Management believes these supplemental measures are useful for investors to understand the results of the core oil and gas business and its investment in developing the carbon management business.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4th Quarter</w:t>
            </w:r>
          </w:p>
        </w:tc>
        <w:tc>
          <w:tcPr>
            <w:tcW w:w="20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 Year</w:t>
            </w:r>
          </w:p>
        </w:tc>
        <w:tc>
          <w:tcPr>
            <w:tcW w:w="200" w:type="dxa"/>
            <w:vAlign w:val="bottom"/>
          </w:tcPr>
          <w:p>
            <w:pPr>
              <w:spacing w:after="0"/>
              <w:rPr>
                <w:sz w:val="16"/>
                <w:szCs w:val="16"/>
                <w:color w:val="auto"/>
              </w:rPr>
            </w:pPr>
          </w:p>
        </w:tc>
        <w:tc>
          <w:tcPr>
            <w:tcW w:w="110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 Year</w:t>
            </w:r>
          </w:p>
        </w:tc>
      </w:tr>
      <w:tr>
        <w:trPr>
          <w:trHeight w:val="201"/>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BOE amounts)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2023</w:t>
            </w:r>
          </w:p>
        </w:tc>
      </w:tr>
      <w:tr>
        <w:trPr>
          <w:trHeight w:val="193"/>
        </w:trPr>
        <w:tc>
          <w:tcPr>
            <w:tcW w:w="38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12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345</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188</w:t>
            </w:r>
          </w:p>
        </w:tc>
        <w:tc>
          <w:tcPr>
            <w:tcW w:w="2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376</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564</w:t>
            </w:r>
          </w:p>
        </w:tc>
      </w:tr>
      <w:tr>
        <w:trPr>
          <w:trHeight w:val="200"/>
        </w:trPr>
        <w:tc>
          <w:tcPr>
            <w:tcW w:w="3820" w:type="dxa"/>
            <w:vAlign w:val="bottom"/>
          </w:tcPr>
          <w:p>
            <w:pPr>
              <w:ind w:left="140"/>
              <w:spacing w:after="0"/>
              <w:rPr>
                <w:sz w:val="20"/>
                <w:szCs w:val="20"/>
                <w:color w:val="auto"/>
              </w:rPr>
            </w:pPr>
            <w:r>
              <w:rPr>
                <w:rFonts w:ascii="Arial" w:cs="Arial" w:eastAsia="Arial" w:hAnsi="Arial"/>
                <w:sz w:val="14"/>
                <w:szCs w:val="14"/>
                <w:color w:val="auto"/>
              </w:rPr>
              <w:t>Interest and debt expense</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56</w:t>
            </w:r>
          </w:p>
        </w:tc>
      </w:tr>
      <w:tr>
        <w:trPr>
          <w:trHeight w:val="200"/>
        </w:trPr>
        <w:tc>
          <w:tcPr>
            <w:tcW w:w="3820" w:type="dxa"/>
            <w:vAlign w:val="bottom"/>
          </w:tcPr>
          <w:p>
            <w:pPr>
              <w:ind w:left="140"/>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142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388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225</w:t>
            </w:r>
          </w:p>
        </w:tc>
      </w:tr>
      <w:tr>
        <w:trPr>
          <w:trHeight w:val="200"/>
        </w:trPr>
        <w:tc>
          <w:tcPr>
            <w:tcW w:w="3820" w:type="dxa"/>
            <w:vAlign w:val="bottom"/>
          </w:tcPr>
          <w:p>
            <w:pPr>
              <w:ind w:left="140"/>
              <w:spacing w:after="0"/>
              <w:rPr>
                <w:sz w:val="20"/>
                <w:szCs w:val="20"/>
                <w:color w:val="auto"/>
              </w:rPr>
            </w:pPr>
            <w:r>
              <w:rPr>
                <w:rFonts w:ascii="Arial" w:cs="Arial" w:eastAsia="Arial" w:hAnsi="Arial"/>
                <w:sz w:val="14"/>
                <w:szCs w:val="14"/>
                <w:color w:val="auto"/>
              </w:rPr>
              <w:t>Income tax provision</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138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140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184</w:t>
            </w:r>
          </w:p>
        </w:tc>
      </w:tr>
      <w:tr>
        <w:trPr>
          <w:trHeight w:val="200"/>
        </w:trPr>
        <w:tc>
          <w:tcPr>
            <w:tcW w:w="3820" w:type="dxa"/>
            <w:vAlign w:val="bottom"/>
          </w:tcPr>
          <w:p>
            <w:pPr>
              <w:ind w:left="140"/>
              <w:spacing w:after="0"/>
              <w:rPr>
                <w:sz w:val="20"/>
                <w:szCs w:val="20"/>
                <w:color w:val="auto"/>
              </w:rPr>
            </w:pPr>
            <w:r>
              <w:rPr>
                <w:rFonts w:ascii="Arial" w:cs="Arial" w:eastAsia="Arial" w:hAnsi="Arial"/>
                <w:sz w:val="14"/>
                <w:szCs w:val="14"/>
                <w:color w:val="auto"/>
              </w:rPr>
              <w:t>Exploration expense</w:t>
            </w:r>
          </w:p>
        </w:tc>
        <w:tc>
          <w:tcPr>
            <w:tcW w:w="18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167"/>
        </w:trPr>
        <w:tc>
          <w:tcPr>
            <w:tcW w:w="3820" w:type="dxa"/>
            <w:vAlign w:val="bottom"/>
          </w:tcPr>
          <w:p>
            <w:pPr>
              <w:ind w:left="140"/>
              <w:spacing w:after="0"/>
              <w:rPr>
                <w:sz w:val="20"/>
                <w:szCs w:val="20"/>
                <w:color w:val="auto"/>
              </w:rPr>
            </w:pPr>
            <w:r>
              <w:rPr>
                <w:rFonts w:ascii="Arial" w:cs="Arial" w:eastAsia="Arial" w:hAnsi="Arial"/>
                <w:sz w:val="14"/>
                <w:szCs w:val="14"/>
                <w:color w:val="auto"/>
              </w:rPr>
              <w:t>Interest income</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(21)</w:t>
            </w:r>
          </w:p>
        </w:tc>
      </w:tr>
      <w:tr>
        <w:trPr>
          <w:trHeight w:val="238"/>
        </w:trPr>
        <w:tc>
          <w:tcPr>
            <w:tcW w:w="3820" w:type="dxa"/>
            <w:vAlign w:val="bottom"/>
          </w:tcPr>
          <w:p>
            <w:pPr>
              <w:ind w:left="140"/>
              <w:spacing w:after="0" w:line="239" w:lineRule="exact"/>
              <w:rPr>
                <w:sz w:val="20"/>
                <w:szCs w:val="20"/>
                <w:color w:val="auto"/>
              </w:rPr>
            </w:pPr>
            <w:r>
              <w:rPr>
                <w:rFonts w:ascii="Arial" w:cs="Arial" w:eastAsia="Arial" w:hAnsi="Arial"/>
                <w:sz w:val="14"/>
                <w:szCs w:val="14"/>
                <w:color w:val="auto"/>
              </w:rPr>
              <w:t xml:space="preserve">Unusual, infrequent and other items </w:t>
            </w:r>
            <w:r>
              <w:rPr>
                <w:rFonts w:ascii="Arial" w:cs="Arial" w:eastAsia="Arial" w:hAnsi="Arial"/>
                <w:sz w:val="23"/>
                <w:szCs w:val="23"/>
                <w:color w:val="auto"/>
                <w:vertAlign w:val="superscript"/>
              </w:rPr>
              <w:t>(1)</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(168)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(224)</w:t>
            </w:r>
          </w:p>
        </w:tc>
      </w:tr>
      <w:tr>
        <w:trPr>
          <w:trHeight w:val="189"/>
        </w:trPr>
        <w:tc>
          <w:tcPr>
            <w:tcW w:w="3820" w:type="dxa"/>
            <w:vAlign w:val="bottom"/>
          </w:tcPr>
          <w:p>
            <w:pPr>
              <w:ind w:left="140"/>
              <w:spacing w:after="0"/>
              <w:rPr>
                <w:sz w:val="20"/>
                <w:szCs w:val="20"/>
                <w:color w:val="auto"/>
              </w:rPr>
            </w:pPr>
            <w:r>
              <w:rPr>
                <w:rFonts w:ascii="Arial" w:cs="Arial" w:eastAsia="Arial" w:hAnsi="Arial"/>
                <w:sz w:val="14"/>
                <w:szCs w:val="14"/>
                <w:color w:val="auto"/>
              </w:rPr>
              <w:t>Non-cash items</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6"/>
        </w:trPr>
        <w:tc>
          <w:tcPr>
            <w:tcW w:w="3820" w:type="dxa"/>
            <w:vAlign w:val="bottom"/>
          </w:tcPr>
          <w:p>
            <w:pPr>
              <w:ind w:left="240"/>
              <w:spacing w:after="0"/>
              <w:rPr>
                <w:sz w:val="20"/>
                <w:szCs w:val="20"/>
                <w:color w:val="auto"/>
              </w:rPr>
            </w:pPr>
            <w:r>
              <w:rPr>
                <w:rFonts w:ascii="Arial" w:cs="Arial" w:eastAsia="Arial" w:hAnsi="Arial"/>
                <w:sz w:val="14"/>
                <w:szCs w:val="14"/>
                <w:color w:val="auto"/>
              </w:rPr>
              <w:t>Accretion expense</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46</w:t>
            </w:r>
          </w:p>
        </w:tc>
      </w:tr>
      <w:tr>
        <w:trPr>
          <w:trHeight w:val="200"/>
        </w:trPr>
        <w:tc>
          <w:tcPr>
            <w:tcW w:w="382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27</w:t>
            </w:r>
          </w:p>
        </w:tc>
      </w:tr>
      <w:tr>
        <w:trPr>
          <w:trHeight w:val="200"/>
        </w:trPr>
        <w:tc>
          <w:tcPr>
            <w:tcW w:w="3820" w:type="dxa"/>
            <w:vAlign w:val="bottom"/>
          </w:tcPr>
          <w:p>
            <w:pPr>
              <w:ind w:left="240"/>
              <w:spacing w:after="0"/>
              <w:rPr>
                <w:sz w:val="20"/>
                <w:szCs w:val="20"/>
                <w:color w:val="auto"/>
              </w:rPr>
            </w:pPr>
            <w:r>
              <w:rPr>
                <w:rFonts w:ascii="Arial" w:cs="Arial" w:eastAsia="Arial" w:hAnsi="Arial"/>
                <w:sz w:val="14"/>
                <w:szCs w:val="14"/>
                <w:color w:val="auto"/>
              </w:rPr>
              <w:t>Taxes related to acquisition accounting</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1"/>
        </w:trPr>
        <w:tc>
          <w:tcPr>
            <w:tcW w:w="3820" w:type="dxa"/>
            <w:vAlign w:val="bottom"/>
          </w:tcPr>
          <w:p>
            <w:pPr>
              <w:ind w:left="240"/>
              <w:spacing w:after="0"/>
              <w:rPr>
                <w:sz w:val="20"/>
                <w:szCs w:val="20"/>
                <w:color w:val="auto"/>
              </w:rPr>
            </w:pPr>
            <w:r>
              <w:rPr>
                <w:rFonts w:ascii="Arial" w:cs="Arial" w:eastAsia="Arial" w:hAnsi="Arial"/>
                <w:sz w:val="14"/>
                <w:szCs w:val="14"/>
                <w:color w:val="auto"/>
              </w:rPr>
              <w:t>Pension and post-retirement benefits</w:t>
            </w:r>
          </w:p>
        </w:tc>
        <w:tc>
          <w:tcPr>
            <w:tcW w:w="18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194"/>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Adjusted EBITDAX</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316</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402</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179</w:t>
            </w:r>
          </w:p>
        </w:tc>
        <w:tc>
          <w:tcPr>
            <w:tcW w:w="2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862</w:t>
            </w:r>
          </w:p>
        </w:tc>
      </w:tr>
      <w:tr>
        <w:trPr>
          <w:trHeight w:val="20"/>
        </w:trPr>
        <w:tc>
          <w:tcPr>
            <w:tcW w:w="3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78"/>
        </w:trPr>
        <w:tc>
          <w:tcPr>
            <w:tcW w:w="382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206</w:t>
            </w:r>
          </w:p>
        </w:tc>
        <w:tc>
          <w:tcPr>
            <w:tcW w:w="120" w:type="dxa"/>
            <w:vAlign w:val="bottom"/>
          </w:tcPr>
          <w:p>
            <w:pPr>
              <w:spacing w:after="0"/>
              <w:rPr>
                <w:sz w:val="24"/>
                <w:szCs w:val="24"/>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220</w:t>
            </w:r>
          </w:p>
        </w:tc>
        <w:tc>
          <w:tcPr>
            <w:tcW w:w="1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131</w:t>
            </w:r>
          </w:p>
        </w:tc>
        <w:tc>
          <w:tcPr>
            <w:tcW w:w="2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610</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653</w:t>
            </w:r>
          </w:p>
        </w:tc>
      </w:tr>
      <w:tr>
        <w:trPr>
          <w:trHeight w:val="200"/>
        </w:trPr>
        <w:tc>
          <w:tcPr>
            <w:tcW w:w="3820" w:type="dxa"/>
            <w:vAlign w:val="bottom"/>
          </w:tcPr>
          <w:p>
            <w:pPr>
              <w:ind w:left="140"/>
              <w:spacing w:after="0"/>
              <w:rPr>
                <w:sz w:val="20"/>
                <w:szCs w:val="20"/>
                <w:color w:val="auto"/>
              </w:rPr>
            </w:pPr>
            <w:r>
              <w:rPr>
                <w:rFonts w:ascii="Arial" w:cs="Arial" w:eastAsia="Arial" w:hAnsi="Arial"/>
                <w:sz w:val="14"/>
                <w:szCs w:val="14"/>
                <w:color w:val="auto"/>
              </w:rPr>
              <w:t>Cash interest payments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49</w:t>
            </w:r>
          </w:p>
        </w:tc>
      </w:tr>
      <w:tr>
        <w:trPr>
          <w:trHeight w:val="200"/>
        </w:trPr>
        <w:tc>
          <w:tcPr>
            <w:tcW w:w="3820" w:type="dxa"/>
            <w:vAlign w:val="bottom"/>
          </w:tcPr>
          <w:p>
            <w:pPr>
              <w:ind w:left="140"/>
              <w:spacing w:after="0"/>
              <w:rPr>
                <w:sz w:val="20"/>
                <w:szCs w:val="20"/>
                <w:color w:val="auto"/>
              </w:rPr>
            </w:pPr>
            <w:r>
              <w:rPr>
                <w:rFonts w:ascii="Arial" w:cs="Arial" w:eastAsia="Arial" w:hAnsi="Arial"/>
                <w:sz w:val="14"/>
                <w:szCs w:val="14"/>
                <w:color w:val="auto"/>
              </w:rPr>
              <w:t>Cash interest received</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(21)</w:t>
            </w:r>
          </w:p>
        </w:tc>
      </w:tr>
      <w:tr>
        <w:trPr>
          <w:trHeight w:val="200"/>
        </w:trPr>
        <w:tc>
          <w:tcPr>
            <w:tcW w:w="3820" w:type="dxa"/>
            <w:vAlign w:val="bottom"/>
          </w:tcPr>
          <w:p>
            <w:pPr>
              <w:ind w:left="140"/>
              <w:spacing w:after="0"/>
              <w:rPr>
                <w:sz w:val="20"/>
                <w:szCs w:val="20"/>
                <w:color w:val="auto"/>
              </w:rPr>
            </w:pPr>
            <w:r>
              <w:rPr>
                <w:rFonts w:ascii="Arial" w:cs="Arial" w:eastAsia="Arial" w:hAnsi="Arial"/>
                <w:sz w:val="14"/>
                <w:szCs w:val="14"/>
                <w:color w:val="auto"/>
              </w:rPr>
              <w:t>Cash income taxes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121</w:t>
            </w:r>
          </w:p>
        </w:tc>
      </w:tr>
      <w:tr>
        <w:trPr>
          <w:trHeight w:val="200"/>
        </w:trPr>
        <w:tc>
          <w:tcPr>
            <w:tcW w:w="3820" w:type="dxa"/>
            <w:vAlign w:val="bottom"/>
          </w:tcPr>
          <w:p>
            <w:pPr>
              <w:ind w:left="140"/>
              <w:spacing w:after="0"/>
              <w:rPr>
                <w:sz w:val="20"/>
                <w:szCs w:val="20"/>
                <w:color w:val="auto"/>
              </w:rPr>
            </w:pPr>
            <w:r>
              <w:rPr>
                <w:rFonts w:ascii="Arial" w:cs="Arial" w:eastAsia="Arial" w:hAnsi="Arial"/>
                <w:sz w:val="14"/>
                <w:szCs w:val="14"/>
                <w:color w:val="auto"/>
              </w:rPr>
              <w:t>Exploration expenditures</w:t>
            </w:r>
          </w:p>
        </w:tc>
        <w:tc>
          <w:tcPr>
            <w:tcW w:w="18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201"/>
        </w:trPr>
        <w:tc>
          <w:tcPr>
            <w:tcW w:w="3820" w:type="dxa"/>
            <w:vAlign w:val="bottom"/>
          </w:tcPr>
          <w:p>
            <w:pPr>
              <w:ind w:left="140"/>
              <w:spacing w:after="0"/>
              <w:rPr>
                <w:sz w:val="20"/>
                <w:szCs w:val="20"/>
                <w:color w:val="auto"/>
              </w:rPr>
            </w:pPr>
            <w:r>
              <w:rPr>
                <w:rFonts w:ascii="Arial" w:cs="Arial" w:eastAsia="Arial" w:hAnsi="Arial"/>
                <w:sz w:val="14"/>
                <w:szCs w:val="14"/>
                <w:color w:val="auto"/>
              </w:rPr>
              <w:t>Adjustments to working capital changes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129</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w:t>
            </w:r>
          </w:p>
        </w:tc>
      </w:tr>
      <w:tr>
        <w:trPr>
          <w:trHeight w:val="194"/>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Adjusted EBITDAX</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316</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402</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179</w:t>
            </w:r>
          </w:p>
        </w:tc>
        <w:tc>
          <w:tcPr>
            <w:tcW w:w="20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1,006</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862</w:t>
            </w:r>
          </w:p>
        </w:tc>
      </w:tr>
      <w:tr>
        <w:trPr>
          <w:trHeight w:val="20"/>
        </w:trPr>
        <w:tc>
          <w:tcPr>
            <w:tcW w:w="3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2"/>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Adjusted EBITDAX per Boe</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24.35</w:t>
            </w:r>
          </w:p>
        </w:tc>
        <w:tc>
          <w:tcPr>
            <w:tcW w:w="120" w:type="dxa"/>
            <w:vAlign w:val="bottom"/>
          </w:tcPr>
          <w:p>
            <w:pPr>
              <w:spacing w:after="0"/>
              <w:rPr>
                <w:sz w:val="23"/>
                <w:szCs w:val="23"/>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30.19</w:t>
            </w:r>
          </w:p>
        </w:tc>
        <w:tc>
          <w:tcPr>
            <w:tcW w:w="100" w:type="dxa"/>
            <w:vAlign w:val="bottom"/>
          </w:tcPr>
          <w:p>
            <w:pPr>
              <w:spacing w:after="0"/>
              <w:rPr>
                <w:sz w:val="23"/>
                <w:szCs w:val="23"/>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23.57</w:t>
            </w:r>
          </w:p>
        </w:tc>
        <w:tc>
          <w:tcPr>
            <w:tcW w:w="200" w:type="dxa"/>
            <w:vAlign w:val="bottom"/>
          </w:tcPr>
          <w:p>
            <w:pPr>
              <w:spacing w:after="0"/>
              <w:rPr>
                <w:sz w:val="23"/>
                <w:szCs w:val="23"/>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25.09</w:t>
            </w:r>
          </w:p>
        </w:tc>
        <w:tc>
          <w:tcPr>
            <w:tcW w:w="100" w:type="dxa"/>
            <w:vAlign w:val="bottom"/>
          </w:tcPr>
          <w:p>
            <w:pPr>
              <w:spacing w:after="0"/>
              <w:rPr>
                <w:sz w:val="23"/>
                <w:szCs w:val="23"/>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27.51</w:t>
            </w:r>
          </w:p>
        </w:tc>
      </w:tr>
    </w:tbl>
    <w:p>
      <w:pPr>
        <w:spacing w:after="0" w:line="200" w:lineRule="exact"/>
        <w:rPr>
          <w:sz w:val="20"/>
          <w:szCs w:val="20"/>
          <w:color w:val="auto"/>
        </w:rPr>
      </w:pPr>
    </w:p>
    <w:p>
      <w:pPr>
        <w:ind w:left="160" w:hanging="149"/>
        <w:spacing w:after="0"/>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See Adjusted Net Income (Loss) reconciliation.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0700"/>
          </w:cols>
          <w:pgMar w:left="520" w:top="1103" w:right="679" w:bottom="1440" w:gutter="0" w:footer="0" w:header="0"/>
        </w:sectPr>
      </w:pPr>
    </w:p>
    <w:bookmarkStart w:id="20" w:name="page21"/>
    <w:bookmarkEnd w:id="20"/>
    <w:p>
      <w:pPr>
        <w:ind w:left="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224155</wp:posOffset>
            </wp:positionH>
            <wp:positionV relativeFrom="page">
              <wp:posOffset>664210</wp:posOffset>
            </wp:positionV>
            <wp:extent cx="71088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8825" cy="8255"/>
                    </a:xfrm>
                    <a:prstGeom prst="rect">
                      <a:avLst/>
                    </a:prstGeom>
                    <a:noFill/>
                  </pic:spPr>
                </pic:pic>
              </a:graphicData>
            </a:graphic>
          </wp:anchor>
        </w:drawing>
        <w:drawing>
          <wp:anchor simplePos="0" relativeHeight="251657728" behindDoc="1" locked="0" layoutInCell="0" allowOverlap="1">
            <wp:simplePos x="0" y="0"/>
            <wp:positionH relativeFrom="page">
              <wp:posOffset>224155</wp:posOffset>
            </wp:positionH>
            <wp:positionV relativeFrom="page">
              <wp:posOffset>689610</wp:posOffset>
            </wp:positionV>
            <wp:extent cx="71088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8825" cy="8255"/>
                    </a:xfrm>
                    <a:prstGeom prst="rect">
                      <a:avLst/>
                    </a:prstGeom>
                    <a:noFill/>
                  </pic:spPr>
                </pic:pic>
              </a:graphicData>
            </a:graphic>
          </wp:anchor>
        </w:drawing>
        <w:t>SEGMENT ADJUSTED EBITDAX</w:t>
      </w:r>
    </w:p>
    <w:p>
      <w:pPr>
        <w:spacing w:after="0" w:line="132" w:lineRule="exact"/>
        <w:rPr>
          <w:sz w:val="20"/>
          <w:szCs w:val="20"/>
          <w:color w:val="auto"/>
        </w:rPr>
      </w:pPr>
    </w:p>
    <w:p>
      <w:pPr>
        <w:jc w:val="both"/>
        <w:ind w:left="40" w:right="180"/>
        <w:spacing w:after="0" w:line="252" w:lineRule="auto"/>
        <w:rPr>
          <w:sz w:val="20"/>
          <w:szCs w:val="20"/>
          <w:color w:val="auto"/>
        </w:rPr>
      </w:pPr>
      <w:r>
        <w:rPr>
          <w:rFonts w:ascii="Arial" w:cs="Arial" w:eastAsia="Arial" w:hAnsi="Arial"/>
          <w:sz w:val="14"/>
          <w:szCs w:val="14"/>
          <w:color w:val="auto"/>
        </w:rPr>
        <w:t xml:space="preserve">CRC defines segments adjusted EBITDAX as earnings before interest expense; income taxes; depreciation, depletion and amortization; exploration expense; other unusual, infrequent and out-of-period items; and other non-cash items. CRC believes this segment measure provides useful information in assessing the financial results of each segment. Although this is a non-GAAP measure, the amounts included in the calculation were computed in accordance with GAAP. This measure should be read in conjunction with Note 16 </w:t>
      </w:r>
      <w:r>
        <w:rPr>
          <w:rFonts w:ascii="Arial" w:cs="Arial" w:eastAsia="Arial" w:hAnsi="Arial"/>
          <w:sz w:val="14"/>
          <w:szCs w:val="14"/>
          <w:i w:val="1"/>
          <w:iCs w:val="1"/>
          <w:color w:val="auto"/>
        </w:rPr>
        <w:t>Segment Information</w:t>
      </w:r>
      <w:r>
        <w:rPr>
          <w:rFonts w:ascii="Arial" w:cs="Arial" w:eastAsia="Arial" w:hAnsi="Arial"/>
          <w:sz w:val="14"/>
          <w:szCs w:val="14"/>
          <w:color w:val="auto"/>
        </w:rPr>
        <w:t xml:space="preserve"> in CRC’s 2024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160" w:type="dxa"/>
            <w:vAlign w:val="bottom"/>
          </w:tcPr>
          <w:p>
            <w:pPr>
              <w:spacing w:after="0"/>
              <w:rPr>
                <w:sz w:val="20"/>
                <w:szCs w:val="20"/>
                <w:color w:val="auto"/>
              </w:rPr>
            </w:pPr>
            <w:r>
              <w:rPr>
                <w:rFonts w:ascii="Arial" w:cs="Arial" w:eastAsia="Arial" w:hAnsi="Arial"/>
                <w:sz w:val="14"/>
                <w:szCs w:val="14"/>
                <w:b w:val="1"/>
                <w:bCs w:val="1"/>
                <w:color w:val="auto"/>
              </w:rPr>
              <w:t>Oil &amp; Natural Gas Segment</w:t>
            </w:r>
          </w:p>
        </w:tc>
        <w:tc>
          <w:tcPr>
            <w:tcW w:w="18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4th Quarter</w:t>
            </w:r>
          </w:p>
        </w:tc>
        <w:tc>
          <w:tcPr>
            <w:tcW w:w="20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 Year</w:t>
            </w:r>
          </w:p>
        </w:tc>
        <w:tc>
          <w:tcPr>
            <w:tcW w:w="200" w:type="dxa"/>
            <w:vAlign w:val="bottom"/>
          </w:tcPr>
          <w:p>
            <w:pPr>
              <w:spacing w:after="0"/>
              <w:rPr>
                <w:sz w:val="16"/>
                <w:szCs w:val="16"/>
                <w:color w:val="auto"/>
              </w:rPr>
            </w:pPr>
          </w:p>
        </w:tc>
        <w:tc>
          <w:tcPr>
            <w:tcW w:w="1120" w:type="dxa"/>
            <w:vAlign w:val="bottom"/>
          </w:tcPr>
          <w:p>
            <w:pPr>
              <w:jc w:val="right"/>
              <w:ind w:right="269"/>
              <w:spacing w:after="0"/>
              <w:rPr>
                <w:sz w:val="20"/>
                <w:szCs w:val="20"/>
                <w:color w:val="auto"/>
              </w:rPr>
            </w:pPr>
            <w:r>
              <w:rPr>
                <w:rFonts w:ascii="Arial" w:cs="Arial" w:eastAsia="Arial" w:hAnsi="Arial"/>
                <w:sz w:val="14"/>
                <w:szCs w:val="14"/>
                <w:b w:val="1"/>
                <w:bCs w:val="1"/>
                <w:color w:val="auto"/>
              </w:rPr>
              <w:t>Total Year</w:t>
            </w:r>
          </w:p>
        </w:tc>
        <w:tc>
          <w:tcPr>
            <w:tcW w:w="0" w:type="dxa"/>
            <w:vAlign w:val="bottom"/>
          </w:tcPr>
          <w:p>
            <w:pPr>
              <w:spacing w:after="0"/>
              <w:rPr>
                <w:sz w:val="1"/>
                <w:szCs w:val="1"/>
                <w:color w:val="auto"/>
              </w:rPr>
            </w:pPr>
          </w:p>
        </w:tc>
      </w:tr>
      <w:tr>
        <w:trPr>
          <w:trHeight w:val="201"/>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millions, except per BOE amounts)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3"/>
        </w:trPr>
        <w:tc>
          <w:tcPr>
            <w:tcW w:w="4160" w:type="dxa"/>
            <w:vAlign w:val="bottom"/>
          </w:tcPr>
          <w:p>
            <w:pPr>
              <w:spacing w:after="0"/>
              <w:rPr>
                <w:sz w:val="20"/>
                <w:szCs w:val="20"/>
                <w:color w:val="auto"/>
              </w:rPr>
            </w:pPr>
            <w:r>
              <w:rPr>
                <w:rFonts w:ascii="Arial" w:cs="Arial" w:eastAsia="Arial" w:hAnsi="Arial"/>
                <w:sz w:val="14"/>
                <w:szCs w:val="14"/>
                <w:color w:val="auto"/>
              </w:rPr>
              <w:t>Segment profit</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273</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305</w:t>
            </w:r>
          </w:p>
        </w:tc>
        <w:tc>
          <w:tcPr>
            <w:tcW w:w="12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223</w:t>
            </w:r>
          </w:p>
        </w:tc>
        <w:tc>
          <w:tcPr>
            <w:tcW w:w="2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815</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922</w:t>
            </w:r>
          </w:p>
        </w:tc>
        <w:tc>
          <w:tcPr>
            <w:tcW w:w="0" w:type="dxa"/>
            <w:vAlign w:val="bottom"/>
          </w:tcPr>
          <w:p>
            <w:pPr>
              <w:spacing w:after="0"/>
              <w:rPr>
                <w:sz w:val="1"/>
                <w:szCs w:val="1"/>
                <w:color w:val="auto"/>
              </w:rPr>
            </w:pPr>
          </w:p>
        </w:tc>
      </w:tr>
      <w:tr>
        <w:trPr>
          <w:trHeight w:val="200"/>
        </w:trPr>
        <w:tc>
          <w:tcPr>
            <w:tcW w:w="4160" w:type="dxa"/>
            <w:vAlign w:val="bottom"/>
          </w:tcPr>
          <w:p>
            <w:pPr>
              <w:ind w:left="120"/>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354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205</w:t>
            </w:r>
          </w:p>
        </w:tc>
        <w:tc>
          <w:tcPr>
            <w:tcW w:w="0" w:type="dxa"/>
            <w:vAlign w:val="bottom"/>
          </w:tcPr>
          <w:p>
            <w:pPr>
              <w:spacing w:after="0"/>
              <w:rPr>
                <w:sz w:val="1"/>
                <w:szCs w:val="1"/>
                <w:color w:val="auto"/>
              </w:rPr>
            </w:pPr>
          </w:p>
        </w:tc>
      </w:tr>
      <w:tr>
        <w:trPr>
          <w:trHeight w:val="200"/>
        </w:trPr>
        <w:tc>
          <w:tcPr>
            <w:tcW w:w="4160" w:type="dxa"/>
            <w:vAlign w:val="bottom"/>
          </w:tcPr>
          <w:p>
            <w:pPr>
              <w:ind w:left="120"/>
              <w:spacing w:after="0"/>
              <w:rPr>
                <w:sz w:val="20"/>
                <w:szCs w:val="20"/>
                <w:color w:val="auto"/>
              </w:rPr>
            </w:pPr>
            <w:r>
              <w:rPr>
                <w:rFonts w:ascii="Arial" w:cs="Arial" w:eastAsia="Arial" w:hAnsi="Arial"/>
                <w:sz w:val="14"/>
                <w:szCs w:val="14"/>
                <w:color w:val="auto"/>
              </w:rPr>
              <w:t>Exploration expense</w:t>
            </w:r>
          </w:p>
        </w:tc>
        <w:tc>
          <w:tcPr>
            <w:tcW w:w="18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00"/>
        </w:trPr>
        <w:tc>
          <w:tcPr>
            <w:tcW w:w="4160" w:type="dxa"/>
            <w:vAlign w:val="bottom"/>
          </w:tcPr>
          <w:p>
            <w:pPr>
              <w:ind w:left="120"/>
              <w:spacing w:after="0"/>
              <w:rPr>
                <w:sz w:val="20"/>
                <w:szCs w:val="20"/>
                <w:color w:val="auto"/>
              </w:rPr>
            </w:pPr>
            <w:r>
              <w:rPr>
                <w:rFonts w:ascii="Arial" w:cs="Arial" w:eastAsia="Arial" w:hAnsi="Arial"/>
                <w:sz w:val="14"/>
                <w:szCs w:val="14"/>
                <w:color w:val="auto"/>
              </w:rPr>
              <w:t>Accretion expense</w:t>
            </w: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87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201"/>
        </w:trPr>
        <w:tc>
          <w:tcPr>
            <w:tcW w:w="4160" w:type="dxa"/>
            <w:vAlign w:val="bottom"/>
          </w:tcPr>
          <w:p>
            <w:pPr>
              <w:ind w:left="120"/>
              <w:spacing w:after="0"/>
              <w:rPr>
                <w:sz w:val="20"/>
                <w:szCs w:val="20"/>
                <w:color w:val="auto"/>
              </w:rPr>
            </w:pPr>
            <w:r>
              <w:rPr>
                <w:rFonts w:ascii="Arial" w:cs="Arial" w:eastAsia="Arial" w:hAnsi="Arial"/>
                <w:sz w:val="14"/>
                <w:szCs w:val="14"/>
                <w:color w:val="auto"/>
              </w:rPr>
              <w:t>Adjusted income items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54</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r>
        <w:trPr>
          <w:trHeight w:val="194"/>
        </w:trPr>
        <w:tc>
          <w:tcPr>
            <w:tcW w:w="4160" w:type="dxa"/>
            <w:vAlign w:val="bottom"/>
          </w:tcPr>
          <w:p>
            <w:pPr>
              <w:spacing w:after="0"/>
              <w:rPr>
                <w:sz w:val="20"/>
                <w:szCs w:val="20"/>
                <w:color w:val="auto"/>
              </w:rPr>
            </w:pPr>
            <w:r>
              <w:rPr>
                <w:rFonts w:ascii="Arial" w:cs="Arial" w:eastAsia="Arial" w:hAnsi="Arial"/>
                <w:sz w:val="14"/>
                <w:szCs w:val="14"/>
                <w:b w:val="1"/>
                <w:bCs w:val="1"/>
                <w:color w:val="auto"/>
              </w:rPr>
              <w:t>Adjusted EBITDAX - Oil and Natural Gas</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426</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477</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258</w:t>
            </w:r>
          </w:p>
        </w:tc>
        <w:tc>
          <w:tcPr>
            <w:tcW w:w="20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1,312</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1,146</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Carbon Management Segment</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160" w:type="dxa"/>
            <w:vAlign w:val="bottom"/>
          </w:tcPr>
          <w:p>
            <w:pPr>
              <w:spacing w:after="0"/>
              <w:rPr>
                <w:sz w:val="20"/>
                <w:szCs w:val="20"/>
                <w:color w:val="auto"/>
              </w:rPr>
            </w:pPr>
            <w:r>
              <w:rPr>
                <w:rFonts w:ascii="Arial" w:cs="Arial" w:eastAsia="Arial" w:hAnsi="Arial"/>
                <w:sz w:val="14"/>
                <w:szCs w:val="14"/>
                <w:color w:val="auto"/>
              </w:rPr>
              <w:t>Segment loss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20" w:type="dxa"/>
            <w:vAlign w:val="bottom"/>
          </w:tcPr>
          <w:p>
            <w:pPr>
              <w:spacing w:after="0"/>
              <w:rPr>
                <w:sz w:val="17"/>
                <w:szCs w:val="17"/>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2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(94)</w:t>
            </w:r>
          </w:p>
        </w:tc>
        <w:tc>
          <w:tcPr>
            <w:tcW w:w="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(66)</w:t>
            </w:r>
          </w:p>
        </w:tc>
        <w:tc>
          <w:tcPr>
            <w:tcW w:w="0" w:type="dxa"/>
            <w:vAlign w:val="bottom"/>
          </w:tcPr>
          <w:p>
            <w:pPr>
              <w:spacing w:after="0"/>
              <w:rPr>
                <w:sz w:val="1"/>
                <w:szCs w:val="1"/>
                <w:color w:val="auto"/>
              </w:rPr>
            </w:pPr>
          </w:p>
        </w:tc>
      </w:tr>
      <w:tr>
        <w:trPr>
          <w:trHeight w:val="200"/>
        </w:trPr>
        <w:tc>
          <w:tcPr>
            <w:tcW w:w="4160" w:type="dxa"/>
            <w:vAlign w:val="bottom"/>
          </w:tcPr>
          <w:p>
            <w:pPr>
              <w:ind w:left="120"/>
              <w:spacing w:after="0"/>
              <w:rPr>
                <w:sz w:val="20"/>
                <w:szCs w:val="20"/>
                <w:color w:val="auto"/>
              </w:rPr>
            </w:pPr>
            <w:r>
              <w:rPr>
                <w:rFonts w:ascii="Arial" w:cs="Arial" w:eastAsia="Arial" w:hAnsi="Arial"/>
                <w:sz w:val="14"/>
                <w:szCs w:val="14"/>
                <w:color w:val="auto"/>
              </w:rPr>
              <w:t>Interest on contingent liability (related to Carbon TerraVault JV)</w:t>
            </w: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01"/>
        </w:trPr>
        <w:tc>
          <w:tcPr>
            <w:tcW w:w="4160" w:type="dxa"/>
            <w:vAlign w:val="bottom"/>
          </w:tcPr>
          <w:p>
            <w:pPr>
              <w:ind w:left="120"/>
              <w:spacing w:after="0"/>
              <w:rPr>
                <w:sz w:val="20"/>
                <w:szCs w:val="20"/>
                <w:color w:val="auto"/>
              </w:rPr>
            </w:pPr>
            <w:r>
              <w:rPr>
                <w:rFonts w:ascii="Arial" w:cs="Arial" w:eastAsia="Arial" w:hAnsi="Arial"/>
                <w:sz w:val="14"/>
                <w:szCs w:val="14"/>
                <w:color w:val="auto"/>
              </w:rPr>
              <w:t>Loss from investment in unconsolidated subsidiaries</w:t>
            </w:r>
          </w:p>
        </w:tc>
        <w:tc>
          <w:tcPr>
            <w:tcW w:w="18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4"/>
        </w:trPr>
        <w:tc>
          <w:tcPr>
            <w:tcW w:w="4160" w:type="dxa"/>
            <w:vAlign w:val="bottom"/>
          </w:tcPr>
          <w:p>
            <w:pPr>
              <w:spacing w:after="0"/>
              <w:rPr>
                <w:sz w:val="20"/>
                <w:szCs w:val="20"/>
                <w:color w:val="auto"/>
              </w:rPr>
            </w:pPr>
            <w:r>
              <w:rPr>
                <w:rFonts w:ascii="Arial" w:cs="Arial" w:eastAsia="Arial" w:hAnsi="Arial"/>
                <w:sz w:val="14"/>
                <w:szCs w:val="14"/>
                <w:b w:val="1"/>
                <w:bCs w:val="1"/>
                <w:color w:val="auto"/>
              </w:rPr>
              <w:t>Adjusted EBITDAX - Carbon Management</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w:t>
            </w:r>
          </w:p>
        </w:tc>
        <w:tc>
          <w:tcPr>
            <w:tcW w:w="2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668655</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694055</wp:posOffset>
            </wp:positionV>
            <wp:extent cx="7134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FREE CASH FLOW</w:t>
      </w:r>
    </w:p>
    <w:p>
      <w:pPr>
        <w:spacing w:after="0" w:line="132" w:lineRule="exact"/>
        <w:rPr>
          <w:sz w:val="20"/>
          <w:szCs w:val="20"/>
          <w:color w:val="auto"/>
        </w:rPr>
      </w:pPr>
    </w:p>
    <w:p>
      <w:pPr>
        <w:ind w:left="20" w:right="20"/>
        <w:spacing w:after="0" w:line="219" w:lineRule="auto"/>
        <w:rPr>
          <w:sz w:val="20"/>
          <w:szCs w:val="20"/>
          <w:color w:val="auto"/>
        </w:rPr>
      </w:pPr>
      <w:r>
        <w:rPr>
          <w:rFonts w:ascii="Arial" w:cs="Arial" w:eastAsia="Arial" w:hAnsi="Arial"/>
          <w:sz w:val="14"/>
          <w:szCs w:val="14"/>
          <w:color w:val="auto"/>
        </w:rPr>
        <w:t>Management uses free cash flow, which is defined by CRC as net cash provided by operating activities less capital investments, as a measure of liquidity. The following table presents a reconciliation of CRC's net cash provided by operating activities to free cash flow. CRC supplemented its non-GAAP measure of free cash flow with net cash provided</w:t>
      </w:r>
    </w:p>
    <w:p>
      <w:pPr>
        <w:ind w:left="20"/>
        <w:spacing w:after="0" w:line="218" w:lineRule="auto"/>
        <w:rPr>
          <w:sz w:val="20"/>
          <w:szCs w:val="20"/>
          <w:color w:val="auto"/>
        </w:rPr>
      </w:pPr>
      <w:r>
        <w:rPr>
          <w:rFonts w:ascii="Arial" w:cs="Arial" w:eastAsia="Arial" w:hAnsi="Arial"/>
          <w:sz w:val="14"/>
          <w:szCs w:val="14"/>
          <w:color w:val="auto"/>
        </w:rPr>
        <w:t>by operating activities before changes in operating assets and liabilities, net, which it believes is a useful measure for investors to understand the predictability of CRC's cash flow</w:t>
      </w:r>
    </w:p>
    <w:p>
      <w:pPr>
        <w:ind w:left="20" w:right="20"/>
        <w:spacing w:after="0" w:line="229" w:lineRule="auto"/>
        <w:rPr>
          <w:sz w:val="20"/>
          <w:szCs w:val="20"/>
          <w:color w:val="auto"/>
        </w:rPr>
      </w:pPr>
      <w:r>
        <w:rPr>
          <w:rFonts w:ascii="Arial" w:cs="Arial" w:eastAsia="Arial" w:hAnsi="Arial"/>
          <w:sz w:val="14"/>
          <w:szCs w:val="14"/>
          <w:color w:val="auto"/>
        </w:rPr>
        <w:t>by removing fluctuations related to the timing of payments between periods. CRC defines adjusted free cash flow after special items as free cash flow before transaction and integration costs from the Aera Merger.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4th Quarter</w:t>
            </w:r>
          </w:p>
        </w:tc>
        <w:tc>
          <w:tcPr>
            <w:tcW w:w="16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 Year</w:t>
            </w:r>
          </w:p>
        </w:tc>
        <w:tc>
          <w:tcPr>
            <w:tcW w:w="200" w:type="dxa"/>
            <w:vAlign w:val="bottom"/>
          </w:tcPr>
          <w:p>
            <w:pPr>
              <w:spacing w:after="0"/>
              <w:rPr>
                <w:sz w:val="16"/>
                <w:szCs w:val="16"/>
                <w:color w:val="auto"/>
              </w:rPr>
            </w:pPr>
          </w:p>
        </w:tc>
        <w:tc>
          <w:tcPr>
            <w:tcW w:w="1080" w:type="dxa"/>
            <w:vAlign w:val="bottom"/>
          </w:tcPr>
          <w:p>
            <w:pPr>
              <w:jc w:val="right"/>
              <w:ind w:right="229"/>
              <w:spacing w:after="0"/>
              <w:rPr>
                <w:sz w:val="20"/>
                <w:szCs w:val="20"/>
                <w:color w:val="auto"/>
              </w:rPr>
            </w:pPr>
            <w:r>
              <w:rPr>
                <w:rFonts w:ascii="Arial" w:cs="Arial" w:eastAsia="Arial" w:hAnsi="Arial"/>
                <w:sz w:val="14"/>
                <w:szCs w:val="14"/>
                <w:b w:val="1"/>
                <w:bCs w:val="1"/>
                <w:color w:val="auto"/>
              </w:rPr>
              <w:t>Total Year</w:t>
            </w:r>
          </w:p>
        </w:tc>
        <w:tc>
          <w:tcPr>
            <w:tcW w:w="0" w:type="dxa"/>
            <w:vAlign w:val="bottom"/>
          </w:tcPr>
          <w:p>
            <w:pPr>
              <w:spacing w:after="0"/>
              <w:rPr>
                <w:sz w:val="1"/>
                <w:szCs w:val="1"/>
                <w:color w:val="auto"/>
              </w:rPr>
            </w:pPr>
          </w:p>
        </w:tc>
      </w:tr>
      <w:tr>
        <w:trPr>
          <w:trHeight w:val="201"/>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34"/>
        </w:trPr>
        <w:tc>
          <w:tcPr>
            <w:tcW w:w="4520" w:type="dxa"/>
            <w:vAlign w:val="bottom"/>
            <w:gridSpan w:val="2"/>
          </w:tcPr>
          <w:p>
            <w:pPr>
              <w:ind w:left="20"/>
              <w:spacing w:after="0"/>
              <w:rPr>
                <w:sz w:val="20"/>
                <w:szCs w:val="20"/>
                <w:color w:val="auto"/>
              </w:rPr>
            </w:pPr>
            <w:r>
              <w:rPr>
                <w:rFonts w:ascii="Arial" w:cs="Arial" w:eastAsia="Arial" w:hAnsi="Arial"/>
                <w:sz w:val="14"/>
                <w:szCs w:val="14"/>
                <w:color w:val="auto"/>
              </w:rPr>
              <w:t>Net cash provided by operating activities before changes in</w:t>
            </w:r>
          </w:p>
        </w:tc>
        <w:tc>
          <w:tcPr>
            <w:tcW w:w="16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2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258</w:t>
            </w:r>
          </w:p>
        </w:tc>
        <w:tc>
          <w:tcPr>
            <w:tcW w:w="80" w:type="dxa"/>
            <w:vAlign w:val="bottom"/>
          </w:tcPr>
          <w:p>
            <w:pPr>
              <w:spacing w:after="0"/>
              <w:rPr>
                <w:sz w:val="20"/>
                <w:szCs w:val="20"/>
                <w:color w:val="auto"/>
              </w:rPr>
            </w:pPr>
          </w:p>
        </w:tc>
        <w:tc>
          <w:tcPr>
            <w:tcW w:w="18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249</w:t>
            </w:r>
          </w:p>
        </w:tc>
        <w:tc>
          <w:tcPr>
            <w:tcW w:w="100" w:type="dxa"/>
            <w:vAlign w:val="bottom"/>
          </w:tcPr>
          <w:p>
            <w:pPr>
              <w:spacing w:after="0"/>
              <w:rPr>
                <w:sz w:val="20"/>
                <w:szCs w:val="20"/>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104</w:t>
            </w:r>
          </w:p>
        </w:tc>
        <w:tc>
          <w:tcPr>
            <w:tcW w:w="160" w:type="dxa"/>
            <w:vAlign w:val="bottom"/>
          </w:tcPr>
          <w:p>
            <w:pPr>
              <w:spacing w:after="0"/>
              <w:rPr>
                <w:sz w:val="20"/>
                <w:szCs w:val="20"/>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707</w:t>
            </w:r>
          </w:p>
        </w:tc>
        <w:tc>
          <w:tcPr>
            <w:tcW w:w="200" w:type="dxa"/>
            <w:vAlign w:val="bottom"/>
          </w:tcPr>
          <w:p>
            <w:pPr>
              <w:spacing w:after="0"/>
              <w:rPr>
                <w:sz w:val="20"/>
                <w:szCs w:val="20"/>
                <w:color w:val="auto"/>
              </w:rPr>
            </w:pPr>
          </w:p>
        </w:tc>
        <w:tc>
          <w:tcPr>
            <w:tcW w:w="2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647</w:t>
            </w:r>
          </w:p>
        </w:tc>
        <w:tc>
          <w:tcPr>
            <w:tcW w:w="0" w:type="dxa"/>
            <w:vAlign w:val="bottom"/>
          </w:tcPr>
          <w:p>
            <w:pPr>
              <w:spacing w:after="0"/>
              <w:rPr>
                <w:sz w:val="1"/>
                <w:szCs w:val="1"/>
                <w:color w:val="auto"/>
              </w:rPr>
            </w:pPr>
          </w:p>
        </w:tc>
      </w:tr>
      <w:tr>
        <w:trPr>
          <w:trHeight w:val="189"/>
        </w:trPr>
        <w:tc>
          <w:tcPr>
            <w:tcW w:w="4520" w:type="dxa"/>
            <w:vAlign w:val="bottom"/>
            <w:gridSpan w:val="2"/>
          </w:tcPr>
          <w:p>
            <w:pPr>
              <w:ind w:left="20"/>
              <w:spacing w:after="0"/>
              <w:rPr>
                <w:sz w:val="20"/>
                <w:szCs w:val="20"/>
                <w:color w:val="auto"/>
              </w:rPr>
            </w:pPr>
            <w:r>
              <w:rPr>
                <w:rFonts w:ascii="Arial" w:cs="Arial" w:eastAsia="Arial" w:hAnsi="Arial"/>
                <w:sz w:val="14"/>
                <w:szCs w:val="14"/>
                <w:color w:val="auto"/>
              </w:rPr>
              <w:t>operating assets and liabilities, net</w:t>
            </w:r>
          </w:p>
        </w:tc>
        <w:tc>
          <w:tcPr>
            <w:tcW w:w="16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20" w:type="dxa"/>
            <w:vAlign w:val="bottom"/>
            <w:gridSpan w:val="2"/>
          </w:tcPr>
          <w:p>
            <w:pPr>
              <w:ind w:left="20"/>
              <w:spacing w:after="0"/>
              <w:rPr>
                <w:sz w:val="20"/>
                <w:szCs w:val="20"/>
                <w:color w:val="auto"/>
              </w:rPr>
            </w:pPr>
            <w:r>
              <w:rPr>
                <w:rFonts w:ascii="Arial" w:cs="Arial" w:eastAsia="Arial" w:hAnsi="Arial"/>
                <w:sz w:val="14"/>
                <w:szCs w:val="14"/>
                <w:color w:val="auto"/>
              </w:rPr>
              <w:t>Changes in operating assets and liabilities, net</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93"/>
        </w:trPr>
        <w:tc>
          <w:tcPr>
            <w:tcW w:w="4520" w:type="dxa"/>
            <w:vAlign w:val="bottom"/>
            <w:gridSpan w:val="2"/>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Pr>
          <w:p>
            <w:pPr>
              <w:spacing w:after="0"/>
              <w:rPr>
                <w:sz w:val="16"/>
                <w:szCs w:val="16"/>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206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131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610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653</w:t>
            </w:r>
          </w:p>
        </w:tc>
        <w:tc>
          <w:tcPr>
            <w:tcW w:w="0" w:type="dxa"/>
            <w:vAlign w:val="bottom"/>
          </w:tcPr>
          <w:p>
            <w:pPr>
              <w:spacing w:after="0"/>
              <w:rPr>
                <w:sz w:val="1"/>
                <w:szCs w:val="1"/>
                <w:color w:val="auto"/>
              </w:rPr>
            </w:pPr>
          </w:p>
        </w:tc>
      </w:tr>
      <w:tr>
        <w:trPr>
          <w:trHeight w:val="200"/>
        </w:trPr>
        <w:tc>
          <w:tcPr>
            <w:tcW w:w="4520" w:type="dxa"/>
            <w:vAlign w:val="bottom"/>
            <w:gridSpan w:val="2"/>
          </w:tcPr>
          <w:p>
            <w:pPr>
              <w:ind w:left="20"/>
              <w:spacing w:after="0"/>
              <w:rPr>
                <w:sz w:val="20"/>
                <w:szCs w:val="20"/>
                <w:color w:val="auto"/>
              </w:rPr>
            </w:pPr>
            <w:r>
              <w:rPr>
                <w:rFonts w:ascii="Arial" w:cs="Arial" w:eastAsia="Arial" w:hAnsi="Arial"/>
                <w:sz w:val="14"/>
                <w:szCs w:val="14"/>
                <w:color w:val="auto"/>
              </w:rPr>
              <w:t>Capital investments</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(255)</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(185)</w:t>
            </w:r>
          </w:p>
        </w:tc>
        <w:tc>
          <w:tcPr>
            <w:tcW w:w="0" w:type="dxa"/>
            <w:vAlign w:val="bottom"/>
          </w:tcPr>
          <w:p>
            <w:pPr>
              <w:spacing w:after="0"/>
              <w:rPr>
                <w:sz w:val="1"/>
                <w:szCs w:val="1"/>
                <w:color w:val="auto"/>
              </w:rPr>
            </w:pPr>
          </w:p>
        </w:tc>
      </w:tr>
      <w:tr>
        <w:trPr>
          <w:trHeight w:val="193"/>
        </w:trPr>
        <w:tc>
          <w:tcPr>
            <w:tcW w:w="4520" w:type="dxa"/>
            <w:vAlign w:val="bottom"/>
            <w:gridSpan w:val="2"/>
          </w:tcPr>
          <w:p>
            <w:pPr>
              <w:ind w:left="20"/>
              <w:spacing w:after="0"/>
              <w:rPr>
                <w:sz w:val="20"/>
                <w:szCs w:val="20"/>
                <w:color w:val="auto"/>
              </w:rPr>
            </w:pPr>
            <w:r>
              <w:rPr>
                <w:rFonts w:ascii="Arial" w:cs="Arial" w:eastAsia="Arial" w:hAnsi="Arial"/>
                <w:sz w:val="14"/>
                <w:szCs w:val="14"/>
                <w:color w:val="auto"/>
              </w:rPr>
              <w:t>Free cash flow</w:t>
            </w:r>
          </w:p>
        </w:tc>
        <w:tc>
          <w:tcPr>
            <w:tcW w:w="160" w:type="dxa"/>
            <w:vAlign w:val="bottom"/>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118</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141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355</w:t>
            </w:r>
          </w:p>
        </w:tc>
        <w:tc>
          <w:tcPr>
            <w:tcW w:w="2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468</w:t>
            </w:r>
          </w:p>
        </w:tc>
        <w:tc>
          <w:tcPr>
            <w:tcW w:w="0" w:type="dxa"/>
            <w:vAlign w:val="bottom"/>
          </w:tcPr>
          <w:p>
            <w:pPr>
              <w:spacing w:after="0"/>
              <w:rPr>
                <w:sz w:val="1"/>
                <w:szCs w:val="1"/>
                <w:color w:val="auto"/>
              </w:rPr>
            </w:pPr>
          </w:p>
        </w:tc>
      </w:tr>
      <w:tr>
        <w:trPr>
          <w:trHeight w:val="201"/>
        </w:trPr>
        <w:tc>
          <w:tcPr>
            <w:tcW w:w="4520" w:type="dxa"/>
            <w:vAlign w:val="bottom"/>
            <w:gridSpan w:val="2"/>
          </w:tcPr>
          <w:p>
            <w:pPr>
              <w:ind w:left="20"/>
              <w:spacing w:after="0"/>
              <w:rPr>
                <w:sz w:val="20"/>
                <w:szCs w:val="20"/>
                <w:color w:val="auto"/>
              </w:rPr>
            </w:pPr>
            <w:r>
              <w:rPr>
                <w:rFonts w:ascii="Arial" w:cs="Arial" w:eastAsia="Arial" w:hAnsi="Arial"/>
                <w:sz w:val="14"/>
                <w:szCs w:val="14"/>
                <w:color w:val="auto"/>
              </w:rPr>
              <w:t>Add: Aera merger related costs</w:t>
            </w:r>
          </w:p>
        </w:tc>
        <w:tc>
          <w:tcPr>
            <w:tcW w:w="160" w:type="dxa"/>
            <w:vAlign w:val="bottom"/>
          </w:tcPr>
          <w:p>
            <w:pPr>
              <w:spacing w:after="0"/>
              <w:rPr>
                <w:sz w:val="17"/>
                <w:szCs w:val="17"/>
                <w:color w:val="auto"/>
              </w:rPr>
            </w:pPr>
          </w:p>
        </w:tc>
        <w:tc>
          <w:tcPr>
            <w:tcW w:w="112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4"/>
        </w:trPr>
        <w:tc>
          <w:tcPr>
            <w:tcW w:w="4520" w:type="dxa"/>
            <w:vAlign w:val="bottom"/>
            <w:gridSpan w:val="2"/>
          </w:tcPr>
          <w:p>
            <w:pPr>
              <w:ind w:left="20"/>
              <w:spacing w:after="0"/>
              <w:rPr>
                <w:sz w:val="20"/>
                <w:szCs w:val="20"/>
                <w:color w:val="auto"/>
              </w:rPr>
            </w:pPr>
            <w:r>
              <w:rPr>
                <w:rFonts w:ascii="Arial" w:cs="Arial" w:eastAsia="Arial" w:hAnsi="Arial"/>
                <w:sz w:val="14"/>
                <w:szCs w:val="14"/>
                <w:b w:val="1"/>
                <w:bCs w:val="1"/>
                <w:color w:val="auto"/>
              </w:rPr>
              <w:t>Free cash flow after special items</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119</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171</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w:t>
            </w:r>
          </w:p>
        </w:tc>
        <w:tc>
          <w:tcPr>
            <w:tcW w:w="16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412</w:t>
            </w:r>
          </w:p>
        </w:tc>
        <w:tc>
          <w:tcPr>
            <w:tcW w:w="2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240"/>
          </w:cols>
          <w:pgMar w:left="320" w:top="1103"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215900</wp:posOffset>
            </wp:positionH>
            <wp:positionV relativeFrom="page">
              <wp:posOffset>664210</wp:posOffset>
            </wp:positionV>
            <wp:extent cx="71170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7080" cy="8255"/>
                    </a:xfrm>
                    <a:prstGeom prst="rect">
                      <a:avLst/>
                    </a:prstGeom>
                    <a:noFill/>
                  </pic:spPr>
                </pic:pic>
              </a:graphicData>
            </a:graphic>
          </wp:anchor>
        </w:drawing>
        <w:drawing>
          <wp:anchor simplePos="0" relativeHeight="251657728" behindDoc="1" locked="0" layoutInCell="0" allowOverlap="1">
            <wp:simplePos x="0" y="0"/>
            <wp:positionH relativeFrom="page">
              <wp:posOffset>215900</wp:posOffset>
            </wp:positionH>
            <wp:positionV relativeFrom="page">
              <wp:posOffset>689610</wp:posOffset>
            </wp:positionV>
            <wp:extent cx="71170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7080" cy="8255"/>
                    </a:xfrm>
                    <a:prstGeom prst="rect">
                      <a:avLst/>
                    </a:prstGeom>
                    <a:noFill/>
                  </pic:spPr>
                </pic:pic>
              </a:graphicData>
            </a:graphic>
          </wp:anchor>
        </w:drawing>
        <w:t>ADJUSTED GENERAL &amp; ADMINISTRATIVE EXPENSES</w:t>
      </w:r>
    </w:p>
    <w:p>
      <w:pPr>
        <w:spacing w:after="0" w:line="132" w:lineRule="exact"/>
        <w:rPr>
          <w:sz w:val="20"/>
          <w:szCs w:val="20"/>
          <w:color w:val="auto"/>
        </w:rPr>
      </w:pPr>
    </w:p>
    <w:p>
      <w:pPr>
        <w:ind w:left="20" w:right="40"/>
        <w:spacing w:after="0" w:line="279" w:lineRule="auto"/>
        <w:rPr>
          <w:sz w:val="20"/>
          <w:szCs w:val="20"/>
          <w:color w:val="auto"/>
        </w:rPr>
      </w:pPr>
      <w:r>
        <w:rPr>
          <w:rFonts w:ascii="Arial" w:cs="Arial" w:eastAsia="Arial" w:hAnsi="Arial"/>
          <w:sz w:val="14"/>
          <w:szCs w:val="14"/>
          <w:color w:val="auto"/>
        </w:rPr>
        <w:t>Management uses a measure called adjusted general and administrative (G&amp;A) expenses and adjusted G&amp;A per BOE to provide useful information to investors interested in comparing CRC's costs between periods and performance to its peers.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 Year</w:t>
            </w:r>
          </w:p>
        </w:tc>
        <w:tc>
          <w:tcPr>
            <w:tcW w:w="200" w:type="dxa"/>
            <w:vAlign w:val="bottom"/>
          </w:tcPr>
          <w:p>
            <w:pPr>
              <w:spacing w:after="0"/>
              <w:rPr>
                <w:sz w:val="16"/>
                <w:szCs w:val="16"/>
                <w:color w:val="auto"/>
              </w:rPr>
            </w:pPr>
          </w:p>
        </w:tc>
        <w:tc>
          <w:tcPr>
            <w:tcW w:w="1080" w:type="dxa"/>
            <w:vAlign w:val="bottom"/>
          </w:tcPr>
          <w:p>
            <w:pPr>
              <w:jc w:val="right"/>
              <w:ind w:right="229"/>
              <w:spacing w:after="0"/>
              <w:rPr>
                <w:sz w:val="20"/>
                <w:szCs w:val="20"/>
                <w:color w:val="auto"/>
              </w:rPr>
            </w:pPr>
            <w:r>
              <w:rPr>
                <w:rFonts w:ascii="Arial" w:cs="Arial" w:eastAsia="Arial" w:hAnsi="Arial"/>
                <w:sz w:val="14"/>
                <w:szCs w:val="14"/>
                <w:b w:val="1"/>
                <w:bCs w:val="1"/>
                <w:color w:val="auto"/>
              </w:rPr>
              <w:t>Total Year</w:t>
            </w:r>
          </w:p>
        </w:tc>
      </w:tr>
      <w:tr>
        <w:trPr>
          <w:trHeight w:val="201"/>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2023</w:t>
            </w:r>
          </w:p>
        </w:tc>
      </w:tr>
      <w:tr>
        <w:trPr>
          <w:trHeight w:val="193"/>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General and administrative expenses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95</w:t>
            </w:r>
          </w:p>
        </w:tc>
        <w:tc>
          <w:tcPr>
            <w:tcW w:w="8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106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66</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321</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267</w:t>
            </w:r>
          </w:p>
        </w:tc>
      </w:tr>
      <w:tr>
        <w:trPr>
          <w:trHeight w:val="200"/>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(27)</w:t>
            </w:r>
          </w:p>
        </w:tc>
      </w:tr>
      <w:tr>
        <w:trPr>
          <w:trHeight w:val="200"/>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Information technology infrastructure</w:t>
            </w: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(17)</w:t>
            </w:r>
          </w:p>
        </w:tc>
      </w:tr>
      <w:tr>
        <w:trPr>
          <w:trHeight w:val="200"/>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Accelerated vesting</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r>
      <w:tr>
        <w:trPr>
          <w:trHeight w:val="200"/>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Retention awards</w:t>
            </w: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r>
      <w:tr>
        <w:trPr>
          <w:trHeight w:val="201"/>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r>
        <w:trPr>
          <w:trHeight w:val="194"/>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Adjusted G&amp;A expenses</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85</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279</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218</w:t>
            </w:r>
          </w:p>
        </w:tc>
      </w:tr>
      <w:tr>
        <w:trPr>
          <w:trHeight w:val="20"/>
        </w:trPr>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78"/>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Adjusted G&amp;A per BOE</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6.55</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6.68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7.24</w:t>
            </w:r>
          </w:p>
        </w:tc>
        <w:tc>
          <w:tcPr>
            <w:tcW w:w="1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6.96</w:t>
            </w:r>
          </w:p>
        </w:tc>
        <w:tc>
          <w:tcPr>
            <w:tcW w:w="8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6.96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70326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326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144780</wp:posOffset>
            </wp:positionV>
            <wp:extent cx="70326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32625" cy="825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OPERATING COSTS PER BOE, EXCLUDING EFFECTS OF PSCs</w:t>
      </w:r>
    </w:p>
    <w:p>
      <w:pPr>
        <w:spacing w:after="0" w:line="132" w:lineRule="exact"/>
        <w:rPr>
          <w:sz w:val="20"/>
          <w:szCs w:val="20"/>
          <w:color w:val="auto"/>
        </w:rPr>
      </w:pPr>
    </w:p>
    <w:p>
      <w:pPr>
        <w:jc w:val="both"/>
        <w:ind w:left="20" w:right="20"/>
        <w:spacing w:after="0" w:line="259" w:lineRule="auto"/>
        <w:rPr>
          <w:sz w:val="20"/>
          <w:szCs w:val="20"/>
          <w:color w:val="auto"/>
        </w:rPr>
      </w:pPr>
      <w:r>
        <w:rPr>
          <w:rFonts w:ascii="Arial" w:cs="Arial" w:eastAsia="Arial" w:hAnsi="Arial"/>
          <w:sz w:val="14"/>
          <w:szCs w:val="14"/>
          <w:color w:val="auto"/>
        </w:rPr>
        <w:t>The reporting of PSC-type contracts creates a difference between reported operating costs, which are for the full field, and reported volumes, which are only CRC's net share, inflating the per barrel operating costs. The following table presents operating costs after adjusting for the excess costs attributable to PSCs.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 Year</w:t>
            </w:r>
          </w:p>
        </w:tc>
        <w:tc>
          <w:tcPr>
            <w:tcW w:w="200" w:type="dxa"/>
            <w:vAlign w:val="bottom"/>
          </w:tcPr>
          <w:p>
            <w:pPr>
              <w:spacing w:after="0"/>
              <w:rPr>
                <w:sz w:val="16"/>
                <w:szCs w:val="16"/>
                <w:color w:val="auto"/>
              </w:rPr>
            </w:pPr>
          </w:p>
        </w:tc>
        <w:tc>
          <w:tcPr>
            <w:tcW w:w="1080" w:type="dxa"/>
            <w:vAlign w:val="bottom"/>
          </w:tcPr>
          <w:p>
            <w:pPr>
              <w:jc w:val="right"/>
              <w:ind w:right="229"/>
              <w:spacing w:after="0"/>
              <w:rPr>
                <w:sz w:val="20"/>
                <w:szCs w:val="20"/>
                <w:color w:val="auto"/>
              </w:rPr>
            </w:pPr>
            <w:r>
              <w:rPr>
                <w:rFonts w:ascii="Arial" w:cs="Arial" w:eastAsia="Arial" w:hAnsi="Arial"/>
                <w:sz w:val="14"/>
                <w:szCs w:val="14"/>
                <w:b w:val="1"/>
                <w:bCs w:val="1"/>
                <w:color w:val="auto"/>
              </w:rPr>
              <w:t>Total Year</w:t>
            </w:r>
          </w:p>
        </w:tc>
      </w:tr>
      <w:tr>
        <w:trPr>
          <w:trHeight w:val="201"/>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per BOE)</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2023</w:t>
            </w:r>
          </w:p>
        </w:tc>
      </w:tr>
      <w:tr>
        <w:trPr>
          <w:trHeight w:val="196"/>
        </w:trPr>
        <w:tc>
          <w:tcPr>
            <w:tcW w:w="4500" w:type="dxa"/>
            <w:vAlign w:val="bottom"/>
            <w:gridSpan w:val="2"/>
          </w:tcPr>
          <w:p>
            <w:pPr>
              <w:ind w:left="20"/>
              <w:spacing w:after="0" w:line="195" w:lineRule="exact"/>
              <w:rPr>
                <w:sz w:val="20"/>
                <w:szCs w:val="20"/>
                <w:color w:val="auto"/>
              </w:rPr>
            </w:pPr>
            <w:r>
              <w:rPr>
                <w:rFonts w:ascii="Arial" w:cs="Arial" w:eastAsia="Arial" w:hAnsi="Arial"/>
                <w:sz w:val="14"/>
                <w:szCs w:val="14"/>
                <w:color w:val="auto"/>
              </w:rPr>
              <w:t xml:space="preserve">Energy operating costs </w:t>
            </w:r>
            <w:r>
              <w:rPr>
                <w:rFonts w:ascii="Arial" w:cs="Arial" w:eastAsia="Arial" w:hAnsi="Arial"/>
                <w:sz w:val="18"/>
                <w:szCs w:val="18"/>
                <w:color w:val="auto"/>
                <w:vertAlign w:val="superscript"/>
              </w:rPr>
              <w:t>(1)</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7.70</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7.29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8.65</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7.38</w:t>
            </w:r>
          </w:p>
        </w:tc>
        <w:tc>
          <w:tcPr>
            <w:tcW w:w="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10.31</w:t>
            </w:r>
          </w:p>
        </w:tc>
      </w:tr>
      <w:tr>
        <w:trPr>
          <w:trHeight w:val="200"/>
        </w:trPr>
        <w:tc>
          <w:tcPr>
            <w:tcW w:w="4500" w:type="dxa"/>
            <w:vAlign w:val="bottom"/>
            <w:gridSpan w:val="2"/>
          </w:tcPr>
          <w:p>
            <w:pPr>
              <w:ind w:left="20"/>
              <w:spacing w:after="0" w:line="200" w:lineRule="exact"/>
              <w:rPr>
                <w:sz w:val="20"/>
                <w:szCs w:val="20"/>
                <w:color w:val="auto"/>
              </w:rPr>
            </w:pPr>
            <w:r>
              <w:rPr>
                <w:rFonts w:ascii="Arial" w:cs="Arial" w:eastAsia="Arial" w:hAnsi="Arial"/>
                <w:sz w:val="14"/>
                <w:szCs w:val="14"/>
                <w:color w:val="auto"/>
              </w:rPr>
              <w:t xml:space="preserve">Gas processing costs </w:t>
            </w:r>
            <w:r>
              <w:rPr>
                <w:rFonts w:ascii="Arial" w:cs="Arial" w:eastAsia="Arial" w:hAnsi="Arial"/>
                <w:sz w:val="18"/>
                <w:szCs w:val="18"/>
                <w:color w:val="auto"/>
                <w:vertAlign w:val="superscript"/>
              </w:rPr>
              <w:t>(2)</w:t>
            </w:r>
          </w:p>
        </w:tc>
        <w:tc>
          <w:tcPr>
            <w:tcW w:w="18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0.31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0.38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0.40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0.58</w:t>
            </w:r>
          </w:p>
        </w:tc>
      </w:tr>
      <w:tr>
        <w:trPr>
          <w:trHeight w:val="198"/>
        </w:trPr>
        <w:tc>
          <w:tcPr>
            <w:tcW w:w="4500" w:type="dxa"/>
            <w:vAlign w:val="bottom"/>
            <w:gridSpan w:val="2"/>
          </w:tcPr>
          <w:p>
            <w:pPr>
              <w:ind w:left="20"/>
              <w:spacing w:after="0" w:line="198" w:lineRule="exact"/>
              <w:rPr>
                <w:sz w:val="20"/>
                <w:szCs w:val="20"/>
                <w:color w:val="auto"/>
              </w:rPr>
            </w:pPr>
            <w:r>
              <w:rPr>
                <w:rFonts w:ascii="Arial" w:cs="Arial" w:eastAsia="Arial" w:hAnsi="Arial"/>
                <w:sz w:val="14"/>
                <w:szCs w:val="14"/>
                <w:color w:val="auto"/>
              </w:rPr>
              <w:t>Non-energy operating costs</w:t>
            </w:r>
            <w:r>
              <w:rPr>
                <w:rFonts w:ascii="Arial" w:cs="Arial" w:eastAsia="Arial" w:hAnsi="Arial"/>
                <w:sz w:val="18"/>
                <w:szCs w:val="18"/>
                <w:color w:val="auto"/>
                <w:vertAlign w:val="superscript"/>
              </w:rPr>
              <w:t>(3)</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17.34</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16.06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15.24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16.73</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15.35</w:t>
            </w:r>
          </w:p>
        </w:tc>
      </w:tr>
      <w:tr>
        <w:trPr>
          <w:trHeight w:val="192"/>
        </w:trPr>
        <w:tc>
          <w:tcPr>
            <w:tcW w:w="450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 costs</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25.35</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23.73</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24.49</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24.51</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26.24</w:t>
            </w:r>
          </w:p>
        </w:tc>
      </w:tr>
      <w:tr>
        <w:trPr>
          <w:trHeight w:val="387"/>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Costs attributable to PSCs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6"/>
        </w:trPr>
        <w:tc>
          <w:tcPr>
            <w:tcW w:w="4500" w:type="dxa"/>
            <w:vAlign w:val="bottom"/>
            <w:gridSpan w:val="2"/>
          </w:tcPr>
          <w:p>
            <w:pPr>
              <w:ind w:left="140"/>
              <w:spacing w:after="0"/>
              <w:rPr>
                <w:sz w:val="20"/>
                <w:szCs w:val="20"/>
                <w:color w:val="auto"/>
              </w:rPr>
            </w:pPr>
            <w:r>
              <w:rPr>
                <w:rFonts w:ascii="Arial" w:cs="Arial" w:eastAsia="Arial" w:hAnsi="Arial"/>
                <w:sz w:val="14"/>
                <w:szCs w:val="14"/>
                <w:color w:val="auto"/>
              </w:rPr>
              <w:t>Excess energy operating costs attributable to PSCs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(0.46)</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(0.75)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(1.01)</w:t>
            </w:r>
          </w:p>
        </w:tc>
        <w:tc>
          <w:tcPr>
            <w:tcW w:w="1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(0.64)</w:t>
            </w:r>
          </w:p>
        </w:tc>
        <w:tc>
          <w:tcPr>
            <w:tcW w:w="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(1.00)</w:t>
            </w:r>
          </w:p>
        </w:tc>
      </w:tr>
      <w:tr>
        <w:trPr>
          <w:trHeight w:val="200"/>
        </w:trPr>
        <w:tc>
          <w:tcPr>
            <w:tcW w:w="4500" w:type="dxa"/>
            <w:vAlign w:val="bottom"/>
            <w:gridSpan w:val="2"/>
          </w:tcPr>
          <w:p>
            <w:pPr>
              <w:ind w:left="140"/>
              <w:spacing w:after="0"/>
              <w:rPr>
                <w:sz w:val="20"/>
                <w:szCs w:val="20"/>
                <w:color w:val="auto"/>
              </w:rPr>
            </w:pPr>
            <w:r>
              <w:rPr>
                <w:rFonts w:ascii="Arial" w:cs="Arial" w:eastAsia="Arial" w:hAnsi="Arial"/>
                <w:sz w:val="14"/>
                <w:szCs w:val="14"/>
                <w:color w:val="auto"/>
              </w:rPr>
              <w:t>Excess non-energy operating costs attributable to PSCs</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(0.76)</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(0.48)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w:t>
            </w:r>
          </w:p>
        </w:tc>
      </w:tr>
      <w:tr>
        <w:trPr>
          <w:trHeight w:val="193"/>
        </w:trPr>
        <w:tc>
          <w:tcPr>
            <w:tcW w:w="4500" w:type="dxa"/>
            <w:vAlign w:val="bottom"/>
            <w:gridSpan w:val="2"/>
          </w:tcPr>
          <w:p>
            <w:pPr>
              <w:ind w:left="260"/>
              <w:spacing w:after="0"/>
              <w:rPr>
                <w:sz w:val="20"/>
                <w:szCs w:val="20"/>
                <w:color w:val="auto"/>
              </w:rPr>
            </w:pPr>
            <w:r>
              <w:rPr>
                <w:rFonts w:ascii="Arial" w:cs="Arial" w:eastAsia="Arial" w:hAnsi="Arial"/>
                <w:sz w:val="14"/>
                <w:szCs w:val="14"/>
                <w:b w:val="1"/>
                <w:bCs w:val="1"/>
                <w:color w:val="auto"/>
              </w:rPr>
              <w:t>Excess costs attributable to PSCs</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(2.33)</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(1.67)</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(2.25)</w:t>
            </w:r>
          </w:p>
        </w:tc>
      </w:tr>
      <w:tr>
        <w:trPr>
          <w:trHeight w:val="396"/>
        </w:trPr>
        <w:tc>
          <w:tcPr>
            <w:tcW w:w="4500" w:type="dxa"/>
            <w:vAlign w:val="bottom"/>
            <w:gridSpan w:val="2"/>
          </w:tcPr>
          <w:p>
            <w:pPr>
              <w:ind w:left="140"/>
              <w:spacing w:after="0"/>
              <w:rPr>
                <w:sz w:val="20"/>
                <w:szCs w:val="20"/>
                <w:color w:val="auto"/>
              </w:rPr>
            </w:pPr>
            <w:r>
              <w:rPr>
                <w:rFonts w:ascii="Arial" w:cs="Arial" w:eastAsia="Arial" w:hAnsi="Arial"/>
                <w:sz w:val="14"/>
                <w:szCs w:val="14"/>
                <w:color w:val="auto"/>
              </w:rPr>
              <w:t xml:space="preserve">Energy operating costs, excluding effect of PSCs </w:t>
            </w:r>
            <w:r>
              <w:rPr>
                <w:rFonts w:ascii="Arial" w:cs="Arial" w:eastAsia="Arial" w:hAnsi="Arial"/>
                <w:sz w:val="18"/>
                <w:szCs w:val="18"/>
                <w:color w:val="auto"/>
                <w:vertAlign w:val="superscript"/>
              </w:rPr>
              <w:t>(1)</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7.24</w:t>
            </w:r>
          </w:p>
        </w:tc>
        <w:tc>
          <w:tcPr>
            <w:tcW w:w="8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6.54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7.64</w:t>
            </w:r>
          </w:p>
        </w:tc>
        <w:tc>
          <w:tcPr>
            <w:tcW w:w="1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6.74</w:t>
            </w:r>
          </w:p>
        </w:tc>
        <w:tc>
          <w:tcPr>
            <w:tcW w:w="8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9.31</w:t>
            </w:r>
          </w:p>
        </w:tc>
      </w:tr>
      <w:tr>
        <w:trPr>
          <w:trHeight w:val="200"/>
        </w:trPr>
        <w:tc>
          <w:tcPr>
            <w:tcW w:w="4500" w:type="dxa"/>
            <w:vAlign w:val="bottom"/>
            <w:gridSpan w:val="2"/>
          </w:tcPr>
          <w:p>
            <w:pPr>
              <w:ind w:left="140"/>
              <w:spacing w:after="0" w:line="200" w:lineRule="exact"/>
              <w:rPr>
                <w:sz w:val="20"/>
                <w:szCs w:val="20"/>
                <w:color w:val="auto"/>
              </w:rPr>
            </w:pPr>
            <w:r>
              <w:rPr>
                <w:rFonts w:ascii="Arial" w:cs="Arial" w:eastAsia="Arial" w:hAnsi="Arial"/>
                <w:sz w:val="14"/>
                <w:szCs w:val="14"/>
                <w:color w:val="auto"/>
              </w:rPr>
              <w:t xml:space="preserve">Gas processing costs, excluding effect of PSCs </w:t>
            </w:r>
            <w:r>
              <w:rPr>
                <w:rFonts w:ascii="Arial" w:cs="Arial" w:eastAsia="Arial" w:hAnsi="Arial"/>
                <w:sz w:val="18"/>
                <w:szCs w:val="18"/>
                <w:color w:val="auto"/>
                <w:vertAlign w:val="superscript"/>
              </w:rPr>
              <w:t>(2)</w:t>
            </w:r>
          </w:p>
        </w:tc>
        <w:tc>
          <w:tcPr>
            <w:tcW w:w="180" w:type="dxa"/>
            <w:vAlign w:val="bottom"/>
          </w:tcPr>
          <w:p>
            <w:pPr>
              <w:spacing w:after="0"/>
              <w:rPr>
                <w:sz w:val="17"/>
                <w:szCs w:val="17"/>
                <w:color w:val="auto"/>
              </w:rPr>
            </w:pPr>
          </w:p>
        </w:tc>
        <w:tc>
          <w:tcPr>
            <w:tcW w:w="1100" w:type="dxa"/>
            <w:vAlign w:val="bottom"/>
          </w:tcPr>
          <w:p>
            <w:pPr>
              <w:jc w:val="right"/>
              <w:ind w:right="9"/>
              <w:spacing w:after="0"/>
              <w:rPr>
                <w:sz w:val="20"/>
                <w:szCs w:val="20"/>
                <w:color w:val="auto"/>
              </w:rPr>
            </w:pPr>
            <w:r>
              <w:rPr>
                <w:rFonts w:ascii="Arial" w:cs="Arial" w:eastAsia="Arial" w:hAnsi="Arial"/>
                <w:sz w:val="14"/>
                <w:szCs w:val="14"/>
                <w:b w:val="1"/>
                <w:bCs w:val="1"/>
                <w:color w:val="auto"/>
              </w:rPr>
              <w:t>0.31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0.38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b w:val="1"/>
                <w:bCs w:val="1"/>
                <w:color w:val="auto"/>
              </w:rPr>
              <w:t>0.40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0.58</w:t>
            </w:r>
          </w:p>
        </w:tc>
      </w:tr>
      <w:tr>
        <w:trPr>
          <w:trHeight w:val="198"/>
        </w:trPr>
        <w:tc>
          <w:tcPr>
            <w:tcW w:w="4500" w:type="dxa"/>
            <w:vAlign w:val="bottom"/>
            <w:gridSpan w:val="2"/>
          </w:tcPr>
          <w:p>
            <w:pPr>
              <w:ind w:left="140"/>
              <w:spacing w:after="0" w:line="198" w:lineRule="exact"/>
              <w:rPr>
                <w:sz w:val="20"/>
                <w:szCs w:val="20"/>
                <w:color w:val="auto"/>
              </w:rPr>
            </w:pPr>
            <w:r>
              <w:rPr>
                <w:rFonts w:ascii="Arial" w:cs="Arial" w:eastAsia="Arial" w:hAnsi="Arial"/>
                <w:sz w:val="14"/>
                <w:szCs w:val="14"/>
                <w:color w:val="auto"/>
              </w:rPr>
              <w:t xml:space="preserve">Non-energy operating costs, excluding effect of PSCs </w:t>
            </w:r>
            <w:r>
              <w:rPr>
                <w:rFonts w:ascii="Arial" w:cs="Arial" w:eastAsia="Arial" w:hAnsi="Arial"/>
                <w:sz w:val="18"/>
                <w:szCs w:val="18"/>
                <w:color w:val="auto"/>
                <w:vertAlign w:val="superscript"/>
              </w:rPr>
              <w:t>(3)</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16.58</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15.58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13.92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15.70</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14.10</w:t>
            </w:r>
          </w:p>
        </w:tc>
      </w:tr>
      <w:tr>
        <w:trPr>
          <w:trHeight w:val="193"/>
        </w:trPr>
        <w:tc>
          <w:tcPr>
            <w:tcW w:w="450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costs, excluding effects of PSCs</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24.13</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22.50</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22.16</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22.84</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23.99</w:t>
            </w:r>
          </w:p>
        </w:tc>
      </w:tr>
      <w:tr>
        <w:trPr>
          <w:trHeight w:val="20"/>
        </w:trPr>
        <w:tc>
          <w:tcPr>
            <w:tcW w:w="4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20" w:right="320" w:hanging="2"/>
        <w:spacing w:after="0" w:line="212" w:lineRule="auto"/>
        <w:tabs>
          <w:tab w:leader="none" w:pos="153"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Energy operating costs consist of purchased natural gas used to generate electricity for operations and steamfloods, purchased electricity and internal costs to generate electricity used in CRC's operations.</w:t>
      </w:r>
    </w:p>
    <w:p>
      <w:pPr>
        <w:spacing w:after="0" w:line="14" w:lineRule="exact"/>
        <w:rPr>
          <w:rFonts w:ascii="Arial" w:cs="Arial" w:eastAsia="Arial" w:hAnsi="Arial"/>
          <w:sz w:val="16"/>
          <w:szCs w:val="16"/>
          <w:color w:val="auto"/>
          <w:vertAlign w:val="superscript"/>
        </w:rPr>
      </w:pPr>
    </w:p>
    <w:p>
      <w:pPr>
        <w:ind w:left="140" w:hanging="122"/>
        <w:spacing w:after="0"/>
        <w:tabs>
          <w:tab w:leader="none" w:pos="140" w:val="left"/>
        </w:tabs>
        <w:numPr>
          <w:ilvl w:val="0"/>
          <w:numId w:val="15"/>
        </w:numPr>
        <w:rPr>
          <w:rFonts w:ascii="Arial" w:cs="Arial" w:eastAsia="Arial" w:hAnsi="Arial"/>
          <w:sz w:val="15"/>
          <w:szCs w:val="15"/>
          <w:color w:val="auto"/>
          <w:vertAlign w:val="superscript"/>
        </w:rPr>
      </w:pPr>
      <w:r>
        <w:rPr>
          <w:rFonts w:ascii="Arial" w:cs="Arial" w:eastAsia="Arial" w:hAnsi="Arial"/>
          <w:sz w:val="12"/>
          <w:szCs w:val="12"/>
          <w:color w:val="auto"/>
        </w:rPr>
        <w:t>Gas processing costs include costs associated with compression, maintenance and other activities needed to run CRC's gas processing facilities at Elk Hills.</w:t>
      </w:r>
    </w:p>
    <w:p>
      <w:pPr>
        <w:spacing w:after="0" w:line="20" w:lineRule="exact"/>
        <w:rPr>
          <w:rFonts w:ascii="Arial" w:cs="Arial" w:eastAsia="Arial" w:hAnsi="Arial"/>
          <w:sz w:val="15"/>
          <w:szCs w:val="15"/>
          <w:color w:val="auto"/>
          <w:vertAlign w:val="superscript"/>
        </w:rPr>
      </w:pPr>
    </w:p>
    <w:p>
      <w:pPr>
        <w:ind w:left="140" w:hanging="122"/>
        <w:spacing w:after="0" w:line="212" w:lineRule="auto"/>
        <w:tabs>
          <w:tab w:leader="none" w:pos="140" w:val="left"/>
        </w:tabs>
        <w:numPr>
          <w:ilvl w:val="0"/>
          <w:numId w:val="15"/>
        </w:numPr>
        <w:rPr>
          <w:rFonts w:ascii="Arial" w:cs="Arial" w:eastAsia="Arial" w:hAnsi="Arial"/>
          <w:sz w:val="15"/>
          <w:szCs w:val="15"/>
          <w:color w:val="auto"/>
          <w:vertAlign w:val="superscript"/>
        </w:rPr>
      </w:pPr>
      <w:r>
        <w:rPr>
          <w:rFonts w:ascii="Arial" w:cs="Arial" w:eastAsia="Arial" w:hAnsi="Arial"/>
          <w:sz w:val="12"/>
          <w:szCs w:val="12"/>
          <w:color w:val="auto"/>
        </w:rPr>
        <w:t>Non-energy operating costs equal total operating costs less energy operating costs and gas processing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080"/>
          </w:cols>
          <w:pgMar w:left="340" w:top="1103" w:right="47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224155</wp:posOffset>
            </wp:positionH>
            <wp:positionV relativeFrom="page">
              <wp:posOffset>664210</wp:posOffset>
            </wp:positionV>
            <wp:extent cx="71088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8825" cy="8255"/>
                    </a:xfrm>
                    <a:prstGeom prst="rect">
                      <a:avLst/>
                    </a:prstGeom>
                    <a:noFill/>
                  </pic:spPr>
                </pic:pic>
              </a:graphicData>
            </a:graphic>
          </wp:anchor>
        </w:drawing>
        <w:drawing>
          <wp:anchor simplePos="0" relativeHeight="251657728" behindDoc="1" locked="0" layoutInCell="0" allowOverlap="1">
            <wp:simplePos x="0" y="0"/>
            <wp:positionH relativeFrom="page">
              <wp:posOffset>224155</wp:posOffset>
            </wp:positionH>
            <wp:positionV relativeFrom="page">
              <wp:posOffset>689610</wp:posOffset>
            </wp:positionV>
            <wp:extent cx="71088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8825" cy="8255"/>
                    </a:xfrm>
                    <a:prstGeom prst="rect">
                      <a:avLst/>
                    </a:prstGeom>
                    <a:noFill/>
                  </pic:spPr>
                </pic:pic>
              </a:graphicData>
            </a:graphic>
          </wp:anchor>
        </w:drawing>
        <w:t>PV-10 AND STANDARDIZED MEASURE</w:t>
      </w:r>
    </w:p>
    <w:p>
      <w:pPr>
        <w:spacing w:after="0" w:line="265" w:lineRule="exact"/>
        <w:rPr>
          <w:sz w:val="20"/>
          <w:szCs w:val="20"/>
          <w:color w:val="auto"/>
        </w:rPr>
      </w:pPr>
    </w:p>
    <w:p>
      <w:pPr>
        <w:ind w:right="100"/>
        <w:spacing w:after="0" w:line="279" w:lineRule="auto"/>
        <w:rPr>
          <w:sz w:val="20"/>
          <w:szCs w:val="20"/>
          <w:color w:val="auto"/>
        </w:rPr>
      </w:pPr>
      <w:r>
        <w:rPr>
          <w:rFonts w:ascii="Arial" w:cs="Arial" w:eastAsia="Arial" w:hAnsi="Arial"/>
          <w:sz w:val="14"/>
          <w:szCs w:val="14"/>
          <w:color w:val="auto"/>
        </w:rPr>
        <w:t>The following table presents a reconciliation of the standardized measure of discounted future net cash flows (Standardized Measure) to the non-GAAP financial measure of PV-10 of cash flows: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40" w:type="dxa"/>
            <w:vAlign w:val="bottom"/>
            <w:gridSpan w:val="2"/>
          </w:tcPr>
          <w:p>
            <w:pPr>
              <w:spacing w:after="0"/>
              <w:rPr>
                <w:sz w:val="20"/>
                <w:szCs w:val="20"/>
                <w:color w:val="auto"/>
              </w:rPr>
            </w:pPr>
            <w:r>
              <w:rPr>
                <w:rFonts w:ascii="Arial" w:cs="Arial" w:eastAsia="Arial" w:hAnsi="Arial"/>
                <w:sz w:val="14"/>
                <w:szCs w:val="14"/>
                <w:color w:val="auto"/>
              </w:rPr>
              <w:t>($ millions)</w:t>
            </w:r>
          </w:p>
        </w:tc>
        <w:tc>
          <w:tcPr>
            <w:tcW w:w="360" w:type="dxa"/>
            <w:vAlign w:val="bottom"/>
          </w:tcPr>
          <w:p>
            <w:pPr>
              <w:spacing w:after="0"/>
              <w:rPr>
                <w:sz w:val="16"/>
                <w:szCs w:val="16"/>
                <w:color w:val="auto"/>
              </w:rPr>
            </w:pPr>
          </w:p>
        </w:tc>
        <w:tc>
          <w:tcPr>
            <w:tcW w:w="2480" w:type="dxa"/>
            <w:vAlign w:val="bottom"/>
          </w:tcPr>
          <w:p>
            <w:pPr>
              <w:jc w:val="right"/>
              <w:ind w:right="549"/>
              <w:spacing w:after="0"/>
              <w:rPr>
                <w:sz w:val="20"/>
                <w:szCs w:val="20"/>
                <w:color w:val="auto"/>
              </w:rPr>
            </w:pPr>
            <w:r>
              <w:rPr>
                <w:rFonts w:ascii="Arial" w:cs="Arial" w:eastAsia="Arial" w:hAnsi="Arial"/>
                <w:sz w:val="14"/>
                <w:szCs w:val="14"/>
                <w:color w:val="auto"/>
              </w:rPr>
              <w:t>As of December 31, 2024</w:t>
            </w:r>
          </w:p>
        </w:tc>
      </w:tr>
      <w:tr>
        <w:trPr>
          <w:trHeight w:val="21"/>
        </w:trPr>
        <w:tc>
          <w:tcPr>
            <w:tcW w:w="8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r>
        <w:trPr>
          <w:trHeight w:val="199"/>
        </w:trPr>
        <w:tc>
          <w:tcPr>
            <w:tcW w:w="8340" w:type="dxa"/>
            <w:vAlign w:val="bottom"/>
            <w:gridSpan w:val="2"/>
          </w:tcPr>
          <w:p>
            <w:pPr>
              <w:spacing w:after="0"/>
              <w:rPr>
                <w:sz w:val="20"/>
                <w:szCs w:val="20"/>
                <w:color w:val="auto"/>
              </w:rPr>
            </w:pPr>
            <w:r>
              <w:rPr>
                <w:rFonts w:ascii="Arial" w:cs="Arial" w:eastAsia="Arial" w:hAnsi="Arial"/>
                <w:sz w:val="14"/>
                <w:szCs w:val="14"/>
                <w:color w:val="auto"/>
              </w:rPr>
              <w:t>Standardized Measure</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2480" w:type="dxa"/>
            <w:vAlign w:val="bottom"/>
          </w:tcPr>
          <w:p>
            <w:pPr>
              <w:jc w:val="right"/>
              <w:spacing w:after="0"/>
              <w:rPr>
                <w:sz w:val="20"/>
                <w:szCs w:val="20"/>
                <w:color w:val="auto"/>
              </w:rPr>
            </w:pPr>
            <w:r>
              <w:rPr>
                <w:rFonts w:ascii="Arial" w:cs="Arial" w:eastAsia="Arial" w:hAnsi="Arial"/>
                <w:sz w:val="14"/>
                <w:szCs w:val="14"/>
                <w:color w:val="auto"/>
              </w:rPr>
              <w:t>6,702</w:t>
            </w:r>
          </w:p>
        </w:tc>
      </w:tr>
      <w:tr>
        <w:trPr>
          <w:trHeight w:val="214"/>
        </w:trPr>
        <w:tc>
          <w:tcPr>
            <w:tcW w:w="8340" w:type="dxa"/>
            <w:vAlign w:val="bottom"/>
            <w:gridSpan w:val="2"/>
          </w:tcPr>
          <w:p>
            <w:pPr>
              <w:spacing w:after="0"/>
              <w:rPr>
                <w:sz w:val="20"/>
                <w:szCs w:val="20"/>
                <w:color w:val="auto"/>
              </w:rPr>
            </w:pPr>
            <w:r>
              <w:rPr>
                <w:rFonts w:ascii="Arial" w:cs="Arial" w:eastAsia="Arial" w:hAnsi="Arial"/>
                <w:sz w:val="14"/>
                <w:szCs w:val="14"/>
                <w:color w:val="auto"/>
              </w:rPr>
              <w:t>Present value of future income taxes discounted at 10%</w:t>
            </w:r>
          </w:p>
        </w:tc>
        <w:tc>
          <w:tcPr>
            <w:tcW w:w="3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2,175</w:t>
            </w:r>
          </w:p>
        </w:tc>
      </w:tr>
      <w:tr>
        <w:trPr>
          <w:trHeight w:val="200"/>
        </w:trPr>
        <w:tc>
          <w:tcPr>
            <w:tcW w:w="8340" w:type="dxa"/>
            <w:vAlign w:val="bottom"/>
            <w:gridSpan w:val="2"/>
          </w:tcPr>
          <w:p>
            <w:pPr>
              <w:spacing w:after="0" w:line="200" w:lineRule="exact"/>
              <w:rPr>
                <w:sz w:val="20"/>
                <w:szCs w:val="20"/>
                <w:color w:val="auto"/>
              </w:rPr>
            </w:pPr>
            <w:r>
              <w:rPr>
                <w:rFonts w:ascii="Arial" w:cs="Arial" w:eastAsia="Arial" w:hAnsi="Arial"/>
                <w:sz w:val="14"/>
                <w:szCs w:val="14"/>
                <w:color w:val="auto"/>
              </w:rPr>
              <w:t xml:space="preserve">PV-10 of cash flows </w:t>
            </w:r>
            <w:r>
              <w:rPr>
                <w:rFonts w:ascii="Arial" w:cs="Arial" w:eastAsia="Arial" w:hAnsi="Arial"/>
                <w:sz w:val="22"/>
                <w:szCs w:val="22"/>
                <w:color w:val="auto"/>
                <w:vertAlign w:val="superscript"/>
              </w:rPr>
              <w:t>(*)</w:t>
            </w: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8,877</w:t>
            </w:r>
          </w:p>
        </w:tc>
      </w:tr>
      <w:tr>
        <w:trPr>
          <w:trHeight w:val="20"/>
        </w:trPr>
        <w:tc>
          <w:tcPr>
            <w:tcW w:w="8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right="40" w:firstLine="4"/>
        <w:spacing w:after="0"/>
        <w:tabs>
          <w:tab w:leader="none" w:pos="137"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PV-10 is a non-GAAP financial measure and represents the year-end present value of estimated future cash inflows from proved oil and natural gas reserves, less future development and operating costs, discounted at 10% per annum to reflect the timing of future cash flows and using SEC prescribed pricing assumptions for the period. PV-10 differs from Standardized Measure because Standardized Measure includes the effects of future income taxes on future net cash flows. Neither PV-10 nor Standardized Measure should be construed as the fair value of oil and natural gas reserves. Standardized Measure is prescribed by the SEC as an industry standard asset value measure to compare reserves with consistent pricing costs and discount assumptions. PV-10 facilitates the comparisons to other companies as it is not dependent on the tax-paying status of the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180"/>
          </w:cols>
          <w:pgMar w:left="360" w:top="1103" w:right="3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5"/>
        </w:trPr>
        <w:tc>
          <w:tcPr>
            <w:tcW w:w="3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Attachment 4</w:t>
            </w:r>
          </w:p>
        </w:tc>
      </w:tr>
      <w:tr>
        <w:trPr>
          <w:trHeight w:val="21"/>
        </w:trPr>
        <w:tc>
          <w:tcPr>
            <w:tcW w:w="386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92"/>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PRODUCTION STATISTICS</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53"/>
        </w:trPr>
        <w:tc>
          <w:tcPr>
            <w:tcW w:w="3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4th Quarter</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3rd Quarter</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4th Quarter</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Total Year</w:t>
            </w: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Total Year</w:t>
            </w:r>
          </w:p>
        </w:tc>
      </w:tr>
      <w:tr>
        <w:trPr>
          <w:trHeight w:val="201"/>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Production Per Day</w:t>
            </w:r>
          </w:p>
        </w:tc>
        <w:tc>
          <w:tcPr>
            <w:tcW w:w="14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7"/>
                <w:szCs w:val="17"/>
                <w:color w:val="auto"/>
              </w:rPr>
            </w:pPr>
          </w:p>
        </w:tc>
      </w:tr>
      <w:tr>
        <w:trPr>
          <w:trHeight w:val="193"/>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Oil (MBbl/d)</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0"/>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San Joaquin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86</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90</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100" w:type="dxa"/>
            <w:vAlign w:val="bottom"/>
          </w:tcPr>
          <w:p>
            <w:pPr>
              <w:spacing w:after="0"/>
              <w:rPr>
                <w:sz w:val="17"/>
                <w:szCs w:val="17"/>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58</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33</w:t>
            </w:r>
          </w:p>
        </w:tc>
        <w:tc>
          <w:tcPr>
            <w:tcW w:w="160" w:type="dxa"/>
            <w:vAlign w:val="bottom"/>
          </w:tcPr>
          <w:p>
            <w:pPr>
              <w:spacing w:after="0"/>
              <w:rPr>
                <w:sz w:val="17"/>
                <w:szCs w:val="17"/>
                <w:color w:val="auto"/>
              </w:rPr>
            </w:pPr>
          </w:p>
        </w:tc>
      </w:tr>
      <w:tr>
        <w:trPr>
          <w:trHeight w:val="200"/>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Los Angeles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7"/>
                <w:szCs w:val="17"/>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17</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19</w:t>
            </w:r>
          </w:p>
        </w:tc>
        <w:tc>
          <w:tcPr>
            <w:tcW w:w="160" w:type="dxa"/>
            <w:vAlign w:val="bottom"/>
          </w:tcPr>
          <w:p>
            <w:pPr>
              <w:spacing w:after="0"/>
              <w:rPr>
                <w:sz w:val="17"/>
                <w:szCs w:val="17"/>
                <w:color w:val="auto"/>
              </w:rPr>
            </w:pPr>
          </w:p>
        </w:tc>
      </w:tr>
      <w:tr>
        <w:trPr>
          <w:trHeight w:val="200"/>
        </w:trPr>
        <w:tc>
          <w:tcPr>
            <w:tcW w:w="3860" w:type="dxa"/>
            <w:vAlign w:val="bottom"/>
            <w:gridSpan w:val="2"/>
          </w:tcPr>
          <w:p>
            <w:pPr>
              <w:spacing w:after="0"/>
              <w:rPr>
                <w:sz w:val="20"/>
                <w:szCs w:val="20"/>
                <w:color w:val="auto"/>
              </w:rPr>
            </w:pPr>
            <w:r>
              <w:rPr>
                <w:rFonts w:ascii="Arial" w:cs="Arial" w:eastAsia="Arial" w:hAnsi="Arial"/>
                <w:sz w:val="14"/>
                <w:szCs w:val="14"/>
                <w:color w:val="auto"/>
              </w:rPr>
              <w:t>Other Basins</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r>
      <w:tr>
        <w:trPr>
          <w:trHeight w:val="193"/>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112</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113</w:t>
            </w:r>
          </w:p>
        </w:tc>
        <w:tc>
          <w:tcPr>
            <w:tcW w:w="100" w:type="dxa"/>
            <w:vAlign w:val="bottom"/>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16"/>
                <w:szCs w:val="16"/>
                <w:color w:val="auto"/>
              </w:rPr>
            </w:pPr>
          </w:p>
        </w:tc>
        <w:tc>
          <w:tcPr>
            <w:tcW w:w="14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80</w:t>
            </w:r>
          </w:p>
        </w:tc>
        <w:tc>
          <w:tcPr>
            <w:tcW w:w="80" w:type="dxa"/>
            <w:vAlign w:val="bottom"/>
          </w:tcPr>
          <w:p>
            <w:pPr>
              <w:spacing w:after="0"/>
              <w:rPr>
                <w:sz w:val="16"/>
                <w:szCs w:val="16"/>
                <w:color w:val="auto"/>
              </w:rPr>
            </w:pPr>
          </w:p>
        </w:tc>
        <w:tc>
          <w:tcPr>
            <w:tcW w:w="13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52</w:t>
            </w:r>
          </w:p>
        </w:tc>
        <w:tc>
          <w:tcPr>
            <w:tcW w:w="160" w:type="dxa"/>
            <w:vAlign w:val="bottom"/>
          </w:tcPr>
          <w:p>
            <w:pPr>
              <w:spacing w:after="0"/>
              <w:rPr>
                <w:sz w:val="16"/>
                <w:szCs w:val="16"/>
                <w:color w:val="auto"/>
              </w:rPr>
            </w:pPr>
          </w:p>
        </w:tc>
      </w:tr>
      <w:tr>
        <w:trPr>
          <w:trHeight w:val="360"/>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NGLs (MBbl/d)</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0"/>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San Joaquin Basin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w:t>
            </w:r>
          </w:p>
        </w:tc>
        <w:tc>
          <w:tcPr>
            <w:tcW w:w="160" w:type="dxa"/>
            <w:vAlign w:val="bottom"/>
          </w:tcPr>
          <w:p>
            <w:pPr>
              <w:spacing w:after="0"/>
              <w:rPr>
                <w:sz w:val="17"/>
                <w:szCs w:val="17"/>
                <w:color w:val="auto"/>
              </w:rPr>
            </w:pPr>
          </w:p>
        </w:tc>
      </w:tr>
      <w:tr>
        <w:trPr>
          <w:trHeight w:val="193"/>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6"/>
                <w:szCs w:val="16"/>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11</w:t>
            </w:r>
          </w:p>
        </w:tc>
        <w:tc>
          <w:tcPr>
            <w:tcW w:w="160" w:type="dxa"/>
            <w:vAlign w:val="bottom"/>
          </w:tcPr>
          <w:p>
            <w:pPr>
              <w:spacing w:after="0"/>
              <w:rPr>
                <w:sz w:val="16"/>
                <w:szCs w:val="16"/>
                <w:color w:val="auto"/>
              </w:rPr>
            </w:pPr>
          </w:p>
        </w:tc>
      </w:tr>
      <w:tr>
        <w:trPr>
          <w:trHeight w:val="360"/>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Natural Gas (MMcf/d)</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0"/>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San Joaquin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111</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114</w:t>
            </w:r>
          </w:p>
        </w:tc>
        <w:tc>
          <w:tcPr>
            <w:tcW w:w="100" w:type="dxa"/>
            <w:vAlign w:val="bottom"/>
          </w:tcPr>
          <w:p>
            <w:pPr>
              <w:spacing w:after="0"/>
              <w:rPr>
                <w:sz w:val="17"/>
                <w:szCs w:val="17"/>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99</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119</w:t>
            </w:r>
          </w:p>
        </w:tc>
        <w:tc>
          <w:tcPr>
            <w:tcW w:w="160" w:type="dxa"/>
            <w:vAlign w:val="bottom"/>
          </w:tcPr>
          <w:p>
            <w:pPr>
              <w:spacing w:after="0"/>
              <w:rPr>
                <w:sz w:val="17"/>
                <w:szCs w:val="17"/>
                <w:color w:val="auto"/>
              </w:rPr>
            </w:pPr>
          </w:p>
        </w:tc>
      </w:tr>
      <w:tr>
        <w:trPr>
          <w:trHeight w:val="200"/>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Los Angeles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7"/>
                <w:szCs w:val="17"/>
                <w:color w:val="auto"/>
              </w:rPr>
            </w:pPr>
          </w:p>
        </w:tc>
      </w:tr>
      <w:tr>
        <w:trPr>
          <w:trHeight w:val="200"/>
        </w:trPr>
        <w:tc>
          <w:tcPr>
            <w:tcW w:w="3860" w:type="dxa"/>
            <w:vAlign w:val="bottom"/>
            <w:gridSpan w:val="2"/>
          </w:tcPr>
          <w:p>
            <w:pPr>
              <w:spacing w:after="0"/>
              <w:rPr>
                <w:sz w:val="20"/>
                <w:szCs w:val="20"/>
                <w:color w:val="auto"/>
              </w:rPr>
            </w:pPr>
            <w:r>
              <w:rPr>
                <w:rFonts w:ascii="Arial" w:cs="Arial" w:eastAsia="Arial" w:hAnsi="Arial"/>
                <w:sz w:val="14"/>
                <w:szCs w:val="14"/>
                <w:color w:val="auto"/>
              </w:rPr>
              <w:t>Sacramento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7"/>
                <w:szCs w:val="17"/>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15</w:t>
            </w:r>
          </w:p>
        </w:tc>
        <w:tc>
          <w:tcPr>
            <w:tcW w:w="160" w:type="dxa"/>
            <w:vAlign w:val="bottom"/>
          </w:tcPr>
          <w:p>
            <w:pPr>
              <w:spacing w:after="0"/>
              <w:rPr>
                <w:sz w:val="17"/>
                <w:szCs w:val="17"/>
                <w:color w:val="auto"/>
              </w:rPr>
            </w:pPr>
          </w:p>
        </w:tc>
      </w:tr>
      <w:tr>
        <w:trPr>
          <w:trHeight w:val="200"/>
        </w:trPr>
        <w:tc>
          <w:tcPr>
            <w:tcW w:w="3860" w:type="dxa"/>
            <w:vAlign w:val="bottom"/>
            <w:gridSpan w:val="2"/>
          </w:tcPr>
          <w:p>
            <w:pPr>
              <w:spacing w:after="0"/>
              <w:rPr>
                <w:sz w:val="20"/>
                <w:szCs w:val="20"/>
                <w:color w:val="auto"/>
              </w:rPr>
            </w:pPr>
            <w:r>
              <w:rPr>
                <w:rFonts w:ascii="Arial" w:cs="Arial" w:eastAsia="Arial" w:hAnsi="Arial"/>
                <w:sz w:val="14"/>
                <w:szCs w:val="14"/>
                <w:color w:val="auto"/>
              </w:rPr>
              <w:t>Other Basins</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r>
      <w:tr>
        <w:trPr>
          <w:trHeight w:val="193"/>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115</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126</w:t>
            </w:r>
          </w:p>
        </w:tc>
        <w:tc>
          <w:tcPr>
            <w:tcW w:w="100" w:type="dxa"/>
            <w:vAlign w:val="bottom"/>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130</w:t>
            </w:r>
          </w:p>
        </w:tc>
        <w:tc>
          <w:tcPr>
            <w:tcW w:w="100" w:type="dxa"/>
            <w:vAlign w:val="bottom"/>
          </w:tcPr>
          <w:p>
            <w:pPr>
              <w:spacing w:after="0"/>
              <w:rPr>
                <w:sz w:val="16"/>
                <w:szCs w:val="16"/>
                <w:color w:val="auto"/>
              </w:rPr>
            </w:pPr>
          </w:p>
        </w:tc>
        <w:tc>
          <w:tcPr>
            <w:tcW w:w="14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117</w:t>
            </w:r>
          </w:p>
        </w:tc>
        <w:tc>
          <w:tcPr>
            <w:tcW w:w="80" w:type="dxa"/>
            <w:vAlign w:val="bottom"/>
          </w:tcPr>
          <w:p>
            <w:pPr>
              <w:spacing w:after="0"/>
              <w:rPr>
                <w:sz w:val="16"/>
                <w:szCs w:val="16"/>
                <w:color w:val="auto"/>
              </w:rPr>
            </w:pPr>
          </w:p>
        </w:tc>
        <w:tc>
          <w:tcPr>
            <w:tcW w:w="13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135</w:t>
            </w:r>
          </w:p>
        </w:tc>
        <w:tc>
          <w:tcPr>
            <w:tcW w:w="160" w:type="dxa"/>
            <w:vAlign w:val="bottom"/>
          </w:tcPr>
          <w:p>
            <w:pPr>
              <w:spacing w:after="0"/>
              <w:rPr>
                <w:sz w:val="16"/>
                <w:szCs w:val="16"/>
                <w:color w:val="auto"/>
              </w:rPr>
            </w:pPr>
          </w:p>
        </w:tc>
      </w:tr>
      <w:tr>
        <w:trPr>
          <w:trHeight w:val="161"/>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93"/>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Total Net Production (MBoe/d)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141</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w:t>
            </w: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110</w:t>
            </w:r>
          </w:p>
        </w:tc>
        <w:tc>
          <w:tcPr>
            <w:tcW w:w="80" w:type="dxa"/>
            <w:vAlign w:val="bottom"/>
          </w:tcPr>
          <w:p>
            <w:pPr>
              <w:spacing w:after="0"/>
              <w:rPr>
                <w:sz w:val="16"/>
                <w:szCs w:val="16"/>
                <w:color w:val="auto"/>
              </w:rPr>
            </w:pP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86</w:t>
            </w:r>
          </w:p>
        </w:tc>
        <w:tc>
          <w:tcPr>
            <w:tcW w:w="160" w:type="dxa"/>
            <w:vAlign w:val="bottom"/>
          </w:tcPr>
          <w:p>
            <w:pPr>
              <w:spacing w:after="0"/>
              <w:rPr>
                <w:sz w:val="16"/>
                <w:szCs w:val="16"/>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45"/>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Gross Operated and Net Non-Operated</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4th Quarter</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3rd Quarter</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4th Quarter</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Total Year</w:t>
            </w: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Total Year</w:t>
            </w:r>
          </w:p>
        </w:tc>
      </w:tr>
      <w:tr>
        <w:trPr>
          <w:trHeight w:val="201"/>
        </w:trPr>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Production Per Day</w:t>
            </w:r>
          </w:p>
        </w:tc>
        <w:tc>
          <w:tcPr>
            <w:tcW w:w="14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7"/>
                <w:szCs w:val="17"/>
                <w:color w:val="auto"/>
              </w:rPr>
            </w:pPr>
          </w:p>
        </w:tc>
      </w:tr>
      <w:tr>
        <w:trPr>
          <w:trHeight w:val="193"/>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Oil (MBbl/d)</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0"/>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San Joaquin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93</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96</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100" w:type="dxa"/>
            <w:vAlign w:val="bottom"/>
          </w:tcPr>
          <w:p>
            <w:pPr>
              <w:spacing w:after="0"/>
              <w:rPr>
                <w:sz w:val="17"/>
                <w:szCs w:val="17"/>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63</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37</w:t>
            </w:r>
          </w:p>
        </w:tc>
        <w:tc>
          <w:tcPr>
            <w:tcW w:w="160" w:type="dxa"/>
            <w:vAlign w:val="bottom"/>
          </w:tcPr>
          <w:p>
            <w:pPr>
              <w:spacing w:after="0"/>
              <w:rPr>
                <w:sz w:val="17"/>
                <w:szCs w:val="17"/>
                <w:color w:val="auto"/>
              </w:rPr>
            </w:pPr>
          </w:p>
        </w:tc>
      </w:tr>
      <w:tr>
        <w:trPr>
          <w:trHeight w:val="200"/>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Los Angeles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7"/>
                <w:szCs w:val="17"/>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23</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25</w:t>
            </w:r>
          </w:p>
        </w:tc>
        <w:tc>
          <w:tcPr>
            <w:tcW w:w="160" w:type="dxa"/>
            <w:vAlign w:val="bottom"/>
          </w:tcPr>
          <w:p>
            <w:pPr>
              <w:spacing w:after="0"/>
              <w:rPr>
                <w:sz w:val="17"/>
                <w:szCs w:val="17"/>
                <w:color w:val="auto"/>
              </w:rPr>
            </w:pPr>
          </w:p>
        </w:tc>
      </w:tr>
      <w:tr>
        <w:trPr>
          <w:trHeight w:val="200"/>
        </w:trPr>
        <w:tc>
          <w:tcPr>
            <w:tcW w:w="3860" w:type="dxa"/>
            <w:vAlign w:val="bottom"/>
            <w:gridSpan w:val="2"/>
          </w:tcPr>
          <w:p>
            <w:pPr>
              <w:spacing w:after="0"/>
              <w:rPr>
                <w:sz w:val="20"/>
                <w:szCs w:val="20"/>
                <w:color w:val="auto"/>
              </w:rPr>
            </w:pPr>
            <w:r>
              <w:rPr>
                <w:rFonts w:ascii="Arial" w:cs="Arial" w:eastAsia="Arial" w:hAnsi="Arial"/>
                <w:sz w:val="14"/>
                <w:szCs w:val="14"/>
                <w:color w:val="auto"/>
              </w:rPr>
              <w:t>Other Basins</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6</w:t>
            </w:r>
          </w:p>
        </w:tc>
        <w:tc>
          <w:tcPr>
            <w:tcW w:w="8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r>
      <w:tr>
        <w:trPr>
          <w:trHeight w:val="193"/>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127</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127</w:t>
            </w:r>
          </w:p>
        </w:tc>
        <w:tc>
          <w:tcPr>
            <w:tcW w:w="100" w:type="dxa"/>
            <w:vAlign w:val="bottom"/>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61</w:t>
            </w:r>
          </w:p>
        </w:tc>
        <w:tc>
          <w:tcPr>
            <w:tcW w:w="100" w:type="dxa"/>
            <w:vAlign w:val="bottom"/>
          </w:tcPr>
          <w:p>
            <w:pPr>
              <w:spacing w:after="0"/>
              <w:rPr>
                <w:sz w:val="16"/>
                <w:szCs w:val="16"/>
                <w:color w:val="auto"/>
              </w:rPr>
            </w:pPr>
          </w:p>
        </w:tc>
        <w:tc>
          <w:tcPr>
            <w:tcW w:w="14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92</w:t>
            </w:r>
          </w:p>
        </w:tc>
        <w:tc>
          <w:tcPr>
            <w:tcW w:w="80" w:type="dxa"/>
            <w:vAlign w:val="bottom"/>
          </w:tcPr>
          <w:p>
            <w:pPr>
              <w:spacing w:after="0"/>
              <w:rPr>
                <w:sz w:val="16"/>
                <w:szCs w:val="16"/>
                <w:color w:val="auto"/>
              </w:rPr>
            </w:pPr>
          </w:p>
        </w:tc>
        <w:tc>
          <w:tcPr>
            <w:tcW w:w="13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62</w:t>
            </w:r>
          </w:p>
        </w:tc>
        <w:tc>
          <w:tcPr>
            <w:tcW w:w="160" w:type="dxa"/>
            <w:vAlign w:val="bottom"/>
          </w:tcPr>
          <w:p>
            <w:pPr>
              <w:spacing w:after="0"/>
              <w:rPr>
                <w:sz w:val="16"/>
                <w:szCs w:val="16"/>
                <w:color w:val="auto"/>
              </w:rPr>
            </w:pPr>
          </w:p>
        </w:tc>
      </w:tr>
      <w:tr>
        <w:trPr>
          <w:trHeight w:val="360"/>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NGLs (MBbl/d)</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0"/>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San Joaquin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12</w:t>
            </w:r>
          </w:p>
        </w:tc>
        <w:tc>
          <w:tcPr>
            <w:tcW w:w="160" w:type="dxa"/>
            <w:vAlign w:val="bottom"/>
          </w:tcPr>
          <w:p>
            <w:pPr>
              <w:spacing w:after="0"/>
              <w:rPr>
                <w:sz w:val="17"/>
                <w:szCs w:val="17"/>
                <w:color w:val="auto"/>
              </w:rPr>
            </w:pPr>
          </w:p>
        </w:tc>
      </w:tr>
      <w:tr>
        <w:trPr>
          <w:trHeight w:val="200"/>
        </w:trPr>
        <w:tc>
          <w:tcPr>
            <w:tcW w:w="3860" w:type="dxa"/>
            <w:vAlign w:val="bottom"/>
            <w:gridSpan w:val="2"/>
          </w:tcPr>
          <w:p>
            <w:pPr>
              <w:spacing w:after="0"/>
              <w:rPr>
                <w:sz w:val="20"/>
                <w:szCs w:val="20"/>
                <w:color w:val="auto"/>
              </w:rPr>
            </w:pPr>
            <w:r>
              <w:rPr>
                <w:rFonts w:ascii="Arial" w:cs="Arial" w:eastAsia="Arial" w:hAnsi="Arial"/>
                <w:sz w:val="14"/>
                <w:szCs w:val="14"/>
                <w:color w:val="auto"/>
              </w:rPr>
              <w:t>Other Basins</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r>
      <w:tr>
        <w:trPr>
          <w:trHeight w:val="193"/>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6"/>
                <w:szCs w:val="16"/>
                <w:color w:val="auto"/>
              </w:rPr>
            </w:pPr>
          </w:p>
        </w:tc>
        <w:tc>
          <w:tcPr>
            <w:tcW w:w="14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6"/>
                <w:szCs w:val="16"/>
                <w:color w:val="auto"/>
              </w:rPr>
            </w:pPr>
          </w:p>
        </w:tc>
        <w:tc>
          <w:tcPr>
            <w:tcW w:w="13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12</w:t>
            </w:r>
          </w:p>
        </w:tc>
        <w:tc>
          <w:tcPr>
            <w:tcW w:w="160" w:type="dxa"/>
            <w:vAlign w:val="bottom"/>
          </w:tcPr>
          <w:p>
            <w:pPr>
              <w:spacing w:after="0"/>
              <w:rPr>
                <w:sz w:val="16"/>
                <w:szCs w:val="16"/>
                <w:color w:val="auto"/>
              </w:rPr>
            </w:pPr>
          </w:p>
        </w:tc>
      </w:tr>
      <w:tr>
        <w:trPr>
          <w:trHeight w:val="360"/>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Natural Gas (MMcf/d)</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0"/>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San Joaquin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135</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137</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129</w:t>
            </w:r>
          </w:p>
        </w:tc>
        <w:tc>
          <w:tcPr>
            <w:tcW w:w="100" w:type="dxa"/>
            <w:vAlign w:val="bottom"/>
          </w:tcPr>
          <w:p>
            <w:pPr>
              <w:spacing w:after="0"/>
              <w:rPr>
                <w:sz w:val="17"/>
                <w:szCs w:val="17"/>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131</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135</w:t>
            </w:r>
          </w:p>
        </w:tc>
        <w:tc>
          <w:tcPr>
            <w:tcW w:w="160" w:type="dxa"/>
            <w:vAlign w:val="bottom"/>
          </w:tcPr>
          <w:p>
            <w:pPr>
              <w:spacing w:after="0"/>
              <w:rPr>
                <w:sz w:val="17"/>
                <w:szCs w:val="17"/>
                <w:color w:val="auto"/>
              </w:rPr>
            </w:pPr>
          </w:p>
        </w:tc>
      </w:tr>
      <w:tr>
        <w:trPr>
          <w:trHeight w:val="200"/>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Los Angeles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7"/>
                <w:szCs w:val="17"/>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7</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7</w:t>
            </w:r>
          </w:p>
        </w:tc>
        <w:tc>
          <w:tcPr>
            <w:tcW w:w="160" w:type="dxa"/>
            <w:vAlign w:val="bottom"/>
          </w:tcPr>
          <w:p>
            <w:pPr>
              <w:spacing w:after="0"/>
              <w:rPr>
                <w:sz w:val="17"/>
                <w:szCs w:val="17"/>
                <w:color w:val="auto"/>
              </w:rPr>
            </w:pPr>
          </w:p>
        </w:tc>
      </w:tr>
      <w:tr>
        <w:trPr>
          <w:trHeight w:val="200"/>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Sacramento Basin</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7"/>
                <w:szCs w:val="17"/>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17</w:t>
            </w:r>
          </w:p>
        </w:tc>
        <w:tc>
          <w:tcPr>
            <w:tcW w:w="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b w:val="1"/>
                <w:bCs w:val="1"/>
                <w:color w:val="auto"/>
              </w:rPr>
              <w:t>19</w:t>
            </w:r>
          </w:p>
        </w:tc>
        <w:tc>
          <w:tcPr>
            <w:tcW w:w="160" w:type="dxa"/>
            <w:vAlign w:val="bottom"/>
          </w:tcPr>
          <w:p>
            <w:pPr>
              <w:spacing w:after="0"/>
              <w:rPr>
                <w:sz w:val="17"/>
                <w:szCs w:val="17"/>
                <w:color w:val="auto"/>
              </w:rPr>
            </w:pPr>
          </w:p>
        </w:tc>
      </w:tr>
      <w:tr>
        <w:trPr>
          <w:trHeight w:val="200"/>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Other Basins</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ind w:right="9"/>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r>
      <w:tr>
        <w:trPr>
          <w:trHeight w:val="193"/>
        </w:trPr>
        <w:tc>
          <w:tcPr>
            <w:tcW w:w="386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161</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163</w:t>
            </w:r>
          </w:p>
        </w:tc>
        <w:tc>
          <w:tcPr>
            <w:tcW w:w="100" w:type="dxa"/>
            <w:vAlign w:val="bottom"/>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155</w:t>
            </w:r>
          </w:p>
        </w:tc>
        <w:tc>
          <w:tcPr>
            <w:tcW w:w="100" w:type="dxa"/>
            <w:vAlign w:val="bottom"/>
          </w:tcPr>
          <w:p>
            <w:pPr>
              <w:spacing w:after="0"/>
              <w:rPr>
                <w:sz w:val="16"/>
                <w:szCs w:val="16"/>
                <w:color w:val="auto"/>
              </w:rPr>
            </w:pPr>
          </w:p>
        </w:tc>
        <w:tc>
          <w:tcPr>
            <w:tcW w:w="14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157</w:t>
            </w:r>
          </w:p>
        </w:tc>
        <w:tc>
          <w:tcPr>
            <w:tcW w:w="80" w:type="dxa"/>
            <w:vAlign w:val="bottom"/>
          </w:tcPr>
          <w:p>
            <w:pPr>
              <w:spacing w:after="0"/>
              <w:rPr>
                <w:sz w:val="16"/>
                <w:szCs w:val="16"/>
                <w:color w:val="auto"/>
              </w:rPr>
            </w:pPr>
          </w:p>
        </w:tc>
        <w:tc>
          <w:tcPr>
            <w:tcW w:w="13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161</w:t>
            </w:r>
          </w:p>
        </w:tc>
        <w:tc>
          <w:tcPr>
            <w:tcW w:w="160" w:type="dxa"/>
            <w:vAlign w:val="bottom"/>
          </w:tcPr>
          <w:p>
            <w:pPr>
              <w:spacing w:after="0"/>
              <w:rPr>
                <w:sz w:val="16"/>
                <w:szCs w:val="16"/>
                <w:color w:val="auto"/>
              </w:rPr>
            </w:pPr>
          </w:p>
        </w:tc>
      </w:tr>
      <w:tr>
        <w:trPr>
          <w:trHeight w:val="161"/>
        </w:trPr>
        <w:tc>
          <w:tcPr>
            <w:tcW w:w="3860" w:type="dxa"/>
            <w:vAlign w:val="bottom"/>
            <w:gridSpan w:val="2"/>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93"/>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Total Gross Production (MBoe/d)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165</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165</w:t>
            </w: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129</w:t>
            </w:r>
          </w:p>
        </w:tc>
        <w:tc>
          <w:tcPr>
            <w:tcW w:w="80" w:type="dxa"/>
            <w:vAlign w:val="bottom"/>
          </w:tcPr>
          <w:p>
            <w:pPr>
              <w:spacing w:after="0"/>
              <w:rPr>
                <w:sz w:val="16"/>
                <w:szCs w:val="16"/>
                <w:color w:val="auto"/>
              </w:rPr>
            </w:pPr>
          </w:p>
        </w:tc>
        <w:tc>
          <w:tcPr>
            <w:tcW w:w="1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101</w:t>
            </w:r>
          </w:p>
        </w:tc>
        <w:tc>
          <w:tcPr>
            <w:tcW w:w="160" w:type="dxa"/>
            <w:vAlign w:val="bottom"/>
          </w:tcPr>
          <w:p>
            <w:pPr>
              <w:spacing w:after="0"/>
              <w:rPr>
                <w:sz w:val="16"/>
                <w:szCs w:val="16"/>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100"/>
          </w:cols>
          <w:pgMar w:left="400" w:top="1290" w:right="39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5"/>
        </w:trPr>
        <w:tc>
          <w:tcPr>
            <w:tcW w:w="35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5</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PRICE STATISTICS</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4th Quarter</w:t>
            </w:r>
          </w:p>
        </w:tc>
        <w:tc>
          <w:tcPr>
            <w:tcW w:w="20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3rd Quarter</w:t>
            </w:r>
          </w:p>
        </w:tc>
        <w:tc>
          <w:tcPr>
            <w:tcW w:w="22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4th Quarter</w:t>
            </w:r>
          </w:p>
        </w:tc>
        <w:tc>
          <w:tcPr>
            <w:tcW w:w="20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 Year</w:t>
            </w:r>
          </w:p>
        </w:tc>
        <w:tc>
          <w:tcPr>
            <w:tcW w:w="240" w:type="dxa"/>
            <w:vAlign w:val="bottom"/>
          </w:tcPr>
          <w:p>
            <w:pPr>
              <w:spacing w:after="0"/>
              <w:rPr>
                <w:sz w:val="17"/>
                <w:szCs w:val="17"/>
                <w:color w:val="auto"/>
              </w:rPr>
            </w:pPr>
          </w:p>
        </w:tc>
        <w:tc>
          <w:tcPr>
            <w:tcW w:w="1240" w:type="dxa"/>
            <w:vAlign w:val="bottom"/>
          </w:tcPr>
          <w:p>
            <w:pPr>
              <w:jc w:val="right"/>
              <w:ind w:right="349"/>
              <w:spacing w:after="0"/>
              <w:rPr>
                <w:sz w:val="20"/>
                <w:szCs w:val="20"/>
                <w:color w:val="auto"/>
              </w:rPr>
            </w:pPr>
            <w:r>
              <w:rPr>
                <w:rFonts w:ascii="Arial" w:cs="Arial" w:eastAsia="Arial" w:hAnsi="Arial"/>
                <w:sz w:val="14"/>
                <w:szCs w:val="14"/>
                <w:b w:val="1"/>
                <w:bCs w:val="1"/>
                <w:color w:val="auto"/>
              </w:rPr>
              <w:t>Total Year</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Oil ($ per Bbl)</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520" w:type="dxa"/>
            <w:vAlign w:val="bottom"/>
          </w:tcPr>
          <w:p>
            <w:pPr>
              <w:ind w:left="20"/>
              <w:spacing w:after="0"/>
              <w:rPr>
                <w:sz w:val="20"/>
                <w:szCs w:val="20"/>
                <w:color w:val="auto"/>
              </w:rPr>
            </w:pPr>
            <w:r>
              <w:rPr>
                <w:rFonts w:ascii="Arial" w:cs="Arial" w:eastAsia="Arial" w:hAnsi="Arial"/>
                <w:sz w:val="14"/>
                <w:szCs w:val="14"/>
                <w:color w:val="auto"/>
              </w:rPr>
              <w:t>Realized price with derivative settlements</w:t>
            </w: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73.00</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75.38</w:t>
            </w:r>
          </w:p>
        </w:tc>
        <w:tc>
          <w:tcPr>
            <w:tcW w:w="1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71.34</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75.66</w:t>
            </w:r>
          </w:p>
        </w:tc>
        <w:tc>
          <w:tcPr>
            <w:tcW w:w="10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29"/>
              <w:spacing w:after="0"/>
              <w:rPr>
                <w:sz w:val="20"/>
                <w:szCs w:val="20"/>
                <w:color w:val="auto"/>
              </w:rPr>
            </w:pPr>
            <w:r>
              <w:rPr>
                <w:rFonts w:ascii="Arial" w:cs="Arial" w:eastAsia="Arial" w:hAnsi="Arial"/>
                <w:sz w:val="14"/>
                <w:szCs w:val="14"/>
                <w:b w:val="1"/>
                <w:bCs w:val="1"/>
                <w:color w:val="auto"/>
              </w:rPr>
              <w:t>65.97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20" w:type="dxa"/>
            <w:vAlign w:val="bottom"/>
          </w:tcPr>
          <w:p>
            <w:pPr>
              <w:ind w:left="20"/>
              <w:spacing w:after="0"/>
              <w:rPr>
                <w:sz w:val="20"/>
                <w:szCs w:val="20"/>
                <w:color w:val="auto"/>
              </w:rPr>
            </w:pPr>
            <w:r>
              <w:rPr>
                <w:rFonts w:ascii="Arial" w:cs="Arial" w:eastAsia="Arial" w:hAnsi="Arial"/>
                <w:sz w:val="14"/>
                <w:szCs w:val="14"/>
                <w:color w:val="auto"/>
              </w:rPr>
              <w:t>Realized price without derivative settlements</w:t>
            </w: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72.82</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77.10</w:t>
            </w:r>
          </w:p>
        </w:tc>
        <w:tc>
          <w:tcPr>
            <w:tcW w:w="1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82.00</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76.92</w:t>
            </w:r>
          </w:p>
        </w:tc>
        <w:tc>
          <w:tcPr>
            <w:tcW w:w="10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29"/>
              <w:spacing w:after="0"/>
              <w:rPr>
                <w:sz w:val="20"/>
                <w:szCs w:val="20"/>
                <w:color w:val="auto"/>
              </w:rPr>
            </w:pPr>
            <w:r>
              <w:rPr>
                <w:rFonts w:ascii="Arial" w:cs="Arial" w:eastAsia="Arial" w:hAnsi="Arial"/>
                <w:sz w:val="14"/>
                <w:szCs w:val="14"/>
                <w:b w:val="1"/>
                <w:bCs w:val="1"/>
                <w:color w:val="auto"/>
              </w:rPr>
              <w:t>80.41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520" w:type="dxa"/>
            <w:vAlign w:val="bottom"/>
          </w:tcPr>
          <w:p>
            <w:pPr>
              <w:ind w:left="20"/>
              <w:spacing w:after="0"/>
              <w:rPr>
                <w:sz w:val="20"/>
                <w:szCs w:val="20"/>
                <w:color w:val="auto"/>
              </w:rPr>
            </w:pPr>
            <w:r>
              <w:rPr>
                <w:rFonts w:ascii="Arial" w:cs="Arial" w:eastAsia="Arial" w:hAnsi="Arial"/>
                <w:sz w:val="14"/>
                <w:szCs w:val="14"/>
                <w:color w:val="auto"/>
              </w:rPr>
              <w:t>NGLs ($/Bbl)</w:t>
            </w: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52.62</w:t>
            </w:r>
          </w:p>
        </w:tc>
        <w:tc>
          <w:tcPr>
            <w:tcW w:w="100" w:type="dxa"/>
            <w:vAlign w:val="bottom"/>
          </w:tcPr>
          <w:p>
            <w:pPr>
              <w:spacing w:after="0"/>
              <w:rPr>
                <w:sz w:val="22"/>
                <w:szCs w:val="22"/>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45.77</w:t>
            </w:r>
          </w:p>
        </w:tc>
        <w:tc>
          <w:tcPr>
            <w:tcW w:w="180" w:type="dxa"/>
            <w:vAlign w:val="bottom"/>
          </w:tcPr>
          <w:p>
            <w:pPr>
              <w:spacing w:after="0"/>
              <w:rPr>
                <w:sz w:val="22"/>
                <w:szCs w:val="22"/>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49.08</w:t>
            </w:r>
          </w:p>
        </w:tc>
        <w:tc>
          <w:tcPr>
            <w:tcW w:w="100" w:type="dxa"/>
            <w:vAlign w:val="bottom"/>
          </w:tcPr>
          <w:p>
            <w:pPr>
              <w:spacing w:after="0"/>
              <w:rPr>
                <w:sz w:val="22"/>
                <w:szCs w:val="22"/>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48.93</w:t>
            </w:r>
          </w:p>
        </w:tc>
        <w:tc>
          <w:tcPr>
            <w:tcW w:w="100" w:type="dxa"/>
            <w:vAlign w:val="bottom"/>
          </w:tcPr>
          <w:p>
            <w:pPr>
              <w:spacing w:after="0"/>
              <w:rPr>
                <w:sz w:val="22"/>
                <w:szCs w:val="22"/>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29"/>
              <w:spacing w:after="0"/>
              <w:rPr>
                <w:sz w:val="20"/>
                <w:szCs w:val="20"/>
                <w:color w:val="auto"/>
              </w:rPr>
            </w:pPr>
            <w:r>
              <w:rPr>
                <w:rFonts w:ascii="Arial" w:cs="Arial" w:eastAsia="Arial" w:hAnsi="Arial"/>
                <w:sz w:val="14"/>
                <w:szCs w:val="14"/>
                <w:b w:val="1"/>
                <w:bCs w:val="1"/>
                <w:color w:val="auto"/>
              </w:rPr>
              <w:t>48.94</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520" w:type="dxa"/>
            <w:vAlign w:val="bottom"/>
          </w:tcPr>
          <w:p>
            <w:pPr>
              <w:ind w:left="20"/>
              <w:spacing w:after="0"/>
              <w:rPr>
                <w:sz w:val="20"/>
                <w:szCs w:val="20"/>
                <w:color w:val="auto"/>
              </w:rPr>
            </w:pPr>
            <w:r>
              <w:rPr>
                <w:rFonts w:ascii="Arial" w:cs="Arial" w:eastAsia="Arial" w:hAnsi="Arial"/>
                <w:sz w:val="14"/>
                <w:szCs w:val="14"/>
                <w:color w:val="auto"/>
              </w:rPr>
              <w:t>Natural gas ($/Mcf)</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520" w:type="dxa"/>
            <w:vAlign w:val="bottom"/>
          </w:tcPr>
          <w:p>
            <w:pPr>
              <w:ind w:left="20"/>
              <w:spacing w:after="0"/>
              <w:rPr>
                <w:sz w:val="20"/>
                <w:szCs w:val="20"/>
                <w:color w:val="auto"/>
              </w:rPr>
            </w:pPr>
            <w:r>
              <w:rPr>
                <w:rFonts w:ascii="Arial" w:cs="Arial" w:eastAsia="Arial" w:hAnsi="Arial"/>
                <w:sz w:val="14"/>
                <w:szCs w:val="14"/>
                <w:color w:val="auto"/>
              </w:rPr>
              <w:t>Realized price with derivative settlements</w:t>
            </w: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3.65</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2.68</w:t>
            </w:r>
          </w:p>
        </w:tc>
        <w:tc>
          <w:tcPr>
            <w:tcW w:w="1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4.66</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2.99</w:t>
            </w:r>
          </w:p>
        </w:tc>
        <w:tc>
          <w:tcPr>
            <w:tcW w:w="10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29"/>
              <w:spacing w:after="0"/>
              <w:rPr>
                <w:sz w:val="20"/>
                <w:szCs w:val="20"/>
                <w:color w:val="auto"/>
              </w:rPr>
            </w:pPr>
            <w:r>
              <w:rPr>
                <w:rFonts w:ascii="Arial" w:cs="Arial" w:eastAsia="Arial" w:hAnsi="Arial"/>
                <w:sz w:val="14"/>
                <w:szCs w:val="14"/>
                <w:b w:val="1"/>
                <w:bCs w:val="1"/>
                <w:color w:val="auto"/>
              </w:rPr>
              <w:t>8.59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20" w:type="dxa"/>
            <w:vAlign w:val="bottom"/>
          </w:tcPr>
          <w:p>
            <w:pPr>
              <w:ind w:left="20"/>
              <w:spacing w:after="0"/>
              <w:rPr>
                <w:sz w:val="20"/>
                <w:szCs w:val="20"/>
                <w:color w:val="auto"/>
              </w:rPr>
            </w:pPr>
            <w:r>
              <w:rPr>
                <w:rFonts w:ascii="Arial" w:cs="Arial" w:eastAsia="Arial" w:hAnsi="Arial"/>
                <w:sz w:val="14"/>
                <w:szCs w:val="14"/>
                <w:color w:val="auto"/>
              </w:rPr>
              <w:t>Realized price without derivative settlements</w:t>
            </w: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3.65</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2.68</w:t>
            </w:r>
          </w:p>
        </w:tc>
        <w:tc>
          <w:tcPr>
            <w:tcW w:w="1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4.66</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2.99</w:t>
            </w:r>
          </w:p>
        </w:tc>
        <w:tc>
          <w:tcPr>
            <w:tcW w:w="10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29"/>
              <w:spacing w:after="0"/>
              <w:rPr>
                <w:sz w:val="20"/>
                <w:szCs w:val="20"/>
                <w:color w:val="auto"/>
              </w:rPr>
            </w:pPr>
            <w:r>
              <w:rPr>
                <w:rFonts w:ascii="Arial" w:cs="Arial" w:eastAsia="Arial" w:hAnsi="Arial"/>
                <w:sz w:val="14"/>
                <w:szCs w:val="14"/>
                <w:b w:val="1"/>
                <w:bCs w:val="1"/>
                <w:color w:val="auto"/>
              </w:rPr>
              <w:t>8.59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3"/>
        </w:trPr>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Index Prices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520" w:type="dxa"/>
            <w:vAlign w:val="bottom"/>
          </w:tcPr>
          <w:p>
            <w:pPr>
              <w:ind w:left="60"/>
              <w:spacing w:after="0"/>
              <w:rPr>
                <w:sz w:val="20"/>
                <w:szCs w:val="20"/>
                <w:color w:val="auto"/>
              </w:rPr>
            </w:pPr>
            <w:r>
              <w:rPr>
                <w:rFonts w:ascii="Arial" w:cs="Arial" w:eastAsia="Arial" w:hAnsi="Arial"/>
                <w:sz w:val="14"/>
                <w:szCs w:val="14"/>
                <w:color w:val="auto"/>
              </w:rPr>
              <w:t>Brent oil ($/Bbl)</w:t>
            </w: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73.97</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78.54</w:t>
            </w:r>
          </w:p>
        </w:tc>
        <w:tc>
          <w:tcPr>
            <w:tcW w:w="1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82.69</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79.84</w:t>
            </w:r>
          </w:p>
        </w:tc>
        <w:tc>
          <w:tcPr>
            <w:tcW w:w="10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29"/>
              <w:spacing w:after="0"/>
              <w:rPr>
                <w:sz w:val="20"/>
                <w:szCs w:val="20"/>
                <w:color w:val="auto"/>
              </w:rPr>
            </w:pPr>
            <w:r>
              <w:rPr>
                <w:rFonts w:ascii="Arial" w:cs="Arial" w:eastAsia="Arial" w:hAnsi="Arial"/>
                <w:sz w:val="14"/>
                <w:szCs w:val="14"/>
                <w:b w:val="1"/>
                <w:bCs w:val="1"/>
                <w:color w:val="auto"/>
              </w:rPr>
              <w:t>82.22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20" w:type="dxa"/>
            <w:vAlign w:val="bottom"/>
          </w:tcPr>
          <w:p>
            <w:pPr>
              <w:ind w:left="60"/>
              <w:spacing w:after="0"/>
              <w:rPr>
                <w:sz w:val="20"/>
                <w:szCs w:val="20"/>
                <w:color w:val="auto"/>
              </w:rPr>
            </w:pPr>
            <w:r>
              <w:rPr>
                <w:rFonts w:ascii="Arial" w:cs="Arial" w:eastAsia="Arial" w:hAnsi="Arial"/>
                <w:sz w:val="14"/>
                <w:szCs w:val="14"/>
                <w:color w:val="auto"/>
              </w:rPr>
              <w:t>WTI oil ($/Bbl)</w:t>
            </w: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70.27</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75.09</w:t>
            </w:r>
          </w:p>
        </w:tc>
        <w:tc>
          <w:tcPr>
            <w:tcW w:w="1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78.32</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75.72</w:t>
            </w:r>
          </w:p>
        </w:tc>
        <w:tc>
          <w:tcPr>
            <w:tcW w:w="10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29"/>
              <w:spacing w:after="0"/>
              <w:rPr>
                <w:sz w:val="20"/>
                <w:szCs w:val="20"/>
                <w:color w:val="auto"/>
              </w:rPr>
            </w:pPr>
            <w:r>
              <w:rPr>
                <w:rFonts w:ascii="Arial" w:cs="Arial" w:eastAsia="Arial" w:hAnsi="Arial"/>
                <w:sz w:val="14"/>
                <w:szCs w:val="14"/>
                <w:b w:val="1"/>
                <w:bCs w:val="1"/>
                <w:color w:val="auto"/>
              </w:rPr>
              <w:t>77.62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520" w:type="dxa"/>
            <w:vAlign w:val="bottom"/>
          </w:tcPr>
          <w:p>
            <w:pPr>
              <w:ind w:left="20"/>
              <w:spacing w:after="0"/>
              <w:rPr>
                <w:sz w:val="20"/>
                <w:szCs w:val="20"/>
                <w:color w:val="auto"/>
              </w:rPr>
            </w:pPr>
            <w:r>
              <w:rPr>
                <w:rFonts w:ascii="Arial" w:cs="Arial" w:eastAsia="Arial" w:hAnsi="Arial"/>
                <w:sz w:val="14"/>
                <w:szCs w:val="14"/>
                <w:color w:val="auto"/>
              </w:rPr>
              <w:t>NYMEX average monthly settled price ($/MMBtu)</w:t>
            </w: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2.79</w:t>
            </w:r>
          </w:p>
        </w:tc>
        <w:tc>
          <w:tcPr>
            <w:tcW w:w="10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09"/>
              <w:spacing w:after="0"/>
              <w:rPr>
                <w:sz w:val="20"/>
                <w:szCs w:val="20"/>
                <w:color w:val="auto"/>
              </w:rPr>
            </w:pPr>
            <w:r>
              <w:rPr>
                <w:rFonts w:ascii="Arial" w:cs="Arial" w:eastAsia="Arial" w:hAnsi="Arial"/>
                <w:sz w:val="14"/>
                <w:szCs w:val="14"/>
                <w:b w:val="1"/>
                <w:bCs w:val="1"/>
                <w:color w:val="auto"/>
              </w:rPr>
              <w:t>2.16</w:t>
            </w:r>
          </w:p>
        </w:tc>
        <w:tc>
          <w:tcPr>
            <w:tcW w:w="18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b w:val="1"/>
                <w:bCs w:val="1"/>
                <w:color w:val="auto"/>
              </w:rPr>
              <w:t>2.88</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09"/>
              <w:spacing w:after="0"/>
              <w:rPr>
                <w:sz w:val="20"/>
                <w:szCs w:val="20"/>
                <w:color w:val="auto"/>
              </w:rPr>
            </w:pPr>
            <w:r>
              <w:rPr>
                <w:rFonts w:ascii="Arial" w:cs="Arial" w:eastAsia="Arial" w:hAnsi="Arial"/>
                <w:sz w:val="14"/>
                <w:szCs w:val="14"/>
                <w:b w:val="1"/>
                <w:bCs w:val="1"/>
                <w:color w:val="auto"/>
              </w:rPr>
              <w:t>2.27</w:t>
            </w:r>
          </w:p>
        </w:tc>
        <w:tc>
          <w:tcPr>
            <w:tcW w:w="10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29"/>
              <w:spacing w:after="0"/>
              <w:rPr>
                <w:sz w:val="20"/>
                <w:szCs w:val="20"/>
                <w:color w:val="auto"/>
              </w:rPr>
            </w:pPr>
            <w:r>
              <w:rPr>
                <w:rFonts w:ascii="Arial" w:cs="Arial" w:eastAsia="Arial" w:hAnsi="Arial"/>
                <w:sz w:val="14"/>
                <w:szCs w:val="14"/>
                <w:b w:val="1"/>
                <w:bCs w:val="1"/>
                <w:color w:val="auto"/>
              </w:rPr>
              <w:t>2.74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3"/>
        </w:trPr>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Realized Prices as Percentage of Index Prices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520" w:type="dxa"/>
            <w:vAlign w:val="bottom"/>
          </w:tcPr>
          <w:p>
            <w:pPr>
              <w:ind w:left="20"/>
              <w:spacing w:after="0" w:line="152" w:lineRule="exact"/>
              <w:rPr>
                <w:sz w:val="20"/>
                <w:szCs w:val="20"/>
                <w:color w:val="auto"/>
              </w:rPr>
            </w:pPr>
            <w:r>
              <w:rPr>
                <w:rFonts w:ascii="Arial" w:cs="Arial" w:eastAsia="Arial" w:hAnsi="Arial"/>
                <w:sz w:val="14"/>
                <w:szCs w:val="14"/>
                <w:color w:val="auto"/>
              </w:rPr>
              <w:t>Oil with derivative settlements as a percentage of</w:t>
            </w:r>
          </w:p>
        </w:tc>
        <w:tc>
          <w:tcPr>
            <w:tcW w:w="20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99 %</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96 %</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86 %</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95 %</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80 %</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520" w:type="dxa"/>
            <w:vAlign w:val="bottom"/>
          </w:tcPr>
          <w:p>
            <w:pPr>
              <w:ind w:left="20"/>
              <w:spacing w:after="0"/>
              <w:rPr>
                <w:sz w:val="20"/>
                <w:szCs w:val="20"/>
                <w:color w:val="auto"/>
              </w:rPr>
            </w:pPr>
            <w:r>
              <w:rPr>
                <w:rFonts w:ascii="Arial" w:cs="Arial" w:eastAsia="Arial" w:hAnsi="Arial"/>
                <w:sz w:val="14"/>
                <w:szCs w:val="14"/>
                <w:color w:val="auto"/>
              </w:rPr>
              <w:t>Brent</w:t>
            </w: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520" w:type="dxa"/>
            <w:vAlign w:val="bottom"/>
          </w:tcPr>
          <w:p>
            <w:pPr>
              <w:ind w:left="20"/>
              <w:spacing w:after="0" w:line="147" w:lineRule="exact"/>
              <w:rPr>
                <w:sz w:val="20"/>
                <w:szCs w:val="20"/>
                <w:color w:val="auto"/>
              </w:rPr>
            </w:pPr>
            <w:r>
              <w:rPr>
                <w:rFonts w:ascii="Arial" w:cs="Arial" w:eastAsia="Arial" w:hAnsi="Arial"/>
                <w:sz w:val="14"/>
                <w:szCs w:val="14"/>
                <w:color w:val="auto"/>
              </w:rPr>
              <w:t>Oil without derivative settlements as a percentage of</w:t>
            </w:r>
          </w:p>
        </w:tc>
        <w:tc>
          <w:tcPr>
            <w:tcW w:w="20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98 %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98 %</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99 %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96 %</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98 %</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Arial" w:cs="Arial" w:eastAsia="Arial" w:hAnsi="Arial"/>
                <w:sz w:val="14"/>
                <w:szCs w:val="14"/>
                <w:color w:val="auto"/>
              </w:rPr>
              <w:t>Brent</w:t>
            </w: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520" w:type="dxa"/>
            <w:vAlign w:val="bottom"/>
          </w:tcPr>
          <w:p>
            <w:pPr>
              <w:ind w:left="20"/>
              <w:spacing w:after="0"/>
              <w:rPr>
                <w:sz w:val="20"/>
                <w:szCs w:val="20"/>
                <w:color w:val="auto"/>
              </w:rPr>
            </w:pPr>
            <w:r>
              <w:rPr>
                <w:rFonts w:ascii="Arial" w:cs="Arial" w:eastAsia="Arial" w:hAnsi="Arial"/>
                <w:sz w:val="14"/>
                <w:szCs w:val="14"/>
                <w:color w:val="auto"/>
              </w:rPr>
              <w:t>Oil with derivative settlements as a percentage of WTI</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104 %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100 %</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91 %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100 %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85 %</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3520" w:type="dxa"/>
            <w:vAlign w:val="bottom"/>
          </w:tcPr>
          <w:p>
            <w:pPr>
              <w:ind w:left="20"/>
              <w:spacing w:after="0" w:line="152" w:lineRule="exact"/>
              <w:rPr>
                <w:sz w:val="20"/>
                <w:szCs w:val="20"/>
                <w:color w:val="auto"/>
              </w:rPr>
            </w:pPr>
            <w:r>
              <w:rPr>
                <w:rFonts w:ascii="Arial" w:cs="Arial" w:eastAsia="Arial" w:hAnsi="Arial"/>
                <w:sz w:val="14"/>
                <w:szCs w:val="14"/>
                <w:color w:val="auto"/>
              </w:rPr>
              <w:t>Oil without derivative settlements as a percentage of</w:t>
            </w:r>
          </w:p>
        </w:tc>
        <w:tc>
          <w:tcPr>
            <w:tcW w:w="20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104 %</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103 %</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105 %</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102 %</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104 %</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Arial" w:cs="Arial" w:eastAsia="Arial" w:hAnsi="Arial"/>
                <w:sz w:val="14"/>
                <w:szCs w:val="14"/>
                <w:color w:val="auto"/>
              </w:rPr>
              <w:t>WTI</w:t>
            </w: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520" w:type="dxa"/>
            <w:vAlign w:val="bottom"/>
          </w:tcPr>
          <w:p>
            <w:pPr>
              <w:ind w:left="20"/>
              <w:spacing w:after="0"/>
              <w:rPr>
                <w:sz w:val="20"/>
                <w:szCs w:val="20"/>
                <w:color w:val="auto"/>
              </w:rPr>
            </w:pPr>
            <w:r>
              <w:rPr>
                <w:rFonts w:ascii="Arial" w:cs="Arial" w:eastAsia="Arial" w:hAnsi="Arial"/>
                <w:sz w:val="14"/>
                <w:szCs w:val="14"/>
                <w:color w:val="auto"/>
              </w:rPr>
              <w:t>NGLs as a percentage of Brent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71 %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58 %</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59 %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61 %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60 %</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520" w:type="dxa"/>
            <w:vAlign w:val="bottom"/>
          </w:tcPr>
          <w:p>
            <w:pPr>
              <w:ind w:left="20"/>
              <w:spacing w:after="0"/>
              <w:rPr>
                <w:sz w:val="20"/>
                <w:szCs w:val="20"/>
                <w:color w:val="auto"/>
              </w:rPr>
            </w:pPr>
            <w:r>
              <w:rPr>
                <w:rFonts w:ascii="Arial" w:cs="Arial" w:eastAsia="Arial" w:hAnsi="Arial"/>
                <w:sz w:val="14"/>
                <w:szCs w:val="14"/>
                <w:color w:val="auto"/>
              </w:rPr>
              <w:t>NGLs as a percentage of WTI</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75 %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61 %</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63 %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65 %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63 %</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520" w:type="dxa"/>
            <w:vAlign w:val="bottom"/>
          </w:tcPr>
          <w:p>
            <w:pPr>
              <w:ind w:left="20"/>
              <w:spacing w:after="0"/>
              <w:rPr>
                <w:sz w:val="20"/>
                <w:szCs w:val="20"/>
                <w:color w:val="auto"/>
              </w:rPr>
            </w:pPr>
            <w:r>
              <w:rPr>
                <w:rFonts w:ascii="Arial" w:cs="Arial" w:eastAsia="Arial" w:hAnsi="Arial"/>
                <w:sz w:val="14"/>
                <w:szCs w:val="14"/>
                <w:color w:val="auto"/>
              </w:rPr>
              <w:t>Natural gas with derivative settlements as a</w:t>
            </w:r>
          </w:p>
        </w:tc>
        <w:tc>
          <w:tcPr>
            <w:tcW w:w="20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131 %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124 %</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162 %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132 %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314 %</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Arial" w:cs="Arial" w:eastAsia="Arial" w:hAnsi="Arial"/>
                <w:sz w:val="14"/>
                <w:szCs w:val="14"/>
                <w:color w:val="auto"/>
              </w:rPr>
              <w:t>percentage of NYMEX contract month average</w:t>
            </w: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520" w:type="dxa"/>
            <w:vAlign w:val="bottom"/>
          </w:tcPr>
          <w:p>
            <w:pPr>
              <w:ind w:left="20"/>
              <w:spacing w:after="0"/>
              <w:rPr>
                <w:sz w:val="20"/>
                <w:szCs w:val="20"/>
                <w:color w:val="auto"/>
              </w:rPr>
            </w:pPr>
            <w:r>
              <w:rPr>
                <w:rFonts w:ascii="Arial" w:cs="Arial" w:eastAsia="Arial" w:hAnsi="Arial"/>
                <w:sz w:val="14"/>
                <w:szCs w:val="14"/>
                <w:color w:val="auto"/>
              </w:rPr>
              <w:t>Natural gas without derivative settlements as a</w:t>
            </w:r>
          </w:p>
        </w:tc>
        <w:tc>
          <w:tcPr>
            <w:tcW w:w="20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131 %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124 %</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162 %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132 %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314 %</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20" w:type="dxa"/>
            <w:vAlign w:val="bottom"/>
          </w:tcPr>
          <w:p>
            <w:pPr>
              <w:ind w:left="20"/>
              <w:spacing w:after="0"/>
              <w:rPr>
                <w:sz w:val="20"/>
                <w:szCs w:val="20"/>
                <w:color w:val="auto"/>
              </w:rPr>
            </w:pPr>
            <w:r>
              <w:rPr>
                <w:rFonts w:ascii="Arial" w:cs="Arial" w:eastAsia="Arial" w:hAnsi="Arial"/>
                <w:sz w:val="14"/>
                <w:szCs w:val="14"/>
                <w:color w:val="auto"/>
              </w:rPr>
              <w:t>percentage of NYMEX contract month average</w:t>
            </w: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240"/>
          </w:cols>
          <w:pgMar w:left="320" w:top="1050"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5"/>
        </w:trPr>
        <w:tc>
          <w:tcPr>
            <w:tcW w:w="4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Attachment 6</w:t>
            </w:r>
          </w:p>
        </w:tc>
        <w:tc>
          <w:tcPr>
            <w:tcW w:w="0" w:type="dxa"/>
            <w:vAlign w:val="bottom"/>
          </w:tcPr>
          <w:p>
            <w:pPr>
              <w:spacing w:after="0"/>
              <w:rPr>
                <w:sz w:val="1"/>
                <w:szCs w:val="1"/>
                <w:color w:val="auto"/>
              </w:rPr>
            </w:pPr>
          </w:p>
        </w:tc>
      </w:tr>
      <w:tr>
        <w:trPr>
          <w:trHeight w:val="21"/>
        </w:trPr>
        <w:tc>
          <w:tcPr>
            <w:tcW w:w="4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FOURTH QUARTER 2024 DRILLING ACTIVITY</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320" w:type="dxa"/>
            <w:vAlign w:val="bottom"/>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San Joaquin</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Los Angeles</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Ventura</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Sacramento</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Wells Drilled</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Basin</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Basin</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Basin</w:t>
            </w:r>
          </w:p>
        </w:tc>
        <w:tc>
          <w:tcPr>
            <w:tcW w:w="1240" w:type="dxa"/>
            <w:vAlign w:val="bottom"/>
          </w:tcPr>
          <w:p>
            <w:pPr>
              <w:ind w:lef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32"/>
        </w:trPr>
        <w:tc>
          <w:tcPr>
            <w:tcW w:w="43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Development Wells</w:t>
            </w:r>
          </w:p>
        </w:tc>
        <w:tc>
          <w:tcPr>
            <w:tcW w:w="13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320" w:type="dxa"/>
            <w:vAlign w:val="bottom"/>
          </w:tcPr>
          <w:p>
            <w:pPr>
              <w:ind w:left="140"/>
              <w:spacing w:after="0"/>
              <w:rPr>
                <w:sz w:val="20"/>
                <w:szCs w:val="20"/>
                <w:color w:val="auto"/>
              </w:rPr>
            </w:pPr>
            <w:r>
              <w:rPr>
                <w:rFonts w:ascii="Arial" w:cs="Arial" w:eastAsia="Arial" w:hAnsi="Arial"/>
                <w:sz w:val="14"/>
                <w:szCs w:val="14"/>
                <w:color w:val="auto"/>
              </w:rPr>
              <w:t>Primary</w:t>
            </w:r>
          </w:p>
        </w:tc>
        <w:tc>
          <w:tcPr>
            <w:tcW w:w="1320" w:type="dxa"/>
            <w:vAlign w:val="bottom"/>
          </w:tcPr>
          <w:p>
            <w:pPr>
              <w:jc w:val="center"/>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0"/>
        </w:trPr>
        <w:tc>
          <w:tcPr>
            <w:tcW w:w="4320" w:type="dxa"/>
            <w:vAlign w:val="bottom"/>
          </w:tcPr>
          <w:p>
            <w:pPr>
              <w:ind w:left="140"/>
              <w:spacing w:after="0"/>
              <w:rPr>
                <w:sz w:val="20"/>
                <w:szCs w:val="20"/>
                <w:color w:val="auto"/>
              </w:rPr>
            </w:pPr>
            <w:r>
              <w:rPr>
                <w:rFonts w:ascii="Arial" w:cs="Arial" w:eastAsia="Arial" w:hAnsi="Arial"/>
                <w:sz w:val="14"/>
                <w:szCs w:val="14"/>
                <w:color w:val="auto"/>
              </w:rPr>
              <w:t>Waterflood</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4"/>
        </w:trPr>
        <w:tc>
          <w:tcPr>
            <w:tcW w:w="4320" w:type="dxa"/>
            <w:vAlign w:val="bottom"/>
          </w:tcPr>
          <w:p>
            <w:pPr>
              <w:ind w:left="140"/>
              <w:spacing w:after="0"/>
              <w:rPr>
                <w:sz w:val="20"/>
                <w:szCs w:val="20"/>
                <w:color w:val="auto"/>
              </w:rPr>
            </w:pPr>
            <w:r>
              <w:rPr>
                <w:rFonts w:ascii="Arial" w:cs="Arial" w:eastAsia="Arial" w:hAnsi="Arial"/>
                <w:sz w:val="14"/>
                <w:szCs w:val="14"/>
                <w:color w:val="auto"/>
              </w:rPr>
              <w:t>Steamflood</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7"/>
        </w:trPr>
        <w:tc>
          <w:tcPr>
            <w:tcW w:w="4320" w:type="dxa"/>
            <w:vAlign w:val="bottom"/>
          </w:tcPr>
          <w:p>
            <w:pPr>
              <w:ind w:left="20"/>
              <w:spacing w:after="0" w:line="197"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1320" w:type="dxa"/>
            <w:vAlign w:val="bottom"/>
          </w:tcPr>
          <w:p>
            <w:pPr>
              <w:jc w:val="center"/>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TOTAL YEAR 2024 DRILLING ACTIVITY</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2"/>
        </w:trPr>
        <w:tc>
          <w:tcPr>
            <w:tcW w:w="432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320" w:type="dxa"/>
            <w:vAlign w:val="bottom"/>
          </w:tcPr>
          <w:p>
            <w:pPr>
              <w:spacing w:after="0"/>
              <w:rPr>
                <w:sz w:val="17"/>
                <w:szCs w:val="17"/>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San Joaquin</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Los Angeles</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Ventura</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Sacramento</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Wells Drilled</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Basin</w:t>
            </w: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Basin</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Basin</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Basin</w:t>
            </w:r>
          </w:p>
        </w:tc>
        <w:tc>
          <w:tcPr>
            <w:tcW w:w="1240" w:type="dxa"/>
            <w:vAlign w:val="bottom"/>
          </w:tcPr>
          <w:p>
            <w:pPr>
              <w:ind w:lef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32"/>
        </w:trPr>
        <w:tc>
          <w:tcPr>
            <w:tcW w:w="43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Development Wells</w:t>
            </w:r>
          </w:p>
        </w:tc>
        <w:tc>
          <w:tcPr>
            <w:tcW w:w="13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320" w:type="dxa"/>
            <w:vAlign w:val="bottom"/>
          </w:tcPr>
          <w:p>
            <w:pPr>
              <w:ind w:left="140"/>
              <w:spacing w:after="0"/>
              <w:rPr>
                <w:sz w:val="20"/>
                <w:szCs w:val="20"/>
                <w:color w:val="auto"/>
              </w:rPr>
            </w:pPr>
            <w:r>
              <w:rPr>
                <w:rFonts w:ascii="Arial" w:cs="Arial" w:eastAsia="Arial" w:hAnsi="Arial"/>
                <w:sz w:val="14"/>
                <w:szCs w:val="14"/>
                <w:color w:val="auto"/>
              </w:rPr>
              <w:t>Primary</w:t>
            </w:r>
          </w:p>
        </w:tc>
        <w:tc>
          <w:tcPr>
            <w:tcW w:w="1320" w:type="dxa"/>
            <w:vAlign w:val="bottom"/>
          </w:tcPr>
          <w:p>
            <w:pPr>
              <w:jc w:val="center"/>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0"/>
        </w:trPr>
        <w:tc>
          <w:tcPr>
            <w:tcW w:w="4320" w:type="dxa"/>
            <w:vAlign w:val="bottom"/>
          </w:tcPr>
          <w:p>
            <w:pPr>
              <w:ind w:left="140"/>
              <w:spacing w:after="0"/>
              <w:rPr>
                <w:sz w:val="20"/>
                <w:szCs w:val="20"/>
                <w:color w:val="auto"/>
              </w:rPr>
            </w:pPr>
            <w:r>
              <w:rPr>
                <w:rFonts w:ascii="Arial" w:cs="Arial" w:eastAsia="Arial" w:hAnsi="Arial"/>
                <w:sz w:val="14"/>
                <w:szCs w:val="14"/>
                <w:color w:val="auto"/>
              </w:rPr>
              <w:t>Waterflood</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4"/>
        </w:trPr>
        <w:tc>
          <w:tcPr>
            <w:tcW w:w="4320" w:type="dxa"/>
            <w:vAlign w:val="bottom"/>
          </w:tcPr>
          <w:p>
            <w:pPr>
              <w:ind w:left="140"/>
              <w:spacing w:after="0"/>
              <w:rPr>
                <w:sz w:val="20"/>
                <w:szCs w:val="20"/>
                <w:color w:val="auto"/>
              </w:rPr>
            </w:pPr>
            <w:r>
              <w:rPr>
                <w:rFonts w:ascii="Arial" w:cs="Arial" w:eastAsia="Arial" w:hAnsi="Arial"/>
                <w:sz w:val="14"/>
                <w:szCs w:val="14"/>
                <w:color w:val="auto"/>
              </w:rPr>
              <w:t>Steamflood</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7"/>
        </w:trPr>
        <w:tc>
          <w:tcPr>
            <w:tcW w:w="4320" w:type="dxa"/>
            <w:vAlign w:val="bottom"/>
          </w:tcPr>
          <w:p>
            <w:pPr>
              <w:ind w:left="20"/>
              <w:spacing w:after="0" w:line="197"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1320" w:type="dxa"/>
            <w:vAlign w:val="bottom"/>
          </w:tcPr>
          <w:p>
            <w:pPr>
              <w:jc w:val="center"/>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160" w:hanging="149"/>
        <w:spacing w:after="0"/>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Includes steam injectors and drilled but uncompleted wells, which are not included in the SEC definition of wells drilled.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180"/>
          </w:cols>
          <w:pgMar w:left="360" w:top="1050" w:right="3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5"/>
        </w:trPr>
        <w:tc>
          <w:tcPr>
            <w:tcW w:w="45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Attachment 7</w:t>
            </w:r>
          </w:p>
        </w:tc>
      </w:tr>
      <w:tr>
        <w:trPr>
          <w:trHeight w:val="21"/>
        </w:trPr>
        <w:tc>
          <w:tcPr>
            <w:tcW w:w="476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2"/>
        </w:trPr>
        <w:tc>
          <w:tcPr>
            <w:tcW w:w="4760" w:type="dxa"/>
            <w:vAlign w:val="bottom"/>
            <w:gridSpan w:val="2"/>
          </w:tcPr>
          <w:p>
            <w:pPr>
              <w:ind w:left="20"/>
              <w:spacing w:after="0"/>
              <w:rPr>
                <w:sz w:val="20"/>
                <w:szCs w:val="20"/>
                <w:color w:val="auto"/>
              </w:rPr>
            </w:pPr>
            <w:r>
              <w:rPr>
                <w:rFonts w:ascii="Arial" w:cs="Arial" w:eastAsia="Arial" w:hAnsi="Arial"/>
                <w:sz w:val="14"/>
                <w:szCs w:val="14"/>
                <w:b w:val="1"/>
                <w:bCs w:val="1"/>
                <w:color w:val="auto"/>
              </w:rPr>
              <w:t>OIL HEDGES AS OF DECEMBER 31, 2024</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414"/>
        </w:trPr>
        <w:tc>
          <w:tcPr>
            <w:tcW w:w="45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Q1 2025</w:t>
            </w:r>
          </w:p>
        </w:tc>
        <w:tc>
          <w:tcPr>
            <w:tcW w:w="80" w:type="dxa"/>
            <w:vAlign w:val="bottom"/>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Q2 2025</w:t>
            </w:r>
          </w:p>
        </w:tc>
        <w:tc>
          <w:tcPr>
            <w:tcW w:w="100" w:type="dxa"/>
            <w:vAlign w:val="bottom"/>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Q3 2025</w:t>
            </w:r>
          </w:p>
        </w:tc>
        <w:tc>
          <w:tcPr>
            <w:tcW w:w="8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Q4 2025</w:t>
            </w:r>
          </w:p>
        </w:tc>
        <w:tc>
          <w:tcPr>
            <w:tcW w:w="100" w:type="dxa"/>
            <w:vAlign w:val="bottom"/>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2027</w:t>
            </w:r>
          </w:p>
        </w:tc>
        <w:tc>
          <w:tcPr>
            <w:tcW w:w="8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2028</w:t>
            </w:r>
          </w:p>
        </w:tc>
      </w:tr>
      <w:tr>
        <w:trPr>
          <w:trHeight w:val="432"/>
        </w:trPr>
        <w:tc>
          <w:tcPr>
            <w:tcW w:w="4760" w:type="dxa"/>
            <w:vAlign w:val="bottom"/>
            <w:gridSpan w:val="2"/>
          </w:tcPr>
          <w:p>
            <w:pPr>
              <w:ind w:left="20"/>
              <w:spacing w:after="0"/>
              <w:rPr>
                <w:sz w:val="20"/>
                <w:szCs w:val="20"/>
                <w:color w:val="auto"/>
              </w:rPr>
            </w:pPr>
            <w:r>
              <w:rPr>
                <w:rFonts w:ascii="Arial" w:cs="Arial" w:eastAsia="Arial" w:hAnsi="Arial"/>
                <w:sz w:val="14"/>
                <w:szCs w:val="14"/>
                <w:b w:val="1"/>
                <w:bCs w:val="1"/>
                <w:color w:val="auto"/>
              </w:rPr>
              <w:t>Sold Calls</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4"/>
        </w:trPr>
        <w:tc>
          <w:tcPr>
            <w:tcW w:w="476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840" w:type="dxa"/>
            <w:vAlign w:val="bottom"/>
          </w:tcPr>
          <w:p>
            <w:pPr>
              <w:jc w:val="center"/>
              <w:spacing w:after="0"/>
              <w:rPr>
                <w:sz w:val="20"/>
                <w:szCs w:val="20"/>
                <w:color w:val="auto"/>
              </w:rPr>
            </w:pPr>
            <w:r>
              <w:rPr>
                <w:rFonts w:ascii="Arial" w:cs="Arial" w:eastAsia="Arial" w:hAnsi="Arial"/>
                <w:sz w:val="14"/>
                <w:szCs w:val="14"/>
                <w:color w:val="auto"/>
                <w:w w:val="97"/>
              </w:rPr>
              <w:t>30,000</w:t>
            </w:r>
          </w:p>
        </w:tc>
        <w:tc>
          <w:tcPr>
            <w:tcW w:w="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29,000</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00"/>
        </w:trPr>
        <w:tc>
          <w:tcPr>
            <w:tcW w:w="476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840" w:type="dxa"/>
            <w:vAlign w:val="bottom"/>
          </w:tcPr>
          <w:p>
            <w:pPr>
              <w:jc w:val="center"/>
              <w:spacing w:after="0"/>
              <w:rPr>
                <w:sz w:val="20"/>
                <w:szCs w:val="20"/>
                <w:color w:val="auto"/>
              </w:rPr>
            </w:pPr>
            <w:r>
              <w:rPr>
                <w:rFonts w:ascii="Arial" w:cs="Arial" w:eastAsia="Arial" w:hAnsi="Arial"/>
                <w:sz w:val="14"/>
                <w:szCs w:val="14"/>
                <w:color w:val="auto"/>
                <w:w w:val="97"/>
              </w:rPr>
              <w:t>$87.08</w:t>
            </w: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$87.08</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$87.08</w:t>
            </w:r>
          </w:p>
        </w:tc>
        <w:tc>
          <w:tcPr>
            <w:tcW w:w="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$87.13</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$85.00</w:t>
            </w: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459"/>
        </w:trPr>
        <w:tc>
          <w:tcPr>
            <w:tcW w:w="4760" w:type="dxa"/>
            <w:vAlign w:val="bottom"/>
            <w:gridSpan w:val="2"/>
          </w:tcPr>
          <w:p>
            <w:pPr>
              <w:ind w:left="20"/>
              <w:spacing w:after="0"/>
              <w:rPr>
                <w:sz w:val="20"/>
                <w:szCs w:val="20"/>
                <w:color w:val="auto"/>
              </w:rPr>
            </w:pPr>
            <w:r>
              <w:rPr>
                <w:rFonts w:ascii="Arial" w:cs="Arial" w:eastAsia="Arial" w:hAnsi="Arial"/>
                <w:sz w:val="14"/>
                <w:szCs w:val="14"/>
                <w:b w:val="1"/>
                <w:bCs w:val="1"/>
                <w:color w:val="auto"/>
              </w:rPr>
              <w:t>Swaps</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4"/>
        </w:trPr>
        <w:tc>
          <w:tcPr>
            <w:tcW w:w="476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840" w:type="dxa"/>
            <w:vAlign w:val="bottom"/>
          </w:tcPr>
          <w:p>
            <w:pPr>
              <w:jc w:val="center"/>
              <w:spacing w:after="0"/>
              <w:rPr>
                <w:sz w:val="20"/>
                <w:szCs w:val="20"/>
                <w:color w:val="auto"/>
              </w:rPr>
            </w:pPr>
            <w:r>
              <w:rPr>
                <w:rFonts w:ascii="Arial" w:cs="Arial" w:eastAsia="Arial" w:hAnsi="Arial"/>
                <w:sz w:val="14"/>
                <w:szCs w:val="14"/>
                <w:color w:val="auto"/>
                <w:w w:val="97"/>
              </w:rPr>
              <w:t>52,837</w:t>
            </w:r>
          </w:p>
        </w:tc>
        <w:tc>
          <w:tcPr>
            <w:tcW w:w="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46,506</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44,126</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42,626</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30,449</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7"/>
              </w:rPr>
              <w:t>13,882</w:t>
            </w:r>
          </w:p>
        </w:tc>
        <w:tc>
          <w:tcPr>
            <w:tcW w:w="940" w:type="dxa"/>
            <w:vAlign w:val="bottom"/>
            <w:gridSpan w:val="2"/>
          </w:tcPr>
          <w:p>
            <w:pPr>
              <w:jc w:val="center"/>
              <w:ind w:left="29"/>
              <w:spacing w:after="0"/>
              <w:rPr>
                <w:sz w:val="20"/>
                <w:szCs w:val="20"/>
                <w:color w:val="auto"/>
              </w:rPr>
            </w:pPr>
            <w:r>
              <w:rPr>
                <w:rFonts w:ascii="Arial" w:cs="Arial" w:eastAsia="Arial" w:hAnsi="Arial"/>
                <w:sz w:val="14"/>
                <w:szCs w:val="14"/>
                <w:color w:val="auto"/>
              </w:rPr>
              <w:t>1,697</w:t>
            </w:r>
          </w:p>
        </w:tc>
      </w:tr>
      <w:tr>
        <w:trPr>
          <w:trHeight w:val="200"/>
        </w:trPr>
        <w:tc>
          <w:tcPr>
            <w:tcW w:w="476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840" w:type="dxa"/>
            <w:vAlign w:val="bottom"/>
          </w:tcPr>
          <w:p>
            <w:pPr>
              <w:jc w:val="center"/>
              <w:spacing w:after="0"/>
              <w:rPr>
                <w:sz w:val="20"/>
                <w:szCs w:val="20"/>
                <w:color w:val="auto"/>
              </w:rPr>
            </w:pPr>
            <w:r>
              <w:rPr>
                <w:rFonts w:ascii="Arial" w:cs="Arial" w:eastAsia="Arial" w:hAnsi="Arial"/>
                <w:sz w:val="14"/>
                <w:szCs w:val="14"/>
                <w:color w:val="auto"/>
                <w:w w:val="97"/>
              </w:rPr>
              <w:t>$72.48</w:t>
            </w: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$71.31</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$70.62</w:t>
            </w:r>
          </w:p>
        </w:tc>
        <w:tc>
          <w:tcPr>
            <w:tcW w:w="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$69.94</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$67.95</w:t>
            </w: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7"/>
              </w:rPr>
              <w:t>$65.53</w:t>
            </w:r>
          </w:p>
        </w:tc>
        <w:tc>
          <w:tcPr>
            <w:tcW w:w="940" w:type="dxa"/>
            <w:vAlign w:val="bottom"/>
            <w:gridSpan w:val="2"/>
          </w:tcPr>
          <w:p>
            <w:pPr>
              <w:jc w:val="center"/>
              <w:ind w:left="29"/>
              <w:spacing w:after="0"/>
              <w:rPr>
                <w:sz w:val="20"/>
                <w:szCs w:val="20"/>
                <w:color w:val="auto"/>
              </w:rPr>
            </w:pPr>
            <w:r>
              <w:rPr>
                <w:rFonts w:ascii="Arial" w:cs="Arial" w:eastAsia="Arial" w:hAnsi="Arial"/>
                <w:sz w:val="14"/>
                <w:szCs w:val="14"/>
                <w:color w:val="auto"/>
              </w:rPr>
              <w:t>$65.00</w:t>
            </w:r>
          </w:p>
        </w:tc>
      </w:tr>
      <w:tr>
        <w:trPr>
          <w:trHeight w:val="459"/>
        </w:trPr>
        <w:tc>
          <w:tcPr>
            <w:tcW w:w="4760" w:type="dxa"/>
            <w:vAlign w:val="bottom"/>
            <w:gridSpan w:val="2"/>
          </w:tcPr>
          <w:p>
            <w:pPr>
              <w:ind w:left="20"/>
              <w:spacing w:after="0"/>
              <w:rPr>
                <w:sz w:val="20"/>
                <w:szCs w:val="20"/>
                <w:color w:val="auto"/>
              </w:rPr>
            </w:pPr>
            <w:r>
              <w:rPr>
                <w:rFonts w:ascii="Arial" w:cs="Arial" w:eastAsia="Arial" w:hAnsi="Arial"/>
                <w:sz w:val="14"/>
                <w:szCs w:val="14"/>
                <w:b w:val="1"/>
                <w:bCs w:val="1"/>
                <w:color w:val="auto"/>
              </w:rPr>
              <w:t>Purchased Puts</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4"/>
        </w:trPr>
        <w:tc>
          <w:tcPr>
            <w:tcW w:w="476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840" w:type="dxa"/>
            <w:vAlign w:val="bottom"/>
          </w:tcPr>
          <w:p>
            <w:pPr>
              <w:jc w:val="center"/>
              <w:spacing w:after="0"/>
              <w:rPr>
                <w:sz w:val="20"/>
                <w:szCs w:val="20"/>
                <w:color w:val="auto"/>
              </w:rPr>
            </w:pPr>
            <w:r>
              <w:rPr>
                <w:rFonts w:ascii="Arial" w:cs="Arial" w:eastAsia="Arial" w:hAnsi="Arial"/>
                <w:sz w:val="14"/>
                <w:szCs w:val="14"/>
                <w:color w:val="auto"/>
                <w:w w:val="97"/>
              </w:rPr>
              <w:t>30,000</w:t>
            </w:r>
          </w:p>
        </w:tc>
        <w:tc>
          <w:tcPr>
            <w:tcW w:w="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29,000</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00"/>
        </w:trPr>
        <w:tc>
          <w:tcPr>
            <w:tcW w:w="476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840" w:type="dxa"/>
            <w:vAlign w:val="bottom"/>
          </w:tcPr>
          <w:p>
            <w:pPr>
              <w:jc w:val="center"/>
              <w:spacing w:after="0"/>
              <w:rPr>
                <w:sz w:val="20"/>
                <w:szCs w:val="20"/>
                <w:color w:val="auto"/>
              </w:rPr>
            </w:pPr>
            <w:r>
              <w:rPr>
                <w:rFonts w:ascii="Arial" w:cs="Arial" w:eastAsia="Arial" w:hAnsi="Arial"/>
                <w:sz w:val="14"/>
                <w:szCs w:val="14"/>
                <w:color w:val="auto"/>
                <w:w w:val="97"/>
              </w:rPr>
              <w:t>$61.67</w:t>
            </w: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$61.67</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$61.67</w:t>
            </w:r>
          </w:p>
        </w:tc>
        <w:tc>
          <w:tcPr>
            <w:tcW w:w="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$61.72</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$60.00</w:t>
            </w: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r>
    </w:tbl>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Attachment 7</w:t>
            </w:r>
          </w:p>
        </w:tc>
      </w:tr>
      <w:tr>
        <w:trPr>
          <w:trHeight w:val="21"/>
        </w:trPr>
        <w:tc>
          <w:tcPr>
            <w:tcW w:w="478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2"/>
        </w:trPr>
        <w:tc>
          <w:tcPr>
            <w:tcW w:w="4780" w:type="dxa"/>
            <w:vAlign w:val="bottom"/>
            <w:gridSpan w:val="2"/>
          </w:tcPr>
          <w:p>
            <w:pPr>
              <w:ind w:left="20"/>
              <w:spacing w:after="0"/>
              <w:rPr>
                <w:sz w:val="20"/>
                <w:szCs w:val="20"/>
                <w:color w:val="auto"/>
              </w:rPr>
            </w:pPr>
            <w:r>
              <w:rPr>
                <w:rFonts w:ascii="Arial" w:cs="Arial" w:eastAsia="Arial" w:hAnsi="Arial"/>
                <w:sz w:val="14"/>
                <w:szCs w:val="14"/>
                <w:b w:val="1"/>
                <w:bCs w:val="1"/>
                <w:color w:val="auto"/>
              </w:rPr>
              <w:t>NATURAL GAS HEDGES AS OF DECEMBER 31, 2024</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414"/>
        </w:trPr>
        <w:tc>
          <w:tcPr>
            <w:tcW w:w="44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Q1 2025</w:t>
            </w:r>
          </w:p>
        </w:tc>
        <w:tc>
          <w:tcPr>
            <w:tcW w:w="100" w:type="dxa"/>
            <w:vAlign w:val="bottom"/>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Q2 2025</w:t>
            </w:r>
          </w:p>
        </w:tc>
        <w:tc>
          <w:tcPr>
            <w:tcW w:w="80" w:type="dxa"/>
            <w:vAlign w:val="bottom"/>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Q3 2025</w:t>
            </w:r>
          </w:p>
        </w:tc>
        <w:tc>
          <w:tcPr>
            <w:tcW w:w="100" w:type="dxa"/>
            <w:vAlign w:val="bottom"/>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Q4 2025</w:t>
            </w:r>
          </w:p>
        </w:tc>
        <w:tc>
          <w:tcPr>
            <w:tcW w:w="8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24"/>
                <w:szCs w:val="2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2028</w:t>
            </w:r>
          </w:p>
        </w:tc>
      </w:tr>
      <w:tr>
        <w:trPr>
          <w:trHeight w:val="432"/>
        </w:trPr>
        <w:tc>
          <w:tcPr>
            <w:tcW w:w="4780" w:type="dxa"/>
            <w:vAlign w:val="bottom"/>
            <w:gridSpan w:val="2"/>
          </w:tcPr>
          <w:p>
            <w:pPr>
              <w:ind w:left="20"/>
              <w:spacing w:after="0"/>
              <w:rPr>
                <w:sz w:val="20"/>
                <w:szCs w:val="20"/>
                <w:color w:val="auto"/>
              </w:rPr>
            </w:pPr>
            <w:r>
              <w:rPr>
                <w:rFonts w:ascii="Arial" w:cs="Arial" w:eastAsia="Arial" w:hAnsi="Arial"/>
                <w:sz w:val="14"/>
                <w:szCs w:val="14"/>
                <w:b w:val="1"/>
                <w:bCs w:val="1"/>
                <w:color w:val="auto"/>
              </w:rPr>
              <w:t>SoCal Border</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4"/>
        </w:trPr>
        <w:tc>
          <w:tcPr>
            <w:tcW w:w="4780" w:type="dxa"/>
            <w:vAlign w:val="bottom"/>
            <w:gridSpan w:val="2"/>
          </w:tcPr>
          <w:p>
            <w:pPr>
              <w:ind w:left="140"/>
              <w:spacing w:after="0"/>
              <w:rPr>
                <w:sz w:val="20"/>
                <w:szCs w:val="20"/>
                <w:color w:val="auto"/>
              </w:rPr>
            </w:pPr>
            <w:r>
              <w:rPr>
                <w:rFonts w:ascii="Arial" w:cs="Arial" w:eastAsia="Arial" w:hAnsi="Arial"/>
                <w:sz w:val="14"/>
                <w:szCs w:val="14"/>
                <w:color w:val="auto"/>
              </w:rPr>
              <w:t>MMBtu per day</w:t>
            </w:r>
          </w:p>
        </w:tc>
        <w:tc>
          <w:tcPr>
            <w:tcW w:w="840" w:type="dxa"/>
            <w:vAlign w:val="bottom"/>
          </w:tcPr>
          <w:p>
            <w:pPr>
              <w:jc w:val="center"/>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7"/>
              </w:rPr>
              <w:t>29,074</w:t>
            </w:r>
          </w:p>
        </w:tc>
        <w:tc>
          <w:tcPr>
            <w:tcW w:w="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25,750</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22,408</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660</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00"/>
        </w:trPr>
        <w:tc>
          <w:tcPr>
            <w:tcW w:w="4780" w:type="dxa"/>
            <w:vAlign w:val="bottom"/>
            <w:gridSpan w:val="2"/>
          </w:tcPr>
          <w:p>
            <w:pPr>
              <w:ind w:left="140"/>
              <w:spacing w:after="0"/>
              <w:rPr>
                <w:sz w:val="20"/>
                <w:szCs w:val="20"/>
                <w:color w:val="auto"/>
              </w:rPr>
            </w:pPr>
            <w:r>
              <w:rPr>
                <w:rFonts w:ascii="Arial" w:cs="Arial" w:eastAsia="Arial" w:hAnsi="Arial"/>
                <w:sz w:val="14"/>
                <w:szCs w:val="14"/>
                <w:color w:val="auto"/>
              </w:rPr>
              <w:t>Weighted-average price per MMBtu</w:t>
            </w:r>
          </w:p>
        </w:tc>
        <w:tc>
          <w:tcPr>
            <w:tcW w:w="840" w:type="dxa"/>
            <w:vAlign w:val="bottom"/>
          </w:tcPr>
          <w:p>
            <w:pPr>
              <w:jc w:val="center"/>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6"/>
              </w:rPr>
              <w:t>$3.44</w:t>
            </w: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$3.53</w:t>
            </w:r>
          </w:p>
        </w:tc>
        <w:tc>
          <w:tcPr>
            <w:tcW w:w="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$6.29</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459"/>
        </w:trPr>
        <w:tc>
          <w:tcPr>
            <w:tcW w:w="4780" w:type="dxa"/>
            <w:vAlign w:val="bottom"/>
            <w:gridSpan w:val="2"/>
          </w:tcPr>
          <w:p>
            <w:pPr>
              <w:ind w:left="20"/>
              <w:spacing w:after="0"/>
              <w:rPr>
                <w:sz w:val="20"/>
                <w:szCs w:val="20"/>
                <w:color w:val="auto"/>
              </w:rPr>
            </w:pPr>
            <w:r>
              <w:rPr>
                <w:rFonts w:ascii="Arial" w:cs="Arial" w:eastAsia="Arial" w:hAnsi="Arial"/>
                <w:sz w:val="14"/>
                <w:szCs w:val="14"/>
                <w:b w:val="1"/>
                <w:bCs w:val="1"/>
                <w:color w:val="auto"/>
              </w:rPr>
              <w:t>Northwest Pipeline (NWPL) Rockies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4"/>
        </w:trPr>
        <w:tc>
          <w:tcPr>
            <w:tcW w:w="4780" w:type="dxa"/>
            <w:vAlign w:val="bottom"/>
            <w:gridSpan w:val="2"/>
          </w:tcPr>
          <w:p>
            <w:pPr>
              <w:ind w:left="140"/>
              <w:spacing w:after="0"/>
              <w:rPr>
                <w:sz w:val="20"/>
                <w:szCs w:val="20"/>
                <w:color w:val="auto"/>
              </w:rPr>
            </w:pPr>
            <w:r>
              <w:rPr>
                <w:rFonts w:ascii="Arial" w:cs="Arial" w:eastAsia="Arial" w:hAnsi="Arial"/>
                <w:sz w:val="14"/>
                <w:szCs w:val="14"/>
                <w:color w:val="auto"/>
              </w:rPr>
              <w:t>MMBtu per day</w:t>
            </w:r>
          </w:p>
        </w:tc>
        <w:tc>
          <w:tcPr>
            <w:tcW w:w="840" w:type="dxa"/>
            <w:vAlign w:val="bottom"/>
          </w:tcPr>
          <w:p>
            <w:pPr>
              <w:jc w:val="center"/>
              <w:spacing w:after="0"/>
              <w:rPr>
                <w:sz w:val="20"/>
                <w:szCs w:val="20"/>
                <w:color w:val="auto"/>
              </w:rPr>
            </w:pPr>
            <w:r>
              <w:rPr>
                <w:rFonts w:ascii="Arial" w:cs="Arial" w:eastAsia="Arial" w:hAnsi="Arial"/>
                <w:sz w:val="14"/>
                <w:szCs w:val="14"/>
                <w:color w:val="auto"/>
              </w:rPr>
              <w:t>50,999</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7"/>
              </w:rPr>
              <w:t>51,750</w:t>
            </w:r>
          </w:p>
        </w:tc>
        <w:tc>
          <w:tcPr>
            <w:tcW w:w="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51,750</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51,750</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44,618</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12,616</w:t>
            </w:r>
          </w:p>
        </w:tc>
        <w:tc>
          <w:tcPr>
            <w:tcW w:w="940" w:type="dxa"/>
            <w:vAlign w:val="bottom"/>
            <w:gridSpan w:val="2"/>
          </w:tcPr>
          <w:p>
            <w:pPr>
              <w:jc w:val="center"/>
              <w:ind w:left="29"/>
              <w:spacing w:after="0"/>
              <w:rPr>
                <w:sz w:val="20"/>
                <w:szCs w:val="20"/>
                <w:color w:val="auto"/>
              </w:rPr>
            </w:pPr>
            <w:r>
              <w:rPr>
                <w:rFonts w:ascii="Arial" w:cs="Arial" w:eastAsia="Arial" w:hAnsi="Arial"/>
                <w:sz w:val="14"/>
                <w:szCs w:val="14"/>
                <w:color w:val="auto"/>
              </w:rPr>
              <w:t>1,576</w:t>
            </w:r>
          </w:p>
        </w:tc>
      </w:tr>
      <w:tr>
        <w:trPr>
          <w:trHeight w:val="200"/>
        </w:trPr>
        <w:tc>
          <w:tcPr>
            <w:tcW w:w="4780" w:type="dxa"/>
            <w:vAlign w:val="bottom"/>
            <w:gridSpan w:val="2"/>
          </w:tcPr>
          <w:p>
            <w:pPr>
              <w:ind w:left="140"/>
              <w:spacing w:after="0"/>
              <w:rPr>
                <w:sz w:val="20"/>
                <w:szCs w:val="20"/>
                <w:color w:val="auto"/>
              </w:rPr>
            </w:pPr>
            <w:r>
              <w:rPr>
                <w:rFonts w:ascii="Arial" w:cs="Arial" w:eastAsia="Arial" w:hAnsi="Arial"/>
                <w:sz w:val="14"/>
                <w:szCs w:val="14"/>
                <w:color w:val="auto"/>
              </w:rPr>
              <w:t>Weighted-average price per MMBtu</w:t>
            </w:r>
          </w:p>
        </w:tc>
        <w:tc>
          <w:tcPr>
            <w:tcW w:w="840" w:type="dxa"/>
            <w:vAlign w:val="bottom"/>
          </w:tcPr>
          <w:p>
            <w:pPr>
              <w:jc w:val="center"/>
              <w:spacing w:after="0"/>
              <w:rPr>
                <w:sz w:val="20"/>
                <w:szCs w:val="20"/>
                <w:color w:val="auto"/>
              </w:rPr>
            </w:pPr>
            <w:r>
              <w:rPr>
                <w:rFonts w:ascii="Arial" w:cs="Arial" w:eastAsia="Arial" w:hAnsi="Arial"/>
                <w:sz w:val="14"/>
                <w:szCs w:val="14"/>
                <w:color w:val="auto"/>
              </w:rPr>
              <w:t>$5.48</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6"/>
              </w:rPr>
              <w:t>$2.95</w:t>
            </w:r>
          </w:p>
        </w:tc>
        <w:tc>
          <w:tcPr>
            <w:tcW w:w="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$4.22</w:t>
            </w:r>
          </w:p>
        </w:tc>
        <w:tc>
          <w:tcPr>
            <w:tcW w:w="8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$4.34</w:t>
            </w:r>
          </w:p>
        </w:tc>
        <w:tc>
          <w:tcPr>
            <w:tcW w:w="940" w:type="dxa"/>
            <w:vAlign w:val="bottom"/>
            <w:gridSpan w:val="2"/>
          </w:tcPr>
          <w:p>
            <w:pPr>
              <w:jc w:val="center"/>
              <w:ind w:left="29"/>
              <w:spacing w:after="0"/>
              <w:rPr>
                <w:sz w:val="20"/>
                <w:szCs w:val="20"/>
                <w:color w:val="auto"/>
              </w:rPr>
            </w:pPr>
            <w:r>
              <w:rPr>
                <w:rFonts w:ascii="Arial" w:cs="Arial" w:eastAsia="Arial" w:hAnsi="Arial"/>
                <w:sz w:val="14"/>
                <w:szCs w:val="14"/>
                <w:color w:val="auto"/>
              </w:rPr>
              <w:t>$3.95</w:t>
            </w:r>
          </w:p>
        </w:tc>
      </w:tr>
      <w:tr>
        <w:trPr>
          <w:trHeight w:val="459"/>
        </w:trPr>
        <w:tc>
          <w:tcPr>
            <w:tcW w:w="4780" w:type="dxa"/>
            <w:vAlign w:val="bottom"/>
            <w:gridSpan w:val="2"/>
          </w:tcPr>
          <w:p>
            <w:pPr>
              <w:ind w:left="20"/>
              <w:spacing w:after="0"/>
              <w:rPr>
                <w:sz w:val="20"/>
                <w:szCs w:val="20"/>
                <w:color w:val="auto"/>
              </w:rPr>
            </w:pPr>
            <w:r>
              <w:rPr>
                <w:rFonts w:ascii="Arial" w:cs="Arial" w:eastAsia="Arial" w:hAnsi="Arial"/>
                <w:sz w:val="14"/>
                <w:szCs w:val="14"/>
                <w:b w:val="1"/>
                <w:bCs w:val="1"/>
                <w:color w:val="auto"/>
              </w:rPr>
              <w:t>PG&amp;E Citygate</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4"/>
        </w:trPr>
        <w:tc>
          <w:tcPr>
            <w:tcW w:w="4780" w:type="dxa"/>
            <w:vAlign w:val="bottom"/>
            <w:gridSpan w:val="2"/>
          </w:tcPr>
          <w:p>
            <w:pPr>
              <w:ind w:left="140"/>
              <w:spacing w:after="0"/>
              <w:rPr>
                <w:sz w:val="20"/>
                <w:szCs w:val="20"/>
                <w:color w:val="auto"/>
              </w:rPr>
            </w:pPr>
            <w:r>
              <w:rPr>
                <w:rFonts w:ascii="Arial" w:cs="Arial" w:eastAsia="Arial" w:hAnsi="Arial"/>
                <w:sz w:val="14"/>
                <w:szCs w:val="14"/>
                <w:color w:val="auto"/>
              </w:rPr>
              <w:t>MMBtu per day</w:t>
            </w:r>
          </w:p>
        </w:tc>
        <w:tc>
          <w:tcPr>
            <w:tcW w:w="840" w:type="dxa"/>
            <w:vAlign w:val="bottom"/>
          </w:tcPr>
          <w:p>
            <w:pPr>
              <w:jc w:val="center"/>
              <w:spacing w:after="0"/>
              <w:rPr>
                <w:sz w:val="20"/>
                <w:szCs w:val="20"/>
                <w:color w:val="auto"/>
              </w:rPr>
            </w:pPr>
            <w:r>
              <w:rPr>
                <w:rFonts w:ascii="Arial" w:cs="Arial" w:eastAsia="Arial" w:hAnsi="Arial"/>
                <w:sz w:val="14"/>
                <w:szCs w:val="14"/>
                <w:color w:val="auto"/>
              </w:rPr>
              <w:t>14,000</w:t>
            </w:r>
          </w:p>
        </w:tc>
        <w:tc>
          <w:tcPr>
            <w:tcW w:w="100" w:type="dxa"/>
            <w:vAlign w:val="bottom"/>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00"/>
        </w:trPr>
        <w:tc>
          <w:tcPr>
            <w:tcW w:w="4780" w:type="dxa"/>
            <w:vAlign w:val="bottom"/>
            <w:gridSpan w:val="2"/>
          </w:tcPr>
          <w:p>
            <w:pPr>
              <w:ind w:left="140"/>
              <w:spacing w:after="0"/>
              <w:rPr>
                <w:sz w:val="20"/>
                <w:szCs w:val="20"/>
                <w:color w:val="auto"/>
              </w:rPr>
            </w:pPr>
            <w:r>
              <w:rPr>
                <w:rFonts w:ascii="Arial" w:cs="Arial" w:eastAsia="Arial" w:hAnsi="Arial"/>
                <w:sz w:val="14"/>
                <w:szCs w:val="14"/>
                <w:color w:val="auto"/>
              </w:rPr>
              <w:t>Weighted-average price per MMBtu</w:t>
            </w:r>
          </w:p>
        </w:tc>
        <w:tc>
          <w:tcPr>
            <w:tcW w:w="840" w:type="dxa"/>
            <w:vAlign w:val="bottom"/>
          </w:tcPr>
          <w:p>
            <w:pPr>
              <w:jc w:val="center"/>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17"/>
                <w:szCs w:val="17"/>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sectPr>
      <w:pgSz w:w="11900" w:h="16838" w:orient="portrait"/>
      <w:cols w:equalWidth="0" w:num="1">
        <w:col w:w="11240"/>
      </w:cols>
      <w:pgMar w:left="320" w:top="12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2025-03-03T07:59:19Z</dcterms:created>
  <dcterms:modified xsi:type="dcterms:W3CDTF">2025-03-03T07:59:19Z</dcterms:modified>
</cp:coreProperties>
</file>