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14, 2026 </w:t>
      </w:r>
    </w:p>
    <w:p>
      <w:pPr>
        <w:pStyle w:val="TextBody"/>
        <w:bidi w:val="0"/>
        <w:spacing w:lineRule="auto" w:line="288" w:before="18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California Resources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848-4754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400" w:after="200"/>
        <w:ind w:left="0" w:right="0" w:hanging="144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180"/>
        <w:jc w:val="left"/>
        <w:rPr/>
      </w:pPr>
      <w:r>
        <w:rPr>
          <w:rFonts w:ascii="Times New Roman;serif" w:hAnsi="Times New Roman;serif"/>
          <w:b w:val="false"/>
          <w:color w:val="000000"/>
          <w:sz w:val="20"/>
        </w:rPr>
        <w:t>California Resources Corporation (the "</w:t>
      </w:r>
      <w:r>
        <w:rPr>
          <w:rFonts w:ascii="Times New Roman;serif" w:hAnsi="Times New Roman;serif"/>
          <w:b/>
          <w:i/>
          <w:color w:val="000000"/>
          <w:sz w:val="20"/>
        </w:rPr>
        <w:t>Company</w:t>
      </w:r>
      <w:r>
        <w:rPr>
          <w:rFonts w:ascii="Times New Roman;serif" w:hAnsi="Times New Roman;serif"/>
          <w:b w:val="false"/>
          <w:i/>
          <w:color w:val="000000"/>
          <w:sz w:val="20"/>
        </w:rPr>
        <w:t>"</w:t>
      </w:r>
      <w:r>
        <w:rPr>
          <w:rFonts w:ascii="Times New Roman;serif" w:hAnsi="Times New Roman;serif"/>
          <w:b w:val="false"/>
          <w:color w:val="000000"/>
          <w:sz w:val="20"/>
        </w:rPr>
        <w:t xml:space="preserve">) presents in this Item 2.02 certain summary information for the three months ended June 30, 2026 regarding realized prices and commodity derivatives. The summary information presented below is preliminary and unaudited, does not reflect all adjustments and charges, and remains subject to completion of the Company's financial reporting process. The preliminary summary information is not comprehensive of all results for the period and does not constitute an estimate of the Company's quarterly earnings. There can be no assurances that the final results for this period will not differ from the preliminary summary information presented below. </w:t>
      </w:r>
    </w:p>
    <w:p>
      <w:pPr>
        <w:pStyle w:val="TextBody"/>
        <w:bidi w:val="0"/>
        <w:spacing w:lineRule="auto" w:line="288" w:before="0" w:after="180"/>
        <w:jc w:val="left"/>
        <w:rPr/>
      </w:pPr>
      <w:r>
        <w:rPr>
          <w:rFonts w:ascii="Times New Roman;serif" w:hAnsi="Times New Roman;serif"/>
          <w:b w:val="false"/>
          <w:color w:val="000000"/>
          <w:sz w:val="20"/>
        </w:rPr>
        <w:t>The information in this Item 2.02 shall not be deemed "filed" for purposes of Section 18 of the Securities Exchange Act of 1934, as amended (the "</w:t>
      </w:r>
      <w:r>
        <w:rPr>
          <w:rFonts w:ascii="Times New Roman;serif" w:hAnsi="Times New Roman;serif"/>
          <w:b/>
          <w:i/>
          <w:color w:val="000000"/>
          <w:sz w:val="20"/>
        </w:rPr>
        <w:t>Exchange Act</w:t>
      </w:r>
      <w:r>
        <w:rPr>
          <w:rFonts w:ascii="Times New Roman;serif" w:hAnsi="Times New Roman;serif"/>
          <w:b w:val="false"/>
          <w:color w:val="000000"/>
          <w:sz w:val="20"/>
        </w:rPr>
        <w:t>"), and shall not be incorporated by reference into any filing under the Securities Act of 1933, as amended, or the Exchange Act, except as expressly set forth by specific reference in such filing.</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Realized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estimated index and average realized prices:</w:t>
      </w:r>
    </w:p>
    <w:tbl>
      <w:tblPr>
        <w:tblW w:w="6388" w:type="dxa"/>
        <w:jc w:val="left"/>
        <w:tblInd w:w="0" w:type="dxa"/>
        <w:tblLayout w:type="fixed"/>
        <w:tblCellMar>
          <w:top w:w="28" w:type="dxa"/>
          <w:left w:w="28" w:type="dxa"/>
          <w:bottom w:w="28" w:type="dxa"/>
          <w:right w:w="28" w:type="dxa"/>
        </w:tblCellMar>
      </w:tblPr>
      <w:tblGrid>
        <w:gridCol w:w="1388"/>
        <w:gridCol w:w="1223"/>
        <w:gridCol w:w="1228"/>
        <w:gridCol w:w="744"/>
        <w:gridCol w:w="744"/>
        <w:gridCol w:w="1061"/>
      </w:tblGrid>
      <w:tr>
        <w:trPr/>
        <w:tc>
          <w:tcPr>
            <w:tcW w:w="13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For the Three Months Ended</w:t>
            </w:r>
          </w:p>
          <w:p>
            <w:pPr>
              <w:pStyle w:val="TableContents"/>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June 30, 2026</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Index Prices:</w:t>
            </w:r>
          </w:p>
        </w:tc>
        <w:tc>
          <w:tcPr>
            <w:tcW w:w="25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 per Bbl)</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$96.87</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WTI ($ per Bbl)</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$92.79</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NYMEX Henry Hub ($ per Mcf)</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Realized price without derivative settlements:</w:t>
            </w:r>
          </w:p>
        </w:tc>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NGLs ($ per Bbl)</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$49.62</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 per Mcf)</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Realized price with derivative settlements:</w:t>
            </w:r>
          </w:p>
        </w:tc>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$76.50</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NGLs ($ per Bbl)</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$49.62</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 per Mcf)</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Commodity Derivative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estimates a loss from net settlement from commodity derivatives of $190 million, including a loss of $164 million from net settlements and premiums from commodity sales derivatives and a loss of $26 million from settlements of natural gas purchase derivatives.</w:t>
      </w:r>
    </w:p>
    <w:p>
      <w:pPr>
        <w:pStyle w:val="TextBody"/>
        <w:bidi w:val="0"/>
        <w:spacing w:lineRule="auto" w:line="288" w:before="240" w:after="180"/>
        <w:jc w:val="left"/>
        <w:rPr>
          <w:rFonts w:ascii="Times New Roman;serif" w:hAnsi="Times New Roman;serif"/>
          <w:b/>
          <w:color w:val="000000"/>
          <w:sz w:val="20"/>
          <w:u w:val="single"/>
        </w:rPr>
      </w:pPr>
      <w:r>
        <w:rPr>
          <w:rFonts w:ascii="Times New Roman;serif" w:hAnsi="Times New Roman;serif"/>
          <w:b/>
          <w:color w:val="000000"/>
          <w:sz w:val="20"/>
          <w:u w:val="single"/>
        </w:rPr>
        <w:t>Forward 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Information set forth in this Form 8-K constitute “forward-looking statements” within the meaning of the safe harbor provisions of the Private Securities Litigation Reform Act of 1995 and other securities laws. All statements other than historical facts are forward-looking statements. Words such as “expect,” “could,” “may,” “anticipate,” “intend,” “plan,” “ability,” “believe,” “seek,” “see,” “will,” “would,” “estimate,” “forecast,” “target,” “guidance,” “outlook,” “opportunity” or “strategy” or similar expressions are generally intended to identify forward-looking statements. These forward-looking statements are based upon the current beliefs and expectations of the management of the Company and are subject to risks and uncertainties that could cause actual results to differ materially from those expressed in, projected in, or implied by,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the Company's actual results to be materially different than those expressed in its forward-looking statements are described in its most recent Annual Report on Form 10-K and its other periodic filings with the SEC.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cautions you not to place undue reliance on forward-looking statements contained in this document, which speak only as of the date hereof, and the Company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the Company has not independently verified them and does not warrant the accuracy or completeness of such third-party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4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14,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5512</Characters>
  <CharactersWithSpaces>6418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