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Bremner Andrew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4,587</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13,459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May 4, 2023 and, subject to certain exceptions,will be settled in shares of Common Stock on the date that is six months and one day following the Reporting Person's separation from service.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Andrew B.</w:t>
      </w:r>
      <w:r>
        <w:rPr>
          <w:sz w:val="20"/>
          <w:szCs w:val="20"/>
          <w:color w:val="auto"/>
        </w:rPr>
        <w:tab/>
      </w:r>
      <w:r>
        <w:rPr>
          <w:rFonts w:ascii="Arial" w:cs="Arial" w:eastAsia="Arial" w:hAnsi="Arial"/>
          <w:sz w:val="15"/>
          <w:szCs w:val="15"/>
          <w:color w:val="0000FF"/>
        </w:rPr>
        <w:t>05/05/2022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Bremner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89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2022-05-07T16:19:33Z</dcterms:created>
  <dcterms:modified xsi:type="dcterms:W3CDTF">2022-05-07T16:19:33Z</dcterms:modified>
</cp:coreProperties>
</file>